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C76E7" w14:textId="77777777" w:rsidR="005C6168" w:rsidRPr="00517955" w:rsidRDefault="005C6168">
      <w:pPr>
        <w:pStyle w:val="Heading3"/>
        <w:jc w:val="left"/>
        <w:rPr>
          <w:rFonts w:asciiTheme="minorHAnsi" w:hAnsiTheme="minorHAnsi"/>
        </w:rPr>
      </w:pPr>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39570B">
        <w:rPr>
          <w:rFonts w:asciiTheme="minorHAnsi" w:hAnsiTheme="minorHAnsi"/>
        </w:rPr>
        <w:t>Djibouti</w:t>
      </w:r>
    </w:p>
    <w:p w14:paraId="012A6725" w14:textId="77777777" w:rsidR="005C6168" w:rsidRPr="00517955" w:rsidRDefault="005C6168">
      <w:pPr>
        <w:pStyle w:val="Heading3"/>
        <w:rPr>
          <w:rFonts w:asciiTheme="minorHAnsi" w:hAnsiTheme="minorHAnsi"/>
        </w:rPr>
      </w:pPr>
    </w:p>
    <w:p w14:paraId="52C3A725"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36F012D4" w14:textId="77777777" w:rsidR="005C6168" w:rsidRPr="00517955" w:rsidRDefault="005C6168">
      <w:pPr>
        <w:pStyle w:val="Heading3"/>
        <w:rPr>
          <w:rFonts w:asciiTheme="minorHAnsi" w:hAnsiTheme="minorHAnsi"/>
          <w:b/>
        </w:rPr>
      </w:pPr>
    </w:p>
    <w:p w14:paraId="330F32E5" w14:textId="77777777" w:rsidR="005C6168" w:rsidRPr="00517955" w:rsidRDefault="0039570B" w:rsidP="0039570B">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r>
      <w:r w:rsidR="005C3D3A">
        <w:rPr>
          <w:rFonts w:asciiTheme="minorHAnsi" w:hAnsiTheme="minorHAnsi"/>
        </w:rPr>
        <w:t>2013-2017</w:t>
      </w:r>
    </w:p>
    <w:p w14:paraId="692059E6" w14:textId="77777777" w:rsidR="005C6168" w:rsidRPr="00517955" w:rsidRDefault="005C6168">
      <w:pPr>
        <w:rPr>
          <w:rFonts w:asciiTheme="minorHAnsi" w:hAnsiTheme="minorHAnsi"/>
        </w:rPr>
      </w:pPr>
    </w:p>
    <w:p w14:paraId="1925BD2D" w14:textId="40AE2512"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57D71B0C" w14:textId="77777777" w:rsidR="001E00B0" w:rsidRDefault="001E00B0" w:rsidP="00363EC5">
      <w:pPr>
        <w:pStyle w:val="BodyText2"/>
        <w:rPr>
          <w:rFonts w:asciiTheme="minorHAnsi" w:hAnsiTheme="minorHAnsi"/>
          <w:color w:val="000000"/>
          <w:sz w:val="24"/>
        </w:rPr>
      </w:pPr>
    </w:p>
    <w:p w14:paraId="723581EF" w14:textId="77777777" w:rsidR="00ED4ECB" w:rsidRPr="0044391D" w:rsidRDefault="00577627" w:rsidP="00577627">
      <w:pPr>
        <w:pStyle w:val="BodyText2"/>
        <w:jc w:val="both"/>
        <w:rPr>
          <w:rFonts w:asciiTheme="minorHAnsi" w:hAnsiTheme="minorHAnsi"/>
          <w:color w:val="000000"/>
          <w:sz w:val="22"/>
          <w:szCs w:val="22"/>
        </w:rPr>
      </w:pPr>
      <w:r w:rsidRPr="0044391D">
        <w:rPr>
          <w:rFonts w:asciiTheme="minorHAnsi" w:hAnsiTheme="minorHAnsi"/>
          <w:color w:val="000000"/>
          <w:sz w:val="22"/>
          <w:szCs w:val="22"/>
        </w:rPr>
        <w:t>The Review</w:t>
      </w:r>
      <w:r w:rsidR="002F5669">
        <w:rPr>
          <w:rFonts w:asciiTheme="minorHAnsi" w:hAnsiTheme="minorHAnsi"/>
          <w:color w:val="000000"/>
          <w:sz w:val="22"/>
          <w:szCs w:val="22"/>
        </w:rPr>
        <w:t xml:space="preserve"> of</w:t>
      </w:r>
      <w:r w:rsidRPr="0044391D">
        <w:rPr>
          <w:rFonts w:asciiTheme="minorHAnsi" w:hAnsiTheme="minorHAnsi"/>
          <w:color w:val="000000"/>
          <w:sz w:val="22"/>
          <w:szCs w:val="22"/>
        </w:rPr>
        <w:t xml:space="preserve"> </w:t>
      </w:r>
      <w:r w:rsidR="00205475" w:rsidRPr="0044391D">
        <w:rPr>
          <w:rFonts w:asciiTheme="minorHAnsi" w:hAnsiTheme="minorHAnsi"/>
          <w:color w:val="000000"/>
          <w:sz w:val="22"/>
          <w:szCs w:val="22"/>
        </w:rPr>
        <w:t>the 2013-2017 CPD highlighted</w:t>
      </w:r>
      <w:r w:rsidRPr="0044391D">
        <w:rPr>
          <w:rFonts w:asciiTheme="minorHAnsi" w:hAnsiTheme="minorHAnsi"/>
          <w:color w:val="000000"/>
          <w:sz w:val="22"/>
          <w:szCs w:val="22"/>
        </w:rPr>
        <w:t xml:space="preserve"> the relevance of the Program and the genuine responses to major challenges facing the country, such as extreme poverty, food insecurity, the environment,</w:t>
      </w:r>
      <w:r w:rsidR="00205475" w:rsidRPr="0044391D">
        <w:rPr>
          <w:rFonts w:asciiTheme="minorHAnsi" w:hAnsiTheme="minorHAnsi"/>
          <w:color w:val="000000"/>
          <w:sz w:val="22"/>
          <w:szCs w:val="22"/>
        </w:rPr>
        <w:t xml:space="preserve"> climate change and </w:t>
      </w:r>
      <w:r w:rsidR="00656CC0" w:rsidRPr="0044391D">
        <w:rPr>
          <w:rFonts w:asciiTheme="minorHAnsi" w:hAnsiTheme="minorHAnsi"/>
          <w:color w:val="000000"/>
          <w:sz w:val="22"/>
          <w:szCs w:val="22"/>
        </w:rPr>
        <w:t>governance</w:t>
      </w:r>
      <w:r w:rsidR="00205475" w:rsidRPr="0044391D">
        <w:rPr>
          <w:rFonts w:asciiTheme="minorHAnsi" w:hAnsiTheme="minorHAnsi"/>
          <w:color w:val="000000"/>
          <w:sz w:val="22"/>
          <w:szCs w:val="22"/>
        </w:rPr>
        <w:t>.</w:t>
      </w:r>
      <w:r w:rsidR="00656CC0" w:rsidRPr="0044391D">
        <w:rPr>
          <w:rFonts w:asciiTheme="minorHAnsi" w:hAnsiTheme="minorHAnsi"/>
          <w:color w:val="000000"/>
          <w:sz w:val="22"/>
          <w:szCs w:val="22"/>
        </w:rPr>
        <w:t xml:space="preserve"> </w:t>
      </w:r>
    </w:p>
    <w:p w14:paraId="09C6A138" w14:textId="77777777" w:rsidR="00ED4ECB" w:rsidRPr="0044391D" w:rsidRDefault="00ED4ECB" w:rsidP="00577627">
      <w:pPr>
        <w:pStyle w:val="BodyText2"/>
        <w:jc w:val="both"/>
        <w:rPr>
          <w:rFonts w:asciiTheme="minorHAnsi" w:hAnsiTheme="minorHAnsi"/>
          <w:color w:val="000000"/>
          <w:sz w:val="22"/>
          <w:szCs w:val="22"/>
        </w:rPr>
      </w:pPr>
    </w:p>
    <w:p w14:paraId="027EA012" w14:textId="71A1D3A7" w:rsidR="0044391D" w:rsidRPr="008056DD" w:rsidRDefault="008056DD" w:rsidP="00577627">
      <w:pPr>
        <w:pStyle w:val="BodyText2"/>
        <w:jc w:val="both"/>
        <w:rPr>
          <w:rFonts w:asciiTheme="minorHAnsi" w:hAnsiTheme="minorHAnsi"/>
          <w:color w:val="000000"/>
          <w:sz w:val="22"/>
          <w:szCs w:val="22"/>
        </w:rPr>
      </w:pPr>
      <w:r w:rsidRPr="008056DD">
        <w:rPr>
          <w:rFonts w:asciiTheme="minorHAnsi" w:hAnsiTheme="minorHAnsi"/>
          <w:color w:val="000000"/>
          <w:sz w:val="22"/>
          <w:szCs w:val="22"/>
        </w:rPr>
        <w:t>However, the current CPD review revealed limitations in the design, baseline assessment and M&amp;E system for programme implementation. This ultimately resulted in obstacles and challenges quantifying development results. The limitation was mainly caused by the weak national statistical system and limited data availability. Thus, UNDP established a partnership with the Government and the WB to support and improve development data availability and ODA coordination systems. UNDP supported the Government in establishing a mechanism for coordination amongst donors, UN agencies and the government, which however still requires the buy in of the whole of the government to become completely functional.</w:t>
      </w:r>
    </w:p>
    <w:p w14:paraId="6841B42A" w14:textId="77777777" w:rsidR="008056DD" w:rsidRPr="0044391D" w:rsidRDefault="008056DD" w:rsidP="00577627">
      <w:pPr>
        <w:pStyle w:val="BodyText2"/>
        <w:jc w:val="both"/>
        <w:rPr>
          <w:rFonts w:asciiTheme="minorHAnsi" w:hAnsiTheme="minorHAnsi"/>
          <w:color w:val="000000"/>
          <w:sz w:val="22"/>
          <w:szCs w:val="22"/>
        </w:rPr>
      </w:pPr>
    </w:p>
    <w:p w14:paraId="2C9E17EB" w14:textId="77777777" w:rsidR="008056DD" w:rsidRPr="00D44729" w:rsidRDefault="008056DD" w:rsidP="008056DD">
      <w:pPr>
        <w:spacing w:after="120"/>
        <w:jc w:val="both"/>
        <w:rPr>
          <w:rFonts w:asciiTheme="minorHAnsi" w:hAnsiTheme="minorHAnsi" w:cstheme="minorHAnsi"/>
        </w:rPr>
      </w:pPr>
      <w:r>
        <w:rPr>
          <w:rFonts w:asciiTheme="minorHAnsi" w:hAnsiTheme="minorHAnsi" w:cstheme="minorHAnsi"/>
        </w:rPr>
        <w:t xml:space="preserve">In response to the wide spread gender inequality </w:t>
      </w:r>
      <w:r w:rsidRPr="00D44729">
        <w:rPr>
          <w:rFonts w:asciiTheme="minorHAnsi" w:hAnsiTheme="minorHAnsi" w:cstheme="minorHAnsi"/>
        </w:rPr>
        <w:t>UNDP Gender interventions succeed in mainstreaming gender concerns at sectoral level.</w:t>
      </w:r>
      <w:r>
        <w:rPr>
          <w:rFonts w:asciiTheme="minorHAnsi" w:hAnsiTheme="minorHAnsi" w:cstheme="minorHAnsi"/>
        </w:rPr>
        <w:t xml:space="preserve"> </w:t>
      </w:r>
      <w:r w:rsidRPr="00D44729">
        <w:rPr>
          <w:rFonts w:asciiTheme="minorHAnsi" w:hAnsiTheme="minorHAnsi" w:cstheme="minorHAnsi"/>
        </w:rPr>
        <w:t xml:space="preserve"> UNDP supported </w:t>
      </w:r>
      <w:r>
        <w:rPr>
          <w:rFonts w:asciiTheme="minorHAnsi" w:hAnsiTheme="minorHAnsi" w:cstheme="minorHAnsi"/>
        </w:rPr>
        <w:t xml:space="preserve">women economic empowerment and the </w:t>
      </w:r>
      <w:r w:rsidRPr="00D44729">
        <w:rPr>
          <w:rFonts w:asciiTheme="minorHAnsi" w:hAnsiTheme="minorHAnsi" w:cstheme="minorHAnsi"/>
        </w:rPr>
        <w:t xml:space="preserve">diversification of livelihoods employment </w:t>
      </w:r>
      <w:r>
        <w:rPr>
          <w:rFonts w:asciiTheme="minorHAnsi" w:hAnsiTheme="minorHAnsi" w:cstheme="minorHAnsi"/>
        </w:rPr>
        <w:t xml:space="preserve">opportunities to achieve the CPD </w:t>
      </w:r>
      <w:r w:rsidRPr="00D44729">
        <w:rPr>
          <w:rFonts w:asciiTheme="minorHAnsi" w:hAnsiTheme="minorHAnsi" w:cstheme="minorHAnsi"/>
        </w:rPr>
        <w:t>objective</w:t>
      </w:r>
      <w:r>
        <w:rPr>
          <w:rFonts w:asciiTheme="minorHAnsi" w:hAnsiTheme="minorHAnsi" w:cstheme="minorHAnsi"/>
        </w:rPr>
        <w:t>s</w:t>
      </w:r>
      <w:r w:rsidRPr="00D44729">
        <w:rPr>
          <w:rFonts w:asciiTheme="minorHAnsi" w:hAnsiTheme="minorHAnsi" w:cstheme="minorHAnsi"/>
        </w:rPr>
        <w:t xml:space="preserve"> of improving living conditions and accelerating citizen participation in social equity</w:t>
      </w:r>
      <w:r>
        <w:rPr>
          <w:rFonts w:asciiTheme="minorHAnsi" w:hAnsiTheme="minorHAnsi" w:cstheme="minorHAnsi"/>
        </w:rPr>
        <w:t>.</w:t>
      </w:r>
    </w:p>
    <w:p w14:paraId="48085C53" w14:textId="77777777" w:rsidR="008056DD" w:rsidRPr="00D44729" w:rsidRDefault="008056DD" w:rsidP="008056DD">
      <w:pPr>
        <w:spacing w:after="120"/>
        <w:jc w:val="both"/>
        <w:rPr>
          <w:rFonts w:asciiTheme="minorHAnsi" w:hAnsiTheme="minorHAnsi" w:cstheme="minorHAnsi"/>
        </w:rPr>
      </w:pPr>
      <w:r w:rsidRPr="00D44729">
        <w:rPr>
          <w:rFonts w:asciiTheme="minorHAnsi" w:hAnsiTheme="minorHAnsi" w:cstheme="minorHAnsi"/>
        </w:rPr>
        <w:t>Capacity building has been a cross cutting theme pursued</w:t>
      </w:r>
      <w:r>
        <w:rPr>
          <w:rFonts w:asciiTheme="minorHAnsi" w:hAnsiTheme="minorHAnsi" w:cstheme="minorHAnsi"/>
        </w:rPr>
        <w:t xml:space="preserve"> by UNDP</w:t>
      </w:r>
      <w:r w:rsidRPr="00D44729">
        <w:rPr>
          <w:rFonts w:asciiTheme="minorHAnsi" w:hAnsiTheme="minorHAnsi" w:cstheme="minorHAnsi"/>
        </w:rPr>
        <w:t>. The processes and working procedures set up in national institutions through different</w:t>
      </w:r>
      <w:r>
        <w:rPr>
          <w:rFonts w:asciiTheme="minorHAnsi" w:hAnsiTheme="minorHAnsi" w:cstheme="minorHAnsi"/>
        </w:rPr>
        <w:t xml:space="preserve"> UNDP</w:t>
      </w:r>
      <w:r w:rsidRPr="00D44729">
        <w:rPr>
          <w:rFonts w:asciiTheme="minorHAnsi" w:hAnsiTheme="minorHAnsi" w:cstheme="minorHAnsi"/>
        </w:rPr>
        <w:t xml:space="preserve"> projects </w:t>
      </w:r>
      <w:r>
        <w:rPr>
          <w:rFonts w:asciiTheme="minorHAnsi" w:hAnsiTheme="minorHAnsi" w:cstheme="minorHAnsi"/>
        </w:rPr>
        <w:t>implementation paved</w:t>
      </w:r>
      <w:r w:rsidRPr="00D44729">
        <w:rPr>
          <w:rFonts w:asciiTheme="minorHAnsi" w:hAnsiTheme="minorHAnsi" w:cstheme="minorHAnsi"/>
        </w:rPr>
        <w:t xml:space="preserve"> ways for an improved organizational setup that creates an enabling environment</w:t>
      </w:r>
      <w:r>
        <w:rPr>
          <w:rFonts w:asciiTheme="minorHAnsi" w:hAnsiTheme="minorHAnsi" w:cstheme="minorHAnsi"/>
        </w:rPr>
        <w:t xml:space="preserve"> for sustainable development. H</w:t>
      </w:r>
      <w:r w:rsidRPr="00D44729">
        <w:rPr>
          <w:rFonts w:asciiTheme="minorHAnsi" w:hAnsiTheme="minorHAnsi" w:cstheme="minorHAnsi"/>
        </w:rPr>
        <w:t>owever</w:t>
      </w:r>
      <w:r>
        <w:rPr>
          <w:rFonts w:asciiTheme="minorHAnsi" w:hAnsiTheme="minorHAnsi" w:cstheme="minorHAnsi"/>
        </w:rPr>
        <w:t>, national</w:t>
      </w:r>
      <w:r w:rsidRPr="00D44729">
        <w:rPr>
          <w:rFonts w:asciiTheme="minorHAnsi" w:hAnsiTheme="minorHAnsi" w:cstheme="minorHAnsi"/>
        </w:rPr>
        <w:t xml:space="preserve"> ownership and appropriation mechanisms need to be improved and streamlined for all programmes.</w:t>
      </w:r>
      <w:r w:rsidRPr="00D44729">
        <w:rPr>
          <w:rFonts w:asciiTheme="minorHAnsi" w:hAnsiTheme="minorHAnsi" w:cstheme="minorHAnsi"/>
        </w:rPr>
        <w:tab/>
      </w:r>
    </w:p>
    <w:p w14:paraId="03CAC0B6" w14:textId="77777777" w:rsidR="008056DD" w:rsidRDefault="008056DD" w:rsidP="008056DD">
      <w:pPr>
        <w:spacing w:after="120"/>
        <w:jc w:val="both"/>
        <w:rPr>
          <w:rFonts w:asciiTheme="minorHAnsi" w:hAnsiTheme="minorHAnsi" w:cstheme="minorHAnsi"/>
        </w:rPr>
      </w:pPr>
      <w:r w:rsidRPr="00BE2541">
        <w:rPr>
          <w:rFonts w:asciiTheme="minorHAnsi" w:hAnsiTheme="minorHAnsi" w:cstheme="minorHAnsi"/>
        </w:rPr>
        <w:t>Programme delivery in UNDP Djibouti has been historically modest, never exceeding $2m per year up to 2011</w:t>
      </w:r>
      <w:r>
        <w:rPr>
          <w:rFonts w:asciiTheme="minorHAnsi" w:hAnsiTheme="minorHAnsi" w:cstheme="minorHAnsi"/>
        </w:rPr>
        <w:t>. Delivery increased since 2012, when the embarked on mobilizing vertical funds for c</w:t>
      </w:r>
      <w:r w:rsidRPr="00BE2541">
        <w:rPr>
          <w:rFonts w:asciiTheme="minorHAnsi" w:hAnsiTheme="minorHAnsi" w:cstheme="minorHAnsi"/>
        </w:rPr>
        <w:t xml:space="preserve">limate </w:t>
      </w:r>
      <w:r>
        <w:rPr>
          <w:rFonts w:asciiTheme="minorHAnsi" w:hAnsiTheme="minorHAnsi" w:cstheme="minorHAnsi"/>
        </w:rPr>
        <w:t xml:space="preserve">and environment </w:t>
      </w:r>
      <w:r w:rsidRPr="00BE2541">
        <w:rPr>
          <w:rFonts w:asciiTheme="minorHAnsi" w:hAnsiTheme="minorHAnsi" w:cstheme="minorHAnsi"/>
        </w:rPr>
        <w:t>portfolio</w:t>
      </w:r>
      <w:r>
        <w:rPr>
          <w:rFonts w:asciiTheme="minorHAnsi" w:hAnsiTheme="minorHAnsi" w:cstheme="minorHAnsi"/>
        </w:rPr>
        <w:t xml:space="preserve"> and </w:t>
      </w:r>
      <w:r w:rsidRPr="00BE2541">
        <w:rPr>
          <w:rFonts w:asciiTheme="minorHAnsi" w:hAnsiTheme="minorHAnsi" w:cstheme="minorHAnsi"/>
        </w:rPr>
        <w:t>the Global Fund to fight Aids, Tuberculosis and Malaria (GFATM). Programme delivery amounted to $6.3m in 2013, $4.8m in 2014, $4.5m in 2015 and</w:t>
      </w:r>
      <w:r>
        <w:rPr>
          <w:rFonts w:asciiTheme="minorHAnsi" w:hAnsiTheme="minorHAnsi" w:cstheme="minorHAnsi"/>
        </w:rPr>
        <w:t xml:space="preserve"> $</w:t>
      </w:r>
      <w:r w:rsidRPr="00BE2541">
        <w:rPr>
          <w:rFonts w:asciiTheme="minorHAnsi" w:hAnsiTheme="minorHAnsi" w:cstheme="minorHAnsi"/>
        </w:rPr>
        <w:t>9m in 2016.</w:t>
      </w:r>
      <w:r>
        <w:rPr>
          <w:rFonts w:asciiTheme="minorHAnsi" w:hAnsiTheme="minorHAnsi" w:cstheme="minorHAnsi"/>
        </w:rPr>
        <w:t xml:space="preserve"> </w:t>
      </w:r>
    </w:p>
    <w:p w14:paraId="144FB074" w14:textId="77777777" w:rsidR="008056DD" w:rsidRPr="00380A57" w:rsidRDefault="008056DD" w:rsidP="008056DD">
      <w:pPr>
        <w:spacing w:after="120"/>
        <w:jc w:val="both"/>
        <w:rPr>
          <w:rFonts w:asciiTheme="minorHAnsi" w:hAnsiTheme="minorHAnsi" w:cstheme="minorHAnsi"/>
        </w:rPr>
      </w:pPr>
      <w:r>
        <w:rPr>
          <w:rFonts w:asciiTheme="minorHAnsi" w:hAnsiTheme="minorHAnsi" w:cstheme="minorHAnsi"/>
        </w:rPr>
        <w:t xml:space="preserve">Major </w:t>
      </w:r>
      <w:r w:rsidRPr="00380A57">
        <w:rPr>
          <w:rFonts w:asciiTheme="minorHAnsi" w:hAnsiTheme="minorHAnsi" w:cstheme="minorHAnsi"/>
        </w:rPr>
        <w:t xml:space="preserve">CPD </w:t>
      </w:r>
      <w:r>
        <w:rPr>
          <w:rFonts w:asciiTheme="minorHAnsi" w:hAnsiTheme="minorHAnsi" w:cstheme="minorHAnsi"/>
        </w:rPr>
        <w:t>results</w:t>
      </w:r>
      <w:r w:rsidRPr="00380A57">
        <w:rPr>
          <w:rFonts w:asciiTheme="minorHAnsi" w:hAnsiTheme="minorHAnsi" w:cstheme="minorHAnsi"/>
        </w:rPr>
        <w:t>:</w:t>
      </w:r>
    </w:p>
    <w:p w14:paraId="50311DAB" w14:textId="77777777" w:rsidR="008056DD" w:rsidRPr="00184555" w:rsidRDefault="008056DD" w:rsidP="008056DD">
      <w:pPr>
        <w:widowControl/>
        <w:numPr>
          <w:ilvl w:val="0"/>
          <w:numId w:val="28"/>
        </w:numPr>
        <w:spacing w:after="160" w:line="259" w:lineRule="auto"/>
        <w:rPr>
          <w:rFonts w:ascii="Calibri" w:eastAsia="Calibri" w:hAnsi="Calibri"/>
          <w:b/>
        </w:rPr>
      </w:pPr>
      <w:r w:rsidRPr="00184555">
        <w:rPr>
          <w:rFonts w:ascii="Calibri" w:eastAsia="Calibri" w:hAnsi="Calibri"/>
          <w:b/>
        </w:rPr>
        <w:t>National and sectoral planning, monitoring and evaluation processes and macroeconomic management are supported and strengthened.</w:t>
      </w:r>
    </w:p>
    <w:p w14:paraId="074C068F" w14:textId="77777777" w:rsidR="008056DD" w:rsidRPr="009741F2" w:rsidRDefault="008056DD" w:rsidP="008056DD">
      <w:pPr>
        <w:pStyle w:val="ListParagraph"/>
        <w:numPr>
          <w:ilvl w:val="0"/>
          <w:numId w:val="34"/>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 xml:space="preserve">Formulation of the Accelerated Growth Strategy for Employment Promotion (SCAPE). </w:t>
      </w:r>
    </w:p>
    <w:p w14:paraId="0AA462D6" w14:textId="77777777" w:rsidR="008056DD" w:rsidRPr="009741F2" w:rsidRDefault="008056DD" w:rsidP="008056DD">
      <w:pPr>
        <w:pStyle w:val="ListParagraph"/>
        <w:numPr>
          <w:ilvl w:val="0"/>
          <w:numId w:val="34"/>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 xml:space="preserve">Strengthened health systems and facilitate access to treatment to fight HIV/AIDS, Tuberculosis and Malaria.  </w:t>
      </w:r>
    </w:p>
    <w:p w14:paraId="5F7058C6" w14:textId="77777777" w:rsidR="008056DD" w:rsidRPr="009741F2" w:rsidRDefault="008056DD" w:rsidP="008056DD">
      <w:pPr>
        <w:pStyle w:val="ListParagraph"/>
        <w:numPr>
          <w:ilvl w:val="0"/>
          <w:numId w:val="34"/>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 xml:space="preserve">Set up of aid coordination mechanisms consultations. </w:t>
      </w:r>
    </w:p>
    <w:p w14:paraId="740A8422" w14:textId="77777777" w:rsidR="008056DD" w:rsidRPr="009741F2" w:rsidRDefault="008056DD" w:rsidP="008056DD">
      <w:pPr>
        <w:pStyle w:val="ListParagraph"/>
        <w:numPr>
          <w:ilvl w:val="0"/>
          <w:numId w:val="34"/>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lastRenderedPageBreak/>
        <w:t>Strengthened capacity of national statistics in data collection and analysis.</w:t>
      </w:r>
    </w:p>
    <w:p w14:paraId="527C153F" w14:textId="77777777" w:rsidR="008056DD" w:rsidRPr="009741F2" w:rsidRDefault="008056DD" w:rsidP="008056DD">
      <w:pPr>
        <w:pStyle w:val="ListParagraph"/>
        <w:numPr>
          <w:ilvl w:val="0"/>
          <w:numId w:val="34"/>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 xml:space="preserve">Sensitization campaign on SDGs, which has paved way in increased awareness and engagement of stakeholder engagement, and national leadership </w:t>
      </w:r>
    </w:p>
    <w:p w14:paraId="7D47E654" w14:textId="77777777" w:rsidR="008056DD" w:rsidRPr="008056DD" w:rsidRDefault="008056DD" w:rsidP="008056DD">
      <w:pPr>
        <w:pStyle w:val="ListParagraph"/>
        <w:spacing w:after="160" w:line="259" w:lineRule="auto"/>
        <w:rPr>
          <w:sz w:val="24"/>
          <w:szCs w:val="24"/>
          <w:lang w:val="en-US"/>
        </w:rPr>
      </w:pPr>
    </w:p>
    <w:p w14:paraId="4A5C198E" w14:textId="77777777" w:rsidR="008056DD" w:rsidRPr="00184555" w:rsidRDefault="008056DD" w:rsidP="008056DD">
      <w:pPr>
        <w:widowControl/>
        <w:numPr>
          <w:ilvl w:val="0"/>
          <w:numId w:val="28"/>
        </w:numPr>
        <w:spacing w:after="160" w:line="259" w:lineRule="auto"/>
        <w:rPr>
          <w:rFonts w:ascii="Calibri" w:eastAsia="Calibri" w:hAnsi="Calibri"/>
          <w:b/>
        </w:rPr>
      </w:pPr>
      <w:bookmarkStart w:id="1" w:name="_MailEndCompose"/>
      <w:bookmarkEnd w:id="1"/>
      <w:r w:rsidRPr="00184555">
        <w:rPr>
          <w:rFonts w:ascii="Calibri" w:eastAsia="Calibri" w:hAnsi="Calibri"/>
          <w:b/>
        </w:rPr>
        <w:t xml:space="preserve">Opportunities for economic development and job creation at national and local levels are being expanded. </w:t>
      </w:r>
    </w:p>
    <w:p w14:paraId="4A4D2BEF" w14:textId="77777777" w:rsidR="008056DD" w:rsidRPr="009741F2" w:rsidRDefault="008056DD" w:rsidP="008056DD">
      <w:pPr>
        <w:pStyle w:val="ListParagraph"/>
        <w:numPr>
          <w:ilvl w:val="0"/>
          <w:numId w:val="33"/>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Formulation and adoption of national strategy and action plan.</w:t>
      </w:r>
    </w:p>
    <w:p w14:paraId="0D9B5761" w14:textId="77777777" w:rsidR="008056DD" w:rsidRPr="009741F2" w:rsidRDefault="008056DD" w:rsidP="008056DD">
      <w:pPr>
        <w:pStyle w:val="ListParagraph"/>
        <w:numPr>
          <w:ilvl w:val="0"/>
          <w:numId w:val="33"/>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Youth employment through training for an increased access to job opportunity and market</w:t>
      </w:r>
    </w:p>
    <w:p w14:paraId="1B73D8C4" w14:textId="77777777" w:rsidR="008056DD" w:rsidRPr="008056DD" w:rsidRDefault="008056DD" w:rsidP="008056DD">
      <w:pPr>
        <w:pStyle w:val="ListParagraph"/>
        <w:numPr>
          <w:ilvl w:val="0"/>
          <w:numId w:val="33"/>
        </w:numPr>
        <w:spacing w:after="160" w:line="259" w:lineRule="auto"/>
        <w:rPr>
          <w:rFonts w:asciiTheme="minorHAnsi" w:hAnsiTheme="minorHAnsi" w:cstheme="minorHAnsi"/>
          <w:szCs w:val="24"/>
          <w:lang w:eastAsia="fr-FR"/>
        </w:rPr>
      </w:pPr>
      <w:r w:rsidRPr="008056DD">
        <w:rPr>
          <w:rFonts w:asciiTheme="minorHAnsi" w:hAnsiTheme="minorHAnsi" w:cstheme="minorHAnsi"/>
          <w:szCs w:val="24"/>
          <w:lang w:eastAsia="fr-FR"/>
        </w:rPr>
        <w:t>Livelihood to support communities.</w:t>
      </w:r>
    </w:p>
    <w:p w14:paraId="464F9757" w14:textId="77777777" w:rsidR="008056DD" w:rsidRPr="00184555" w:rsidRDefault="008056DD" w:rsidP="008056DD">
      <w:pPr>
        <w:widowControl/>
        <w:numPr>
          <w:ilvl w:val="0"/>
          <w:numId w:val="28"/>
        </w:numPr>
        <w:spacing w:after="160" w:line="259" w:lineRule="auto"/>
        <w:rPr>
          <w:rFonts w:ascii="Calibri" w:eastAsia="Calibri" w:hAnsi="Calibri"/>
          <w:b/>
        </w:rPr>
      </w:pPr>
      <w:r w:rsidRPr="00184555">
        <w:rPr>
          <w:rFonts w:ascii="Calibri" w:eastAsia="Calibri" w:hAnsi="Calibri"/>
          <w:b/>
        </w:rPr>
        <w:t xml:space="preserve">Rural communities and ecosystems are more resilient to climate change. </w:t>
      </w:r>
    </w:p>
    <w:p w14:paraId="766DD106" w14:textId="77777777" w:rsidR="008056DD" w:rsidRPr="009741F2" w:rsidRDefault="008056DD" w:rsidP="008056DD">
      <w:pPr>
        <w:pStyle w:val="ListParagraph"/>
        <w:numPr>
          <w:ilvl w:val="0"/>
          <w:numId w:val="31"/>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Water resources management and agro-pastoral livelihood interventions for rural communities.</w:t>
      </w:r>
    </w:p>
    <w:p w14:paraId="6DF8CD03" w14:textId="77777777" w:rsidR="008056DD" w:rsidRPr="009741F2" w:rsidRDefault="008056DD" w:rsidP="008056DD">
      <w:pPr>
        <w:pStyle w:val="ListParagraph"/>
        <w:numPr>
          <w:ilvl w:val="0"/>
          <w:numId w:val="31"/>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Establishing and efficient management system for marine protected areas.</w:t>
      </w:r>
    </w:p>
    <w:p w14:paraId="7CDDD36A" w14:textId="77777777" w:rsidR="008056DD" w:rsidRPr="009741F2" w:rsidRDefault="008056DD" w:rsidP="008056DD">
      <w:pPr>
        <w:pStyle w:val="ListParagraph"/>
        <w:numPr>
          <w:ilvl w:val="0"/>
          <w:numId w:val="31"/>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Formulation of National strategy on climate change.</w:t>
      </w:r>
    </w:p>
    <w:p w14:paraId="650475ED" w14:textId="77777777" w:rsidR="008056DD" w:rsidRPr="00184555" w:rsidRDefault="008056DD" w:rsidP="008056DD">
      <w:pPr>
        <w:widowControl/>
        <w:numPr>
          <w:ilvl w:val="0"/>
          <w:numId w:val="28"/>
        </w:numPr>
        <w:spacing w:after="160" w:line="259" w:lineRule="auto"/>
        <w:rPr>
          <w:rFonts w:ascii="Calibri" w:eastAsia="Calibri" w:hAnsi="Calibri"/>
          <w:b/>
        </w:rPr>
      </w:pPr>
      <w:r w:rsidRPr="00184555">
        <w:rPr>
          <w:rFonts w:ascii="Calibri" w:eastAsia="Calibri" w:hAnsi="Calibri"/>
          <w:b/>
        </w:rPr>
        <w:t xml:space="preserve">National and local institutions apply better practices and principles of inclusive, transparent and accountable governance.    </w:t>
      </w:r>
    </w:p>
    <w:p w14:paraId="772CFF01" w14:textId="77777777" w:rsidR="008056DD" w:rsidRPr="009741F2" w:rsidRDefault="008056DD" w:rsidP="008056DD">
      <w:pPr>
        <w:pStyle w:val="ListParagraph"/>
        <w:numPr>
          <w:ilvl w:val="0"/>
          <w:numId w:val="32"/>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Strengthening the capacity of the Parliament to discharge its oversight functions</w:t>
      </w:r>
    </w:p>
    <w:p w14:paraId="143FB783" w14:textId="77777777" w:rsidR="008056DD" w:rsidRPr="009741F2" w:rsidRDefault="008056DD" w:rsidP="008056DD">
      <w:pPr>
        <w:pStyle w:val="ListParagraph"/>
        <w:numPr>
          <w:ilvl w:val="0"/>
          <w:numId w:val="32"/>
        </w:numPr>
        <w:spacing w:after="160" w:line="259" w:lineRule="auto"/>
        <w:rPr>
          <w:rFonts w:asciiTheme="minorHAnsi" w:hAnsiTheme="minorHAnsi" w:cstheme="minorHAnsi"/>
          <w:szCs w:val="24"/>
          <w:lang w:val="en-US" w:eastAsia="fr-FR"/>
        </w:rPr>
      </w:pPr>
      <w:r w:rsidRPr="009741F2">
        <w:rPr>
          <w:rFonts w:asciiTheme="minorHAnsi" w:hAnsiTheme="minorHAnsi" w:cstheme="minorHAnsi"/>
          <w:szCs w:val="24"/>
          <w:lang w:val="en-US" w:eastAsia="fr-FR"/>
        </w:rPr>
        <w:t>Justice and Human Rights to facilitate access to justice</w:t>
      </w:r>
    </w:p>
    <w:p w14:paraId="6AF61A73" w14:textId="77777777" w:rsidR="00F826EC" w:rsidRPr="008056DD" w:rsidRDefault="00F826EC" w:rsidP="00F826EC">
      <w:pPr>
        <w:pStyle w:val="BodyText2"/>
        <w:rPr>
          <w:rFonts w:asciiTheme="minorHAnsi" w:hAnsiTheme="minorHAnsi" w:cstheme="minorHAnsi"/>
          <w:sz w:val="22"/>
          <w:szCs w:val="22"/>
        </w:rPr>
      </w:pPr>
    </w:p>
    <w:p w14:paraId="7E618B5C" w14:textId="77777777" w:rsidR="00E770DC" w:rsidRPr="00F20539" w:rsidRDefault="00E770DC" w:rsidP="00E770DC">
      <w:pPr>
        <w:pStyle w:val="BodyText2"/>
        <w:rPr>
          <w:rFonts w:asciiTheme="minorHAnsi" w:hAnsiTheme="minorHAnsi" w:cstheme="minorHAnsi"/>
          <w:sz w:val="22"/>
          <w:szCs w:val="22"/>
          <w:lang w:val="en-GB"/>
        </w:rPr>
      </w:pPr>
    </w:p>
    <w:p w14:paraId="7F2C43AD" w14:textId="77777777" w:rsidR="0037523B" w:rsidRDefault="0037523B" w:rsidP="00975566">
      <w:pPr>
        <w:pStyle w:val="BodyText2"/>
        <w:jc w:val="center"/>
        <w:rPr>
          <w:rFonts w:ascii="Times New Roman" w:hAnsi="Times New Roman"/>
          <w:b/>
          <w:sz w:val="24"/>
        </w:rPr>
      </w:pPr>
    </w:p>
    <w:p w14:paraId="602D3C68" w14:textId="77777777" w:rsidR="0037523B" w:rsidRDefault="0037523B" w:rsidP="00975566">
      <w:pPr>
        <w:pStyle w:val="BodyText2"/>
        <w:jc w:val="center"/>
        <w:rPr>
          <w:rFonts w:ascii="Times New Roman" w:hAnsi="Times New Roman"/>
          <w:b/>
          <w:sz w:val="24"/>
        </w:rPr>
      </w:pPr>
    </w:p>
    <w:p w14:paraId="427345A9" w14:textId="77777777" w:rsidR="0037523B" w:rsidRDefault="0037523B" w:rsidP="00975566">
      <w:pPr>
        <w:pStyle w:val="BodyText2"/>
        <w:jc w:val="center"/>
        <w:rPr>
          <w:rFonts w:ascii="Times New Roman" w:hAnsi="Times New Roman"/>
          <w:b/>
          <w:sz w:val="24"/>
        </w:rPr>
      </w:pPr>
    </w:p>
    <w:p w14:paraId="5B44431A" w14:textId="77777777" w:rsidR="0037523B" w:rsidRDefault="0037523B" w:rsidP="00975566">
      <w:pPr>
        <w:pStyle w:val="BodyText2"/>
        <w:jc w:val="center"/>
        <w:rPr>
          <w:rFonts w:ascii="Times New Roman" w:hAnsi="Times New Roman"/>
          <w:b/>
          <w:sz w:val="24"/>
        </w:rPr>
      </w:pPr>
    </w:p>
    <w:p w14:paraId="64CF2D10" w14:textId="77777777" w:rsidR="0037523B" w:rsidRDefault="0037523B" w:rsidP="00975566">
      <w:pPr>
        <w:pStyle w:val="BodyText2"/>
        <w:jc w:val="center"/>
        <w:rPr>
          <w:rFonts w:ascii="Times New Roman" w:hAnsi="Times New Roman"/>
          <w:b/>
          <w:sz w:val="24"/>
        </w:rPr>
      </w:pPr>
    </w:p>
    <w:p w14:paraId="7B0098DF" w14:textId="77777777" w:rsidR="0037523B" w:rsidRDefault="0037523B" w:rsidP="00975566">
      <w:pPr>
        <w:pStyle w:val="BodyText2"/>
        <w:jc w:val="center"/>
        <w:rPr>
          <w:rFonts w:ascii="Times New Roman" w:hAnsi="Times New Roman"/>
          <w:b/>
          <w:sz w:val="24"/>
        </w:rPr>
      </w:pPr>
    </w:p>
    <w:p w14:paraId="60F5AFF3" w14:textId="77777777" w:rsidR="0037523B" w:rsidRDefault="0037523B" w:rsidP="00975566">
      <w:pPr>
        <w:pStyle w:val="BodyText2"/>
        <w:jc w:val="center"/>
        <w:rPr>
          <w:rFonts w:ascii="Times New Roman" w:hAnsi="Times New Roman"/>
          <w:b/>
          <w:sz w:val="24"/>
        </w:rPr>
      </w:pPr>
    </w:p>
    <w:p w14:paraId="4C6BF0BE" w14:textId="77777777" w:rsidR="0037523B" w:rsidRDefault="0037523B" w:rsidP="00975566">
      <w:pPr>
        <w:pStyle w:val="BodyText2"/>
        <w:jc w:val="center"/>
        <w:rPr>
          <w:rFonts w:ascii="Times New Roman" w:hAnsi="Times New Roman"/>
          <w:b/>
          <w:sz w:val="24"/>
        </w:rPr>
      </w:pPr>
    </w:p>
    <w:p w14:paraId="63FF7F57" w14:textId="77777777" w:rsidR="0037523B" w:rsidRDefault="0037523B" w:rsidP="00975566">
      <w:pPr>
        <w:pStyle w:val="BodyText2"/>
        <w:jc w:val="center"/>
        <w:rPr>
          <w:rFonts w:ascii="Times New Roman" w:hAnsi="Times New Roman"/>
          <w:b/>
          <w:sz w:val="24"/>
        </w:rPr>
      </w:pPr>
    </w:p>
    <w:p w14:paraId="5BC51009" w14:textId="77777777" w:rsidR="0037523B" w:rsidRDefault="0037523B" w:rsidP="00975566">
      <w:pPr>
        <w:pStyle w:val="BodyText2"/>
        <w:jc w:val="center"/>
        <w:rPr>
          <w:rFonts w:ascii="Times New Roman" w:hAnsi="Times New Roman"/>
          <w:b/>
          <w:sz w:val="24"/>
        </w:rPr>
      </w:pPr>
    </w:p>
    <w:p w14:paraId="32050489" w14:textId="77777777" w:rsidR="0037523B" w:rsidRDefault="0037523B" w:rsidP="00975566">
      <w:pPr>
        <w:pStyle w:val="BodyText2"/>
        <w:jc w:val="center"/>
        <w:rPr>
          <w:rFonts w:ascii="Times New Roman" w:hAnsi="Times New Roman"/>
          <w:b/>
          <w:sz w:val="24"/>
        </w:rPr>
      </w:pPr>
    </w:p>
    <w:p w14:paraId="058BB864" w14:textId="77777777" w:rsidR="0037523B" w:rsidRDefault="0037523B" w:rsidP="00975566">
      <w:pPr>
        <w:pStyle w:val="BodyText2"/>
        <w:jc w:val="center"/>
        <w:rPr>
          <w:rFonts w:ascii="Times New Roman" w:hAnsi="Times New Roman"/>
          <w:b/>
          <w:sz w:val="24"/>
        </w:rPr>
      </w:pPr>
    </w:p>
    <w:p w14:paraId="5C2D85C8" w14:textId="77777777" w:rsidR="0037523B" w:rsidRDefault="0037523B" w:rsidP="00975566">
      <w:pPr>
        <w:pStyle w:val="BodyText2"/>
        <w:jc w:val="center"/>
        <w:rPr>
          <w:rFonts w:ascii="Times New Roman" w:hAnsi="Times New Roman"/>
          <w:b/>
          <w:sz w:val="24"/>
        </w:rPr>
      </w:pPr>
    </w:p>
    <w:p w14:paraId="59721F00" w14:textId="77777777" w:rsidR="0037523B" w:rsidRDefault="0037523B" w:rsidP="00975566">
      <w:pPr>
        <w:pStyle w:val="BodyText2"/>
        <w:jc w:val="center"/>
        <w:rPr>
          <w:rFonts w:ascii="Times New Roman" w:hAnsi="Times New Roman"/>
          <w:b/>
          <w:sz w:val="24"/>
        </w:rPr>
      </w:pPr>
    </w:p>
    <w:p w14:paraId="0A1C1892" w14:textId="77777777" w:rsidR="0037523B" w:rsidRDefault="0037523B" w:rsidP="00975566">
      <w:pPr>
        <w:pStyle w:val="BodyText2"/>
        <w:jc w:val="center"/>
        <w:rPr>
          <w:rFonts w:ascii="Times New Roman" w:hAnsi="Times New Roman"/>
          <w:b/>
          <w:sz w:val="24"/>
        </w:rPr>
      </w:pPr>
    </w:p>
    <w:p w14:paraId="72E75D25" w14:textId="77777777" w:rsidR="0037523B" w:rsidRDefault="0037523B" w:rsidP="00975566">
      <w:pPr>
        <w:pStyle w:val="BodyText2"/>
        <w:jc w:val="center"/>
        <w:rPr>
          <w:rFonts w:ascii="Times New Roman" w:hAnsi="Times New Roman"/>
          <w:b/>
          <w:sz w:val="24"/>
        </w:rPr>
      </w:pPr>
    </w:p>
    <w:p w14:paraId="30ED58EA" w14:textId="77777777" w:rsidR="0037523B" w:rsidRDefault="0037523B" w:rsidP="00975566">
      <w:pPr>
        <w:pStyle w:val="BodyText2"/>
        <w:jc w:val="center"/>
        <w:rPr>
          <w:rFonts w:ascii="Times New Roman" w:hAnsi="Times New Roman"/>
          <w:b/>
          <w:sz w:val="24"/>
        </w:rPr>
        <w:sectPr w:rsidR="0037523B">
          <w:footerReference w:type="default" r:id="rId13"/>
          <w:endnotePr>
            <w:numFmt w:val="decimal"/>
          </w:endnotePr>
          <w:pgSz w:w="11907" w:h="16840" w:code="9"/>
          <w:pgMar w:top="1440" w:right="1440" w:bottom="1440" w:left="1440" w:header="720" w:footer="720" w:gutter="0"/>
          <w:cols w:space="720"/>
        </w:sectPr>
      </w:pPr>
    </w:p>
    <w:p w14:paraId="1C78E83F"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65726731"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647"/>
        <w:gridCol w:w="3753"/>
        <w:gridCol w:w="5490"/>
      </w:tblGrid>
      <w:tr w:rsidR="00CB647D" w:rsidRPr="00DC7354" w14:paraId="7F27636C" w14:textId="77777777" w:rsidTr="0092677D">
        <w:tc>
          <w:tcPr>
            <w:tcW w:w="3150" w:type="dxa"/>
            <w:gridSpan w:val="2"/>
            <w:tcBorders>
              <w:right w:val="nil"/>
            </w:tcBorders>
            <w:shd w:val="clear" w:color="auto" w:fill="FFC000"/>
          </w:tcPr>
          <w:p w14:paraId="70EDA661" w14:textId="77777777" w:rsidR="00CB647D" w:rsidRPr="0007367D" w:rsidRDefault="00CB647D">
            <w:pPr>
              <w:pStyle w:val="BodyText2"/>
              <w:rPr>
                <w:rFonts w:asciiTheme="minorHAnsi" w:hAnsiTheme="minorHAnsi" w:cstheme="minorHAnsi"/>
                <w:b/>
                <w:sz w:val="24"/>
              </w:rPr>
            </w:pPr>
            <w:r w:rsidRPr="0007367D">
              <w:rPr>
                <w:rFonts w:asciiTheme="minorHAnsi" w:hAnsiTheme="minorHAnsi" w:cstheme="minorHAnsi"/>
                <w:b/>
              </w:rPr>
              <w:t>Country information</w:t>
            </w:r>
          </w:p>
        </w:tc>
        <w:tc>
          <w:tcPr>
            <w:tcW w:w="10890" w:type="dxa"/>
            <w:gridSpan w:val="3"/>
            <w:tcBorders>
              <w:left w:val="nil"/>
            </w:tcBorders>
            <w:shd w:val="clear" w:color="auto" w:fill="FFC000"/>
          </w:tcPr>
          <w:p w14:paraId="6814C06F" w14:textId="77777777" w:rsidR="00CB647D" w:rsidRPr="0007367D" w:rsidRDefault="00CB647D">
            <w:pPr>
              <w:pStyle w:val="BodyText2"/>
              <w:rPr>
                <w:rFonts w:asciiTheme="minorHAnsi" w:hAnsiTheme="minorHAnsi" w:cstheme="minorHAnsi"/>
                <w:b/>
                <w:sz w:val="24"/>
              </w:rPr>
            </w:pPr>
          </w:p>
        </w:tc>
      </w:tr>
      <w:tr w:rsidR="009B76A1" w:rsidRPr="00DC7354" w14:paraId="10848AB6" w14:textId="77777777" w:rsidTr="0092677D">
        <w:tc>
          <w:tcPr>
            <w:tcW w:w="14040" w:type="dxa"/>
            <w:gridSpan w:val="5"/>
          </w:tcPr>
          <w:p w14:paraId="251E252A" w14:textId="77777777" w:rsidR="009B76A1" w:rsidRPr="0007367D" w:rsidRDefault="009B76A1">
            <w:pPr>
              <w:pStyle w:val="BodyText2"/>
              <w:rPr>
                <w:rFonts w:asciiTheme="minorHAnsi" w:hAnsiTheme="minorHAnsi" w:cstheme="minorHAnsi"/>
                <w:b/>
                <w:sz w:val="24"/>
              </w:rPr>
            </w:pPr>
            <w:r w:rsidRPr="0007367D">
              <w:rPr>
                <w:rFonts w:asciiTheme="minorHAnsi" w:hAnsiTheme="minorHAnsi" w:cstheme="minorHAnsi"/>
                <w:b/>
              </w:rPr>
              <w:t>Country name:</w:t>
            </w:r>
          </w:p>
        </w:tc>
      </w:tr>
      <w:tr w:rsidR="009B76A1" w:rsidRPr="00843006" w14:paraId="3096FC20" w14:textId="77777777" w:rsidTr="0092677D">
        <w:tc>
          <w:tcPr>
            <w:tcW w:w="14040" w:type="dxa"/>
            <w:gridSpan w:val="5"/>
          </w:tcPr>
          <w:p w14:paraId="47CA2269" w14:textId="77777777" w:rsidR="009B76A1" w:rsidRPr="0007367D" w:rsidRDefault="009B76A1">
            <w:pPr>
              <w:pStyle w:val="BodyText2"/>
              <w:rPr>
                <w:rFonts w:asciiTheme="minorHAnsi" w:hAnsiTheme="minorHAnsi" w:cstheme="minorHAnsi"/>
                <w:b/>
              </w:rPr>
            </w:pPr>
            <w:r w:rsidRPr="0007367D">
              <w:rPr>
                <w:rFonts w:asciiTheme="minorHAnsi" w:hAnsiTheme="minorHAnsi" w:cstheme="minorHAnsi"/>
                <w:b/>
              </w:rPr>
              <w:t>Current country programme period:</w:t>
            </w:r>
          </w:p>
        </w:tc>
      </w:tr>
      <w:tr w:rsidR="003B037A" w:rsidRPr="00DC7354" w14:paraId="1B538826" w14:textId="77777777" w:rsidTr="00540C42">
        <w:tc>
          <w:tcPr>
            <w:tcW w:w="3150" w:type="dxa"/>
            <w:gridSpan w:val="2"/>
          </w:tcPr>
          <w:p w14:paraId="2B531345" w14:textId="77777777" w:rsidR="003B037A" w:rsidRPr="0007367D" w:rsidRDefault="003B037A">
            <w:pPr>
              <w:pStyle w:val="BodyText2"/>
              <w:rPr>
                <w:rFonts w:asciiTheme="minorHAnsi" w:hAnsiTheme="minorHAnsi" w:cstheme="minorHAnsi"/>
                <w:b/>
                <w:sz w:val="24"/>
              </w:rPr>
            </w:pPr>
            <w:r w:rsidRPr="0007367D">
              <w:rPr>
                <w:rFonts w:asciiTheme="minorHAnsi" w:hAnsiTheme="minorHAnsi" w:cstheme="minorHAnsi"/>
                <w:b/>
                <w:sz w:val="24"/>
              </w:rPr>
              <w:t>Outcome</w:t>
            </w:r>
            <w:r w:rsidR="00700521" w:rsidRPr="0007367D">
              <w:rPr>
                <w:rFonts w:asciiTheme="minorHAnsi" w:hAnsiTheme="minorHAnsi" w:cstheme="minorHAnsi"/>
                <w:b/>
                <w:sz w:val="24"/>
              </w:rPr>
              <w:t>s</w:t>
            </w:r>
          </w:p>
        </w:tc>
        <w:tc>
          <w:tcPr>
            <w:tcW w:w="1647" w:type="dxa"/>
            <w:shd w:val="clear" w:color="auto" w:fill="auto"/>
          </w:tcPr>
          <w:p w14:paraId="2D170806" w14:textId="77777777" w:rsidR="003B037A" w:rsidRPr="0007367D" w:rsidRDefault="003B037A">
            <w:pPr>
              <w:pStyle w:val="BodyText2"/>
              <w:rPr>
                <w:rFonts w:asciiTheme="minorHAnsi" w:hAnsiTheme="minorHAnsi" w:cstheme="minorHAnsi"/>
                <w:b/>
                <w:sz w:val="22"/>
              </w:rPr>
            </w:pPr>
            <w:r w:rsidRPr="0007367D">
              <w:rPr>
                <w:rFonts w:asciiTheme="minorHAnsi" w:hAnsiTheme="minorHAnsi" w:cstheme="minorHAnsi"/>
                <w:b/>
                <w:sz w:val="22"/>
              </w:rPr>
              <w:t>Total Expenditure</w:t>
            </w:r>
            <w:r w:rsidR="00540C42" w:rsidRPr="0007367D">
              <w:rPr>
                <w:rFonts w:asciiTheme="minorHAnsi" w:hAnsiTheme="minorHAnsi" w:cstheme="minorHAnsi"/>
                <w:b/>
                <w:sz w:val="22"/>
              </w:rPr>
              <w:t xml:space="preserve"> $</w:t>
            </w:r>
          </w:p>
        </w:tc>
        <w:tc>
          <w:tcPr>
            <w:tcW w:w="3753" w:type="dxa"/>
            <w:tcBorders>
              <w:left w:val="single" w:sz="4" w:space="0" w:color="auto"/>
            </w:tcBorders>
          </w:tcPr>
          <w:p w14:paraId="679B8C5E" w14:textId="77777777" w:rsidR="003B037A" w:rsidRPr="0007367D" w:rsidRDefault="003B037A">
            <w:pPr>
              <w:pStyle w:val="BodyText2"/>
              <w:rPr>
                <w:rFonts w:asciiTheme="minorHAnsi" w:hAnsiTheme="minorHAnsi" w:cstheme="minorHAnsi"/>
                <w:b/>
                <w:sz w:val="22"/>
              </w:rPr>
            </w:pPr>
            <w:r w:rsidRPr="0007367D">
              <w:rPr>
                <w:rFonts w:asciiTheme="minorHAnsi" w:hAnsiTheme="minorHAnsi" w:cstheme="minorHAnsi"/>
                <w:b/>
                <w:sz w:val="22"/>
              </w:rPr>
              <w:t>Key Indicators of outcome (1-4 per outcome)</w:t>
            </w:r>
          </w:p>
        </w:tc>
        <w:tc>
          <w:tcPr>
            <w:tcW w:w="5490" w:type="dxa"/>
          </w:tcPr>
          <w:p w14:paraId="5564E935" w14:textId="77777777" w:rsidR="003B037A" w:rsidRPr="0007367D" w:rsidRDefault="003B037A">
            <w:pPr>
              <w:pStyle w:val="BodyText2"/>
              <w:rPr>
                <w:rFonts w:asciiTheme="minorHAnsi" w:hAnsiTheme="minorHAnsi" w:cstheme="minorHAnsi"/>
                <w:b/>
                <w:sz w:val="22"/>
              </w:rPr>
            </w:pPr>
            <w:r w:rsidRPr="0007367D">
              <w:rPr>
                <w:rFonts w:asciiTheme="minorHAnsi" w:hAnsiTheme="minorHAnsi" w:cstheme="minorHAnsi"/>
                <w:b/>
                <w:sz w:val="22"/>
              </w:rPr>
              <w:t>Progress made against key indicators</w:t>
            </w:r>
          </w:p>
        </w:tc>
      </w:tr>
      <w:tr w:rsidR="0092677D" w:rsidRPr="00DC7354" w14:paraId="50DE5B64" w14:textId="77777777" w:rsidTr="00540C42">
        <w:tc>
          <w:tcPr>
            <w:tcW w:w="3150" w:type="dxa"/>
            <w:gridSpan w:val="2"/>
            <w:tcBorders>
              <w:bottom w:val="single" w:sz="4" w:space="0" w:color="auto"/>
            </w:tcBorders>
            <w:shd w:val="clear" w:color="auto" w:fill="95B3D7" w:themeFill="accent1" w:themeFillTint="99"/>
          </w:tcPr>
          <w:p w14:paraId="6E9AD0E0" w14:textId="77777777" w:rsidR="0092677D" w:rsidRPr="0007367D" w:rsidRDefault="007A218E" w:rsidP="000C4457">
            <w:pPr>
              <w:pStyle w:val="BodyText2"/>
              <w:rPr>
                <w:rFonts w:asciiTheme="minorHAnsi" w:hAnsiTheme="minorHAnsi" w:cstheme="minorHAnsi"/>
                <w:b/>
              </w:rPr>
            </w:pPr>
            <w:r w:rsidRPr="0007367D">
              <w:rPr>
                <w:rFonts w:asciiTheme="minorHAnsi" w:hAnsiTheme="minorHAnsi" w:cstheme="minorHAnsi"/>
                <w:sz w:val="24"/>
              </w:rPr>
              <w:t>National and sectoral planning, monitoring and evaluation and macroeconomic management processes are supported, strengthened and focused on reducing extreme poverty, vulnerability and achieving the MDGs</w:t>
            </w:r>
          </w:p>
        </w:tc>
        <w:tc>
          <w:tcPr>
            <w:tcW w:w="1647" w:type="dxa"/>
            <w:tcBorders>
              <w:bottom w:val="single" w:sz="4" w:space="0" w:color="auto"/>
            </w:tcBorders>
            <w:shd w:val="clear" w:color="auto" w:fill="auto"/>
          </w:tcPr>
          <w:p w14:paraId="444C0E9F" w14:textId="77777777" w:rsidR="0092677D" w:rsidRPr="0007367D" w:rsidRDefault="00540C42">
            <w:pPr>
              <w:pStyle w:val="BodyText2"/>
              <w:rPr>
                <w:rFonts w:asciiTheme="minorHAnsi" w:hAnsiTheme="minorHAnsi" w:cstheme="minorHAnsi"/>
              </w:rPr>
            </w:pPr>
            <w:r w:rsidRPr="0007367D">
              <w:rPr>
                <w:rFonts w:asciiTheme="minorHAnsi" w:hAnsiTheme="minorHAnsi" w:cstheme="minorHAnsi"/>
              </w:rPr>
              <w:t>17.2 million</w:t>
            </w:r>
          </w:p>
        </w:tc>
        <w:tc>
          <w:tcPr>
            <w:tcW w:w="3753" w:type="dxa"/>
            <w:tcBorders>
              <w:left w:val="single" w:sz="4" w:space="0" w:color="auto"/>
              <w:bottom w:val="single" w:sz="4" w:space="0" w:color="auto"/>
            </w:tcBorders>
          </w:tcPr>
          <w:p w14:paraId="34D9BD4F" w14:textId="77777777" w:rsidR="00C20B57" w:rsidRPr="0007367D" w:rsidRDefault="00C20B57" w:rsidP="005622FF">
            <w:pPr>
              <w:pStyle w:val="BodyText2"/>
              <w:numPr>
                <w:ilvl w:val="0"/>
                <w:numId w:val="19"/>
              </w:numPr>
              <w:ind w:left="360"/>
              <w:rPr>
                <w:rFonts w:asciiTheme="minorHAnsi" w:hAnsiTheme="minorHAnsi" w:cstheme="minorHAnsi"/>
              </w:rPr>
            </w:pPr>
            <w:r w:rsidRPr="0007367D">
              <w:rPr>
                <w:rFonts w:asciiTheme="minorHAnsi" w:hAnsiTheme="minorHAnsi" w:cstheme="minorHAnsi"/>
              </w:rPr>
              <w:t>Poverty Strategy available</w:t>
            </w:r>
          </w:p>
          <w:p w14:paraId="2040477C" w14:textId="77777777" w:rsidR="002F570E" w:rsidRPr="0007367D" w:rsidRDefault="002F570E" w:rsidP="005622FF">
            <w:pPr>
              <w:pStyle w:val="BodyText2"/>
              <w:numPr>
                <w:ilvl w:val="0"/>
                <w:numId w:val="19"/>
              </w:numPr>
              <w:ind w:left="360"/>
              <w:rPr>
                <w:rFonts w:asciiTheme="minorHAnsi" w:hAnsiTheme="minorHAnsi" w:cstheme="minorHAnsi"/>
              </w:rPr>
            </w:pPr>
            <w:r w:rsidRPr="0007367D">
              <w:rPr>
                <w:rFonts w:asciiTheme="minorHAnsi" w:hAnsiTheme="minorHAnsi" w:cstheme="minorHAnsi"/>
              </w:rPr>
              <w:t>Socio-economic survey results available</w:t>
            </w:r>
          </w:p>
          <w:p w14:paraId="5D0313F9" w14:textId="77777777" w:rsidR="002F570E" w:rsidRPr="0007367D" w:rsidRDefault="0041368D" w:rsidP="005622FF">
            <w:pPr>
              <w:pStyle w:val="BodyText2"/>
              <w:numPr>
                <w:ilvl w:val="0"/>
                <w:numId w:val="19"/>
              </w:numPr>
              <w:ind w:left="360"/>
              <w:rPr>
                <w:rFonts w:asciiTheme="minorHAnsi" w:hAnsiTheme="minorHAnsi" w:cstheme="minorHAnsi"/>
              </w:rPr>
            </w:pPr>
            <w:r w:rsidRPr="0007367D">
              <w:rPr>
                <w:rFonts w:asciiTheme="minorHAnsi" w:hAnsiTheme="minorHAnsi" w:cstheme="minorHAnsi"/>
              </w:rPr>
              <w:t>415</w:t>
            </w:r>
            <w:r w:rsidR="002F570E" w:rsidRPr="0007367D">
              <w:rPr>
                <w:rFonts w:asciiTheme="minorHAnsi" w:hAnsiTheme="minorHAnsi" w:cstheme="minorHAnsi"/>
              </w:rPr>
              <w:t xml:space="preserve"> of cases TB notification</w:t>
            </w:r>
          </w:p>
          <w:p w14:paraId="5A220C93" w14:textId="77777777" w:rsidR="002F570E" w:rsidRPr="0007367D" w:rsidRDefault="0041368D" w:rsidP="005622FF">
            <w:pPr>
              <w:pStyle w:val="BodyText2"/>
              <w:numPr>
                <w:ilvl w:val="0"/>
                <w:numId w:val="19"/>
              </w:numPr>
              <w:ind w:left="360"/>
              <w:rPr>
                <w:rFonts w:asciiTheme="minorHAnsi" w:hAnsiTheme="minorHAnsi" w:cstheme="minorHAnsi"/>
              </w:rPr>
            </w:pPr>
            <w:r w:rsidRPr="0007367D">
              <w:rPr>
                <w:rFonts w:asciiTheme="minorHAnsi" w:hAnsiTheme="minorHAnsi" w:cstheme="minorHAnsi"/>
              </w:rPr>
              <w:t xml:space="preserve">80% </w:t>
            </w:r>
            <w:r w:rsidR="0007367D">
              <w:rPr>
                <w:rFonts w:asciiTheme="minorHAnsi" w:hAnsiTheme="minorHAnsi" w:cstheme="minorHAnsi"/>
              </w:rPr>
              <w:t xml:space="preserve">  Success T</w:t>
            </w:r>
            <w:r w:rsidR="002F570E" w:rsidRPr="0007367D">
              <w:rPr>
                <w:rFonts w:asciiTheme="minorHAnsi" w:hAnsiTheme="minorHAnsi" w:cstheme="minorHAnsi"/>
              </w:rPr>
              <w:t>B Treatment</w:t>
            </w:r>
          </w:p>
          <w:p w14:paraId="67494A6D" w14:textId="77777777" w:rsidR="002F570E" w:rsidRPr="0007367D" w:rsidRDefault="0041368D" w:rsidP="005622FF">
            <w:pPr>
              <w:pStyle w:val="BodyText2"/>
              <w:numPr>
                <w:ilvl w:val="0"/>
                <w:numId w:val="19"/>
              </w:numPr>
              <w:ind w:left="360"/>
              <w:rPr>
                <w:rFonts w:asciiTheme="minorHAnsi" w:hAnsiTheme="minorHAnsi" w:cstheme="minorHAnsi"/>
              </w:rPr>
            </w:pPr>
            <w:r w:rsidRPr="0007367D">
              <w:rPr>
                <w:rFonts w:asciiTheme="minorHAnsi" w:hAnsiTheme="minorHAnsi" w:cstheme="minorHAnsi"/>
              </w:rPr>
              <w:t xml:space="preserve">85% </w:t>
            </w:r>
            <w:r w:rsidR="002F570E" w:rsidRPr="0007367D">
              <w:rPr>
                <w:rFonts w:asciiTheme="minorHAnsi" w:hAnsiTheme="minorHAnsi" w:cstheme="minorHAnsi"/>
              </w:rPr>
              <w:t>of adults and children with HIV who are on treatment 12 months after beginning antiretroviral therapy (antiretroviral therapy)</w:t>
            </w:r>
          </w:p>
          <w:p w14:paraId="01B92E70" w14:textId="77777777" w:rsidR="002F570E" w:rsidRPr="0007367D" w:rsidRDefault="00615F1F" w:rsidP="005622FF">
            <w:pPr>
              <w:pStyle w:val="BodyText2"/>
              <w:numPr>
                <w:ilvl w:val="0"/>
                <w:numId w:val="19"/>
              </w:numPr>
              <w:ind w:left="360"/>
              <w:rPr>
                <w:rFonts w:asciiTheme="minorHAnsi" w:hAnsiTheme="minorHAnsi" w:cstheme="minorHAnsi"/>
              </w:rPr>
            </w:pPr>
            <w:r w:rsidRPr="0007367D">
              <w:rPr>
                <w:rFonts w:asciiTheme="minorHAnsi" w:hAnsiTheme="minorHAnsi" w:cstheme="minorHAnsi"/>
              </w:rPr>
              <w:t xml:space="preserve">10 </w:t>
            </w:r>
            <w:r w:rsidR="002F570E" w:rsidRPr="0007367D">
              <w:rPr>
                <w:rFonts w:asciiTheme="minorHAnsi" w:hAnsiTheme="minorHAnsi" w:cstheme="minorHAnsi"/>
              </w:rPr>
              <w:t>Malaria cases confirmed (by microscopy or rapid screening test) per 1000 inhabitants per year</w:t>
            </w:r>
          </w:p>
          <w:p w14:paraId="38373550" w14:textId="77777777" w:rsidR="002F570E" w:rsidRPr="0007367D" w:rsidRDefault="002F570E" w:rsidP="005622FF">
            <w:pPr>
              <w:pStyle w:val="BodyText2"/>
              <w:rPr>
                <w:rFonts w:asciiTheme="minorHAnsi" w:hAnsiTheme="minorHAnsi" w:cstheme="minorHAnsi"/>
              </w:rPr>
            </w:pPr>
          </w:p>
          <w:p w14:paraId="39050180" w14:textId="77777777" w:rsidR="002F570E" w:rsidRPr="0007367D" w:rsidRDefault="002F570E" w:rsidP="00C20B57">
            <w:pPr>
              <w:pStyle w:val="BodyText2"/>
              <w:rPr>
                <w:rFonts w:asciiTheme="minorHAnsi" w:hAnsiTheme="minorHAnsi" w:cstheme="minorHAnsi"/>
              </w:rPr>
            </w:pPr>
          </w:p>
        </w:tc>
        <w:tc>
          <w:tcPr>
            <w:tcW w:w="5490" w:type="dxa"/>
            <w:tcBorders>
              <w:bottom w:val="single" w:sz="4" w:space="0" w:color="auto"/>
            </w:tcBorders>
            <w:shd w:val="clear" w:color="auto" w:fill="auto"/>
          </w:tcPr>
          <w:p w14:paraId="10176844" w14:textId="77777777" w:rsidR="0092677D" w:rsidRPr="0007367D" w:rsidRDefault="0041368D" w:rsidP="0099584A">
            <w:pPr>
              <w:pStyle w:val="BodyText2"/>
              <w:numPr>
                <w:ilvl w:val="0"/>
                <w:numId w:val="19"/>
              </w:numPr>
              <w:ind w:left="360"/>
              <w:rPr>
                <w:rFonts w:asciiTheme="minorHAnsi" w:hAnsiTheme="minorHAnsi" w:cstheme="minorHAnsi"/>
              </w:rPr>
            </w:pPr>
            <w:r w:rsidRPr="0007367D">
              <w:rPr>
                <w:rFonts w:asciiTheme="minorHAnsi" w:hAnsiTheme="minorHAnsi" w:cstheme="minorHAnsi"/>
              </w:rPr>
              <w:t xml:space="preserve">Strategy for </w:t>
            </w:r>
            <w:r w:rsidR="00615F1F" w:rsidRPr="0007367D">
              <w:rPr>
                <w:rFonts w:asciiTheme="minorHAnsi" w:hAnsiTheme="minorHAnsi" w:cstheme="minorHAnsi"/>
              </w:rPr>
              <w:t>Poverty</w:t>
            </w:r>
            <w:r w:rsidRPr="0007367D">
              <w:rPr>
                <w:rFonts w:asciiTheme="minorHAnsi" w:hAnsiTheme="minorHAnsi" w:cstheme="minorHAnsi"/>
              </w:rPr>
              <w:t xml:space="preserve"> Reduction available and adopted</w:t>
            </w:r>
          </w:p>
          <w:p w14:paraId="6D07A73B" w14:textId="77777777" w:rsidR="0041368D" w:rsidRPr="0007367D" w:rsidRDefault="0041368D" w:rsidP="0099584A">
            <w:pPr>
              <w:pStyle w:val="BodyText2"/>
              <w:numPr>
                <w:ilvl w:val="0"/>
                <w:numId w:val="19"/>
              </w:numPr>
              <w:ind w:left="360"/>
              <w:rPr>
                <w:rFonts w:asciiTheme="minorHAnsi" w:hAnsiTheme="minorHAnsi" w:cstheme="minorHAnsi"/>
              </w:rPr>
            </w:pPr>
            <w:r w:rsidRPr="0007367D">
              <w:rPr>
                <w:rFonts w:asciiTheme="minorHAnsi" w:hAnsiTheme="minorHAnsi" w:cstheme="minorHAnsi"/>
              </w:rPr>
              <w:t>Survey resul</w:t>
            </w:r>
            <w:r w:rsidR="00615F1F" w:rsidRPr="0007367D">
              <w:rPr>
                <w:rFonts w:asciiTheme="minorHAnsi" w:hAnsiTheme="minorHAnsi" w:cstheme="minorHAnsi"/>
              </w:rPr>
              <w:t>ts</w:t>
            </w:r>
            <w:r w:rsidRPr="0007367D">
              <w:rPr>
                <w:rFonts w:asciiTheme="minorHAnsi" w:hAnsiTheme="minorHAnsi" w:cstheme="minorHAnsi"/>
              </w:rPr>
              <w:t xml:space="preserve"> </w:t>
            </w:r>
            <w:r w:rsidR="00615F1F" w:rsidRPr="0007367D">
              <w:rPr>
                <w:rFonts w:asciiTheme="minorHAnsi" w:hAnsiTheme="minorHAnsi" w:cstheme="minorHAnsi"/>
              </w:rPr>
              <w:t>available</w:t>
            </w:r>
            <w:r w:rsidRPr="0007367D">
              <w:rPr>
                <w:rFonts w:asciiTheme="minorHAnsi" w:hAnsiTheme="minorHAnsi" w:cstheme="minorHAnsi"/>
              </w:rPr>
              <w:t xml:space="preserve"> and validated</w:t>
            </w:r>
          </w:p>
          <w:p w14:paraId="59A77AEB" w14:textId="77777777" w:rsidR="0041368D" w:rsidRPr="0007367D" w:rsidRDefault="0007367D" w:rsidP="0099584A">
            <w:pPr>
              <w:pStyle w:val="BodyText2"/>
              <w:numPr>
                <w:ilvl w:val="0"/>
                <w:numId w:val="19"/>
              </w:numPr>
              <w:ind w:left="360"/>
              <w:rPr>
                <w:rFonts w:asciiTheme="minorHAnsi" w:hAnsiTheme="minorHAnsi" w:cstheme="minorHAnsi"/>
              </w:rPr>
            </w:pPr>
            <w:r>
              <w:rPr>
                <w:rFonts w:asciiTheme="minorHAnsi" w:hAnsiTheme="minorHAnsi" w:cstheme="minorHAnsi"/>
              </w:rPr>
              <w:t>1202 cases of TB notification</w:t>
            </w:r>
          </w:p>
          <w:p w14:paraId="09236636" w14:textId="77777777" w:rsidR="0041368D" w:rsidRPr="0007367D" w:rsidRDefault="0007367D" w:rsidP="0099584A">
            <w:pPr>
              <w:pStyle w:val="BodyText2"/>
              <w:numPr>
                <w:ilvl w:val="0"/>
                <w:numId w:val="19"/>
              </w:numPr>
              <w:ind w:left="360"/>
              <w:rPr>
                <w:rFonts w:asciiTheme="minorHAnsi" w:hAnsiTheme="minorHAnsi" w:cstheme="minorHAnsi"/>
              </w:rPr>
            </w:pPr>
            <w:r>
              <w:rPr>
                <w:rFonts w:asciiTheme="minorHAnsi" w:hAnsiTheme="minorHAnsi" w:cstheme="minorHAnsi"/>
              </w:rPr>
              <w:t>86% of Success T</w:t>
            </w:r>
            <w:r w:rsidR="0041368D" w:rsidRPr="0007367D">
              <w:rPr>
                <w:rFonts w:asciiTheme="minorHAnsi" w:hAnsiTheme="minorHAnsi" w:cstheme="minorHAnsi"/>
              </w:rPr>
              <w:t>B Treatment</w:t>
            </w:r>
          </w:p>
          <w:p w14:paraId="2E14DB1E" w14:textId="77777777" w:rsidR="00615F1F" w:rsidRPr="0007367D" w:rsidRDefault="0041368D" w:rsidP="0099584A">
            <w:pPr>
              <w:pStyle w:val="BodyText2"/>
              <w:numPr>
                <w:ilvl w:val="0"/>
                <w:numId w:val="19"/>
              </w:numPr>
              <w:ind w:left="360"/>
              <w:rPr>
                <w:rFonts w:asciiTheme="minorHAnsi" w:hAnsiTheme="minorHAnsi" w:cstheme="minorHAnsi"/>
              </w:rPr>
            </w:pPr>
            <w:r w:rsidRPr="0007367D">
              <w:rPr>
                <w:rFonts w:asciiTheme="minorHAnsi" w:hAnsiTheme="minorHAnsi" w:cstheme="minorHAnsi"/>
              </w:rPr>
              <w:t>86% of adults and children with HIV</w:t>
            </w:r>
          </w:p>
          <w:p w14:paraId="7ACEE3C3" w14:textId="77777777" w:rsidR="00615F1F" w:rsidRPr="0007367D" w:rsidRDefault="004A3D73" w:rsidP="0099584A">
            <w:pPr>
              <w:pStyle w:val="BodyText2"/>
              <w:numPr>
                <w:ilvl w:val="0"/>
                <w:numId w:val="19"/>
              </w:numPr>
              <w:ind w:left="360"/>
              <w:rPr>
                <w:rFonts w:asciiTheme="minorHAnsi" w:hAnsiTheme="minorHAnsi" w:cstheme="minorHAnsi"/>
              </w:rPr>
            </w:pPr>
            <w:r w:rsidRPr="0007367D">
              <w:rPr>
                <w:rFonts w:asciiTheme="minorHAnsi" w:hAnsiTheme="minorHAnsi" w:cstheme="minorHAnsi"/>
              </w:rPr>
              <w:t>SGD sensitization and road map</w:t>
            </w:r>
          </w:p>
          <w:p w14:paraId="6E04AE8B" w14:textId="77777777" w:rsidR="0041368D" w:rsidRPr="0007367D" w:rsidRDefault="0041368D" w:rsidP="0099584A">
            <w:pPr>
              <w:pStyle w:val="BodyText2"/>
              <w:ind w:left="360"/>
              <w:rPr>
                <w:rFonts w:asciiTheme="minorHAnsi" w:hAnsiTheme="minorHAnsi" w:cstheme="minorHAnsi"/>
              </w:rPr>
            </w:pPr>
          </w:p>
          <w:p w14:paraId="44A8EA54" w14:textId="77777777" w:rsidR="0041368D" w:rsidRPr="0007367D" w:rsidRDefault="0041368D" w:rsidP="002F570E">
            <w:pPr>
              <w:pStyle w:val="BodyText2"/>
              <w:rPr>
                <w:rFonts w:asciiTheme="minorHAnsi" w:hAnsiTheme="minorHAnsi" w:cstheme="minorHAnsi"/>
                <w:i/>
              </w:rPr>
            </w:pPr>
          </w:p>
          <w:p w14:paraId="1F327EA5" w14:textId="77777777" w:rsidR="0041368D" w:rsidRPr="0007367D" w:rsidRDefault="0041368D" w:rsidP="002F570E">
            <w:pPr>
              <w:pStyle w:val="BodyText2"/>
              <w:rPr>
                <w:rFonts w:asciiTheme="minorHAnsi" w:hAnsiTheme="minorHAnsi" w:cstheme="minorHAnsi"/>
                <w:i/>
              </w:rPr>
            </w:pPr>
          </w:p>
          <w:p w14:paraId="6F314985" w14:textId="77777777" w:rsidR="0041368D" w:rsidRPr="0007367D" w:rsidRDefault="0041368D" w:rsidP="002F570E">
            <w:pPr>
              <w:pStyle w:val="BodyText2"/>
              <w:rPr>
                <w:rFonts w:asciiTheme="minorHAnsi" w:hAnsiTheme="minorHAnsi" w:cstheme="minorHAnsi"/>
                <w:i/>
              </w:rPr>
            </w:pPr>
          </w:p>
        </w:tc>
      </w:tr>
      <w:tr w:rsidR="0092677D" w:rsidRPr="00DC7354" w14:paraId="328868A3" w14:textId="77777777" w:rsidTr="0092677D">
        <w:tc>
          <w:tcPr>
            <w:tcW w:w="14040" w:type="dxa"/>
            <w:gridSpan w:val="5"/>
            <w:tcBorders>
              <w:bottom w:val="single" w:sz="4" w:space="0" w:color="auto"/>
            </w:tcBorders>
            <w:shd w:val="clear" w:color="auto" w:fill="auto"/>
          </w:tcPr>
          <w:p w14:paraId="7D64F0B4" w14:textId="77777777" w:rsidR="0092677D" w:rsidRDefault="0092677D" w:rsidP="0092677D">
            <w:pPr>
              <w:pStyle w:val="BodyText2"/>
              <w:rPr>
                <w:rFonts w:asciiTheme="minorHAnsi" w:hAnsiTheme="minorHAnsi"/>
              </w:rPr>
            </w:pPr>
          </w:p>
          <w:p w14:paraId="24732061" w14:textId="77777777" w:rsidR="004F2567" w:rsidRPr="00837C4B" w:rsidRDefault="004F2567" w:rsidP="004F2567">
            <w:pPr>
              <w:pStyle w:val="BodyText2"/>
              <w:rPr>
                <w:rFonts w:asciiTheme="minorHAnsi" w:hAnsiTheme="minorHAnsi"/>
                <w:b/>
              </w:rPr>
            </w:pPr>
            <w:r w:rsidRPr="00837C4B">
              <w:rPr>
                <w:rFonts w:asciiTheme="minorHAnsi" w:hAnsiTheme="minorHAnsi"/>
                <w:b/>
              </w:rPr>
              <w:t>UNDP Contribution:</w:t>
            </w:r>
          </w:p>
          <w:p w14:paraId="6FADEDCC" w14:textId="77777777" w:rsidR="004F2567" w:rsidRDefault="004F2567" w:rsidP="004F2567">
            <w:pPr>
              <w:pStyle w:val="BodyText2"/>
              <w:rPr>
                <w:rFonts w:asciiTheme="minorHAnsi" w:hAnsiTheme="minorHAnsi"/>
              </w:rPr>
            </w:pPr>
          </w:p>
          <w:p w14:paraId="7E888CAA" w14:textId="77777777" w:rsidR="004F2567" w:rsidRPr="00845340" w:rsidRDefault="004F2567" w:rsidP="004F2567">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578942C7" w14:textId="77777777" w:rsidR="004F2567" w:rsidRPr="009B76A1" w:rsidRDefault="004F2567" w:rsidP="004F2567">
            <w:pPr>
              <w:pStyle w:val="BodyText2"/>
              <w:rPr>
                <w:rFonts w:asciiTheme="minorHAnsi" w:hAnsiTheme="minorHAnsi"/>
                <w:i/>
              </w:rPr>
            </w:pPr>
            <w:r w:rsidRPr="009B76A1">
              <w:rPr>
                <w:rFonts w:asciiTheme="minorHAnsi" w:hAnsiTheme="minorHAnsi"/>
                <w:i/>
              </w:rPr>
              <w:t>The UNDP CP identified three major outputs to support the Government in achieving this outcome: (</w:t>
            </w:r>
            <w:r w:rsidR="004A3D73" w:rsidRPr="009B76A1">
              <w:rPr>
                <w:rFonts w:asciiTheme="minorHAnsi" w:hAnsiTheme="minorHAnsi"/>
                <w:i/>
              </w:rPr>
              <w:t xml:space="preserve">a) </w:t>
            </w:r>
            <w:r w:rsidR="004A3D73">
              <w:rPr>
                <w:rFonts w:asciiTheme="minorHAnsi" w:hAnsiTheme="minorHAnsi"/>
                <w:i/>
              </w:rPr>
              <w:t xml:space="preserve">Strengthening health systems to </w:t>
            </w:r>
            <w:r w:rsidR="0007367D">
              <w:rPr>
                <w:rFonts w:asciiTheme="minorHAnsi" w:hAnsiTheme="minorHAnsi"/>
                <w:i/>
              </w:rPr>
              <w:t>facilitate access</w:t>
            </w:r>
            <w:r w:rsidR="004A3D73">
              <w:rPr>
                <w:rFonts w:asciiTheme="minorHAnsi" w:hAnsiTheme="minorHAnsi"/>
                <w:i/>
              </w:rPr>
              <w:t xml:space="preserve"> and treatment HIV/AID, Tuberculosis and </w:t>
            </w:r>
            <w:r w:rsidR="0007367D">
              <w:rPr>
                <w:rFonts w:asciiTheme="minorHAnsi" w:hAnsiTheme="minorHAnsi"/>
                <w:i/>
              </w:rPr>
              <w:t xml:space="preserve">Malaria, </w:t>
            </w:r>
            <w:r w:rsidR="0007367D" w:rsidRPr="009B76A1">
              <w:rPr>
                <w:rFonts w:asciiTheme="minorHAnsi" w:hAnsiTheme="minorHAnsi"/>
                <w:i/>
              </w:rPr>
              <w:t>(</w:t>
            </w:r>
            <w:r w:rsidRPr="009B76A1">
              <w:rPr>
                <w:rFonts w:asciiTheme="minorHAnsi" w:hAnsiTheme="minorHAnsi"/>
                <w:i/>
              </w:rPr>
              <w:t xml:space="preserve">b) </w:t>
            </w:r>
            <w:r w:rsidR="004A3D73">
              <w:rPr>
                <w:rFonts w:asciiTheme="minorHAnsi" w:hAnsiTheme="minorHAnsi"/>
                <w:i/>
              </w:rPr>
              <w:t xml:space="preserve">supporting planning process to formulate the poverty reduction strategy and statistical data </w:t>
            </w:r>
            <w:r w:rsidR="0007367D">
              <w:rPr>
                <w:rFonts w:asciiTheme="minorHAnsi" w:hAnsiTheme="minorHAnsi"/>
                <w:i/>
              </w:rPr>
              <w:t xml:space="preserve">analysis </w:t>
            </w:r>
            <w:r w:rsidR="00906595">
              <w:rPr>
                <w:rFonts w:asciiTheme="minorHAnsi" w:hAnsiTheme="minorHAnsi"/>
                <w:i/>
              </w:rPr>
              <w:t>and setting</w:t>
            </w:r>
            <w:r w:rsidR="004A3D73">
              <w:rPr>
                <w:rFonts w:asciiTheme="minorHAnsi" w:hAnsiTheme="minorHAnsi"/>
                <w:i/>
              </w:rPr>
              <w:t xml:space="preserve"> up coordination mechanism</w:t>
            </w:r>
            <w:r w:rsidRPr="009B76A1">
              <w:rPr>
                <w:rFonts w:asciiTheme="minorHAnsi" w:hAnsiTheme="minorHAnsi"/>
                <w:i/>
              </w:rPr>
              <w:t xml:space="preserve"> and (c</w:t>
            </w:r>
            <w:r w:rsidR="00906595" w:rsidRPr="009B76A1">
              <w:rPr>
                <w:rFonts w:asciiTheme="minorHAnsi" w:hAnsiTheme="minorHAnsi"/>
                <w:i/>
              </w:rPr>
              <w:t xml:space="preserve">) </w:t>
            </w:r>
            <w:r w:rsidR="00906595">
              <w:rPr>
                <w:rFonts w:asciiTheme="minorHAnsi" w:hAnsiTheme="minorHAnsi"/>
                <w:i/>
              </w:rPr>
              <w:t>formulation</w:t>
            </w:r>
            <w:r w:rsidR="004A3D73">
              <w:rPr>
                <w:rFonts w:asciiTheme="minorHAnsi" w:hAnsiTheme="minorHAnsi"/>
                <w:i/>
              </w:rPr>
              <w:t xml:space="preserve"> SDG awareness raising and formulation of a road map</w:t>
            </w:r>
            <w:r w:rsidR="00E32058">
              <w:rPr>
                <w:rFonts w:asciiTheme="minorHAnsi" w:hAnsiTheme="minorHAnsi"/>
                <w:i/>
              </w:rPr>
              <w:t xml:space="preserve"> for mainstreaming and accelerating SDGs.</w:t>
            </w:r>
          </w:p>
          <w:p w14:paraId="47D3B139" w14:textId="77777777" w:rsidR="004F2567" w:rsidRDefault="004F2567" w:rsidP="004F2567">
            <w:pPr>
              <w:pStyle w:val="BodyText2"/>
              <w:rPr>
                <w:rFonts w:asciiTheme="minorHAnsi" w:hAnsiTheme="minorHAnsi"/>
              </w:rPr>
            </w:pPr>
          </w:p>
          <w:p w14:paraId="1F42A4E3" w14:textId="77777777" w:rsidR="004F2567" w:rsidRPr="00845340" w:rsidRDefault="004F2567" w:rsidP="004F2567">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5ABC4F63" w14:textId="77777777" w:rsidR="004A3D73" w:rsidRDefault="004A3D73" w:rsidP="004F2567">
            <w:pPr>
              <w:pStyle w:val="BodyText2"/>
              <w:rPr>
                <w:rFonts w:asciiTheme="minorHAnsi" w:hAnsiTheme="minorHAnsi"/>
                <w:i/>
              </w:rPr>
            </w:pPr>
            <w:r>
              <w:rPr>
                <w:rFonts w:asciiTheme="minorHAnsi" w:hAnsiTheme="minorHAnsi"/>
                <w:i/>
              </w:rPr>
              <w:t xml:space="preserve">At this </w:t>
            </w:r>
            <w:r w:rsidR="0007367D">
              <w:rPr>
                <w:rFonts w:asciiTheme="minorHAnsi" w:hAnsiTheme="minorHAnsi"/>
                <w:i/>
              </w:rPr>
              <w:t>juncture, quantifiable</w:t>
            </w:r>
            <w:r>
              <w:rPr>
                <w:rFonts w:asciiTheme="minorHAnsi" w:hAnsiTheme="minorHAnsi"/>
                <w:i/>
              </w:rPr>
              <w:t xml:space="preserve"> progress </w:t>
            </w:r>
            <w:r w:rsidR="0007367D">
              <w:rPr>
                <w:rFonts w:asciiTheme="minorHAnsi" w:hAnsiTheme="minorHAnsi"/>
                <w:i/>
              </w:rPr>
              <w:t>made are</w:t>
            </w:r>
            <w:r w:rsidR="004712FF">
              <w:rPr>
                <w:rFonts w:asciiTheme="minorHAnsi" w:hAnsiTheme="minorHAnsi"/>
                <w:i/>
              </w:rPr>
              <w:t xml:space="preserve"> </w:t>
            </w:r>
            <w:r w:rsidR="006A5860">
              <w:rPr>
                <w:rFonts w:asciiTheme="minorHAnsi" w:hAnsiTheme="minorHAnsi"/>
                <w:i/>
              </w:rPr>
              <w:t>related</w:t>
            </w:r>
            <w:r>
              <w:rPr>
                <w:rFonts w:asciiTheme="minorHAnsi" w:hAnsiTheme="minorHAnsi"/>
                <w:i/>
              </w:rPr>
              <w:t xml:space="preserve"> </w:t>
            </w:r>
            <w:r w:rsidR="0007367D">
              <w:rPr>
                <w:rFonts w:asciiTheme="minorHAnsi" w:hAnsiTheme="minorHAnsi"/>
                <w:i/>
              </w:rPr>
              <w:t>mainly to HIV/AIDS</w:t>
            </w:r>
            <w:r>
              <w:rPr>
                <w:rFonts w:asciiTheme="minorHAnsi" w:hAnsiTheme="minorHAnsi"/>
                <w:i/>
              </w:rPr>
              <w:t xml:space="preserve">, Tuberculosis and Malaria.  There are indications that processes and </w:t>
            </w:r>
            <w:r w:rsidR="006A5860">
              <w:rPr>
                <w:rFonts w:asciiTheme="minorHAnsi" w:hAnsiTheme="minorHAnsi"/>
                <w:i/>
              </w:rPr>
              <w:t>arrangements</w:t>
            </w:r>
            <w:r>
              <w:rPr>
                <w:rFonts w:asciiTheme="minorHAnsi" w:hAnsiTheme="minorHAnsi"/>
                <w:i/>
              </w:rPr>
              <w:t xml:space="preserve"> made through </w:t>
            </w:r>
            <w:r w:rsidR="006A5860">
              <w:rPr>
                <w:rFonts w:asciiTheme="minorHAnsi" w:hAnsiTheme="minorHAnsi"/>
                <w:i/>
              </w:rPr>
              <w:t>achievements</w:t>
            </w:r>
            <w:r>
              <w:rPr>
                <w:rFonts w:asciiTheme="minorHAnsi" w:hAnsiTheme="minorHAnsi"/>
                <w:i/>
              </w:rPr>
              <w:t xml:space="preserve"> of outputs are leading to </w:t>
            </w:r>
            <w:r w:rsidR="0007367D">
              <w:rPr>
                <w:rFonts w:asciiTheme="minorHAnsi" w:hAnsiTheme="minorHAnsi"/>
                <w:i/>
              </w:rPr>
              <w:t>setting an</w:t>
            </w:r>
            <w:r>
              <w:rPr>
                <w:rFonts w:asciiTheme="minorHAnsi" w:hAnsiTheme="minorHAnsi"/>
                <w:i/>
              </w:rPr>
              <w:t xml:space="preserve"> enabling </w:t>
            </w:r>
            <w:r w:rsidR="006A5860">
              <w:rPr>
                <w:rFonts w:asciiTheme="minorHAnsi" w:hAnsiTheme="minorHAnsi"/>
                <w:i/>
              </w:rPr>
              <w:t>organizational</w:t>
            </w:r>
            <w:r>
              <w:rPr>
                <w:rFonts w:asciiTheme="minorHAnsi" w:hAnsiTheme="minorHAnsi"/>
                <w:i/>
              </w:rPr>
              <w:t xml:space="preserve"> framework for planning, </w:t>
            </w:r>
            <w:r w:rsidR="006A5860">
              <w:rPr>
                <w:rFonts w:asciiTheme="minorHAnsi" w:hAnsiTheme="minorHAnsi"/>
                <w:i/>
              </w:rPr>
              <w:t>monitoring</w:t>
            </w:r>
            <w:r>
              <w:rPr>
                <w:rFonts w:asciiTheme="minorHAnsi" w:hAnsiTheme="minorHAnsi"/>
                <w:i/>
              </w:rPr>
              <w:t xml:space="preserve"> and focus on pover</w:t>
            </w:r>
            <w:r w:rsidR="006A5860">
              <w:rPr>
                <w:rFonts w:asciiTheme="minorHAnsi" w:hAnsiTheme="minorHAnsi"/>
                <w:i/>
              </w:rPr>
              <w:t>t</w:t>
            </w:r>
            <w:r>
              <w:rPr>
                <w:rFonts w:asciiTheme="minorHAnsi" w:hAnsiTheme="minorHAnsi"/>
                <w:i/>
              </w:rPr>
              <w:t>y.</w:t>
            </w:r>
            <w:r w:rsidR="006A5860">
              <w:rPr>
                <w:rFonts w:asciiTheme="minorHAnsi" w:hAnsiTheme="minorHAnsi"/>
                <w:i/>
              </w:rPr>
              <w:t xml:space="preserve">  There are also tangible signs</w:t>
            </w:r>
            <w:r w:rsidR="004712FF">
              <w:rPr>
                <w:rFonts w:asciiTheme="minorHAnsi" w:hAnsiTheme="minorHAnsi"/>
                <w:i/>
              </w:rPr>
              <w:t xml:space="preserve"> </w:t>
            </w:r>
            <w:r w:rsidR="0007367D">
              <w:rPr>
                <w:rFonts w:asciiTheme="minorHAnsi" w:hAnsiTheme="minorHAnsi"/>
                <w:i/>
              </w:rPr>
              <w:t>(meetings</w:t>
            </w:r>
            <w:r w:rsidR="004712FF">
              <w:rPr>
                <w:rFonts w:asciiTheme="minorHAnsi" w:hAnsiTheme="minorHAnsi"/>
                <w:i/>
              </w:rPr>
              <w:t>, conferences, reporting, aid information improvement)</w:t>
            </w:r>
            <w:r w:rsidR="006A5860">
              <w:rPr>
                <w:rFonts w:asciiTheme="minorHAnsi" w:hAnsiTheme="minorHAnsi"/>
                <w:i/>
              </w:rPr>
              <w:t xml:space="preserve"> that aid coordination process is well organized and that actions initiated are paving way for an enhanced national M&amp;E system</w:t>
            </w:r>
          </w:p>
          <w:p w14:paraId="053E6847" w14:textId="77777777" w:rsidR="0092677D" w:rsidRDefault="0092677D" w:rsidP="0092677D">
            <w:pPr>
              <w:pStyle w:val="BodyText2"/>
              <w:rPr>
                <w:rFonts w:asciiTheme="minorHAnsi" w:hAnsiTheme="minorHAnsi"/>
              </w:rPr>
            </w:pPr>
          </w:p>
          <w:p w14:paraId="46332111" w14:textId="77777777" w:rsidR="0092677D" w:rsidRPr="0092677D" w:rsidRDefault="0092677D" w:rsidP="0092677D">
            <w:pPr>
              <w:pStyle w:val="BodyText2"/>
              <w:rPr>
                <w:rFonts w:asciiTheme="minorHAnsi" w:hAnsiTheme="minorHAnsi"/>
              </w:rPr>
            </w:pPr>
          </w:p>
        </w:tc>
      </w:tr>
      <w:tr w:rsidR="000823AC" w:rsidRPr="00DC7354" w14:paraId="0E10D89A" w14:textId="77777777" w:rsidTr="00540C42">
        <w:tc>
          <w:tcPr>
            <w:tcW w:w="3150" w:type="dxa"/>
            <w:gridSpan w:val="2"/>
            <w:tcBorders>
              <w:bottom w:val="single" w:sz="4" w:space="0" w:color="auto"/>
            </w:tcBorders>
            <w:shd w:val="clear" w:color="auto" w:fill="95B3D7" w:themeFill="accent1" w:themeFillTint="99"/>
          </w:tcPr>
          <w:p w14:paraId="3622F86D" w14:textId="77777777" w:rsidR="007A218E" w:rsidRPr="0007367D" w:rsidRDefault="007A218E" w:rsidP="007A218E">
            <w:pPr>
              <w:rPr>
                <w:rFonts w:asciiTheme="minorHAnsi" w:hAnsiTheme="minorHAnsi" w:cstheme="minorHAnsi"/>
              </w:rPr>
            </w:pPr>
            <w:r w:rsidRPr="0007367D">
              <w:rPr>
                <w:rFonts w:asciiTheme="minorHAnsi" w:hAnsiTheme="minorHAnsi" w:cstheme="minorHAnsi"/>
              </w:rPr>
              <w:lastRenderedPageBreak/>
              <w:t>Opportunities for economic development and job creation at national and local levels are being expanded.</w:t>
            </w:r>
          </w:p>
          <w:p w14:paraId="76A144D0" w14:textId="77777777" w:rsidR="003B037A" w:rsidRPr="000823AC" w:rsidRDefault="003B037A" w:rsidP="000C4457">
            <w:pPr>
              <w:pStyle w:val="BodyText2"/>
              <w:rPr>
                <w:rFonts w:asciiTheme="minorHAnsi" w:hAnsiTheme="minorHAnsi"/>
                <w:b/>
              </w:rPr>
            </w:pPr>
          </w:p>
        </w:tc>
        <w:tc>
          <w:tcPr>
            <w:tcW w:w="1647" w:type="dxa"/>
            <w:tcBorders>
              <w:bottom w:val="single" w:sz="4" w:space="0" w:color="auto"/>
            </w:tcBorders>
            <w:shd w:val="clear" w:color="auto" w:fill="auto"/>
          </w:tcPr>
          <w:p w14:paraId="23D9C9E3" w14:textId="77777777" w:rsidR="003B037A" w:rsidRPr="00DC7354" w:rsidRDefault="00540C42">
            <w:pPr>
              <w:pStyle w:val="BodyText2"/>
              <w:rPr>
                <w:rFonts w:asciiTheme="minorHAnsi" w:hAnsiTheme="minorHAnsi"/>
              </w:rPr>
            </w:pPr>
            <w:r>
              <w:rPr>
                <w:rFonts w:asciiTheme="minorHAnsi" w:hAnsiTheme="minorHAnsi"/>
              </w:rPr>
              <w:t>2 million</w:t>
            </w:r>
          </w:p>
        </w:tc>
        <w:tc>
          <w:tcPr>
            <w:tcW w:w="3753" w:type="dxa"/>
            <w:tcBorders>
              <w:left w:val="single" w:sz="4" w:space="0" w:color="auto"/>
              <w:bottom w:val="single" w:sz="4" w:space="0" w:color="auto"/>
            </w:tcBorders>
          </w:tcPr>
          <w:p w14:paraId="7522D9B6" w14:textId="77777777" w:rsidR="003B037A" w:rsidRDefault="00BD28A3" w:rsidP="005622FF">
            <w:pPr>
              <w:pStyle w:val="BodyText2"/>
              <w:numPr>
                <w:ilvl w:val="0"/>
                <w:numId w:val="19"/>
              </w:numPr>
              <w:ind w:left="360"/>
              <w:rPr>
                <w:rFonts w:asciiTheme="minorHAnsi" w:hAnsiTheme="minorHAnsi"/>
              </w:rPr>
            </w:pPr>
            <w:r w:rsidRPr="00BD28A3">
              <w:rPr>
                <w:rFonts w:asciiTheme="minorHAnsi" w:hAnsiTheme="minorHAnsi"/>
              </w:rPr>
              <w:t>Unemployment has improved, jobs have been created</w:t>
            </w:r>
          </w:p>
          <w:p w14:paraId="5507098F" w14:textId="77777777" w:rsidR="00BD28A3" w:rsidRPr="00BD28A3" w:rsidRDefault="00BD28A3" w:rsidP="005622FF">
            <w:pPr>
              <w:pStyle w:val="BodyText2"/>
              <w:numPr>
                <w:ilvl w:val="0"/>
                <w:numId w:val="19"/>
              </w:numPr>
              <w:ind w:left="360"/>
              <w:rPr>
                <w:rFonts w:asciiTheme="minorHAnsi" w:hAnsiTheme="minorHAnsi"/>
              </w:rPr>
            </w:pPr>
            <w:r w:rsidRPr="00BD28A3">
              <w:rPr>
                <w:rFonts w:asciiTheme="minorHAnsi" w:hAnsiTheme="minorHAnsi"/>
              </w:rPr>
              <w:t>Existence of a regulatory framework (set of laws and decrees) organizing and promoting private sector development and employment</w:t>
            </w:r>
          </w:p>
        </w:tc>
        <w:tc>
          <w:tcPr>
            <w:tcW w:w="5490" w:type="dxa"/>
            <w:tcBorders>
              <w:bottom w:val="single" w:sz="4" w:space="0" w:color="auto"/>
            </w:tcBorders>
            <w:shd w:val="clear" w:color="auto" w:fill="auto"/>
          </w:tcPr>
          <w:p w14:paraId="0A06A944" w14:textId="77777777" w:rsidR="003B037A" w:rsidRPr="00DE53FC" w:rsidRDefault="00D809BA" w:rsidP="00DE53FC">
            <w:pPr>
              <w:pStyle w:val="BodyText2"/>
              <w:numPr>
                <w:ilvl w:val="0"/>
                <w:numId w:val="19"/>
              </w:numPr>
              <w:ind w:left="360"/>
              <w:rPr>
                <w:rFonts w:asciiTheme="minorHAnsi" w:hAnsiTheme="minorHAnsi"/>
              </w:rPr>
            </w:pPr>
            <w:r w:rsidRPr="00DE53FC">
              <w:rPr>
                <w:rFonts w:asciiTheme="minorHAnsi" w:hAnsiTheme="minorHAnsi"/>
              </w:rPr>
              <w:t xml:space="preserve">National strategy and action plan on </w:t>
            </w:r>
            <w:r w:rsidR="00422355" w:rsidRPr="00DE53FC">
              <w:rPr>
                <w:rFonts w:asciiTheme="minorHAnsi" w:hAnsiTheme="minorHAnsi"/>
              </w:rPr>
              <w:t>employment</w:t>
            </w:r>
            <w:r w:rsidRPr="00DE53FC">
              <w:rPr>
                <w:rFonts w:asciiTheme="minorHAnsi" w:hAnsiTheme="minorHAnsi"/>
              </w:rPr>
              <w:t xml:space="preserve"> approved and validated</w:t>
            </w:r>
          </w:p>
          <w:p w14:paraId="3C9841E9" w14:textId="77777777" w:rsidR="00422355" w:rsidRPr="00DE53FC" w:rsidRDefault="0007367D" w:rsidP="00DE53FC">
            <w:pPr>
              <w:pStyle w:val="BodyText2"/>
              <w:numPr>
                <w:ilvl w:val="0"/>
                <w:numId w:val="19"/>
              </w:numPr>
              <w:ind w:left="360"/>
              <w:rPr>
                <w:rFonts w:asciiTheme="minorHAnsi" w:hAnsiTheme="minorHAnsi"/>
              </w:rPr>
            </w:pPr>
            <w:r w:rsidRPr="00DE53FC">
              <w:rPr>
                <w:rFonts w:asciiTheme="minorHAnsi" w:hAnsiTheme="minorHAnsi"/>
              </w:rPr>
              <w:t>140 youth</w:t>
            </w:r>
            <w:r w:rsidR="00422355" w:rsidRPr="00DE53FC">
              <w:rPr>
                <w:rFonts w:asciiTheme="minorHAnsi" w:hAnsiTheme="minorHAnsi"/>
              </w:rPr>
              <w:t xml:space="preserve"> trained and 66 obtained </w:t>
            </w:r>
            <w:r w:rsidR="00A95366" w:rsidRPr="00DE53FC">
              <w:rPr>
                <w:rFonts w:asciiTheme="minorHAnsi" w:hAnsiTheme="minorHAnsi"/>
              </w:rPr>
              <w:t>employment</w:t>
            </w:r>
          </w:p>
          <w:p w14:paraId="382567EE" w14:textId="77777777" w:rsidR="00D809BA" w:rsidRPr="00920DBC" w:rsidRDefault="00A95366" w:rsidP="00DE53FC">
            <w:pPr>
              <w:pStyle w:val="BodyText2"/>
              <w:numPr>
                <w:ilvl w:val="0"/>
                <w:numId w:val="19"/>
              </w:numPr>
              <w:ind w:left="360"/>
              <w:rPr>
                <w:rFonts w:asciiTheme="minorHAnsi" w:hAnsiTheme="minorHAnsi"/>
                <w:i/>
              </w:rPr>
            </w:pPr>
            <w:r w:rsidRPr="00DE53FC">
              <w:rPr>
                <w:rFonts w:asciiTheme="minorHAnsi" w:hAnsiTheme="minorHAnsi"/>
              </w:rPr>
              <w:t>22 fishermen equipped w</w:t>
            </w:r>
            <w:r w:rsidR="000E146B">
              <w:rPr>
                <w:rFonts w:asciiTheme="minorHAnsi" w:hAnsiTheme="minorHAnsi"/>
              </w:rPr>
              <w:t xml:space="preserve">ith </w:t>
            </w:r>
            <w:r w:rsidRPr="00DE53FC">
              <w:rPr>
                <w:rFonts w:asciiTheme="minorHAnsi" w:hAnsiTheme="minorHAnsi"/>
              </w:rPr>
              <w:t xml:space="preserve"> bo</w:t>
            </w:r>
            <w:r w:rsidR="000E146B">
              <w:rPr>
                <w:rFonts w:asciiTheme="minorHAnsi" w:hAnsiTheme="minorHAnsi"/>
              </w:rPr>
              <w:t>at</w:t>
            </w:r>
            <w:r w:rsidRPr="00DE53FC">
              <w:rPr>
                <w:rFonts w:asciiTheme="minorHAnsi" w:hAnsiTheme="minorHAnsi"/>
              </w:rPr>
              <w:t>, fishing equipment</w:t>
            </w:r>
          </w:p>
        </w:tc>
      </w:tr>
      <w:tr w:rsidR="0092677D" w:rsidRPr="00DC7354" w14:paraId="1060E13A" w14:textId="77777777" w:rsidTr="007A218E">
        <w:trPr>
          <w:trHeight w:val="416"/>
        </w:trPr>
        <w:tc>
          <w:tcPr>
            <w:tcW w:w="14040" w:type="dxa"/>
            <w:gridSpan w:val="5"/>
            <w:tcBorders>
              <w:bottom w:val="single" w:sz="4" w:space="0" w:color="auto"/>
            </w:tcBorders>
            <w:shd w:val="clear" w:color="auto" w:fill="auto"/>
          </w:tcPr>
          <w:p w14:paraId="375235D5" w14:textId="77777777" w:rsidR="004F2567" w:rsidRPr="00837C4B" w:rsidRDefault="004F2567" w:rsidP="004F2567">
            <w:pPr>
              <w:pStyle w:val="BodyText2"/>
              <w:rPr>
                <w:rFonts w:asciiTheme="minorHAnsi" w:hAnsiTheme="minorHAnsi"/>
                <w:b/>
              </w:rPr>
            </w:pPr>
            <w:r w:rsidRPr="00837C4B">
              <w:rPr>
                <w:rFonts w:asciiTheme="minorHAnsi" w:hAnsiTheme="minorHAnsi"/>
                <w:b/>
              </w:rPr>
              <w:t>UNDP Contribution:</w:t>
            </w:r>
          </w:p>
          <w:p w14:paraId="67E7F475" w14:textId="77777777" w:rsidR="004F2567" w:rsidRDefault="004F2567" w:rsidP="004F2567">
            <w:pPr>
              <w:pStyle w:val="BodyText2"/>
              <w:rPr>
                <w:rFonts w:asciiTheme="minorHAnsi" w:hAnsiTheme="minorHAnsi"/>
              </w:rPr>
            </w:pPr>
          </w:p>
          <w:p w14:paraId="489A22AA" w14:textId="77777777" w:rsidR="004F2567" w:rsidRPr="00845340" w:rsidRDefault="004F2567" w:rsidP="004F2567">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5C30BEC1" w14:textId="77777777" w:rsidR="004F2567" w:rsidRDefault="00D809BA" w:rsidP="004F2567">
            <w:pPr>
              <w:pStyle w:val="BodyText2"/>
              <w:rPr>
                <w:rFonts w:asciiTheme="minorHAnsi" w:hAnsiTheme="minorHAnsi"/>
                <w:i/>
              </w:rPr>
            </w:pPr>
            <w:r>
              <w:rPr>
                <w:rFonts w:asciiTheme="minorHAnsi" w:hAnsiTheme="minorHAnsi"/>
                <w:i/>
              </w:rPr>
              <w:t xml:space="preserve">The UNDP CP identified two </w:t>
            </w:r>
            <w:r w:rsidR="004F2567" w:rsidRPr="009B76A1">
              <w:rPr>
                <w:rFonts w:asciiTheme="minorHAnsi" w:hAnsiTheme="minorHAnsi"/>
                <w:i/>
              </w:rPr>
              <w:t>major outputs to support the Government in achieving this outcome: (a)</w:t>
            </w:r>
            <w:r>
              <w:rPr>
                <w:rFonts w:asciiTheme="minorHAnsi" w:hAnsiTheme="minorHAnsi"/>
                <w:i/>
              </w:rPr>
              <w:t xml:space="preserve"> support to women </w:t>
            </w:r>
            <w:r w:rsidR="00A95366">
              <w:rPr>
                <w:rFonts w:asciiTheme="minorHAnsi" w:hAnsiTheme="minorHAnsi"/>
                <w:i/>
              </w:rPr>
              <w:t>empowering</w:t>
            </w:r>
            <w:r>
              <w:rPr>
                <w:rFonts w:asciiTheme="minorHAnsi" w:hAnsiTheme="minorHAnsi"/>
                <w:i/>
              </w:rPr>
              <w:t xml:space="preserve"> and community </w:t>
            </w:r>
            <w:r w:rsidR="00A95366">
              <w:rPr>
                <w:rFonts w:asciiTheme="minorHAnsi" w:hAnsiTheme="minorHAnsi"/>
                <w:i/>
              </w:rPr>
              <w:t>strengthening</w:t>
            </w:r>
            <w:r>
              <w:rPr>
                <w:rFonts w:asciiTheme="minorHAnsi" w:hAnsiTheme="minorHAnsi"/>
                <w:i/>
              </w:rPr>
              <w:t xml:space="preserve"> with the objective</w:t>
            </w:r>
            <w:r w:rsidR="004F2567" w:rsidRPr="009B76A1">
              <w:rPr>
                <w:rFonts w:asciiTheme="minorHAnsi" w:hAnsiTheme="minorHAnsi"/>
                <w:i/>
              </w:rPr>
              <w:t xml:space="preserve"> capacity building of th</w:t>
            </w:r>
            <w:r w:rsidR="00A95366">
              <w:rPr>
                <w:rFonts w:asciiTheme="minorHAnsi" w:hAnsiTheme="minorHAnsi"/>
                <w:i/>
              </w:rPr>
              <w:t>e</w:t>
            </w:r>
            <w:r>
              <w:rPr>
                <w:rFonts w:asciiTheme="minorHAnsi" w:hAnsiTheme="minorHAnsi"/>
                <w:i/>
              </w:rPr>
              <w:t xml:space="preserve"> Ministry of </w:t>
            </w:r>
            <w:r w:rsidR="00A95366">
              <w:rPr>
                <w:rFonts w:asciiTheme="minorHAnsi" w:hAnsiTheme="minorHAnsi"/>
                <w:i/>
              </w:rPr>
              <w:t>Women</w:t>
            </w:r>
            <w:r>
              <w:rPr>
                <w:rFonts w:asciiTheme="minorHAnsi" w:hAnsiTheme="minorHAnsi"/>
                <w:i/>
              </w:rPr>
              <w:t xml:space="preserve"> and supporting livelihood to improve </w:t>
            </w:r>
            <w:r w:rsidR="00A95366">
              <w:rPr>
                <w:rFonts w:asciiTheme="minorHAnsi" w:hAnsiTheme="minorHAnsi"/>
                <w:i/>
              </w:rPr>
              <w:t>living</w:t>
            </w:r>
            <w:r>
              <w:rPr>
                <w:rFonts w:asciiTheme="minorHAnsi" w:hAnsiTheme="minorHAnsi"/>
                <w:i/>
              </w:rPr>
              <w:t xml:space="preserve"> </w:t>
            </w:r>
            <w:r w:rsidR="00A95366">
              <w:rPr>
                <w:rFonts w:asciiTheme="minorHAnsi" w:hAnsiTheme="minorHAnsi"/>
                <w:i/>
              </w:rPr>
              <w:t>conditions</w:t>
            </w:r>
            <w:r>
              <w:rPr>
                <w:rFonts w:asciiTheme="minorHAnsi" w:hAnsiTheme="minorHAnsi"/>
                <w:i/>
              </w:rPr>
              <w:t xml:space="preserve"> of</w:t>
            </w:r>
            <w:r w:rsidR="00834DC2">
              <w:rPr>
                <w:rFonts w:asciiTheme="minorHAnsi" w:hAnsiTheme="minorHAnsi"/>
                <w:i/>
              </w:rPr>
              <w:t xml:space="preserve"> women</w:t>
            </w:r>
            <w:r w:rsidR="0007367D">
              <w:rPr>
                <w:rFonts w:asciiTheme="minorHAnsi" w:hAnsiTheme="minorHAnsi"/>
                <w:i/>
              </w:rPr>
              <w:t>,</w:t>
            </w:r>
            <w:r>
              <w:rPr>
                <w:rFonts w:asciiTheme="minorHAnsi" w:hAnsiTheme="minorHAnsi"/>
                <w:i/>
              </w:rPr>
              <w:t xml:space="preserve"> (</w:t>
            </w:r>
            <w:r w:rsidR="0007367D">
              <w:rPr>
                <w:rFonts w:asciiTheme="minorHAnsi" w:hAnsiTheme="minorHAnsi"/>
                <w:i/>
              </w:rPr>
              <w:t>b) supporting</w:t>
            </w:r>
            <w:r w:rsidR="00A95366">
              <w:rPr>
                <w:rFonts w:asciiTheme="minorHAnsi" w:hAnsiTheme="minorHAnsi"/>
                <w:i/>
              </w:rPr>
              <w:t xml:space="preserve"> youth </w:t>
            </w:r>
            <w:r>
              <w:rPr>
                <w:rFonts w:asciiTheme="minorHAnsi" w:hAnsiTheme="minorHAnsi"/>
                <w:i/>
              </w:rPr>
              <w:t xml:space="preserve">and communities by providing </w:t>
            </w:r>
            <w:r w:rsidR="00834DC2">
              <w:rPr>
                <w:rFonts w:asciiTheme="minorHAnsi" w:hAnsiTheme="minorHAnsi"/>
                <w:i/>
              </w:rPr>
              <w:t xml:space="preserve">on job </w:t>
            </w:r>
            <w:r w:rsidR="0007367D">
              <w:rPr>
                <w:rFonts w:asciiTheme="minorHAnsi" w:hAnsiTheme="minorHAnsi"/>
                <w:i/>
              </w:rPr>
              <w:t>training for</w:t>
            </w:r>
            <w:r>
              <w:rPr>
                <w:rFonts w:asciiTheme="minorHAnsi" w:hAnsiTheme="minorHAnsi"/>
                <w:i/>
              </w:rPr>
              <w:t xml:space="preserve"> an increased </w:t>
            </w:r>
            <w:r w:rsidR="00906595">
              <w:rPr>
                <w:rFonts w:asciiTheme="minorHAnsi" w:hAnsiTheme="minorHAnsi"/>
                <w:i/>
              </w:rPr>
              <w:t>job opportunity</w:t>
            </w:r>
            <w:r>
              <w:rPr>
                <w:rFonts w:asciiTheme="minorHAnsi" w:hAnsiTheme="minorHAnsi"/>
                <w:i/>
              </w:rPr>
              <w:t xml:space="preserve"> and formulation and adoption of national strategy on employment</w:t>
            </w:r>
            <w:r w:rsidR="004F2567" w:rsidRPr="009B76A1">
              <w:rPr>
                <w:rFonts w:asciiTheme="minorHAnsi" w:hAnsiTheme="minorHAnsi"/>
                <w:i/>
              </w:rPr>
              <w:t xml:space="preserve"> mechanism</w:t>
            </w:r>
          </w:p>
          <w:p w14:paraId="5512DAA3" w14:textId="77777777" w:rsidR="00834DC2" w:rsidRDefault="00834DC2" w:rsidP="004F2567">
            <w:pPr>
              <w:pStyle w:val="BodyText2"/>
              <w:rPr>
                <w:rFonts w:asciiTheme="minorHAnsi" w:hAnsiTheme="minorHAnsi"/>
              </w:rPr>
            </w:pPr>
          </w:p>
          <w:p w14:paraId="4F5A87F7" w14:textId="77777777" w:rsidR="00A95366" w:rsidRDefault="004F2567" w:rsidP="004F2567">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5F1EE605" w14:textId="77777777" w:rsidR="004C4BDE" w:rsidRDefault="00834DC2" w:rsidP="004C4BDE">
            <w:pPr>
              <w:pStyle w:val="BodyText2"/>
              <w:rPr>
                <w:rFonts w:asciiTheme="minorHAnsi" w:hAnsiTheme="minorHAnsi"/>
                <w:i/>
              </w:rPr>
            </w:pPr>
            <w:r>
              <w:rPr>
                <w:rFonts w:asciiTheme="minorHAnsi" w:hAnsiTheme="minorHAnsi"/>
                <w:i/>
              </w:rPr>
              <w:t>At this period,</w:t>
            </w:r>
            <w:r w:rsidR="00A95366">
              <w:rPr>
                <w:rFonts w:asciiTheme="minorHAnsi" w:hAnsiTheme="minorHAnsi"/>
                <w:i/>
              </w:rPr>
              <w:t>140 youth trained and 66 obtained employment.</w:t>
            </w:r>
            <w:r w:rsidR="004F2567" w:rsidRPr="00920DBC">
              <w:rPr>
                <w:rFonts w:asciiTheme="minorHAnsi" w:hAnsiTheme="minorHAnsi"/>
                <w:i/>
              </w:rPr>
              <w:t xml:space="preserve">  </w:t>
            </w:r>
            <w:r w:rsidR="00A95366">
              <w:rPr>
                <w:rFonts w:asciiTheme="minorHAnsi" w:hAnsiTheme="minorHAnsi"/>
                <w:i/>
              </w:rPr>
              <w:t xml:space="preserve">22 fishermen equipped with boat, </w:t>
            </w:r>
            <w:r w:rsidR="0007367D">
              <w:rPr>
                <w:rFonts w:asciiTheme="minorHAnsi" w:hAnsiTheme="minorHAnsi"/>
                <w:i/>
              </w:rPr>
              <w:t>fishing equipment.</w:t>
            </w:r>
            <w:r w:rsidR="00A95366">
              <w:rPr>
                <w:rFonts w:asciiTheme="minorHAnsi" w:hAnsiTheme="minorHAnsi"/>
                <w:i/>
              </w:rPr>
              <w:t xml:space="preserve">  There ye</w:t>
            </w:r>
            <w:r>
              <w:rPr>
                <w:rFonts w:asciiTheme="minorHAnsi" w:hAnsiTheme="minorHAnsi"/>
                <w:i/>
              </w:rPr>
              <w:t xml:space="preserve">t no signs that job opportunities </w:t>
            </w:r>
            <w:r w:rsidR="0007367D">
              <w:rPr>
                <w:rFonts w:asciiTheme="minorHAnsi" w:hAnsiTheme="minorHAnsi"/>
                <w:i/>
              </w:rPr>
              <w:t>have increased</w:t>
            </w:r>
            <w:r w:rsidR="00A95366">
              <w:rPr>
                <w:rFonts w:asciiTheme="minorHAnsi" w:hAnsiTheme="minorHAnsi"/>
                <w:i/>
              </w:rPr>
              <w:t>, however UNDP output project has been a very positive demonstration example that some donors are now replicating and scaling up</w:t>
            </w:r>
            <w:r>
              <w:rPr>
                <w:rFonts w:asciiTheme="minorHAnsi" w:hAnsiTheme="minorHAnsi"/>
                <w:i/>
              </w:rPr>
              <w:t xml:space="preserve">. </w:t>
            </w:r>
          </w:p>
          <w:p w14:paraId="3F6B3F1C" w14:textId="77777777" w:rsidR="0007367D" w:rsidRPr="00920DBC" w:rsidRDefault="0007367D" w:rsidP="004C4BDE">
            <w:pPr>
              <w:pStyle w:val="BodyText2"/>
              <w:rPr>
                <w:rFonts w:asciiTheme="minorHAnsi" w:hAnsiTheme="minorHAnsi"/>
                <w:i/>
              </w:rPr>
            </w:pPr>
          </w:p>
        </w:tc>
      </w:tr>
      <w:tr w:rsidR="0092677D" w:rsidRPr="00DC7354" w14:paraId="3B7CDB35" w14:textId="77777777" w:rsidTr="00540C42">
        <w:tc>
          <w:tcPr>
            <w:tcW w:w="3150" w:type="dxa"/>
            <w:gridSpan w:val="2"/>
            <w:tcBorders>
              <w:bottom w:val="single" w:sz="4" w:space="0" w:color="auto"/>
            </w:tcBorders>
            <w:shd w:val="clear" w:color="auto" w:fill="95B3D7" w:themeFill="accent1" w:themeFillTint="99"/>
          </w:tcPr>
          <w:p w14:paraId="6FAD2F8E" w14:textId="77777777" w:rsidR="0092677D" w:rsidRPr="0007367D" w:rsidRDefault="007A218E" w:rsidP="009C09A3">
            <w:pPr>
              <w:pStyle w:val="BodyText2"/>
              <w:rPr>
                <w:rFonts w:asciiTheme="minorHAnsi" w:hAnsiTheme="minorHAnsi" w:cstheme="minorHAnsi"/>
                <w:sz w:val="24"/>
              </w:rPr>
            </w:pPr>
            <w:r w:rsidRPr="0007367D">
              <w:rPr>
                <w:rFonts w:asciiTheme="minorHAnsi" w:hAnsiTheme="minorHAnsi" w:cstheme="minorHAnsi"/>
                <w:sz w:val="24"/>
              </w:rPr>
              <w:t>Rural communities and ecosystems are more resilient to climate chan</w:t>
            </w:r>
            <w:r w:rsidR="009C09A3" w:rsidRPr="0007367D">
              <w:rPr>
                <w:rFonts w:asciiTheme="minorHAnsi" w:hAnsiTheme="minorHAnsi" w:cstheme="minorHAnsi"/>
                <w:sz w:val="24"/>
              </w:rPr>
              <w:t>ge</w:t>
            </w:r>
          </w:p>
        </w:tc>
        <w:tc>
          <w:tcPr>
            <w:tcW w:w="1647" w:type="dxa"/>
            <w:tcBorders>
              <w:bottom w:val="single" w:sz="4" w:space="0" w:color="auto"/>
            </w:tcBorders>
            <w:shd w:val="clear" w:color="auto" w:fill="auto"/>
          </w:tcPr>
          <w:p w14:paraId="62065158" w14:textId="77777777" w:rsidR="0092677D" w:rsidRDefault="00540C42">
            <w:pPr>
              <w:pStyle w:val="BodyText2"/>
              <w:rPr>
                <w:rFonts w:asciiTheme="minorHAnsi" w:hAnsiTheme="minorHAnsi"/>
              </w:rPr>
            </w:pPr>
            <w:r>
              <w:rPr>
                <w:rFonts w:asciiTheme="minorHAnsi" w:hAnsiTheme="minorHAnsi"/>
              </w:rPr>
              <w:t>7.1 million</w:t>
            </w:r>
          </w:p>
        </w:tc>
        <w:tc>
          <w:tcPr>
            <w:tcW w:w="3753" w:type="dxa"/>
            <w:tcBorders>
              <w:left w:val="single" w:sz="4" w:space="0" w:color="auto"/>
              <w:bottom w:val="single" w:sz="4" w:space="0" w:color="auto"/>
            </w:tcBorders>
          </w:tcPr>
          <w:p w14:paraId="276B996D" w14:textId="77777777" w:rsidR="0092677D" w:rsidRDefault="00306507" w:rsidP="005622FF">
            <w:pPr>
              <w:pStyle w:val="BodyText2"/>
              <w:numPr>
                <w:ilvl w:val="0"/>
                <w:numId w:val="19"/>
              </w:numPr>
              <w:ind w:left="360"/>
              <w:rPr>
                <w:rFonts w:asciiTheme="minorHAnsi" w:hAnsiTheme="minorHAnsi"/>
              </w:rPr>
            </w:pPr>
            <w:r w:rsidRPr="00306507">
              <w:rPr>
                <w:rFonts w:asciiTheme="minorHAnsi" w:hAnsiTheme="minorHAnsi"/>
              </w:rPr>
              <w:t>The resilience of communities to climate change is enhanced</w:t>
            </w:r>
          </w:p>
          <w:p w14:paraId="65E9B91F" w14:textId="77777777" w:rsidR="00306507" w:rsidRDefault="004808C8" w:rsidP="005622FF">
            <w:pPr>
              <w:pStyle w:val="BodyText2"/>
              <w:numPr>
                <w:ilvl w:val="0"/>
                <w:numId w:val="19"/>
              </w:numPr>
              <w:ind w:left="360"/>
              <w:rPr>
                <w:rFonts w:asciiTheme="minorHAnsi" w:hAnsiTheme="minorHAnsi"/>
              </w:rPr>
            </w:pPr>
            <w:r>
              <w:rPr>
                <w:rFonts w:asciiTheme="minorHAnsi" w:hAnsiTheme="minorHAnsi"/>
              </w:rPr>
              <w:t>1</w:t>
            </w:r>
            <w:r w:rsidR="00306507" w:rsidRPr="00306507">
              <w:rPr>
                <w:rFonts w:asciiTheme="minorHAnsi" w:hAnsiTheme="minorHAnsi"/>
              </w:rPr>
              <w:t xml:space="preserve"> protected areas effectively managed with greater community involvement</w:t>
            </w:r>
          </w:p>
          <w:p w14:paraId="526FC1E3" w14:textId="77777777" w:rsidR="00306507" w:rsidRDefault="00306507" w:rsidP="005622FF">
            <w:pPr>
              <w:pStyle w:val="BodyText2"/>
              <w:numPr>
                <w:ilvl w:val="0"/>
                <w:numId w:val="19"/>
              </w:numPr>
              <w:ind w:left="360"/>
              <w:rPr>
                <w:rFonts w:asciiTheme="minorHAnsi" w:hAnsiTheme="minorHAnsi"/>
              </w:rPr>
            </w:pPr>
            <w:r w:rsidRPr="00306507">
              <w:rPr>
                <w:rFonts w:asciiTheme="minorHAnsi" w:hAnsiTheme="minorHAnsi"/>
              </w:rPr>
              <w:t>in 2017, the capacity to manage the environmental process is strengthened</w:t>
            </w:r>
          </w:p>
          <w:p w14:paraId="246E0353" w14:textId="77777777" w:rsidR="00306507" w:rsidRPr="00306507" w:rsidRDefault="00306507" w:rsidP="00306507">
            <w:pPr>
              <w:pStyle w:val="BodyText2"/>
              <w:rPr>
                <w:rFonts w:asciiTheme="minorHAnsi" w:hAnsiTheme="minorHAnsi"/>
              </w:rPr>
            </w:pPr>
          </w:p>
        </w:tc>
        <w:tc>
          <w:tcPr>
            <w:tcW w:w="5490" w:type="dxa"/>
            <w:tcBorders>
              <w:bottom w:val="single" w:sz="4" w:space="0" w:color="auto"/>
            </w:tcBorders>
            <w:shd w:val="clear" w:color="auto" w:fill="auto"/>
          </w:tcPr>
          <w:p w14:paraId="2B82432C" w14:textId="77777777" w:rsidR="0092677D" w:rsidRPr="004808C8" w:rsidRDefault="004808C8" w:rsidP="004808C8">
            <w:pPr>
              <w:pStyle w:val="BodyText2"/>
              <w:numPr>
                <w:ilvl w:val="0"/>
                <w:numId w:val="19"/>
              </w:numPr>
              <w:ind w:left="360"/>
              <w:rPr>
                <w:rFonts w:asciiTheme="minorHAnsi" w:hAnsiTheme="minorHAnsi"/>
              </w:rPr>
            </w:pPr>
            <w:r w:rsidRPr="004808C8">
              <w:rPr>
                <w:rFonts w:asciiTheme="minorHAnsi" w:hAnsiTheme="minorHAnsi"/>
              </w:rPr>
              <w:t>Climate Change strategy formulated</w:t>
            </w:r>
          </w:p>
          <w:p w14:paraId="3F57B56B" w14:textId="77777777" w:rsidR="004808C8" w:rsidRPr="004808C8" w:rsidRDefault="004808C8" w:rsidP="004808C8">
            <w:pPr>
              <w:pStyle w:val="BodyText2"/>
              <w:numPr>
                <w:ilvl w:val="0"/>
                <w:numId w:val="19"/>
              </w:numPr>
              <w:ind w:left="360"/>
              <w:rPr>
                <w:rFonts w:asciiTheme="minorHAnsi" w:hAnsiTheme="minorHAnsi"/>
              </w:rPr>
            </w:pPr>
            <w:r w:rsidRPr="004808C8">
              <w:rPr>
                <w:rFonts w:asciiTheme="minorHAnsi" w:hAnsiTheme="minorHAnsi"/>
              </w:rPr>
              <w:t>2 protected area managed effectively</w:t>
            </w:r>
          </w:p>
          <w:p w14:paraId="22D799D2" w14:textId="77777777" w:rsidR="004808C8" w:rsidRPr="004808C8" w:rsidRDefault="004808C8" w:rsidP="004808C8">
            <w:pPr>
              <w:pStyle w:val="BodyText2"/>
              <w:numPr>
                <w:ilvl w:val="0"/>
                <w:numId w:val="19"/>
              </w:numPr>
              <w:ind w:left="360"/>
              <w:rPr>
                <w:rFonts w:asciiTheme="minorHAnsi" w:hAnsiTheme="minorHAnsi"/>
              </w:rPr>
            </w:pPr>
            <w:r w:rsidRPr="004808C8">
              <w:rPr>
                <w:rFonts w:asciiTheme="minorHAnsi" w:hAnsiTheme="minorHAnsi"/>
              </w:rPr>
              <w:t xml:space="preserve">Capacity of Environment Directorate increased </w:t>
            </w:r>
          </w:p>
          <w:p w14:paraId="4434DFDC" w14:textId="77777777" w:rsidR="004808C8" w:rsidRPr="00920DBC" w:rsidRDefault="004808C8" w:rsidP="004808C8">
            <w:pPr>
              <w:pStyle w:val="BodyText2"/>
              <w:rPr>
                <w:rFonts w:asciiTheme="minorHAnsi" w:hAnsiTheme="minorHAnsi"/>
                <w:i/>
              </w:rPr>
            </w:pPr>
          </w:p>
        </w:tc>
      </w:tr>
      <w:tr w:rsidR="00530FDE" w:rsidRPr="00DC7354" w14:paraId="6308ADD1" w14:textId="77777777" w:rsidTr="0092677D">
        <w:tc>
          <w:tcPr>
            <w:tcW w:w="14040" w:type="dxa"/>
            <w:gridSpan w:val="5"/>
          </w:tcPr>
          <w:p w14:paraId="3FF24364" w14:textId="77777777" w:rsidR="00843006" w:rsidRPr="00837C4B" w:rsidRDefault="00837C4B" w:rsidP="00EE1D60">
            <w:pPr>
              <w:pStyle w:val="BodyText2"/>
              <w:rPr>
                <w:rFonts w:asciiTheme="minorHAnsi" w:hAnsiTheme="minorHAnsi"/>
                <w:b/>
              </w:rPr>
            </w:pPr>
            <w:r w:rsidRPr="00837C4B">
              <w:rPr>
                <w:rFonts w:asciiTheme="minorHAnsi" w:hAnsiTheme="minorHAnsi"/>
                <w:b/>
              </w:rPr>
              <w:t>UNDP Contribution:</w:t>
            </w:r>
          </w:p>
          <w:p w14:paraId="4C102393" w14:textId="77777777" w:rsidR="0007367D" w:rsidRDefault="0007367D" w:rsidP="00EE1D60">
            <w:pPr>
              <w:pStyle w:val="BodyText2"/>
              <w:rPr>
                <w:rFonts w:asciiTheme="minorHAnsi" w:hAnsiTheme="minorHAnsi"/>
                <w:u w:val="single"/>
              </w:rPr>
            </w:pPr>
          </w:p>
          <w:p w14:paraId="2231ACD9"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66C0D0A1" w14:textId="77777777" w:rsidR="004808C8" w:rsidRDefault="004808C8" w:rsidP="00EE1D60">
            <w:pPr>
              <w:pStyle w:val="BodyText2"/>
              <w:rPr>
                <w:rFonts w:asciiTheme="minorHAnsi" w:hAnsiTheme="minorHAnsi"/>
                <w:i/>
              </w:rPr>
            </w:pPr>
          </w:p>
          <w:p w14:paraId="0E109B7D" w14:textId="77777777" w:rsidR="00201AE4" w:rsidRPr="009B76A1" w:rsidRDefault="00842737" w:rsidP="00EE1D60">
            <w:pPr>
              <w:pStyle w:val="BodyText2"/>
              <w:rPr>
                <w:rFonts w:asciiTheme="minorHAnsi" w:hAnsiTheme="minorHAnsi"/>
                <w:i/>
              </w:rPr>
            </w:pPr>
            <w:r w:rsidRPr="009B76A1">
              <w:rPr>
                <w:rFonts w:asciiTheme="minorHAnsi" w:hAnsiTheme="minorHAnsi"/>
                <w:i/>
              </w:rPr>
              <w:t>The UNDP CP</w:t>
            </w:r>
            <w:r w:rsidR="004808C8">
              <w:rPr>
                <w:rFonts w:asciiTheme="minorHAnsi" w:hAnsiTheme="minorHAnsi"/>
                <w:i/>
              </w:rPr>
              <w:t xml:space="preserve"> have</w:t>
            </w:r>
            <w:r w:rsidRPr="009B76A1">
              <w:rPr>
                <w:rFonts w:asciiTheme="minorHAnsi" w:hAnsiTheme="minorHAnsi"/>
                <w:i/>
              </w:rPr>
              <w:t xml:space="preserve"> identified th</w:t>
            </w:r>
            <w:r w:rsidR="004808C8">
              <w:rPr>
                <w:rFonts w:asciiTheme="minorHAnsi" w:hAnsiTheme="minorHAnsi"/>
                <w:i/>
              </w:rPr>
              <w:t xml:space="preserve">e following </w:t>
            </w:r>
            <w:r w:rsidR="00A971AF">
              <w:rPr>
                <w:rFonts w:asciiTheme="minorHAnsi" w:hAnsiTheme="minorHAnsi"/>
                <w:i/>
              </w:rPr>
              <w:t xml:space="preserve">main </w:t>
            </w:r>
            <w:r w:rsidR="004808C8">
              <w:rPr>
                <w:rFonts w:asciiTheme="minorHAnsi" w:hAnsiTheme="minorHAnsi"/>
                <w:i/>
              </w:rPr>
              <w:t>outputs</w:t>
            </w:r>
            <w:r w:rsidRPr="009B76A1">
              <w:rPr>
                <w:rFonts w:asciiTheme="minorHAnsi" w:hAnsiTheme="minorHAnsi"/>
                <w:i/>
              </w:rPr>
              <w:t xml:space="preserve"> to support the Government in achieving this outcome: (a) </w:t>
            </w:r>
            <w:r w:rsidR="00B92CE5">
              <w:rPr>
                <w:rFonts w:asciiTheme="minorHAnsi" w:hAnsiTheme="minorHAnsi"/>
                <w:i/>
              </w:rPr>
              <w:t>supporting rura</w:t>
            </w:r>
            <w:r w:rsidR="00151FC2">
              <w:rPr>
                <w:rFonts w:asciiTheme="minorHAnsi" w:hAnsiTheme="minorHAnsi"/>
                <w:i/>
              </w:rPr>
              <w:t>l</w:t>
            </w:r>
            <w:r w:rsidR="00B92CE5">
              <w:rPr>
                <w:rFonts w:asciiTheme="minorHAnsi" w:hAnsiTheme="minorHAnsi"/>
                <w:i/>
              </w:rPr>
              <w:t xml:space="preserve"> communities in climate change adap</w:t>
            </w:r>
            <w:r w:rsidR="00A971AF">
              <w:rPr>
                <w:rFonts w:asciiTheme="minorHAnsi" w:hAnsiTheme="minorHAnsi"/>
                <w:i/>
              </w:rPr>
              <w:t>tation;</w:t>
            </w:r>
            <w:r w:rsidRPr="009B76A1">
              <w:rPr>
                <w:rFonts w:asciiTheme="minorHAnsi" w:hAnsiTheme="minorHAnsi"/>
                <w:i/>
              </w:rPr>
              <w:t xml:space="preserve"> (b) </w:t>
            </w:r>
            <w:r w:rsidR="00B92CE5">
              <w:rPr>
                <w:rFonts w:asciiTheme="minorHAnsi" w:hAnsiTheme="minorHAnsi"/>
                <w:i/>
              </w:rPr>
              <w:t xml:space="preserve">climate change adaption in Bara </w:t>
            </w:r>
            <w:r w:rsidR="0007367D">
              <w:rPr>
                <w:rFonts w:asciiTheme="minorHAnsi" w:hAnsiTheme="minorHAnsi"/>
                <w:i/>
              </w:rPr>
              <w:t>region (</w:t>
            </w:r>
            <w:r w:rsidR="00B92CE5">
              <w:rPr>
                <w:rFonts w:asciiTheme="minorHAnsi" w:hAnsiTheme="minorHAnsi"/>
                <w:i/>
              </w:rPr>
              <w:t xml:space="preserve">c) </w:t>
            </w:r>
            <w:r w:rsidR="00201AE4">
              <w:rPr>
                <w:rFonts w:asciiTheme="minorHAnsi" w:hAnsiTheme="minorHAnsi"/>
                <w:i/>
              </w:rPr>
              <w:t>establishing</w:t>
            </w:r>
            <w:r w:rsidR="00B92CE5">
              <w:rPr>
                <w:rFonts w:asciiTheme="minorHAnsi" w:hAnsiTheme="minorHAnsi"/>
                <w:i/>
              </w:rPr>
              <w:t xml:space="preserve"> marine protected </w:t>
            </w:r>
            <w:r w:rsidR="00906595">
              <w:rPr>
                <w:rFonts w:asciiTheme="minorHAnsi" w:hAnsiTheme="minorHAnsi"/>
                <w:i/>
              </w:rPr>
              <w:t>areas.</w:t>
            </w:r>
            <w:r w:rsidR="00A971AF">
              <w:rPr>
                <w:rFonts w:asciiTheme="minorHAnsi" w:hAnsiTheme="minorHAnsi"/>
                <w:i/>
              </w:rPr>
              <w:t xml:space="preserve"> </w:t>
            </w:r>
            <w:r w:rsidR="0007367D">
              <w:rPr>
                <w:rFonts w:asciiTheme="minorHAnsi" w:hAnsiTheme="minorHAnsi"/>
                <w:i/>
              </w:rPr>
              <w:t>UNDP played</w:t>
            </w:r>
            <w:r w:rsidR="00201AE4">
              <w:rPr>
                <w:rFonts w:asciiTheme="minorHAnsi" w:hAnsiTheme="minorHAnsi"/>
                <w:i/>
              </w:rPr>
              <w:t xml:space="preserve"> an important</w:t>
            </w:r>
            <w:r w:rsidR="00834DC2">
              <w:rPr>
                <w:rFonts w:asciiTheme="minorHAnsi" w:hAnsiTheme="minorHAnsi"/>
                <w:i/>
              </w:rPr>
              <w:t xml:space="preserve"> </w:t>
            </w:r>
            <w:r w:rsidR="00906595">
              <w:rPr>
                <w:rFonts w:asciiTheme="minorHAnsi" w:hAnsiTheme="minorHAnsi"/>
                <w:i/>
              </w:rPr>
              <w:t>role in</w:t>
            </w:r>
            <w:r w:rsidR="00201AE4">
              <w:rPr>
                <w:rFonts w:asciiTheme="minorHAnsi" w:hAnsiTheme="minorHAnsi"/>
                <w:i/>
              </w:rPr>
              <w:t xml:space="preserve"> </w:t>
            </w:r>
            <w:r w:rsidR="00A971AF">
              <w:rPr>
                <w:rFonts w:asciiTheme="minorHAnsi" w:hAnsiTheme="minorHAnsi"/>
                <w:i/>
              </w:rPr>
              <w:t>mainstreaming</w:t>
            </w:r>
            <w:r w:rsidR="00201AE4">
              <w:rPr>
                <w:rFonts w:asciiTheme="minorHAnsi" w:hAnsiTheme="minorHAnsi"/>
                <w:i/>
              </w:rPr>
              <w:t xml:space="preserve"> climate change and environmental </w:t>
            </w:r>
            <w:r w:rsidR="00A971AF">
              <w:rPr>
                <w:rFonts w:asciiTheme="minorHAnsi" w:hAnsiTheme="minorHAnsi"/>
                <w:i/>
              </w:rPr>
              <w:t>concerns</w:t>
            </w:r>
            <w:r w:rsidR="00201AE4">
              <w:rPr>
                <w:rFonts w:asciiTheme="minorHAnsi" w:hAnsiTheme="minorHAnsi"/>
                <w:i/>
              </w:rPr>
              <w:t xml:space="preserve"> at the national level.  Today UNDP is the government preferred partner</w:t>
            </w:r>
            <w:r w:rsidR="00A971AF">
              <w:rPr>
                <w:rFonts w:asciiTheme="minorHAnsi" w:hAnsiTheme="minorHAnsi"/>
                <w:i/>
              </w:rPr>
              <w:t xml:space="preserve"> </w:t>
            </w:r>
            <w:r w:rsidR="00201AE4">
              <w:rPr>
                <w:rFonts w:asciiTheme="minorHAnsi" w:hAnsiTheme="minorHAnsi"/>
                <w:i/>
              </w:rPr>
              <w:t xml:space="preserve">  as a number ini</w:t>
            </w:r>
            <w:r w:rsidR="00151FC2">
              <w:rPr>
                <w:rFonts w:asciiTheme="minorHAnsi" w:hAnsiTheme="minorHAnsi"/>
                <w:i/>
              </w:rPr>
              <w:t>tiatives</w:t>
            </w:r>
            <w:r w:rsidR="00201AE4">
              <w:rPr>
                <w:rFonts w:asciiTheme="minorHAnsi" w:hAnsiTheme="minorHAnsi"/>
                <w:i/>
              </w:rPr>
              <w:t xml:space="preserve"> around GEF 6 and GCF programming are </w:t>
            </w:r>
            <w:r w:rsidR="00906595">
              <w:rPr>
                <w:rFonts w:asciiTheme="minorHAnsi" w:hAnsiTheme="minorHAnsi"/>
                <w:i/>
              </w:rPr>
              <w:t>led</w:t>
            </w:r>
            <w:r w:rsidR="00201AE4">
              <w:rPr>
                <w:rFonts w:asciiTheme="minorHAnsi" w:hAnsiTheme="minorHAnsi"/>
                <w:i/>
              </w:rPr>
              <w:t xml:space="preserve"> by </w:t>
            </w:r>
            <w:r w:rsidR="00A971AF">
              <w:rPr>
                <w:rFonts w:asciiTheme="minorHAnsi" w:hAnsiTheme="minorHAnsi"/>
                <w:i/>
              </w:rPr>
              <w:t xml:space="preserve">UNDP. </w:t>
            </w:r>
          </w:p>
          <w:p w14:paraId="2E29CC93" w14:textId="77777777" w:rsidR="00B00E5C" w:rsidRDefault="00B00E5C" w:rsidP="00EE1D60">
            <w:pPr>
              <w:pStyle w:val="BodyText2"/>
              <w:rPr>
                <w:rFonts w:asciiTheme="minorHAnsi" w:hAnsiTheme="minorHAnsi"/>
              </w:rPr>
            </w:pPr>
          </w:p>
          <w:p w14:paraId="1499E5CB" w14:textId="77777777" w:rsidR="009E15EF" w:rsidRDefault="00B00E5C" w:rsidP="00EE1D60">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6F114DAC" w14:textId="77777777" w:rsidR="009E15EF" w:rsidRDefault="009E15EF" w:rsidP="00EE1D60">
            <w:pPr>
              <w:pStyle w:val="BodyText2"/>
              <w:rPr>
                <w:rFonts w:asciiTheme="minorHAnsi" w:hAnsiTheme="minorHAnsi"/>
              </w:rPr>
            </w:pPr>
          </w:p>
          <w:p w14:paraId="05DDB0C8" w14:textId="41D4D695" w:rsidR="00A971AF" w:rsidRDefault="009E15EF" w:rsidP="00EE1D60">
            <w:pPr>
              <w:pStyle w:val="BodyText2"/>
              <w:rPr>
                <w:rFonts w:asciiTheme="minorHAnsi" w:hAnsiTheme="minorHAnsi"/>
                <w:i/>
              </w:rPr>
            </w:pPr>
            <w:r>
              <w:rPr>
                <w:rFonts w:asciiTheme="minorHAnsi" w:hAnsiTheme="minorHAnsi"/>
                <w:i/>
              </w:rPr>
              <w:lastRenderedPageBreak/>
              <w:t xml:space="preserve">These interventions are </w:t>
            </w:r>
            <w:r w:rsidR="00151FC2">
              <w:rPr>
                <w:rFonts w:asciiTheme="minorHAnsi" w:hAnsiTheme="minorHAnsi"/>
                <w:i/>
              </w:rPr>
              <w:t>highly</w:t>
            </w:r>
            <w:r>
              <w:rPr>
                <w:rFonts w:asciiTheme="minorHAnsi" w:hAnsiTheme="minorHAnsi"/>
                <w:i/>
              </w:rPr>
              <w:t xml:space="preserve"> relevant</w:t>
            </w:r>
            <w:r w:rsidR="00A971AF">
              <w:rPr>
                <w:rFonts w:asciiTheme="minorHAnsi" w:hAnsiTheme="minorHAnsi"/>
                <w:i/>
              </w:rPr>
              <w:t xml:space="preserve"> in the context of Djibouti. There</w:t>
            </w:r>
            <w:r w:rsidR="00151FC2">
              <w:rPr>
                <w:rFonts w:asciiTheme="minorHAnsi" w:hAnsiTheme="minorHAnsi"/>
                <w:i/>
              </w:rPr>
              <w:t xml:space="preserve"> </w:t>
            </w:r>
            <w:r w:rsidR="00A971AF">
              <w:rPr>
                <w:rFonts w:asciiTheme="minorHAnsi" w:hAnsiTheme="minorHAnsi"/>
                <w:i/>
              </w:rPr>
              <w:t>are signs of improved living conditions in some area</w:t>
            </w:r>
            <w:r w:rsidR="00834DC2">
              <w:rPr>
                <w:rFonts w:asciiTheme="minorHAnsi" w:hAnsiTheme="minorHAnsi"/>
                <w:i/>
              </w:rPr>
              <w:t>s where agro-pastoral activities</w:t>
            </w:r>
            <w:r w:rsidR="009741F2">
              <w:rPr>
                <w:rFonts w:asciiTheme="minorHAnsi" w:hAnsiTheme="minorHAnsi"/>
                <w:i/>
              </w:rPr>
              <w:t xml:space="preserve"> in rural areas</w:t>
            </w:r>
            <w:r w:rsidR="00834DC2">
              <w:rPr>
                <w:rFonts w:asciiTheme="minorHAnsi" w:hAnsiTheme="minorHAnsi"/>
                <w:i/>
              </w:rPr>
              <w:t xml:space="preserve"> have been introduced. Gradually in those areas t</w:t>
            </w:r>
            <w:r w:rsidR="00151FC2">
              <w:rPr>
                <w:rFonts w:asciiTheme="minorHAnsi" w:hAnsiTheme="minorHAnsi"/>
                <w:i/>
              </w:rPr>
              <w:t xml:space="preserve">he resilience of rural </w:t>
            </w:r>
            <w:r w:rsidR="00C31864">
              <w:rPr>
                <w:rFonts w:asciiTheme="minorHAnsi" w:hAnsiTheme="minorHAnsi"/>
                <w:i/>
              </w:rPr>
              <w:t>communities</w:t>
            </w:r>
            <w:r w:rsidR="00834DC2">
              <w:rPr>
                <w:rFonts w:asciiTheme="minorHAnsi" w:hAnsiTheme="minorHAnsi"/>
                <w:i/>
              </w:rPr>
              <w:t xml:space="preserve"> is being built</w:t>
            </w:r>
            <w:r w:rsidR="00151FC2">
              <w:rPr>
                <w:rFonts w:asciiTheme="minorHAnsi" w:hAnsiTheme="minorHAnsi"/>
                <w:i/>
              </w:rPr>
              <w:t xml:space="preserve">. </w:t>
            </w:r>
            <w:r w:rsidR="00834DC2">
              <w:rPr>
                <w:rFonts w:asciiTheme="minorHAnsi" w:hAnsiTheme="minorHAnsi"/>
                <w:i/>
              </w:rPr>
              <w:t>However,</w:t>
            </w:r>
            <w:r w:rsidR="00151FC2">
              <w:rPr>
                <w:rFonts w:asciiTheme="minorHAnsi" w:hAnsiTheme="minorHAnsi"/>
                <w:i/>
              </w:rPr>
              <w:t xml:space="preserve"> these actions must be sca</w:t>
            </w:r>
            <w:r w:rsidR="00834DC2">
              <w:rPr>
                <w:rFonts w:asciiTheme="minorHAnsi" w:hAnsiTheme="minorHAnsi"/>
                <w:i/>
              </w:rPr>
              <w:t xml:space="preserve">led up for it to have an impact at the national level. </w:t>
            </w:r>
            <w:r w:rsidR="00151FC2">
              <w:rPr>
                <w:rFonts w:asciiTheme="minorHAnsi" w:hAnsiTheme="minorHAnsi"/>
                <w:i/>
              </w:rPr>
              <w:t xml:space="preserve"> </w:t>
            </w:r>
            <w:r w:rsidR="0007367D">
              <w:rPr>
                <w:rFonts w:asciiTheme="minorHAnsi" w:hAnsiTheme="minorHAnsi"/>
                <w:i/>
              </w:rPr>
              <w:t>Also,</w:t>
            </w:r>
            <w:r w:rsidR="00151FC2">
              <w:rPr>
                <w:rFonts w:asciiTheme="minorHAnsi" w:hAnsiTheme="minorHAnsi"/>
                <w:i/>
              </w:rPr>
              <w:t xml:space="preserve"> </w:t>
            </w:r>
            <w:r w:rsidR="00A971AF">
              <w:rPr>
                <w:rFonts w:asciiTheme="minorHAnsi" w:hAnsiTheme="minorHAnsi"/>
                <w:i/>
              </w:rPr>
              <w:t xml:space="preserve">lots of efforts must be undertaken to </w:t>
            </w:r>
            <w:r w:rsidR="00151FC2">
              <w:rPr>
                <w:rFonts w:asciiTheme="minorHAnsi" w:hAnsiTheme="minorHAnsi"/>
                <w:i/>
              </w:rPr>
              <w:t>facilitate</w:t>
            </w:r>
            <w:r w:rsidR="00A971AF">
              <w:rPr>
                <w:rFonts w:asciiTheme="minorHAnsi" w:hAnsiTheme="minorHAnsi"/>
                <w:i/>
              </w:rPr>
              <w:t xml:space="preserve"> and improve </w:t>
            </w:r>
            <w:r w:rsidR="00834DC2">
              <w:rPr>
                <w:rFonts w:asciiTheme="minorHAnsi" w:hAnsiTheme="minorHAnsi"/>
                <w:i/>
              </w:rPr>
              <w:t xml:space="preserve">coordination around </w:t>
            </w:r>
            <w:r w:rsidR="00A971AF">
              <w:rPr>
                <w:rFonts w:asciiTheme="minorHAnsi" w:hAnsiTheme="minorHAnsi"/>
                <w:i/>
              </w:rPr>
              <w:t>these in</w:t>
            </w:r>
            <w:r w:rsidR="00151FC2">
              <w:rPr>
                <w:rFonts w:asciiTheme="minorHAnsi" w:hAnsiTheme="minorHAnsi"/>
                <w:i/>
              </w:rPr>
              <w:t>itiatives as they are a number of donors willing to wo</w:t>
            </w:r>
            <w:r w:rsidR="00834DC2">
              <w:rPr>
                <w:rFonts w:asciiTheme="minorHAnsi" w:hAnsiTheme="minorHAnsi"/>
                <w:i/>
              </w:rPr>
              <w:t>rk on climate change resilience</w:t>
            </w:r>
            <w:r w:rsidR="00A971AF">
              <w:rPr>
                <w:rFonts w:asciiTheme="minorHAnsi" w:hAnsiTheme="minorHAnsi"/>
                <w:i/>
              </w:rPr>
              <w:t xml:space="preserve">.  The </w:t>
            </w:r>
            <w:r w:rsidR="00151FC2">
              <w:rPr>
                <w:rFonts w:asciiTheme="minorHAnsi" w:hAnsiTheme="minorHAnsi"/>
                <w:i/>
              </w:rPr>
              <w:t>validation</w:t>
            </w:r>
            <w:r w:rsidR="00A971AF">
              <w:rPr>
                <w:rFonts w:asciiTheme="minorHAnsi" w:hAnsiTheme="minorHAnsi"/>
                <w:i/>
              </w:rPr>
              <w:t xml:space="preserve"> of the Climate Change Strategy and the Aid Coordination </w:t>
            </w:r>
            <w:r w:rsidR="00151FC2">
              <w:rPr>
                <w:rFonts w:asciiTheme="minorHAnsi" w:hAnsiTheme="minorHAnsi"/>
                <w:i/>
              </w:rPr>
              <w:t>mechanism</w:t>
            </w:r>
            <w:r w:rsidR="00A971AF">
              <w:rPr>
                <w:rFonts w:asciiTheme="minorHAnsi" w:hAnsiTheme="minorHAnsi"/>
                <w:i/>
              </w:rPr>
              <w:t xml:space="preserve"> set under outcome 1 will pave way for improved coordination, and </w:t>
            </w:r>
            <w:r w:rsidR="00151FC2">
              <w:rPr>
                <w:rFonts w:asciiTheme="minorHAnsi" w:hAnsiTheme="minorHAnsi"/>
                <w:i/>
              </w:rPr>
              <w:t>consultation</w:t>
            </w:r>
            <w:r w:rsidR="00834DC2">
              <w:rPr>
                <w:rFonts w:asciiTheme="minorHAnsi" w:hAnsiTheme="minorHAnsi"/>
                <w:i/>
              </w:rPr>
              <w:t>s in this area</w:t>
            </w:r>
            <w:r w:rsidR="00A971AF">
              <w:rPr>
                <w:rFonts w:asciiTheme="minorHAnsi" w:hAnsiTheme="minorHAnsi"/>
                <w:i/>
              </w:rPr>
              <w:t>.</w:t>
            </w:r>
            <w:r w:rsidR="00151FC2">
              <w:rPr>
                <w:rFonts w:asciiTheme="minorHAnsi" w:hAnsiTheme="minorHAnsi"/>
                <w:i/>
              </w:rPr>
              <w:t xml:space="preserve">  This work will go over the forthcoming cy</w:t>
            </w:r>
            <w:r w:rsidR="00C31864">
              <w:rPr>
                <w:rFonts w:asciiTheme="minorHAnsi" w:hAnsiTheme="minorHAnsi"/>
                <w:i/>
              </w:rPr>
              <w:t>c</w:t>
            </w:r>
            <w:r w:rsidR="00151FC2">
              <w:rPr>
                <w:rFonts w:asciiTheme="minorHAnsi" w:hAnsiTheme="minorHAnsi"/>
                <w:i/>
              </w:rPr>
              <w:t xml:space="preserve">le and will </w:t>
            </w:r>
            <w:r w:rsidR="00834DC2">
              <w:rPr>
                <w:rFonts w:asciiTheme="minorHAnsi" w:hAnsiTheme="minorHAnsi"/>
                <w:i/>
              </w:rPr>
              <w:t>continue;</w:t>
            </w:r>
            <w:r w:rsidR="00C31864">
              <w:rPr>
                <w:rFonts w:asciiTheme="minorHAnsi" w:hAnsiTheme="minorHAnsi"/>
                <w:i/>
              </w:rPr>
              <w:t xml:space="preserve"> </w:t>
            </w:r>
            <w:r w:rsidR="0007367D">
              <w:rPr>
                <w:rFonts w:asciiTheme="minorHAnsi" w:hAnsiTheme="minorHAnsi"/>
                <w:i/>
              </w:rPr>
              <w:t>therefore,</w:t>
            </w:r>
            <w:r w:rsidR="00C31864">
              <w:rPr>
                <w:rFonts w:asciiTheme="minorHAnsi" w:hAnsiTheme="minorHAnsi"/>
                <w:i/>
              </w:rPr>
              <w:t xml:space="preserve"> it is a work on progress</w:t>
            </w:r>
            <w:r w:rsidR="00834DC2">
              <w:rPr>
                <w:rFonts w:asciiTheme="minorHAnsi" w:hAnsiTheme="minorHAnsi"/>
                <w:i/>
              </w:rPr>
              <w:t>. It is noted that there is an increased capacity in the country to mobilize environmental finance for development.</w:t>
            </w:r>
          </w:p>
          <w:p w14:paraId="24D38E59" w14:textId="77777777" w:rsidR="00700521" w:rsidRPr="00DC7354" w:rsidRDefault="00700521" w:rsidP="0007367D">
            <w:pPr>
              <w:pStyle w:val="BodyText2"/>
              <w:rPr>
                <w:rFonts w:asciiTheme="minorHAnsi" w:hAnsiTheme="minorHAnsi"/>
              </w:rPr>
            </w:pPr>
          </w:p>
        </w:tc>
      </w:tr>
      <w:tr w:rsidR="003B037A" w:rsidRPr="00BF585E" w14:paraId="2C0BEC25" w14:textId="77777777" w:rsidTr="00540C42">
        <w:tc>
          <w:tcPr>
            <w:tcW w:w="3060" w:type="dxa"/>
            <w:shd w:val="clear" w:color="auto" w:fill="95B3D7" w:themeFill="accent1" w:themeFillTint="99"/>
          </w:tcPr>
          <w:p w14:paraId="5F0121B0" w14:textId="77777777" w:rsidR="0092677D" w:rsidRPr="0007367D" w:rsidRDefault="007A218E" w:rsidP="0092677D">
            <w:pPr>
              <w:rPr>
                <w:rFonts w:asciiTheme="minorHAnsi" w:hAnsiTheme="minorHAnsi" w:cstheme="minorHAnsi"/>
              </w:rPr>
            </w:pPr>
            <w:r w:rsidRPr="0007367D">
              <w:rPr>
                <w:rFonts w:asciiTheme="minorHAnsi" w:hAnsiTheme="minorHAnsi" w:cstheme="minorHAnsi"/>
              </w:rPr>
              <w:lastRenderedPageBreak/>
              <w:t>National and local institutions apply better practices and principles of inclusive, transparent and accountable governance</w:t>
            </w:r>
            <w:r w:rsidR="0092677D" w:rsidRPr="0007367D">
              <w:rPr>
                <w:rFonts w:asciiTheme="minorHAnsi" w:hAnsiTheme="minorHAnsi" w:cstheme="minorHAnsi"/>
              </w:rPr>
              <w:t>.</w:t>
            </w:r>
          </w:p>
          <w:p w14:paraId="497632F4" w14:textId="77777777" w:rsidR="003B037A" w:rsidRPr="000823AC" w:rsidRDefault="003B037A">
            <w:pPr>
              <w:pStyle w:val="BodyText2"/>
              <w:rPr>
                <w:rFonts w:asciiTheme="minorHAnsi" w:hAnsiTheme="minorHAnsi"/>
                <w:b/>
              </w:rPr>
            </w:pPr>
          </w:p>
        </w:tc>
        <w:tc>
          <w:tcPr>
            <w:tcW w:w="1737" w:type="dxa"/>
            <w:gridSpan w:val="2"/>
            <w:shd w:val="clear" w:color="auto" w:fill="auto"/>
          </w:tcPr>
          <w:p w14:paraId="568DA88F" w14:textId="77777777" w:rsidR="003B037A" w:rsidRPr="00DC7354" w:rsidRDefault="00540C42">
            <w:pPr>
              <w:pStyle w:val="BodyText2"/>
              <w:rPr>
                <w:rFonts w:asciiTheme="minorHAnsi" w:hAnsiTheme="minorHAnsi"/>
              </w:rPr>
            </w:pPr>
            <w:r>
              <w:rPr>
                <w:rFonts w:asciiTheme="minorHAnsi" w:hAnsiTheme="minorHAnsi"/>
              </w:rPr>
              <w:t>1.5 million</w:t>
            </w:r>
          </w:p>
        </w:tc>
        <w:tc>
          <w:tcPr>
            <w:tcW w:w="3753" w:type="dxa"/>
            <w:tcBorders>
              <w:left w:val="single" w:sz="4" w:space="0" w:color="auto"/>
            </w:tcBorders>
          </w:tcPr>
          <w:p w14:paraId="138861B3" w14:textId="77777777" w:rsidR="009251D7" w:rsidRDefault="009251D7" w:rsidP="005622FF">
            <w:pPr>
              <w:pStyle w:val="BodyText2"/>
              <w:numPr>
                <w:ilvl w:val="0"/>
                <w:numId w:val="19"/>
              </w:numPr>
              <w:ind w:left="360"/>
              <w:rPr>
                <w:rFonts w:asciiTheme="minorHAnsi" w:hAnsiTheme="minorHAnsi"/>
              </w:rPr>
            </w:pPr>
            <w:r w:rsidRPr="009251D7">
              <w:rPr>
                <w:rFonts w:asciiTheme="minorHAnsi" w:hAnsiTheme="minorHAnsi"/>
              </w:rPr>
              <w:t>The updated Criminal Code is adopted in 2017</w:t>
            </w:r>
          </w:p>
          <w:p w14:paraId="7218CB25" w14:textId="77777777" w:rsidR="009251D7" w:rsidRDefault="009251D7" w:rsidP="005622FF">
            <w:pPr>
              <w:pStyle w:val="BodyText2"/>
              <w:numPr>
                <w:ilvl w:val="0"/>
                <w:numId w:val="19"/>
              </w:numPr>
              <w:ind w:left="360"/>
              <w:rPr>
                <w:rFonts w:asciiTheme="minorHAnsi" w:hAnsiTheme="minorHAnsi"/>
              </w:rPr>
            </w:pPr>
            <w:r w:rsidRPr="009251D7">
              <w:rPr>
                <w:rFonts w:asciiTheme="minorHAnsi" w:hAnsiTheme="minorHAnsi"/>
              </w:rPr>
              <w:t>The IGE (National Anti-Corruption Commission) is strengthened and operational</w:t>
            </w:r>
          </w:p>
          <w:p w14:paraId="3C363058" w14:textId="77777777" w:rsidR="009251D7" w:rsidRDefault="00BF585E" w:rsidP="005622FF">
            <w:pPr>
              <w:pStyle w:val="BodyText2"/>
              <w:numPr>
                <w:ilvl w:val="0"/>
                <w:numId w:val="19"/>
              </w:numPr>
              <w:ind w:left="360"/>
              <w:rPr>
                <w:rFonts w:asciiTheme="minorHAnsi" w:hAnsiTheme="minorHAnsi"/>
              </w:rPr>
            </w:pPr>
            <w:r>
              <w:rPr>
                <w:rFonts w:asciiTheme="minorHAnsi" w:hAnsiTheme="minorHAnsi"/>
              </w:rPr>
              <w:t xml:space="preserve">Oversight of national budget </w:t>
            </w:r>
            <w:r w:rsidR="009251D7" w:rsidRPr="009251D7">
              <w:rPr>
                <w:rFonts w:asciiTheme="minorHAnsi" w:hAnsiTheme="minorHAnsi"/>
              </w:rPr>
              <w:t>of the parliamentary institution vis-à-vis its electors</w:t>
            </w:r>
          </w:p>
          <w:p w14:paraId="05E97B03" w14:textId="77777777" w:rsidR="009251D7" w:rsidRDefault="009251D7" w:rsidP="005622FF">
            <w:pPr>
              <w:pStyle w:val="BodyText2"/>
              <w:numPr>
                <w:ilvl w:val="0"/>
                <w:numId w:val="19"/>
              </w:numPr>
              <w:ind w:left="360"/>
              <w:rPr>
                <w:rFonts w:asciiTheme="minorHAnsi" w:hAnsiTheme="minorHAnsi"/>
              </w:rPr>
            </w:pPr>
            <w:r w:rsidRPr="009251D7">
              <w:rPr>
                <w:rFonts w:asciiTheme="minorHAnsi" w:hAnsiTheme="minorHAnsi"/>
              </w:rPr>
              <w:t>Legislation harmonized with ratified international conventions</w:t>
            </w:r>
          </w:p>
          <w:p w14:paraId="6920C9CD" w14:textId="77777777" w:rsidR="003B037A" w:rsidRPr="009251D7" w:rsidRDefault="009251D7" w:rsidP="005622FF">
            <w:pPr>
              <w:pStyle w:val="BodyText2"/>
              <w:numPr>
                <w:ilvl w:val="0"/>
                <w:numId w:val="19"/>
              </w:numPr>
              <w:ind w:left="360"/>
              <w:rPr>
                <w:rFonts w:asciiTheme="minorHAnsi" w:hAnsiTheme="minorHAnsi"/>
                <w:b/>
                <w:i/>
              </w:rPr>
            </w:pPr>
            <w:r w:rsidRPr="009251D7">
              <w:rPr>
                <w:rFonts w:asciiTheme="minorHAnsi" w:hAnsiTheme="minorHAnsi"/>
              </w:rPr>
              <w:t xml:space="preserve"> Institutional governance is inclusive and transparent</w:t>
            </w:r>
          </w:p>
        </w:tc>
        <w:tc>
          <w:tcPr>
            <w:tcW w:w="5490" w:type="dxa"/>
            <w:shd w:val="clear" w:color="auto" w:fill="auto"/>
          </w:tcPr>
          <w:p w14:paraId="29EAA1A7" w14:textId="77777777" w:rsidR="003B037A" w:rsidRPr="00BF585E" w:rsidRDefault="00BF585E" w:rsidP="00BF585E">
            <w:pPr>
              <w:pStyle w:val="BodyText2"/>
              <w:numPr>
                <w:ilvl w:val="0"/>
                <w:numId w:val="19"/>
              </w:numPr>
              <w:ind w:left="360"/>
              <w:rPr>
                <w:rFonts w:asciiTheme="minorHAnsi" w:hAnsiTheme="minorHAnsi"/>
              </w:rPr>
            </w:pPr>
            <w:r w:rsidRPr="00BF585E">
              <w:rPr>
                <w:rFonts w:asciiTheme="minorHAnsi" w:hAnsiTheme="minorHAnsi"/>
              </w:rPr>
              <w:t>Criminal Code formulation work under progress</w:t>
            </w:r>
          </w:p>
          <w:p w14:paraId="294857E4" w14:textId="77777777" w:rsidR="00BF585E" w:rsidRPr="00BF585E" w:rsidRDefault="00BF585E" w:rsidP="00BF585E">
            <w:pPr>
              <w:pStyle w:val="BodyText2"/>
              <w:numPr>
                <w:ilvl w:val="0"/>
                <w:numId w:val="19"/>
              </w:numPr>
              <w:ind w:left="360"/>
              <w:rPr>
                <w:rFonts w:asciiTheme="minorHAnsi" w:hAnsiTheme="minorHAnsi"/>
              </w:rPr>
            </w:pPr>
            <w:r w:rsidRPr="00BF585E">
              <w:rPr>
                <w:rFonts w:asciiTheme="minorHAnsi" w:hAnsiTheme="minorHAnsi"/>
              </w:rPr>
              <w:t>National budget is approved by the parliament</w:t>
            </w:r>
          </w:p>
          <w:p w14:paraId="57607F99" w14:textId="77777777" w:rsidR="00BF585E" w:rsidRPr="00BF585E" w:rsidRDefault="00BF585E" w:rsidP="00BF585E">
            <w:pPr>
              <w:pStyle w:val="BodyText2"/>
              <w:numPr>
                <w:ilvl w:val="0"/>
                <w:numId w:val="19"/>
              </w:numPr>
              <w:ind w:left="360"/>
              <w:rPr>
                <w:rFonts w:asciiTheme="minorHAnsi" w:hAnsiTheme="minorHAnsi"/>
                <w:i/>
                <w:lang w:val="en-GB"/>
              </w:rPr>
            </w:pPr>
            <w:r w:rsidRPr="00BF585E">
              <w:rPr>
                <w:rFonts w:asciiTheme="minorHAnsi" w:hAnsiTheme="minorHAnsi"/>
              </w:rPr>
              <w:t>Reporting to international conventions</w:t>
            </w:r>
          </w:p>
        </w:tc>
      </w:tr>
      <w:tr w:rsidR="00700521" w:rsidRPr="00DC7354" w14:paraId="26C7F45A" w14:textId="77777777" w:rsidTr="0092677D">
        <w:tc>
          <w:tcPr>
            <w:tcW w:w="14040" w:type="dxa"/>
            <w:gridSpan w:val="5"/>
          </w:tcPr>
          <w:p w14:paraId="606F1FEE" w14:textId="77777777" w:rsidR="004F2567" w:rsidRPr="00837C4B" w:rsidRDefault="004F2567" w:rsidP="004F2567">
            <w:pPr>
              <w:pStyle w:val="BodyText2"/>
              <w:rPr>
                <w:rFonts w:asciiTheme="minorHAnsi" w:hAnsiTheme="minorHAnsi"/>
                <w:b/>
              </w:rPr>
            </w:pPr>
            <w:r w:rsidRPr="00837C4B">
              <w:rPr>
                <w:rFonts w:asciiTheme="minorHAnsi" w:hAnsiTheme="minorHAnsi"/>
                <w:b/>
              </w:rPr>
              <w:t>UNDP Contribution:</w:t>
            </w:r>
          </w:p>
          <w:p w14:paraId="2228DB28" w14:textId="77777777" w:rsidR="004F2567" w:rsidRDefault="004F2567" w:rsidP="004F2567">
            <w:pPr>
              <w:pStyle w:val="BodyText2"/>
              <w:rPr>
                <w:rFonts w:asciiTheme="minorHAnsi" w:hAnsiTheme="minorHAnsi"/>
              </w:rPr>
            </w:pPr>
          </w:p>
          <w:p w14:paraId="146C6460" w14:textId="77777777" w:rsidR="004F2567" w:rsidRPr="00845340" w:rsidRDefault="004F2567" w:rsidP="004F2567">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1D537E5C" w14:textId="77777777" w:rsidR="004F2567" w:rsidRPr="009B76A1" w:rsidRDefault="00BF585E" w:rsidP="004F2567">
            <w:pPr>
              <w:pStyle w:val="BodyText2"/>
              <w:rPr>
                <w:rFonts w:asciiTheme="minorHAnsi" w:hAnsiTheme="minorHAnsi"/>
                <w:i/>
              </w:rPr>
            </w:pPr>
            <w:r>
              <w:rPr>
                <w:rFonts w:asciiTheme="minorHAnsi" w:hAnsiTheme="minorHAnsi"/>
                <w:i/>
              </w:rPr>
              <w:t xml:space="preserve"> The UNDP CP identified </w:t>
            </w:r>
            <w:r w:rsidR="005D5F58">
              <w:rPr>
                <w:rFonts w:asciiTheme="minorHAnsi" w:hAnsiTheme="minorHAnsi"/>
                <w:i/>
              </w:rPr>
              <w:t>two</w:t>
            </w:r>
            <w:r w:rsidR="004F2567" w:rsidRPr="009B76A1">
              <w:rPr>
                <w:rFonts w:asciiTheme="minorHAnsi" w:hAnsiTheme="minorHAnsi"/>
                <w:i/>
              </w:rPr>
              <w:t xml:space="preserve"> major outputs to support the Government in achieving this outcome: (a) </w:t>
            </w:r>
            <w:r w:rsidR="00E067D1">
              <w:rPr>
                <w:rFonts w:asciiTheme="minorHAnsi" w:hAnsiTheme="minorHAnsi"/>
                <w:i/>
              </w:rPr>
              <w:t>supporting the justice system</w:t>
            </w:r>
            <w:r w:rsidR="005D5F58">
              <w:rPr>
                <w:rFonts w:asciiTheme="minorHAnsi" w:hAnsiTheme="minorHAnsi"/>
                <w:i/>
              </w:rPr>
              <w:t xml:space="preserve">  by </w:t>
            </w:r>
            <w:r>
              <w:rPr>
                <w:rFonts w:asciiTheme="minorHAnsi" w:hAnsiTheme="minorHAnsi"/>
                <w:i/>
              </w:rPr>
              <w:t>facilitating</w:t>
            </w:r>
            <w:r w:rsidR="005D5F58">
              <w:rPr>
                <w:rFonts w:asciiTheme="minorHAnsi" w:hAnsiTheme="minorHAnsi"/>
                <w:i/>
              </w:rPr>
              <w:t xml:space="preserve"> reporting to different </w:t>
            </w:r>
            <w:r>
              <w:rPr>
                <w:rFonts w:asciiTheme="minorHAnsi" w:hAnsiTheme="minorHAnsi"/>
                <w:i/>
              </w:rPr>
              <w:t xml:space="preserve">human rights </w:t>
            </w:r>
            <w:r w:rsidR="005D5F58">
              <w:rPr>
                <w:rFonts w:asciiTheme="minorHAnsi" w:hAnsiTheme="minorHAnsi"/>
                <w:i/>
              </w:rPr>
              <w:t>conventions and facilitating access to justice in the ru</w:t>
            </w:r>
            <w:r>
              <w:rPr>
                <w:rFonts w:asciiTheme="minorHAnsi" w:hAnsiTheme="minorHAnsi"/>
                <w:i/>
              </w:rPr>
              <w:t>r</w:t>
            </w:r>
            <w:r w:rsidR="005D5F58">
              <w:rPr>
                <w:rFonts w:asciiTheme="minorHAnsi" w:hAnsiTheme="minorHAnsi"/>
                <w:i/>
              </w:rPr>
              <w:t>al areas;</w:t>
            </w:r>
            <w:r w:rsidR="00E067D1">
              <w:rPr>
                <w:rFonts w:asciiTheme="minorHAnsi" w:hAnsiTheme="minorHAnsi"/>
                <w:i/>
              </w:rPr>
              <w:t xml:space="preserve"> </w:t>
            </w:r>
            <w:r w:rsidR="004F2567" w:rsidRPr="009B76A1">
              <w:rPr>
                <w:rFonts w:asciiTheme="minorHAnsi" w:hAnsiTheme="minorHAnsi"/>
                <w:i/>
              </w:rPr>
              <w:t xml:space="preserve"> (b) </w:t>
            </w:r>
            <w:r>
              <w:rPr>
                <w:rFonts w:asciiTheme="minorHAnsi" w:hAnsiTheme="minorHAnsi"/>
                <w:i/>
              </w:rPr>
              <w:t>strengthening</w:t>
            </w:r>
            <w:r w:rsidR="005D5F58">
              <w:rPr>
                <w:rFonts w:asciiTheme="minorHAnsi" w:hAnsiTheme="minorHAnsi"/>
                <w:i/>
              </w:rPr>
              <w:t xml:space="preserve"> the capacity of the parliament  oversight </w:t>
            </w:r>
            <w:r>
              <w:rPr>
                <w:rFonts w:asciiTheme="minorHAnsi" w:hAnsiTheme="minorHAnsi"/>
                <w:i/>
              </w:rPr>
              <w:t>functions</w:t>
            </w:r>
            <w:r w:rsidR="005D5F58">
              <w:rPr>
                <w:rFonts w:asciiTheme="minorHAnsi" w:hAnsiTheme="minorHAnsi"/>
                <w:i/>
              </w:rPr>
              <w:t xml:space="preserve"> </w:t>
            </w:r>
          </w:p>
          <w:p w14:paraId="27234DD7" w14:textId="77777777" w:rsidR="004F2567" w:rsidRDefault="004F2567" w:rsidP="004F2567">
            <w:pPr>
              <w:pStyle w:val="BodyText2"/>
              <w:rPr>
                <w:rFonts w:asciiTheme="minorHAnsi" w:hAnsiTheme="minorHAnsi"/>
              </w:rPr>
            </w:pPr>
          </w:p>
          <w:p w14:paraId="106DF059" w14:textId="77777777" w:rsidR="004F2567" w:rsidRDefault="004F2567" w:rsidP="004F2567">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64AA457F" w14:textId="77777777" w:rsidR="00BF585E" w:rsidRPr="00845340" w:rsidRDefault="00BF585E" w:rsidP="004F2567">
            <w:pPr>
              <w:pStyle w:val="BodyText2"/>
              <w:rPr>
                <w:rFonts w:asciiTheme="minorHAnsi" w:hAnsiTheme="minorHAnsi"/>
              </w:rPr>
            </w:pPr>
          </w:p>
          <w:p w14:paraId="7338F7B2" w14:textId="77777777" w:rsidR="00E067D1" w:rsidRDefault="00823FEE" w:rsidP="004F2567">
            <w:pPr>
              <w:pStyle w:val="BodyText2"/>
              <w:rPr>
                <w:rFonts w:asciiTheme="minorHAnsi" w:hAnsiTheme="minorHAnsi"/>
                <w:i/>
              </w:rPr>
            </w:pPr>
            <w:r>
              <w:rPr>
                <w:rFonts w:asciiTheme="minorHAnsi" w:hAnsiTheme="minorHAnsi"/>
                <w:i/>
              </w:rPr>
              <w:t>The achievement</w:t>
            </w:r>
            <w:r w:rsidR="005D5F58">
              <w:rPr>
                <w:rFonts w:asciiTheme="minorHAnsi" w:hAnsiTheme="minorHAnsi"/>
                <w:i/>
              </w:rPr>
              <w:t xml:space="preserve"> under </w:t>
            </w:r>
            <w:r w:rsidR="000D4E8A">
              <w:rPr>
                <w:rFonts w:asciiTheme="minorHAnsi" w:hAnsiTheme="minorHAnsi"/>
                <w:i/>
              </w:rPr>
              <w:t xml:space="preserve">this outcome remains </w:t>
            </w:r>
            <w:r w:rsidR="00906595">
              <w:rPr>
                <w:rFonts w:asciiTheme="minorHAnsi" w:hAnsiTheme="minorHAnsi"/>
                <w:i/>
              </w:rPr>
              <w:t>limited</w:t>
            </w:r>
            <w:r>
              <w:rPr>
                <w:rFonts w:asciiTheme="minorHAnsi" w:hAnsiTheme="minorHAnsi"/>
                <w:i/>
              </w:rPr>
              <w:t xml:space="preserve">. It has been difficult to </w:t>
            </w:r>
            <w:r w:rsidR="00BF585E">
              <w:rPr>
                <w:rFonts w:asciiTheme="minorHAnsi" w:hAnsiTheme="minorHAnsi"/>
                <w:i/>
              </w:rPr>
              <w:t>mobilize</w:t>
            </w:r>
            <w:r>
              <w:rPr>
                <w:rFonts w:asciiTheme="minorHAnsi" w:hAnsiTheme="minorHAnsi"/>
                <w:i/>
              </w:rPr>
              <w:t xml:space="preserve"> resources for  supporting </w:t>
            </w:r>
            <w:r w:rsidR="00BF585E">
              <w:rPr>
                <w:rFonts w:asciiTheme="minorHAnsi" w:hAnsiTheme="minorHAnsi"/>
                <w:i/>
              </w:rPr>
              <w:t>governance</w:t>
            </w:r>
            <w:r>
              <w:rPr>
                <w:rFonts w:asciiTheme="minorHAnsi" w:hAnsiTheme="minorHAnsi"/>
                <w:i/>
              </w:rPr>
              <w:t xml:space="preserve"> </w:t>
            </w:r>
            <w:r w:rsidR="00BF585E">
              <w:rPr>
                <w:rFonts w:asciiTheme="minorHAnsi" w:hAnsiTheme="minorHAnsi"/>
                <w:i/>
              </w:rPr>
              <w:t>institutions</w:t>
            </w:r>
            <w:r>
              <w:rPr>
                <w:rFonts w:asciiTheme="minorHAnsi" w:hAnsiTheme="minorHAnsi"/>
                <w:i/>
              </w:rPr>
              <w:t xml:space="preserve">. At the end of the </w:t>
            </w:r>
            <w:r w:rsidR="00BF585E">
              <w:rPr>
                <w:rFonts w:asciiTheme="minorHAnsi" w:hAnsiTheme="minorHAnsi"/>
                <w:i/>
              </w:rPr>
              <w:t>cycle</w:t>
            </w:r>
            <w:r>
              <w:rPr>
                <w:rFonts w:asciiTheme="minorHAnsi" w:hAnsiTheme="minorHAnsi"/>
                <w:i/>
              </w:rPr>
              <w:t>, it remains very difficult to assess the result. The only tangible result</w:t>
            </w:r>
            <w:r w:rsidR="000D4E8A">
              <w:rPr>
                <w:rFonts w:asciiTheme="minorHAnsi" w:hAnsiTheme="minorHAnsi"/>
                <w:i/>
              </w:rPr>
              <w:t xml:space="preserve"> </w:t>
            </w:r>
            <w:r w:rsidR="00E067D1">
              <w:rPr>
                <w:rFonts w:asciiTheme="minorHAnsi" w:hAnsiTheme="minorHAnsi"/>
                <w:i/>
              </w:rPr>
              <w:t>is the mobile justice which demonstrated how to facili</w:t>
            </w:r>
            <w:r w:rsidR="00BF585E">
              <w:rPr>
                <w:rFonts w:asciiTheme="minorHAnsi" w:hAnsiTheme="minorHAnsi"/>
                <w:i/>
              </w:rPr>
              <w:t>tate</w:t>
            </w:r>
            <w:r w:rsidR="00E067D1">
              <w:rPr>
                <w:rFonts w:asciiTheme="minorHAnsi" w:hAnsiTheme="minorHAnsi"/>
                <w:i/>
              </w:rPr>
              <w:t xml:space="preserve"> justice for vulnerable groups living in </w:t>
            </w:r>
            <w:r w:rsidR="00906595">
              <w:rPr>
                <w:rFonts w:asciiTheme="minorHAnsi" w:hAnsiTheme="minorHAnsi"/>
                <w:i/>
              </w:rPr>
              <w:t>the</w:t>
            </w:r>
            <w:r w:rsidR="00BF585E">
              <w:rPr>
                <w:rFonts w:asciiTheme="minorHAnsi" w:hAnsiTheme="minorHAnsi"/>
                <w:i/>
              </w:rPr>
              <w:t xml:space="preserve"> </w:t>
            </w:r>
            <w:r w:rsidR="00E067D1">
              <w:rPr>
                <w:rFonts w:asciiTheme="minorHAnsi" w:hAnsiTheme="minorHAnsi"/>
                <w:i/>
              </w:rPr>
              <w:t>regions and sensitize the national authorities on decentralized system of justice.</w:t>
            </w:r>
            <w:r w:rsidR="005D5F58">
              <w:rPr>
                <w:rFonts w:asciiTheme="minorHAnsi" w:hAnsiTheme="minorHAnsi"/>
                <w:i/>
              </w:rPr>
              <w:t xml:space="preserve">  </w:t>
            </w:r>
            <w:r w:rsidR="00906595">
              <w:rPr>
                <w:rFonts w:asciiTheme="minorHAnsi" w:hAnsiTheme="minorHAnsi"/>
                <w:i/>
              </w:rPr>
              <w:t>Also,</w:t>
            </w:r>
            <w:r w:rsidR="000D4E8A">
              <w:rPr>
                <w:rFonts w:asciiTheme="minorHAnsi" w:hAnsiTheme="minorHAnsi"/>
                <w:i/>
              </w:rPr>
              <w:t xml:space="preserve"> d</w:t>
            </w:r>
            <w:r w:rsidR="005D5F58">
              <w:rPr>
                <w:rFonts w:asciiTheme="minorHAnsi" w:hAnsiTheme="minorHAnsi"/>
                <w:i/>
              </w:rPr>
              <w:t xml:space="preserve">iscussions with </w:t>
            </w:r>
            <w:r w:rsidR="00BF585E">
              <w:rPr>
                <w:rFonts w:asciiTheme="minorHAnsi" w:hAnsiTheme="minorHAnsi"/>
                <w:i/>
              </w:rPr>
              <w:t>parliament</w:t>
            </w:r>
            <w:r w:rsidR="005D5F58">
              <w:rPr>
                <w:rFonts w:asciiTheme="minorHAnsi" w:hAnsiTheme="minorHAnsi"/>
                <w:i/>
              </w:rPr>
              <w:t xml:space="preserve"> </w:t>
            </w:r>
            <w:r w:rsidR="00BF585E">
              <w:rPr>
                <w:rFonts w:asciiTheme="minorHAnsi" w:hAnsiTheme="minorHAnsi"/>
                <w:i/>
              </w:rPr>
              <w:t>revealed</w:t>
            </w:r>
            <w:r w:rsidR="005D5F58">
              <w:rPr>
                <w:rFonts w:asciiTheme="minorHAnsi" w:hAnsiTheme="minorHAnsi"/>
                <w:i/>
              </w:rPr>
              <w:t xml:space="preserve"> the </w:t>
            </w:r>
            <w:r w:rsidR="00BF585E">
              <w:rPr>
                <w:rFonts w:asciiTheme="minorHAnsi" w:hAnsiTheme="minorHAnsi"/>
                <w:i/>
              </w:rPr>
              <w:t>internal</w:t>
            </w:r>
            <w:r w:rsidR="005D5F58">
              <w:rPr>
                <w:rFonts w:asciiTheme="minorHAnsi" w:hAnsiTheme="minorHAnsi"/>
                <w:i/>
              </w:rPr>
              <w:t xml:space="preserve"> </w:t>
            </w:r>
            <w:r w:rsidR="00BF585E">
              <w:rPr>
                <w:rFonts w:asciiTheme="minorHAnsi" w:hAnsiTheme="minorHAnsi"/>
                <w:i/>
              </w:rPr>
              <w:t>organization</w:t>
            </w:r>
            <w:r w:rsidR="005D5F58">
              <w:rPr>
                <w:rFonts w:asciiTheme="minorHAnsi" w:hAnsiTheme="minorHAnsi"/>
                <w:i/>
              </w:rPr>
              <w:t xml:space="preserve"> of the national assembly has been improved, the </w:t>
            </w:r>
            <w:r w:rsidR="00BF585E">
              <w:rPr>
                <w:rFonts w:asciiTheme="minorHAnsi" w:hAnsiTheme="minorHAnsi"/>
                <w:i/>
              </w:rPr>
              <w:t>parliament</w:t>
            </w:r>
            <w:r w:rsidR="005D5F58">
              <w:rPr>
                <w:rFonts w:asciiTheme="minorHAnsi" w:hAnsiTheme="minorHAnsi"/>
                <w:i/>
              </w:rPr>
              <w:t xml:space="preserve"> is able to fulfill some of its</w:t>
            </w:r>
            <w:r w:rsidR="000D4E8A">
              <w:rPr>
                <w:rFonts w:asciiTheme="minorHAnsi" w:hAnsiTheme="minorHAnsi"/>
                <w:i/>
              </w:rPr>
              <w:t xml:space="preserve"> </w:t>
            </w:r>
            <w:r w:rsidR="000E146B">
              <w:rPr>
                <w:rFonts w:asciiTheme="minorHAnsi" w:hAnsiTheme="minorHAnsi"/>
                <w:i/>
              </w:rPr>
              <w:t>oversight functions</w:t>
            </w:r>
            <w:r w:rsidR="00906595">
              <w:rPr>
                <w:rFonts w:asciiTheme="minorHAnsi" w:hAnsiTheme="minorHAnsi"/>
                <w:i/>
              </w:rPr>
              <w:t xml:space="preserve"> like budget control</w:t>
            </w:r>
            <w:r w:rsidR="00632C00">
              <w:rPr>
                <w:rFonts w:asciiTheme="minorHAnsi" w:hAnsiTheme="minorHAnsi"/>
                <w:i/>
              </w:rPr>
              <w:t>.</w:t>
            </w:r>
            <w:r w:rsidR="00906595">
              <w:rPr>
                <w:rFonts w:asciiTheme="minorHAnsi" w:hAnsiTheme="minorHAnsi"/>
                <w:i/>
              </w:rPr>
              <w:t xml:space="preserve"> Stakeholders indicate that the r</w:t>
            </w:r>
            <w:r w:rsidR="00632C00">
              <w:rPr>
                <w:rFonts w:asciiTheme="minorHAnsi" w:hAnsiTheme="minorHAnsi"/>
                <w:i/>
              </w:rPr>
              <w:t>el</w:t>
            </w:r>
            <w:r w:rsidR="005D5F58">
              <w:rPr>
                <w:rFonts w:asciiTheme="minorHAnsi" w:hAnsiTheme="minorHAnsi"/>
                <w:i/>
              </w:rPr>
              <w:t xml:space="preserve">ation between MPs and </w:t>
            </w:r>
            <w:r w:rsidR="00BF585E">
              <w:rPr>
                <w:rFonts w:asciiTheme="minorHAnsi" w:hAnsiTheme="minorHAnsi"/>
                <w:i/>
              </w:rPr>
              <w:t>citizen</w:t>
            </w:r>
            <w:r w:rsidR="005D5F58">
              <w:rPr>
                <w:rFonts w:asciiTheme="minorHAnsi" w:hAnsiTheme="minorHAnsi"/>
                <w:i/>
              </w:rPr>
              <w:t xml:space="preserve"> have </w:t>
            </w:r>
            <w:r w:rsidR="00BF585E">
              <w:rPr>
                <w:rFonts w:asciiTheme="minorHAnsi" w:hAnsiTheme="minorHAnsi"/>
                <w:i/>
              </w:rPr>
              <w:t>improved</w:t>
            </w:r>
            <w:r w:rsidR="005D5F58">
              <w:rPr>
                <w:rFonts w:asciiTheme="minorHAnsi" w:hAnsiTheme="minorHAnsi"/>
                <w:i/>
              </w:rPr>
              <w:t xml:space="preserve"> </w:t>
            </w:r>
            <w:r w:rsidR="00632C00">
              <w:rPr>
                <w:rFonts w:asciiTheme="minorHAnsi" w:hAnsiTheme="minorHAnsi"/>
                <w:i/>
              </w:rPr>
              <w:t xml:space="preserve">through </w:t>
            </w:r>
            <w:r w:rsidR="000E146B">
              <w:rPr>
                <w:rFonts w:asciiTheme="minorHAnsi" w:hAnsiTheme="minorHAnsi"/>
                <w:i/>
              </w:rPr>
              <w:t>raising</w:t>
            </w:r>
            <w:r w:rsidR="00632C00">
              <w:rPr>
                <w:rFonts w:asciiTheme="minorHAnsi" w:hAnsiTheme="minorHAnsi"/>
                <w:i/>
              </w:rPr>
              <w:t xml:space="preserve"> awareness on MPs </w:t>
            </w:r>
            <w:r w:rsidR="00906595">
              <w:rPr>
                <w:rFonts w:asciiTheme="minorHAnsi" w:hAnsiTheme="minorHAnsi"/>
                <w:i/>
              </w:rPr>
              <w:t>roles and</w:t>
            </w:r>
            <w:r w:rsidR="00632C00">
              <w:rPr>
                <w:rFonts w:asciiTheme="minorHAnsi" w:hAnsiTheme="minorHAnsi"/>
                <w:i/>
              </w:rPr>
              <w:t xml:space="preserve"> functions in the society. </w:t>
            </w:r>
          </w:p>
          <w:p w14:paraId="6B834A58" w14:textId="77777777" w:rsidR="004C4BDE" w:rsidRPr="00845340" w:rsidRDefault="004C4BDE" w:rsidP="005D5F58">
            <w:pPr>
              <w:pStyle w:val="BodyText2"/>
              <w:rPr>
                <w:rFonts w:asciiTheme="minorHAnsi" w:hAnsiTheme="minorHAnsi"/>
              </w:rPr>
            </w:pPr>
          </w:p>
        </w:tc>
      </w:tr>
    </w:tbl>
    <w:p w14:paraId="5FF5E734" w14:textId="77777777" w:rsidR="00D9192E" w:rsidRDefault="00D9192E">
      <w:r>
        <w:br w:type="page"/>
      </w:r>
    </w:p>
    <w:p w14:paraId="77B38CCE" w14:textId="77777777" w:rsidR="004B3911" w:rsidRDefault="004B3911">
      <w:pPr>
        <w:pStyle w:val="BodyText2"/>
        <w:rPr>
          <w:rFonts w:ascii="Times New Roman" w:hAnsi="Times New Roman"/>
          <w:sz w:val="24"/>
        </w:rPr>
      </w:pPr>
    </w:p>
    <w:p w14:paraId="3E2DAFA6" w14:textId="7E21C619" w:rsidR="00E37E7A"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p w14:paraId="70B9A6FD" w14:textId="25FD1A8E" w:rsidR="005D2DD7" w:rsidRDefault="005D2DD7" w:rsidP="00E37E7A">
      <w:pPr>
        <w:pStyle w:val="BodyText2"/>
        <w:jc w:val="center"/>
        <w:rPr>
          <w:rFonts w:asciiTheme="minorHAnsi" w:hAnsiTheme="minorHAnsi"/>
          <w:sz w:val="24"/>
        </w:rPr>
      </w:pPr>
    </w:p>
    <w:p w14:paraId="29D2E191" w14:textId="63214765" w:rsidR="005D2DD7" w:rsidRDefault="005D2DD7" w:rsidP="005D2DD7">
      <w:pPr>
        <w:pStyle w:val="Heading4"/>
        <w:rPr>
          <w:b/>
        </w:rPr>
      </w:pPr>
      <w:r w:rsidRPr="00380A57">
        <w:rPr>
          <w:b/>
        </w:rPr>
        <w:t>Programm</w:t>
      </w:r>
      <w:r>
        <w:rPr>
          <w:b/>
        </w:rPr>
        <w:t>e delivery trends for 2013-2016</w:t>
      </w:r>
    </w:p>
    <w:p w14:paraId="0EBCE402" w14:textId="77777777" w:rsidR="00332A42" w:rsidRPr="00332A42" w:rsidRDefault="00332A42" w:rsidP="00332A42">
      <w:pPr>
        <w:rPr>
          <w:rFonts w:eastAsia="Calibri"/>
        </w:rPr>
      </w:pPr>
    </w:p>
    <w:tbl>
      <w:tblPr>
        <w:tblW w:w="9989" w:type="dxa"/>
        <w:jc w:val="center"/>
        <w:tblLook w:val="04A0" w:firstRow="1" w:lastRow="0" w:firstColumn="1" w:lastColumn="0" w:noHBand="0" w:noVBand="1"/>
      </w:tblPr>
      <w:tblGrid>
        <w:gridCol w:w="683"/>
        <w:gridCol w:w="1290"/>
        <w:gridCol w:w="1455"/>
        <w:gridCol w:w="1530"/>
        <w:gridCol w:w="1800"/>
        <w:gridCol w:w="1706"/>
        <w:gridCol w:w="1525"/>
      </w:tblGrid>
      <w:tr w:rsidR="005D2DD7" w:rsidRPr="00205618" w14:paraId="256F8BD5" w14:textId="77777777" w:rsidTr="00E22458">
        <w:trPr>
          <w:trHeight w:val="420"/>
          <w:jc w:val="center"/>
        </w:trPr>
        <w:tc>
          <w:tcPr>
            <w:tcW w:w="683" w:type="dxa"/>
            <w:vMerge w:val="restart"/>
            <w:tcBorders>
              <w:top w:val="single" w:sz="4" w:space="0" w:color="auto"/>
              <w:left w:val="single" w:sz="4" w:space="0" w:color="auto"/>
              <w:right w:val="single" w:sz="4" w:space="0" w:color="auto"/>
            </w:tcBorders>
            <w:shd w:val="clear" w:color="auto" w:fill="365F91" w:themeFill="accent1" w:themeFillShade="BF"/>
            <w:noWrap/>
            <w:vAlign w:val="center"/>
            <w:hideMark/>
          </w:tcPr>
          <w:p w14:paraId="1A24526B"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Year</w:t>
            </w:r>
          </w:p>
        </w:tc>
        <w:tc>
          <w:tcPr>
            <w:tcW w:w="1290" w:type="dxa"/>
            <w:vMerge w:val="restart"/>
            <w:tcBorders>
              <w:top w:val="single" w:sz="4" w:space="0" w:color="auto"/>
              <w:left w:val="nil"/>
              <w:right w:val="single" w:sz="4" w:space="0" w:color="auto"/>
            </w:tcBorders>
            <w:shd w:val="clear" w:color="auto" w:fill="365F91" w:themeFill="accent1" w:themeFillShade="BF"/>
            <w:vAlign w:val="center"/>
            <w:hideMark/>
          </w:tcPr>
          <w:p w14:paraId="7E7A8512"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Programme delivery</w:t>
            </w:r>
            <w:r w:rsidRPr="00380A57">
              <w:rPr>
                <w:rFonts w:ascii="Calibri" w:hAnsi="Calibri"/>
                <w:b/>
                <w:color w:val="FFFFFF" w:themeColor="background1"/>
                <w:sz w:val="22"/>
                <w:szCs w:val="22"/>
                <w:vertAlign w:val="superscript"/>
                <w:lang w:val="en-GB" w:eastAsia="en-GB"/>
              </w:rPr>
              <w:footnoteReference w:id="2"/>
            </w:r>
            <w:r w:rsidRPr="00380A57">
              <w:rPr>
                <w:rFonts w:ascii="Calibri" w:hAnsi="Calibri"/>
                <w:b/>
                <w:color w:val="FFFFFF" w:themeColor="background1"/>
                <w:sz w:val="22"/>
                <w:szCs w:val="22"/>
                <w:lang w:val="en-GB" w:eastAsia="en-GB"/>
              </w:rPr>
              <w:t xml:space="preserve"> (USD m)</w:t>
            </w:r>
          </w:p>
        </w:tc>
        <w:tc>
          <w:tcPr>
            <w:tcW w:w="1455" w:type="dxa"/>
            <w:vMerge w:val="restart"/>
            <w:tcBorders>
              <w:top w:val="single" w:sz="4" w:space="0" w:color="auto"/>
              <w:left w:val="nil"/>
              <w:right w:val="single" w:sz="4" w:space="0" w:color="auto"/>
            </w:tcBorders>
            <w:shd w:val="clear" w:color="auto" w:fill="365F91" w:themeFill="accent1" w:themeFillShade="BF"/>
            <w:vAlign w:val="center"/>
            <w:hideMark/>
          </w:tcPr>
          <w:p w14:paraId="3D4FF834"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Management delivery</w:t>
            </w:r>
            <w:r w:rsidRPr="00380A57">
              <w:rPr>
                <w:rFonts w:ascii="Calibri" w:hAnsi="Calibri"/>
                <w:b/>
                <w:color w:val="FFFFFF" w:themeColor="background1"/>
                <w:sz w:val="22"/>
                <w:szCs w:val="22"/>
                <w:vertAlign w:val="superscript"/>
                <w:lang w:val="en-GB" w:eastAsia="en-GB"/>
              </w:rPr>
              <w:footnoteReference w:id="3"/>
            </w:r>
          </w:p>
          <w:p w14:paraId="3FF1B5B0"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(USD m)</w:t>
            </w:r>
          </w:p>
        </w:tc>
        <w:tc>
          <w:tcPr>
            <w:tcW w:w="3330" w:type="dxa"/>
            <w:gridSpan w:val="2"/>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36D3EFC3"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Programme delivery</w:t>
            </w:r>
          </w:p>
        </w:tc>
        <w:tc>
          <w:tcPr>
            <w:tcW w:w="1706" w:type="dxa"/>
            <w:vMerge w:val="restart"/>
            <w:tcBorders>
              <w:top w:val="single" w:sz="4" w:space="0" w:color="auto"/>
              <w:left w:val="nil"/>
              <w:right w:val="single" w:sz="4" w:space="0" w:color="auto"/>
            </w:tcBorders>
            <w:shd w:val="clear" w:color="auto" w:fill="365F91" w:themeFill="accent1" w:themeFillShade="BF"/>
            <w:vAlign w:val="center"/>
            <w:hideMark/>
          </w:tcPr>
          <w:p w14:paraId="7BA1E8F9"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Programme delivery rate</w:t>
            </w:r>
            <w:r w:rsidRPr="00380A57">
              <w:rPr>
                <w:rFonts w:ascii="Calibri" w:hAnsi="Calibri"/>
                <w:b/>
                <w:color w:val="FFFFFF" w:themeColor="background1"/>
                <w:sz w:val="22"/>
                <w:szCs w:val="22"/>
                <w:vertAlign w:val="superscript"/>
                <w:lang w:val="en-GB" w:eastAsia="en-GB"/>
              </w:rPr>
              <w:t>3</w:t>
            </w:r>
            <w:r w:rsidRPr="00380A57">
              <w:rPr>
                <w:rFonts w:ascii="Calibri" w:hAnsi="Calibri"/>
                <w:b/>
                <w:color w:val="FFFFFF" w:themeColor="background1"/>
                <w:sz w:val="22"/>
                <w:szCs w:val="22"/>
                <w:lang w:val="en-GB" w:eastAsia="en-GB"/>
              </w:rPr>
              <w:t xml:space="preserve"> (%)</w:t>
            </w:r>
          </w:p>
        </w:tc>
        <w:tc>
          <w:tcPr>
            <w:tcW w:w="1525" w:type="dxa"/>
            <w:vMerge w:val="restart"/>
            <w:tcBorders>
              <w:top w:val="single" w:sz="4" w:space="0" w:color="auto"/>
              <w:left w:val="nil"/>
              <w:right w:val="single" w:sz="4" w:space="0" w:color="auto"/>
            </w:tcBorders>
            <w:shd w:val="clear" w:color="auto" w:fill="365F91" w:themeFill="accent1" w:themeFillShade="BF"/>
            <w:vAlign w:val="center"/>
            <w:hideMark/>
          </w:tcPr>
          <w:p w14:paraId="0D739032"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Management delivery rate</w:t>
            </w:r>
            <w:r w:rsidRPr="00380A57">
              <w:rPr>
                <w:rFonts w:ascii="Calibri" w:hAnsi="Calibri"/>
                <w:b/>
                <w:color w:val="FFFFFF" w:themeColor="background1"/>
                <w:sz w:val="22"/>
                <w:szCs w:val="22"/>
                <w:vertAlign w:val="superscript"/>
                <w:lang w:val="en-GB" w:eastAsia="en-GB"/>
              </w:rPr>
              <w:t>4</w:t>
            </w:r>
            <w:r w:rsidRPr="00380A57">
              <w:rPr>
                <w:rFonts w:ascii="Calibri" w:hAnsi="Calibri"/>
                <w:b/>
                <w:color w:val="FFFFFF" w:themeColor="background1"/>
                <w:sz w:val="22"/>
                <w:szCs w:val="22"/>
                <w:lang w:val="en-GB" w:eastAsia="en-GB"/>
              </w:rPr>
              <w:t xml:space="preserve"> (%)</w:t>
            </w:r>
          </w:p>
        </w:tc>
      </w:tr>
      <w:tr w:rsidR="005D2DD7" w:rsidRPr="00D5698A" w14:paraId="5F7E7B29" w14:textId="77777777" w:rsidTr="00E22458">
        <w:trPr>
          <w:trHeight w:val="400"/>
          <w:jc w:val="center"/>
        </w:trPr>
        <w:tc>
          <w:tcPr>
            <w:tcW w:w="683" w:type="dxa"/>
            <w:vMerge/>
            <w:tcBorders>
              <w:left w:val="single" w:sz="4" w:space="0" w:color="auto"/>
              <w:bottom w:val="single" w:sz="4" w:space="0" w:color="auto"/>
              <w:right w:val="single" w:sz="4" w:space="0" w:color="auto"/>
            </w:tcBorders>
            <w:shd w:val="clear" w:color="auto" w:fill="BFBFBF"/>
            <w:noWrap/>
            <w:vAlign w:val="center"/>
          </w:tcPr>
          <w:p w14:paraId="435430A9" w14:textId="77777777" w:rsidR="005D2DD7" w:rsidRPr="00205618" w:rsidRDefault="005D2DD7" w:rsidP="00E22458">
            <w:pPr>
              <w:jc w:val="center"/>
              <w:rPr>
                <w:rFonts w:ascii="Calibri" w:hAnsi="Calibri"/>
                <w:b/>
                <w:color w:val="000000"/>
                <w:sz w:val="22"/>
                <w:szCs w:val="22"/>
                <w:lang w:val="en-GB" w:eastAsia="en-GB"/>
              </w:rPr>
            </w:pPr>
          </w:p>
        </w:tc>
        <w:tc>
          <w:tcPr>
            <w:tcW w:w="1290" w:type="dxa"/>
            <w:vMerge/>
            <w:tcBorders>
              <w:left w:val="nil"/>
              <w:bottom w:val="single" w:sz="4" w:space="0" w:color="auto"/>
              <w:right w:val="single" w:sz="4" w:space="0" w:color="auto"/>
            </w:tcBorders>
            <w:shd w:val="clear" w:color="auto" w:fill="BFBFBF"/>
            <w:vAlign w:val="center"/>
          </w:tcPr>
          <w:p w14:paraId="0FDBABC6" w14:textId="77777777" w:rsidR="005D2DD7" w:rsidRPr="00205618" w:rsidRDefault="005D2DD7" w:rsidP="00E22458">
            <w:pPr>
              <w:jc w:val="center"/>
              <w:rPr>
                <w:rFonts w:ascii="Calibri" w:hAnsi="Calibri"/>
                <w:b/>
                <w:color w:val="000000"/>
                <w:sz w:val="22"/>
                <w:szCs w:val="22"/>
                <w:lang w:val="en-GB" w:eastAsia="en-GB"/>
              </w:rPr>
            </w:pPr>
          </w:p>
        </w:tc>
        <w:tc>
          <w:tcPr>
            <w:tcW w:w="1455" w:type="dxa"/>
            <w:vMerge/>
            <w:tcBorders>
              <w:left w:val="nil"/>
              <w:bottom w:val="single" w:sz="4" w:space="0" w:color="auto"/>
              <w:right w:val="single" w:sz="4" w:space="0" w:color="auto"/>
            </w:tcBorders>
            <w:shd w:val="clear" w:color="auto" w:fill="BFBFBF"/>
            <w:vAlign w:val="center"/>
          </w:tcPr>
          <w:p w14:paraId="79597F60" w14:textId="77777777" w:rsidR="005D2DD7" w:rsidRPr="00205618" w:rsidRDefault="005D2DD7" w:rsidP="00E22458">
            <w:pPr>
              <w:jc w:val="center"/>
              <w:rPr>
                <w:rFonts w:ascii="Calibri" w:hAnsi="Calibri"/>
                <w:b/>
                <w:color w:val="000000"/>
                <w:sz w:val="22"/>
                <w:szCs w:val="22"/>
                <w:lang w:val="en-GB" w:eastAsia="en-GB"/>
              </w:rPr>
            </w:pPr>
          </w:p>
        </w:tc>
        <w:tc>
          <w:tcPr>
            <w:tcW w:w="1530" w:type="dxa"/>
            <w:tcBorders>
              <w:top w:val="single" w:sz="4" w:space="0" w:color="auto"/>
              <w:left w:val="nil"/>
              <w:bottom w:val="nil"/>
              <w:right w:val="single" w:sz="4" w:space="0" w:color="auto"/>
            </w:tcBorders>
            <w:shd w:val="clear" w:color="auto" w:fill="365F91" w:themeFill="accent1" w:themeFillShade="BF"/>
            <w:vAlign w:val="center"/>
          </w:tcPr>
          <w:p w14:paraId="79788BC5"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 xml:space="preserve"> Core/regular</w:t>
            </w:r>
            <w:r w:rsidRPr="00380A57">
              <w:rPr>
                <w:rFonts w:ascii="Calibri" w:hAnsi="Calibri"/>
                <w:b/>
                <w:color w:val="FFFFFF" w:themeColor="background1"/>
                <w:sz w:val="22"/>
                <w:szCs w:val="22"/>
                <w:vertAlign w:val="superscript"/>
                <w:lang w:val="en-GB" w:eastAsia="en-GB"/>
              </w:rPr>
              <w:t>3</w:t>
            </w:r>
            <w:r w:rsidRPr="00380A57">
              <w:rPr>
                <w:rFonts w:ascii="Calibri" w:hAnsi="Calibri"/>
                <w:b/>
                <w:color w:val="FFFFFF" w:themeColor="background1"/>
                <w:sz w:val="22"/>
                <w:szCs w:val="22"/>
                <w:lang w:val="en-GB" w:eastAsia="en-GB"/>
              </w:rPr>
              <w:t xml:space="preserve"> (USD m)</w:t>
            </w:r>
          </w:p>
        </w:tc>
        <w:tc>
          <w:tcPr>
            <w:tcW w:w="1800"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2096F530"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Non-core/other</w:t>
            </w:r>
            <w:r w:rsidRPr="00380A57">
              <w:rPr>
                <w:rFonts w:ascii="Calibri" w:hAnsi="Calibri"/>
                <w:b/>
                <w:color w:val="FFFFFF" w:themeColor="background1"/>
                <w:sz w:val="22"/>
                <w:szCs w:val="22"/>
                <w:vertAlign w:val="superscript"/>
                <w:lang w:val="en-GB" w:eastAsia="en-GB"/>
              </w:rPr>
              <w:t xml:space="preserve">3 </w:t>
            </w:r>
            <w:r w:rsidRPr="00380A57">
              <w:rPr>
                <w:rFonts w:ascii="Calibri" w:hAnsi="Calibri"/>
                <w:b/>
                <w:color w:val="FFFFFF" w:themeColor="background1"/>
                <w:sz w:val="22"/>
                <w:szCs w:val="22"/>
                <w:lang w:val="en-GB" w:eastAsia="en-GB"/>
              </w:rPr>
              <w:t>(USD m)</w:t>
            </w:r>
          </w:p>
        </w:tc>
        <w:tc>
          <w:tcPr>
            <w:tcW w:w="1706" w:type="dxa"/>
            <w:vMerge/>
            <w:tcBorders>
              <w:left w:val="nil"/>
              <w:bottom w:val="single" w:sz="4" w:space="0" w:color="auto"/>
              <w:right w:val="single" w:sz="4" w:space="0" w:color="auto"/>
            </w:tcBorders>
            <w:shd w:val="clear" w:color="auto" w:fill="BFBFBF"/>
            <w:vAlign w:val="center"/>
          </w:tcPr>
          <w:p w14:paraId="5A48E636" w14:textId="77777777" w:rsidR="005D2DD7" w:rsidRPr="00205618" w:rsidRDefault="005D2DD7" w:rsidP="00E22458">
            <w:pPr>
              <w:jc w:val="center"/>
              <w:rPr>
                <w:rFonts w:ascii="Calibri" w:hAnsi="Calibri"/>
                <w:b/>
                <w:color w:val="000000"/>
                <w:sz w:val="22"/>
                <w:szCs w:val="22"/>
                <w:lang w:val="en-GB" w:eastAsia="en-GB"/>
              </w:rPr>
            </w:pPr>
          </w:p>
        </w:tc>
        <w:tc>
          <w:tcPr>
            <w:tcW w:w="1525" w:type="dxa"/>
            <w:vMerge/>
            <w:tcBorders>
              <w:left w:val="nil"/>
              <w:bottom w:val="single" w:sz="4" w:space="0" w:color="auto"/>
              <w:right w:val="single" w:sz="4" w:space="0" w:color="auto"/>
            </w:tcBorders>
            <w:shd w:val="clear" w:color="auto" w:fill="BFBFBF"/>
            <w:vAlign w:val="center"/>
          </w:tcPr>
          <w:p w14:paraId="39B4932A" w14:textId="77777777" w:rsidR="005D2DD7" w:rsidRPr="00205618" w:rsidRDefault="005D2DD7" w:rsidP="00E22458">
            <w:pPr>
              <w:jc w:val="center"/>
              <w:rPr>
                <w:rFonts w:ascii="Calibri" w:hAnsi="Calibri"/>
                <w:b/>
                <w:color w:val="000000"/>
                <w:sz w:val="22"/>
                <w:szCs w:val="22"/>
                <w:lang w:val="en-GB" w:eastAsia="en-GB"/>
              </w:rPr>
            </w:pPr>
          </w:p>
        </w:tc>
      </w:tr>
      <w:tr w:rsidR="005D2DD7" w:rsidRPr="00205618" w14:paraId="7C8419D6" w14:textId="77777777" w:rsidTr="00E22458">
        <w:trPr>
          <w:trHeight w:val="300"/>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247C9FC"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bCs/>
                <w:color w:val="000000"/>
                <w:sz w:val="22"/>
                <w:szCs w:val="22"/>
                <w:lang w:val="en-GB" w:eastAsia="en-GB"/>
              </w:rPr>
              <w:t>2013</w:t>
            </w:r>
          </w:p>
        </w:tc>
        <w:tc>
          <w:tcPr>
            <w:tcW w:w="1290" w:type="dxa"/>
            <w:tcBorders>
              <w:top w:val="nil"/>
              <w:left w:val="nil"/>
              <w:bottom w:val="single" w:sz="4" w:space="0" w:color="auto"/>
              <w:right w:val="single" w:sz="4" w:space="0" w:color="auto"/>
            </w:tcBorders>
            <w:shd w:val="clear" w:color="auto" w:fill="auto"/>
            <w:noWrap/>
            <w:vAlign w:val="center"/>
            <w:hideMark/>
          </w:tcPr>
          <w:p w14:paraId="671C8636"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6.31 </w:t>
            </w:r>
          </w:p>
        </w:tc>
        <w:tc>
          <w:tcPr>
            <w:tcW w:w="1455" w:type="dxa"/>
            <w:tcBorders>
              <w:top w:val="nil"/>
              <w:left w:val="nil"/>
              <w:bottom w:val="single" w:sz="4" w:space="0" w:color="auto"/>
              <w:right w:val="single" w:sz="4" w:space="0" w:color="auto"/>
            </w:tcBorders>
            <w:shd w:val="clear" w:color="auto" w:fill="auto"/>
            <w:noWrap/>
            <w:vAlign w:val="center"/>
            <w:hideMark/>
          </w:tcPr>
          <w:p w14:paraId="4C55B243"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1.33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EA49CB8"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0.73 </w:t>
            </w:r>
          </w:p>
        </w:tc>
        <w:tc>
          <w:tcPr>
            <w:tcW w:w="1800" w:type="dxa"/>
            <w:tcBorders>
              <w:top w:val="nil"/>
              <w:left w:val="nil"/>
              <w:bottom w:val="single" w:sz="4" w:space="0" w:color="auto"/>
              <w:right w:val="single" w:sz="4" w:space="0" w:color="auto"/>
            </w:tcBorders>
            <w:shd w:val="clear" w:color="auto" w:fill="auto"/>
            <w:noWrap/>
            <w:vAlign w:val="center"/>
            <w:hideMark/>
          </w:tcPr>
          <w:p w14:paraId="5C1CF34B" w14:textId="77777777" w:rsidR="005D2DD7" w:rsidRPr="00205618" w:rsidRDefault="005D2DD7" w:rsidP="00E22458">
            <w:pPr>
              <w:jc w:val="center"/>
              <w:rPr>
                <w:rFonts w:ascii="Calibri" w:hAnsi="Calibri"/>
                <w:i/>
                <w:iCs/>
                <w:color w:val="000000"/>
                <w:sz w:val="22"/>
                <w:szCs w:val="22"/>
                <w:lang w:val="en-GB" w:eastAsia="en-GB"/>
              </w:rPr>
            </w:pPr>
            <w:r w:rsidRPr="00205618">
              <w:rPr>
                <w:rFonts w:ascii="Calibri" w:hAnsi="Calibri"/>
                <w:color w:val="000000"/>
                <w:sz w:val="22"/>
                <w:szCs w:val="22"/>
              </w:rPr>
              <w:t xml:space="preserve"> 5.58 </w:t>
            </w:r>
          </w:p>
        </w:tc>
        <w:tc>
          <w:tcPr>
            <w:tcW w:w="1706" w:type="dxa"/>
            <w:tcBorders>
              <w:top w:val="nil"/>
              <w:left w:val="nil"/>
              <w:bottom w:val="single" w:sz="4" w:space="0" w:color="auto"/>
              <w:right w:val="single" w:sz="4" w:space="0" w:color="auto"/>
            </w:tcBorders>
            <w:shd w:val="clear" w:color="auto" w:fill="auto"/>
            <w:noWrap/>
            <w:vAlign w:val="center"/>
            <w:hideMark/>
          </w:tcPr>
          <w:p w14:paraId="5DAE63C7"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75.2%</w:t>
            </w:r>
          </w:p>
        </w:tc>
        <w:tc>
          <w:tcPr>
            <w:tcW w:w="1525" w:type="dxa"/>
            <w:tcBorders>
              <w:top w:val="nil"/>
              <w:left w:val="nil"/>
              <w:bottom w:val="single" w:sz="4" w:space="0" w:color="auto"/>
              <w:right w:val="single" w:sz="4" w:space="0" w:color="auto"/>
            </w:tcBorders>
            <w:shd w:val="clear" w:color="auto" w:fill="auto"/>
            <w:vAlign w:val="center"/>
            <w:hideMark/>
          </w:tcPr>
          <w:p w14:paraId="0636B9D7"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88.7%</w:t>
            </w:r>
          </w:p>
        </w:tc>
      </w:tr>
      <w:tr w:rsidR="005D2DD7" w:rsidRPr="00205618" w14:paraId="3D71DD20" w14:textId="77777777" w:rsidTr="00E22458">
        <w:trPr>
          <w:trHeight w:val="300"/>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2E01170"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lang w:val="en-GB" w:eastAsia="en-GB"/>
              </w:rPr>
              <w:t>2014</w:t>
            </w:r>
          </w:p>
        </w:tc>
        <w:tc>
          <w:tcPr>
            <w:tcW w:w="1290" w:type="dxa"/>
            <w:tcBorders>
              <w:top w:val="nil"/>
              <w:left w:val="nil"/>
              <w:bottom w:val="single" w:sz="4" w:space="0" w:color="auto"/>
              <w:right w:val="single" w:sz="4" w:space="0" w:color="auto"/>
            </w:tcBorders>
            <w:shd w:val="clear" w:color="auto" w:fill="auto"/>
            <w:noWrap/>
            <w:vAlign w:val="center"/>
            <w:hideMark/>
          </w:tcPr>
          <w:p w14:paraId="1909E8B5"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5.20 </w:t>
            </w:r>
          </w:p>
        </w:tc>
        <w:tc>
          <w:tcPr>
            <w:tcW w:w="1455" w:type="dxa"/>
            <w:tcBorders>
              <w:top w:val="nil"/>
              <w:left w:val="nil"/>
              <w:bottom w:val="single" w:sz="4" w:space="0" w:color="auto"/>
              <w:right w:val="single" w:sz="4" w:space="0" w:color="auto"/>
            </w:tcBorders>
            <w:shd w:val="clear" w:color="auto" w:fill="auto"/>
            <w:noWrap/>
            <w:vAlign w:val="center"/>
            <w:hideMark/>
          </w:tcPr>
          <w:p w14:paraId="2C311456"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1.25 </w:t>
            </w:r>
          </w:p>
        </w:tc>
        <w:tc>
          <w:tcPr>
            <w:tcW w:w="1530" w:type="dxa"/>
            <w:tcBorders>
              <w:top w:val="nil"/>
              <w:left w:val="nil"/>
              <w:bottom w:val="single" w:sz="4" w:space="0" w:color="auto"/>
              <w:right w:val="single" w:sz="4" w:space="0" w:color="auto"/>
            </w:tcBorders>
            <w:shd w:val="clear" w:color="auto" w:fill="auto"/>
            <w:noWrap/>
            <w:vAlign w:val="center"/>
            <w:hideMark/>
          </w:tcPr>
          <w:p w14:paraId="71E60400"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0.92 </w:t>
            </w:r>
          </w:p>
        </w:tc>
        <w:tc>
          <w:tcPr>
            <w:tcW w:w="1800" w:type="dxa"/>
            <w:tcBorders>
              <w:top w:val="nil"/>
              <w:left w:val="nil"/>
              <w:bottom w:val="single" w:sz="4" w:space="0" w:color="auto"/>
              <w:right w:val="single" w:sz="4" w:space="0" w:color="auto"/>
            </w:tcBorders>
            <w:shd w:val="clear" w:color="auto" w:fill="auto"/>
            <w:noWrap/>
            <w:vAlign w:val="center"/>
            <w:hideMark/>
          </w:tcPr>
          <w:p w14:paraId="20346F42"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4.29 </w:t>
            </w:r>
          </w:p>
        </w:tc>
        <w:tc>
          <w:tcPr>
            <w:tcW w:w="1706" w:type="dxa"/>
            <w:tcBorders>
              <w:top w:val="nil"/>
              <w:left w:val="nil"/>
              <w:bottom w:val="single" w:sz="4" w:space="0" w:color="auto"/>
              <w:right w:val="single" w:sz="4" w:space="0" w:color="auto"/>
            </w:tcBorders>
            <w:shd w:val="clear" w:color="auto" w:fill="auto"/>
            <w:noWrap/>
            <w:vAlign w:val="center"/>
            <w:hideMark/>
          </w:tcPr>
          <w:p w14:paraId="169D092D"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83.1%</w:t>
            </w:r>
          </w:p>
        </w:tc>
        <w:tc>
          <w:tcPr>
            <w:tcW w:w="1525" w:type="dxa"/>
            <w:tcBorders>
              <w:top w:val="nil"/>
              <w:left w:val="nil"/>
              <w:bottom w:val="single" w:sz="4" w:space="0" w:color="auto"/>
              <w:right w:val="single" w:sz="4" w:space="0" w:color="auto"/>
            </w:tcBorders>
            <w:shd w:val="clear" w:color="auto" w:fill="auto"/>
            <w:vAlign w:val="center"/>
            <w:hideMark/>
          </w:tcPr>
          <w:p w14:paraId="2175C0CB"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107.1%</w:t>
            </w:r>
          </w:p>
        </w:tc>
      </w:tr>
      <w:tr w:rsidR="005D2DD7" w:rsidRPr="00205618" w14:paraId="7EA81CEE" w14:textId="77777777" w:rsidTr="00E22458">
        <w:trPr>
          <w:trHeight w:val="300"/>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43CE300"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lang w:val="en-GB" w:eastAsia="en-GB"/>
              </w:rPr>
              <w:t>2015</w:t>
            </w:r>
          </w:p>
        </w:tc>
        <w:tc>
          <w:tcPr>
            <w:tcW w:w="1290" w:type="dxa"/>
            <w:tcBorders>
              <w:top w:val="nil"/>
              <w:left w:val="nil"/>
              <w:bottom w:val="single" w:sz="4" w:space="0" w:color="auto"/>
              <w:right w:val="single" w:sz="4" w:space="0" w:color="auto"/>
            </w:tcBorders>
            <w:shd w:val="clear" w:color="auto" w:fill="auto"/>
            <w:noWrap/>
            <w:vAlign w:val="center"/>
            <w:hideMark/>
          </w:tcPr>
          <w:p w14:paraId="3EDD50B1"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5.08 </w:t>
            </w:r>
          </w:p>
        </w:tc>
        <w:tc>
          <w:tcPr>
            <w:tcW w:w="1455" w:type="dxa"/>
            <w:tcBorders>
              <w:top w:val="nil"/>
              <w:left w:val="nil"/>
              <w:bottom w:val="single" w:sz="4" w:space="0" w:color="auto"/>
              <w:right w:val="single" w:sz="4" w:space="0" w:color="auto"/>
            </w:tcBorders>
            <w:shd w:val="clear" w:color="auto" w:fill="auto"/>
            <w:noWrap/>
            <w:vAlign w:val="center"/>
            <w:hideMark/>
          </w:tcPr>
          <w:p w14:paraId="4B6D5A09"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1.11 </w:t>
            </w:r>
          </w:p>
        </w:tc>
        <w:tc>
          <w:tcPr>
            <w:tcW w:w="1530" w:type="dxa"/>
            <w:tcBorders>
              <w:top w:val="nil"/>
              <w:left w:val="nil"/>
              <w:bottom w:val="single" w:sz="4" w:space="0" w:color="auto"/>
              <w:right w:val="single" w:sz="4" w:space="0" w:color="auto"/>
            </w:tcBorders>
            <w:shd w:val="clear" w:color="auto" w:fill="auto"/>
            <w:noWrap/>
            <w:vAlign w:val="center"/>
            <w:hideMark/>
          </w:tcPr>
          <w:p w14:paraId="3D23ECE7"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0.77 </w:t>
            </w:r>
          </w:p>
        </w:tc>
        <w:tc>
          <w:tcPr>
            <w:tcW w:w="1800" w:type="dxa"/>
            <w:tcBorders>
              <w:top w:val="nil"/>
              <w:left w:val="nil"/>
              <w:bottom w:val="single" w:sz="4" w:space="0" w:color="auto"/>
              <w:right w:val="single" w:sz="4" w:space="0" w:color="auto"/>
            </w:tcBorders>
            <w:shd w:val="clear" w:color="auto" w:fill="auto"/>
            <w:noWrap/>
            <w:vAlign w:val="center"/>
            <w:hideMark/>
          </w:tcPr>
          <w:p w14:paraId="26442765"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4.31 </w:t>
            </w:r>
          </w:p>
        </w:tc>
        <w:tc>
          <w:tcPr>
            <w:tcW w:w="1706" w:type="dxa"/>
            <w:tcBorders>
              <w:top w:val="nil"/>
              <w:left w:val="nil"/>
              <w:bottom w:val="single" w:sz="4" w:space="0" w:color="auto"/>
              <w:right w:val="single" w:sz="4" w:space="0" w:color="auto"/>
            </w:tcBorders>
            <w:shd w:val="clear" w:color="auto" w:fill="auto"/>
            <w:noWrap/>
            <w:vAlign w:val="center"/>
            <w:hideMark/>
          </w:tcPr>
          <w:p w14:paraId="1FA8207D"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88.0%</w:t>
            </w:r>
          </w:p>
        </w:tc>
        <w:tc>
          <w:tcPr>
            <w:tcW w:w="1525" w:type="dxa"/>
            <w:tcBorders>
              <w:top w:val="nil"/>
              <w:left w:val="nil"/>
              <w:bottom w:val="single" w:sz="4" w:space="0" w:color="auto"/>
              <w:right w:val="single" w:sz="4" w:space="0" w:color="auto"/>
            </w:tcBorders>
            <w:shd w:val="clear" w:color="auto" w:fill="auto"/>
            <w:vAlign w:val="center"/>
            <w:hideMark/>
          </w:tcPr>
          <w:p w14:paraId="0FF32A3D"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108.8%</w:t>
            </w:r>
          </w:p>
        </w:tc>
      </w:tr>
      <w:tr w:rsidR="005D2DD7" w:rsidRPr="00205618" w14:paraId="29C32572" w14:textId="77777777" w:rsidTr="00E22458">
        <w:trPr>
          <w:trHeight w:val="300"/>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26ACE33"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lang w:val="en-GB" w:eastAsia="en-GB"/>
              </w:rPr>
              <w:t>2016</w:t>
            </w:r>
          </w:p>
        </w:tc>
        <w:tc>
          <w:tcPr>
            <w:tcW w:w="1290" w:type="dxa"/>
            <w:tcBorders>
              <w:top w:val="nil"/>
              <w:left w:val="nil"/>
              <w:bottom w:val="single" w:sz="4" w:space="0" w:color="auto"/>
              <w:right w:val="single" w:sz="4" w:space="0" w:color="auto"/>
            </w:tcBorders>
            <w:shd w:val="clear" w:color="auto" w:fill="auto"/>
            <w:noWrap/>
            <w:vAlign w:val="center"/>
            <w:hideMark/>
          </w:tcPr>
          <w:p w14:paraId="26753832"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9.40 </w:t>
            </w:r>
          </w:p>
        </w:tc>
        <w:tc>
          <w:tcPr>
            <w:tcW w:w="1455" w:type="dxa"/>
            <w:tcBorders>
              <w:top w:val="nil"/>
              <w:left w:val="nil"/>
              <w:bottom w:val="single" w:sz="4" w:space="0" w:color="auto"/>
              <w:right w:val="single" w:sz="4" w:space="0" w:color="auto"/>
            </w:tcBorders>
            <w:shd w:val="clear" w:color="auto" w:fill="auto"/>
            <w:noWrap/>
            <w:vAlign w:val="center"/>
            <w:hideMark/>
          </w:tcPr>
          <w:p w14:paraId="79F99C72"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0.82 </w:t>
            </w:r>
          </w:p>
        </w:tc>
        <w:tc>
          <w:tcPr>
            <w:tcW w:w="1530" w:type="dxa"/>
            <w:tcBorders>
              <w:top w:val="nil"/>
              <w:left w:val="nil"/>
              <w:bottom w:val="single" w:sz="4" w:space="0" w:color="auto"/>
              <w:right w:val="single" w:sz="4" w:space="0" w:color="auto"/>
            </w:tcBorders>
            <w:shd w:val="clear" w:color="auto" w:fill="auto"/>
            <w:noWrap/>
            <w:vAlign w:val="center"/>
            <w:hideMark/>
          </w:tcPr>
          <w:p w14:paraId="77F3A9C9"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0.76 </w:t>
            </w:r>
          </w:p>
        </w:tc>
        <w:tc>
          <w:tcPr>
            <w:tcW w:w="1800" w:type="dxa"/>
            <w:tcBorders>
              <w:top w:val="nil"/>
              <w:left w:val="nil"/>
              <w:bottom w:val="single" w:sz="4" w:space="0" w:color="auto"/>
              <w:right w:val="single" w:sz="4" w:space="0" w:color="auto"/>
            </w:tcBorders>
            <w:shd w:val="clear" w:color="auto" w:fill="auto"/>
            <w:noWrap/>
            <w:vAlign w:val="center"/>
            <w:hideMark/>
          </w:tcPr>
          <w:p w14:paraId="59C58545"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 xml:space="preserve"> 8.64 </w:t>
            </w:r>
          </w:p>
        </w:tc>
        <w:tc>
          <w:tcPr>
            <w:tcW w:w="1706" w:type="dxa"/>
            <w:tcBorders>
              <w:top w:val="nil"/>
              <w:left w:val="nil"/>
              <w:bottom w:val="single" w:sz="4" w:space="0" w:color="auto"/>
              <w:right w:val="single" w:sz="4" w:space="0" w:color="auto"/>
            </w:tcBorders>
            <w:shd w:val="clear" w:color="auto" w:fill="auto"/>
            <w:noWrap/>
            <w:vAlign w:val="center"/>
            <w:hideMark/>
          </w:tcPr>
          <w:p w14:paraId="09968EA6"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82.5%</w:t>
            </w:r>
          </w:p>
        </w:tc>
        <w:tc>
          <w:tcPr>
            <w:tcW w:w="1525" w:type="dxa"/>
            <w:tcBorders>
              <w:top w:val="nil"/>
              <w:left w:val="nil"/>
              <w:bottom w:val="single" w:sz="4" w:space="0" w:color="auto"/>
              <w:right w:val="single" w:sz="4" w:space="0" w:color="auto"/>
            </w:tcBorders>
            <w:shd w:val="clear" w:color="auto" w:fill="auto"/>
            <w:vAlign w:val="center"/>
            <w:hideMark/>
          </w:tcPr>
          <w:p w14:paraId="6FEB1CF7" w14:textId="77777777" w:rsidR="005D2DD7" w:rsidRPr="00205618" w:rsidRDefault="005D2DD7" w:rsidP="00E22458">
            <w:pPr>
              <w:jc w:val="center"/>
              <w:rPr>
                <w:rFonts w:ascii="Calibri" w:hAnsi="Calibri"/>
                <w:color w:val="000000"/>
                <w:sz w:val="22"/>
                <w:szCs w:val="22"/>
                <w:lang w:val="en-GB" w:eastAsia="en-GB"/>
              </w:rPr>
            </w:pPr>
            <w:r w:rsidRPr="00205618">
              <w:rPr>
                <w:rFonts w:ascii="Calibri" w:hAnsi="Calibri"/>
                <w:color w:val="000000"/>
                <w:sz w:val="22"/>
                <w:szCs w:val="22"/>
              </w:rPr>
              <w:t>109.3%</w:t>
            </w:r>
          </w:p>
        </w:tc>
      </w:tr>
      <w:tr w:rsidR="005D2DD7" w:rsidRPr="00205618" w14:paraId="79090B41" w14:textId="77777777" w:rsidTr="00E22458">
        <w:trPr>
          <w:trHeight w:val="300"/>
          <w:jc w:val="center"/>
        </w:trPr>
        <w:tc>
          <w:tcPr>
            <w:tcW w:w="683" w:type="dxa"/>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3E8047AD"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lang w:val="en-GB" w:eastAsia="en-GB"/>
              </w:rPr>
              <w:t>Total</w:t>
            </w:r>
          </w:p>
        </w:tc>
        <w:tc>
          <w:tcPr>
            <w:tcW w:w="1290" w:type="dxa"/>
            <w:tcBorders>
              <w:top w:val="nil"/>
              <w:left w:val="nil"/>
              <w:bottom w:val="single" w:sz="4" w:space="0" w:color="auto"/>
              <w:right w:val="single" w:sz="4" w:space="0" w:color="auto"/>
            </w:tcBorders>
            <w:shd w:val="clear" w:color="auto" w:fill="365F91" w:themeFill="accent1" w:themeFillShade="BF"/>
            <w:noWrap/>
            <w:vAlign w:val="center"/>
            <w:hideMark/>
          </w:tcPr>
          <w:p w14:paraId="5A4A99B4"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rPr>
              <w:t xml:space="preserve"> 26.00 </w:t>
            </w:r>
          </w:p>
        </w:tc>
        <w:tc>
          <w:tcPr>
            <w:tcW w:w="1455" w:type="dxa"/>
            <w:tcBorders>
              <w:top w:val="nil"/>
              <w:left w:val="nil"/>
              <w:bottom w:val="single" w:sz="4" w:space="0" w:color="auto"/>
              <w:right w:val="single" w:sz="4" w:space="0" w:color="auto"/>
            </w:tcBorders>
            <w:shd w:val="clear" w:color="auto" w:fill="365F91" w:themeFill="accent1" w:themeFillShade="BF"/>
            <w:noWrap/>
            <w:vAlign w:val="center"/>
            <w:hideMark/>
          </w:tcPr>
          <w:p w14:paraId="7AF770C5"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rPr>
              <w:t xml:space="preserve"> 4.51 </w:t>
            </w:r>
          </w:p>
        </w:tc>
        <w:tc>
          <w:tcPr>
            <w:tcW w:w="1530" w:type="dxa"/>
            <w:tcBorders>
              <w:top w:val="nil"/>
              <w:left w:val="nil"/>
              <w:bottom w:val="single" w:sz="4" w:space="0" w:color="auto"/>
              <w:right w:val="single" w:sz="4" w:space="0" w:color="auto"/>
            </w:tcBorders>
            <w:shd w:val="clear" w:color="auto" w:fill="365F91" w:themeFill="accent1" w:themeFillShade="BF"/>
            <w:noWrap/>
            <w:vAlign w:val="center"/>
            <w:hideMark/>
          </w:tcPr>
          <w:p w14:paraId="01AE225E"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rPr>
              <w:t xml:space="preserve"> 3.18 </w:t>
            </w:r>
          </w:p>
        </w:tc>
        <w:tc>
          <w:tcPr>
            <w:tcW w:w="1800" w:type="dxa"/>
            <w:tcBorders>
              <w:top w:val="nil"/>
              <w:left w:val="nil"/>
              <w:bottom w:val="single" w:sz="4" w:space="0" w:color="auto"/>
              <w:right w:val="single" w:sz="4" w:space="0" w:color="auto"/>
            </w:tcBorders>
            <w:shd w:val="clear" w:color="auto" w:fill="365F91" w:themeFill="accent1" w:themeFillShade="BF"/>
            <w:noWrap/>
            <w:vAlign w:val="center"/>
            <w:hideMark/>
          </w:tcPr>
          <w:p w14:paraId="106919BD"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rPr>
              <w:t xml:space="preserve"> 22.82 </w:t>
            </w:r>
          </w:p>
        </w:tc>
        <w:tc>
          <w:tcPr>
            <w:tcW w:w="1706" w:type="dxa"/>
            <w:tcBorders>
              <w:top w:val="nil"/>
              <w:left w:val="nil"/>
              <w:bottom w:val="single" w:sz="4" w:space="0" w:color="auto"/>
              <w:right w:val="single" w:sz="4" w:space="0" w:color="auto"/>
            </w:tcBorders>
            <w:shd w:val="clear" w:color="auto" w:fill="365F91" w:themeFill="accent1" w:themeFillShade="BF"/>
            <w:noWrap/>
            <w:vAlign w:val="center"/>
            <w:hideMark/>
          </w:tcPr>
          <w:p w14:paraId="2B0D13DF"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rPr>
              <w:t>81.7%</w:t>
            </w:r>
          </w:p>
        </w:tc>
        <w:tc>
          <w:tcPr>
            <w:tcW w:w="1525" w:type="dxa"/>
            <w:tcBorders>
              <w:top w:val="nil"/>
              <w:left w:val="nil"/>
              <w:bottom w:val="single" w:sz="4" w:space="0" w:color="auto"/>
              <w:right w:val="single" w:sz="4" w:space="0" w:color="auto"/>
            </w:tcBorders>
            <w:shd w:val="clear" w:color="auto" w:fill="365F91" w:themeFill="accent1" w:themeFillShade="BF"/>
            <w:vAlign w:val="center"/>
            <w:hideMark/>
          </w:tcPr>
          <w:p w14:paraId="2FC022F0" w14:textId="77777777" w:rsidR="005D2DD7" w:rsidRPr="00380A57" w:rsidRDefault="005D2DD7" w:rsidP="00E22458">
            <w:pPr>
              <w:jc w:val="center"/>
              <w:rPr>
                <w:rFonts w:ascii="Calibri" w:hAnsi="Calibri"/>
                <w:b/>
                <w:color w:val="FFFFFF" w:themeColor="background1"/>
                <w:sz w:val="22"/>
                <w:szCs w:val="22"/>
                <w:lang w:val="en-GB" w:eastAsia="en-GB"/>
              </w:rPr>
            </w:pPr>
            <w:r w:rsidRPr="00380A57">
              <w:rPr>
                <w:rFonts w:ascii="Calibri" w:hAnsi="Calibri"/>
                <w:b/>
                <w:color w:val="FFFFFF" w:themeColor="background1"/>
                <w:sz w:val="22"/>
                <w:szCs w:val="22"/>
              </w:rPr>
              <w:t>101.6%</w:t>
            </w:r>
          </w:p>
        </w:tc>
      </w:tr>
    </w:tbl>
    <w:tbl>
      <w:tblPr>
        <w:tblStyle w:val="TableGrid"/>
        <w:tblpPr w:leftFromText="180" w:rightFromText="180" w:vertAnchor="text" w:horzAnchor="margin" w:tblpXSpec="center" w:tblpY="252"/>
        <w:tblW w:w="0" w:type="auto"/>
        <w:tblLook w:val="04A0" w:firstRow="1" w:lastRow="0" w:firstColumn="1" w:lastColumn="0" w:noHBand="0" w:noVBand="1"/>
      </w:tblPr>
      <w:tblGrid>
        <w:gridCol w:w="2059"/>
        <w:gridCol w:w="1868"/>
        <w:gridCol w:w="2046"/>
        <w:gridCol w:w="1958"/>
        <w:gridCol w:w="1974"/>
      </w:tblGrid>
      <w:tr w:rsidR="005D2DD7" w:rsidRPr="006900FE" w14:paraId="7F44516D" w14:textId="77777777" w:rsidTr="00332A42">
        <w:tc>
          <w:tcPr>
            <w:tcW w:w="2059" w:type="dxa"/>
            <w:tcBorders>
              <w:bottom w:val="nil"/>
            </w:tcBorders>
            <w:shd w:val="clear" w:color="auto" w:fill="365F91" w:themeFill="accent1" w:themeFillShade="BF"/>
          </w:tcPr>
          <w:p w14:paraId="21974654" w14:textId="77777777" w:rsidR="005D2DD7" w:rsidRPr="005D2DD7" w:rsidRDefault="005D2DD7" w:rsidP="005D2DD7">
            <w:pPr>
              <w:jc w:val="center"/>
              <w:rPr>
                <w:rFonts w:ascii="Calibri" w:hAnsi="Calibri"/>
                <w:b/>
                <w:color w:val="FFFFFF" w:themeColor="background1"/>
                <w:sz w:val="22"/>
                <w:szCs w:val="22"/>
                <w:lang w:val="en-GB" w:eastAsia="en-GB"/>
              </w:rPr>
            </w:pPr>
            <w:r w:rsidRPr="005D2DD7">
              <w:rPr>
                <w:rFonts w:ascii="Calibri" w:hAnsi="Calibri"/>
                <w:b/>
                <w:color w:val="FFFFFF" w:themeColor="background1"/>
                <w:sz w:val="22"/>
                <w:szCs w:val="22"/>
                <w:lang w:val="en-GB" w:eastAsia="en-GB"/>
              </w:rPr>
              <w:t>Focus Area</w:t>
            </w:r>
          </w:p>
        </w:tc>
        <w:tc>
          <w:tcPr>
            <w:tcW w:w="5872" w:type="dxa"/>
            <w:gridSpan w:val="3"/>
            <w:tcBorders>
              <w:bottom w:val="nil"/>
            </w:tcBorders>
            <w:shd w:val="clear" w:color="auto" w:fill="365F91" w:themeFill="accent1" w:themeFillShade="BF"/>
          </w:tcPr>
          <w:p w14:paraId="4371BD63" w14:textId="77777777" w:rsidR="005D2DD7" w:rsidRPr="005D2DD7" w:rsidRDefault="005D2DD7" w:rsidP="005D2DD7">
            <w:pPr>
              <w:jc w:val="center"/>
              <w:rPr>
                <w:rFonts w:ascii="Calibri" w:hAnsi="Calibri"/>
                <w:b/>
                <w:color w:val="FFFFFF" w:themeColor="background1"/>
                <w:sz w:val="22"/>
                <w:szCs w:val="22"/>
                <w:lang w:val="en-GB" w:eastAsia="en-GB"/>
              </w:rPr>
            </w:pPr>
            <w:r w:rsidRPr="005D2DD7">
              <w:rPr>
                <w:rFonts w:ascii="Calibri" w:hAnsi="Calibri"/>
                <w:b/>
                <w:color w:val="FFFFFF" w:themeColor="background1"/>
                <w:sz w:val="22"/>
                <w:szCs w:val="22"/>
                <w:lang w:val="en-GB" w:eastAsia="en-GB"/>
              </w:rPr>
              <w:t>Programme Expenditure ($)</w:t>
            </w:r>
          </w:p>
        </w:tc>
        <w:tc>
          <w:tcPr>
            <w:tcW w:w="1974" w:type="dxa"/>
            <w:tcBorders>
              <w:bottom w:val="nil"/>
            </w:tcBorders>
            <w:shd w:val="clear" w:color="auto" w:fill="365F91" w:themeFill="accent1" w:themeFillShade="BF"/>
          </w:tcPr>
          <w:p w14:paraId="7D7B53A1" w14:textId="77777777" w:rsidR="005D2DD7" w:rsidRPr="005D2DD7" w:rsidRDefault="005D2DD7" w:rsidP="005D2DD7">
            <w:pPr>
              <w:jc w:val="center"/>
              <w:rPr>
                <w:rFonts w:ascii="Calibri" w:hAnsi="Calibri"/>
                <w:b/>
                <w:color w:val="FFFFFF" w:themeColor="background1"/>
                <w:sz w:val="22"/>
                <w:szCs w:val="22"/>
                <w:lang w:val="en-GB" w:eastAsia="en-GB"/>
              </w:rPr>
            </w:pPr>
            <w:r w:rsidRPr="005D2DD7">
              <w:rPr>
                <w:rFonts w:ascii="Calibri" w:hAnsi="Calibri"/>
                <w:b/>
                <w:color w:val="FFFFFF" w:themeColor="background1"/>
                <w:sz w:val="22"/>
                <w:szCs w:val="22"/>
                <w:lang w:val="en-GB" w:eastAsia="en-GB"/>
              </w:rPr>
              <w:t>% of Total</w:t>
            </w:r>
          </w:p>
        </w:tc>
      </w:tr>
      <w:tr w:rsidR="005D2DD7" w:rsidRPr="006900FE" w14:paraId="318FD717" w14:textId="77777777" w:rsidTr="00332A42">
        <w:tc>
          <w:tcPr>
            <w:tcW w:w="2059" w:type="dxa"/>
            <w:tcBorders>
              <w:top w:val="nil"/>
            </w:tcBorders>
          </w:tcPr>
          <w:p w14:paraId="7AF4D23B" w14:textId="77777777" w:rsidR="005D2DD7" w:rsidRPr="006900FE" w:rsidRDefault="005D2DD7" w:rsidP="005D2DD7">
            <w:pPr>
              <w:pStyle w:val="BodyText2"/>
              <w:rPr>
                <w:rFonts w:asciiTheme="minorHAnsi" w:hAnsiTheme="minorHAnsi"/>
              </w:rPr>
            </w:pPr>
          </w:p>
        </w:tc>
        <w:tc>
          <w:tcPr>
            <w:tcW w:w="1868" w:type="dxa"/>
            <w:tcBorders>
              <w:top w:val="nil"/>
            </w:tcBorders>
          </w:tcPr>
          <w:p w14:paraId="1D322995" w14:textId="77777777" w:rsidR="005D2DD7" w:rsidRPr="006900FE" w:rsidRDefault="005D2DD7" w:rsidP="005D2DD7">
            <w:pPr>
              <w:pStyle w:val="BodyText2"/>
              <w:jc w:val="center"/>
              <w:rPr>
                <w:rFonts w:asciiTheme="minorHAnsi" w:hAnsiTheme="minorHAnsi"/>
              </w:rPr>
            </w:pPr>
            <w:r w:rsidRPr="006900FE">
              <w:rPr>
                <w:rFonts w:asciiTheme="minorHAnsi" w:hAnsiTheme="minorHAnsi"/>
              </w:rPr>
              <w:t>Regular (TRAC)</w:t>
            </w:r>
          </w:p>
        </w:tc>
        <w:tc>
          <w:tcPr>
            <w:tcW w:w="2046" w:type="dxa"/>
            <w:tcBorders>
              <w:top w:val="nil"/>
            </w:tcBorders>
          </w:tcPr>
          <w:p w14:paraId="2871EE41" w14:textId="77777777" w:rsidR="005D2DD7" w:rsidRPr="006900FE" w:rsidRDefault="005D2DD7" w:rsidP="005D2DD7">
            <w:pPr>
              <w:pStyle w:val="BodyText2"/>
              <w:jc w:val="center"/>
              <w:rPr>
                <w:rFonts w:asciiTheme="minorHAnsi" w:hAnsiTheme="minorHAnsi"/>
              </w:rPr>
            </w:pPr>
            <w:r w:rsidRPr="006900FE">
              <w:rPr>
                <w:rFonts w:asciiTheme="minorHAnsi" w:hAnsiTheme="minorHAnsi"/>
              </w:rPr>
              <w:t>Other</w:t>
            </w:r>
          </w:p>
        </w:tc>
        <w:tc>
          <w:tcPr>
            <w:tcW w:w="1958" w:type="dxa"/>
            <w:tcBorders>
              <w:top w:val="nil"/>
            </w:tcBorders>
          </w:tcPr>
          <w:p w14:paraId="35CE0523" w14:textId="77777777" w:rsidR="005D2DD7" w:rsidRPr="006900FE" w:rsidRDefault="005D2DD7" w:rsidP="005D2DD7">
            <w:pPr>
              <w:pStyle w:val="BodyText2"/>
              <w:jc w:val="center"/>
              <w:rPr>
                <w:rFonts w:asciiTheme="minorHAnsi" w:hAnsiTheme="minorHAnsi"/>
              </w:rPr>
            </w:pPr>
            <w:r w:rsidRPr="006900FE">
              <w:rPr>
                <w:rFonts w:asciiTheme="minorHAnsi" w:hAnsiTheme="minorHAnsi"/>
              </w:rPr>
              <w:t>Total</w:t>
            </w:r>
          </w:p>
        </w:tc>
        <w:tc>
          <w:tcPr>
            <w:tcW w:w="1974" w:type="dxa"/>
            <w:tcBorders>
              <w:top w:val="nil"/>
            </w:tcBorders>
          </w:tcPr>
          <w:p w14:paraId="3BA7DB2B" w14:textId="77777777" w:rsidR="005D2DD7" w:rsidRPr="006900FE" w:rsidRDefault="005D2DD7" w:rsidP="005D2DD7">
            <w:pPr>
              <w:pStyle w:val="BodyText2"/>
              <w:jc w:val="center"/>
              <w:rPr>
                <w:rFonts w:asciiTheme="minorHAnsi" w:hAnsiTheme="minorHAnsi"/>
              </w:rPr>
            </w:pPr>
          </w:p>
        </w:tc>
      </w:tr>
      <w:tr w:rsidR="005D2DD7" w:rsidRPr="006900FE" w14:paraId="490776D1" w14:textId="77777777" w:rsidTr="005D2DD7">
        <w:tc>
          <w:tcPr>
            <w:tcW w:w="2059" w:type="dxa"/>
          </w:tcPr>
          <w:p w14:paraId="763B585B" w14:textId="77777777" w:rsidR="005D2DD7" w:rsidRPr="006900FE" w:rsidRDefault="005D2DD7" w:rsidP="005D2DD7">
            <w:pPr>
              <w:pStyle w:val="BodyText2"/>
              <w:rPr>
                <w:rFonts w:asciiTheme="minorHAnsi" w:hAnsiTheme="minorHAnsi"/>
              </w:rPr>
            </w:pPr>
            <w:r w:rsidRPr="006900FE">
              <w:rPr>
                <w:rFonts w:asciiTheme="minorHAnsi" w:hAnsiTheme="minorHAnsi"/>
              </w:rPr>
              <w:t>Poverty and MDGs</w:t>
            </w:r>
          </w:p>
        </w:tc>
        <w:tc>
          <w:tcPr>
            <w:tcW w:w="1868" w:type="dxa"/>
          </w:tcPr>
          <w:p w14:paraId="5DB99471" w14:textId="77777777" w:rsidR="005D2DD7" w:rsidRPr="006900FE" w:rsidRDefault="005D2DD7" w:rsidP="005D2DD7">
            <w:pPr>
              <w:pStyle w:val="BodyText2"/>
              <w:jc w:val="center"/>
              <w:rPr>
                <w:rFonts w:asciiTheme="minorHAnsi" w:hAnsiTheme="minorHAnsi"/>
              </w:rPr>
            </w:pPr>
            <w:r>
              <w:rPr>
                <w:rFonts w:asciiTheme="minorHAnsi" w:hAnsiTheme="minorHAnsi"/>
              </w:rPr>
              <w:t>2,000,000</w:t>
            </w:r>
          </w:p>
        </w:tc>
        <w:tc>
          <w:tcPr>
            <w:tcW w:w="2046" w:type="dxa"/>
          </w:tcPr>
          <w:p w14:paraId="338096C8" w14:textId="77777777" w:rsidR="005D2DD7" w:rsidRPr="006900FE" w:rsidRDefault="005D2DD7" w:rsidP="005D2DD7">
            <w:pPr>
              <w:pStyle w:val="BodyText2"/>
              <w:jc w:val="center"/>
              <w:rPr>
                <w:rFonts w:asciiTheme="minorHAnsi" w:hAnsiTheme="minorHAnsi"/>
              </w:rPr>
            </w:pPr>
            <w:r>
              <w:rPr>
                <w:rFonts w:asciiTheme="minorHAnsi" w:hAnsiTheme="minorHAnsi"/>
              </w:rPr>
              <w:t>16,000,000</w:t>
            </w:r>
          </w:p>
        </w:tc>
        <w:tc>
          <w:tcPr>
            <w:tcW w:w="1958" w:type="dxa"/>
          </w:tcPr>
          <w:p w14:paraId="6725476D" w14:textId="77777777" w:rsidR="005D2DD7" w:rsidRPr="006900FE" w:rsidRDefault="005D2DD7" w:rsidP="005D2DD7">
            <w:pPr>
              <w:pStyle w:val="BodyText2"/>
              <w:jc w:val="center"/>
              <w:rPr>
                <w:rFonts w:asciiTheme="minorHAnsi" w:hAnsiTheme="minorHAnsi"/>
              </w:rPr>
            </w:pPr>
            <w:r>
              <w:rPr>
                <w:rFonts w:asciiTheme="minorHAnsi" w:hAnsiTheme="minorHAnsi"/>
              </w:rPr>
              <w:t>18,000,000</w:t>
            </w:r>
          </w:p>
        </w:tc>
        <w:tc>
          <w:tcPr>
            <w:tcW w:w="1974" w:type="dxa"/>
          </w:tcPr>
          <w:p w14:paraId="1C321976" w14:textId="77777777" w:rsidR="005D2DD7" w:rsidRPr="006900FE" w:rsidRDefault="005D2DD7" w:rsidP="005D2DD7">
            <w:pPr>
              <w:pStyle w:val="BodyText2"/>
              <w:jc w:val="center"/>
              <w:rPr>
                <w:rFonts w:asciiTheme="minorHAnsi" w:hAnsiTheme="minorHAnsi"/>
              </w:rPr>
            </w:pPr>
            <w:r>
              <w:rPr>
                <w:rFonts w:asciiTheme="minorHAnsi" w:hAnsiTheme="minorHAnsi"/>
              </w:rPr>
              <w:t>66,14</w:t>
            </w:r>
          </w:p>
        </w:tc>
      </w:tr>
      <w:tr w:rsidR="005D2DD7" w:rsidRPr="006900FE" w14:paraId="4D861F41" w14:textId="77777777" w:rsidTr="005D2DD7">
        <w:tc>
          <w:tcPr>
            <w:tcW w:w="2059" w:type="dxa"/>
          </w:tcPr>
          <w:p w14:paraId="3E661D8C" w14:textId="77777777" w:rsidR="005D2DD7" w:rsidRPr="006900FE" w:rsidRDefault="005D2DD7" w:rsidP="005D2DD7">
            <w:pPr>
              <w:pStyle w:val="BodyText2"/>
              <w:rPr>
                <w:rFonts w:asciiTheme="minorHAnsi" w:hAnsiTheme="minorHAnsi"/>
              </w:rPr>
            </w:pPr>
            <w:r w:rsidRPr="006900FE">
              <w:rPr>
                <w:rFonts w:asciiTheme="minorHAnsi" w:hAnsiTheme="minorHAnsi"/>
              </w:rPr>
              <w:t>Democratic Governance</w:t>
            </w:r>
          </w:p>
        </w:tc>
        <w:tc>
          <w:tcPr>
            <w:tcW w:w="1868" w:type="dxa"/>
          </w:tcPr>
          <w:p w14:paraId="6E8853BB" w14:textId="77777777" w:rsidR="005D2DD7" w:rsidRDefault="005D2DD7" w:rsidP="005D2DD7">
            <w:pPr>
              <w:pStyle w:val="BodyText2"/>
              <w:jc w:val="center"/>
              <w:rPr>
                <w:rFonts w:asciiTheme="minorHAnsi" w:hAnsiTheme="minorHAnsi"/>
              </w:rPr>
            </w:pPr>
            <w:r>
              <w:rPr>
                <w:rFonts w:asciiTheme="minorHAnsi" w:hAnsiTheme="minorHAnsi"/>
              </w:rPr>
              <w:t>1,266,000</w:t>
            </w:r>
          </w:p>
          <w:p w14:paraId="7F011EE5" w14:textId="77777777" w:rsidR="005D2DD7" w:rsidRPr="006900FE" w:rsidRDefault="005D2DD7" w:rsidP="005D2DD7">
            <w:pPr>
              <w:pStyle w:val="BodyText2"/>
              <w:jc w:val="center"/>
              <w:rPr>
                <w:rFonts w:asciiTheme="minorHAnsi" w:hAnsiTheme="minorHAnsi"/>
              </w:rPr>
            </w:pPr>
          </w:p>
        </w:tc>
        <w:tc>
          <w:tcPr>
            <w:tcW w:w="2046" w:type="dxa"/>
          </w:tcPr>
          <w:p w14:paraId="690B4208" w14:textId="77777777" w:rsidR="005D2DD7" w:rsidRPr="006900FE" w:rsidRDefault="005D2DD7" w:rsidP="005D2DD7">
            <w:pPr>
              <w:pStyle w:val="BodyText2"/>
              <w:jc w:val="center"/>
              <w:rPr>
                <w:rFonts w:asciiTheme="minorHAnsi" w:hAnsiTheme="minorHAnsi"/>
              </w:rPr>
            </w:pPr>
            <w:r>
              <w:rPr>
                <w:rFonts w:asciiTheme="minorHAnsi" w:hAnsiTheme="minorHAnsi"/>
              </w:rPr>
              <w:t>650,000</w:t>
            </w:r>
          </w:p>
        </w:tc>
        <w:tc>
          <w:tcPr>
            <w:tcW w:w="1958" w:type="dxa"/>
          </w:tcPr>
          <w:p w14:paraId="6FF11D12" w14:textId="77777777" w:rsidR="005D2DD7" w:rsidRPr="006900FE" w:rsidRDefault="005D2DD7" w:rsidP="005D2DD7">
            <w:pPr>
              <w:pStyle w:val="BodyText2"/>
              <w:jc w:val="center"/>
              <w:rPr>
                <w:rFonts w:asciiTheme="minorHAnsi" w:hAnsiTheme="minorHAnsi"/>
              </w:rPr>
            </w:pPr>
            <w:r>
              <w:rPr>
                <w:rFonts w:asciiTheme="minorHAnsi" w:hAnsiTheme="minorHAnsi"/>
              </w:rPr>
              <w:t>19,160,000</w:t>
            </w:r>
          </w:p>
        </w:tc>
        <w:tc>
          <w:tcPr>
            <w:tcW w:w="1974" w:type="dxa"/>
          </w:tcPr>
          <w:p w14:paraId="0FF53886" w14:textId="77777777" w:rsidR="005D2DD7" w:rsidRPr="006900FE" w:rsidRDefault="005D2DD7" w:rsidP="005D2DD7">
            <w:pPr>
              <w:pStyle w:val="BodyText2"/>
              <w:jc w:val="center"/>
              <w:rPr>
                <w:rFonts w:asciiTheme="minorHAnsi" w:hAnsiTheme="minorHAnsi"/>
              </w:rPr>
            </w:pPr>
            <w:r>
              <w:rPr>
                <w:rFonts w:asciiTheme="minorHAnsi" w:hAnsiTheme="minorHAnsi"/>
              </w:rPr>
              <w:t>7,04</w:t>
            </w:r>
          </w:p>
        </w:tc>
      </w:tr>
      <w:tr w:rsidR="005D2DD7" w:rsidRPr="006900FE" w14:paraId="07DBAA74" w14:textId="77777777" w:rsidTr="005D2DD7">
        <w:tc>
          <w:tcPr>
            <w:tcW w:w="2059" w:type="dxa"/>
          </w:tcPr>
          <w:p w14:paraId="2D69F1C2" w14:textId="77777777" w:rsidR="005D2DD7" w:rsidRPr="006900FE" w:rsidRDefault="005D2DD7" w:rsidP="005D2DD7">
            <w:pPr>
              <w:pStyle w:val="BodyText2"/>
              <w:rPr>
                <w:rFonts w:asciiTheme="minorHAnsi" w:hAnsiTheme="minorHAnsi"/>
              </w:rPr>
            </w:pPr>
            <w:r w:rsidRPr="006900FE">
              <w:rPr>
                <w:rFonts w:asciiTheme="minorHAnsi" w:hAnsiTheme="minorHAnsi"/>
              </w:rPr>
              <w:t>Crisis Prevention and Recovery</w:t>
            </w:r>
          </w:p>
        </w:tc>
        <w:tc>
          <w:tcPr>
            <w:tcW w:w="1868" w:type="dxa"/>
          </w:tcPr>
          <w:p w14:paraId="546C5D97" w14:textId="77777777" w:rsidR="005D2DD7" w:rsidRPr="006900FE" w:rsidRDefault="005D2DD7" w:rsidP="005D2DD7">
            <w:pPr>
              <w:pStyle w:val="BodyText2"/>
              <w:jc w:val="center"/>
              <w:rPr>
                <w:rFonts w:asciiTheme="minorHAnsi" w:hAnsiTheme="minorHAnsi"/>
              </w:rPr>
            </w:pPr>
            <w:r>
              <w:rPr>
                <w:rFonts w:asciiTheme="minorHAnsi" w:hAnsiTheme="minorHAnsi"/>
              </w:rPr>
              <w:t>50,000</w:t>
            </w:r>
          </w:p>
        </w:tc>
        <w:tc>
          <w:tcPr>
            <w:tcW w:w="2046" w:type="dxa"/>
          </w:tcPr>
          <w:p w14:paraId="5C4F59F2" w14:textId="77777777" w:rsidR="005D2DD7" w:rsidRPr="006900FE" w:rsidRDefault="005D2DD7" w:rsidP="005D2DD7">
            <w:pPr>
              <w:pStyle w:val="BodyText2"/>
              <w:jc w:val="center"/>
              <w:rPr>
                <w:rFonts w:asciiTheme="minorHAnsi" w:hAnsiTheme="minorHAnsi"/>
              </w:rPr>
            </w:pPr>
            <w:r>
              <w:rPr>
                <w:rFonts w:asciiTheme="minorHAnsi" w:hAnsiTheme="minorHAnsi"/>
              </w:rPr>
              <w:t>50,000</w:t>
            </w:r>
          </w:p>
        </w:tc>
        <w:tc>
          <w:tcPr>
            <w:tcW w:w="1958" w:type="dxa"/>
          </w:tcPr>
          <w:p w14:paraId="6B3A8EEC" w14:textId="77777777" w:rsidR="005D2DD7" w:rsidRPr="006900FE" w:rsidRDefault="005D2DD7" w:rsidP="005D2DD7">
            <w:pPr>
              <w:pStyle w:val="BodyText2"/>
              <w:jc w:val="center"/>
              <w:rPr>
                <w:rFonts w:asciiTheme="minorHAnsi" w:hAnsiTheme="minorHAnsi"/>
              </w:rPr>
            </w:pPr>
            <w:r>
              <w:rPr>
                <w:rFonts w:asciiTheme="minorHAnsi" w:hAnsiTheme="minorHAnsi"/>
              </w:rPr>
              <w:t>100,000</w:t>
            </w:r>
          </w:p>
        </w:tc>
        <w:tc>
          <w:tcPr>
            <w:tcW w:w="1974" w:type="dxa"/>
          </w:tcPr>
          <w:p w14:paraId="4089F729" w14:textId="77777777" w:rsidR="005D2DD7" w:rsidRPr="006900FE" w:rsidRDefault="005D2DD7" w:rsidP="005D2DD7">
            <w:pPr>
              <w:pStyle w:val="BodyText2"/>
              <w:jc w:val="center"/>
              <w:rPr>
                <w:rFonts w:asciiTheme="minorHAnsi" w:hAnsiTheme="minorHAnsi"/>
              </w:rPr>
            </w:pPr>
            <w:r>
              <w:rPr>
                <w:rFonts w:asciiTheme="minorHAnsi" w:hAnsiTheme="minorHAnsi"/>
              </w:rPr>
              <w:t>0,37</w:t>
            </w:r>
          </w:p>
        </w:tc>
      </w:tr>
      <w:tr w:rsidR="005D2DD7" w:rsidRPr="006900FE" w14:paraId="65100B67" w14:textId="77777777" w:rsidTr="005D2DD7">
        <w:tc>
          <w:tcPr>
            <w:tcW w:w="2059" w:type="dxa"/>
          </w:tcPr>
          <w:p w14:paraId="1126CD5B" w14:textId="77777777" w:rsidR="005D2DD7" w:rsidRPr="006900FE" w:rsidRDefault="005D2DD7" w:rsidP="005D2DD7">
            <w:pPr>
              <w:pStyle w:val="BodyText2"/>
              <w:rPr>
                <w:rFonts w:asciiTheme="minorHAnsi" w:hAnsiTheme="minorHAnsi"/>
              </w:rPr>
            </w:pPr>
            <w:r w:rsidRPr="006900FE">
              <w:rPr>
                <w:rFonts w:asciiTheme="minorHAnsi" w:hAnsiTheme="minorHAnsi"/>
              </w:rPr>
              <w:t>Environment and Sustainable Development</w:t>
            </w:r>
          </w:p>
        </w:tc>
        <w:tc>
          <w:tcPr>
            <w:tcW w:w="1868" w:type="dxa"/>
          </w:tcPr>
          <w:p w14:paraId="18A0CBCA" w14:textId="77777777" w:rsidR="005D2DD7" w:rsidRDefault="005D2DD7" w:rsidP="005D2DD7">
            <w:pPr>
              <w:pStyle w:val="BodyText2"/>
              <w:jc w:val="center"/>
              <w:rPr>
                <w:rFonts w:asciiTheme="minorHAnsi" w:hAnsiTheme="minorHAnsi"/>
              </w:rPr>
            </w:pPr>
            <w:r>
              <w:rPr>
                <w:rFonts w:asciiTheme="minorHAnsi" w:hAnsiTheme="minorHAnsi"/>
              </w:rPr>
              <w:t>200,000</w:t>
            </w:r>
          </w:p>
          <w:p w14:paraId="6BB6D2E8" w14:textId="77777777" w:rsidR="005D2DD7" w:rsidRPr="006900FE" w:rsidRDefault="005D2DD7" w:rsidP="005D2DD7">
            <w:pPr>
              <w:pStyle w:val="BodyText2"/>
              <w:jc w:val="center"/>
              <w:rPr>
                <w:rFonts w:asciiTheme="minorHAnsi" w:hAnsiTheme="minorHAnsi"/>
              </w:rPr>
            </w:pPr>
          </w:p>
        </w:tc>
        <w:tc>
          <w:tcPr>
            <w:tcW w:w="2046" w:type="dxa"/>
          </w:tcPr>
          <w:p w14:paraId="5FC5F5E8" w14:textId="77777777" w:rsidR="005D2DD7" w:rsidRPr="006900FE" w:rsidRDefault="005D2DD7" w:rsidP="005D2DD7">
            <w:pPr>
              <w:pStyle w:val="BodyText2"/>
              <w:jc w:val="center"/>
              <w:rPr>
                <w:rFonts w:asciiTheme="minorHAnsi" w:hAnsiTheme="minorHAnsi"/>
              </w:rPr>
            </w:pPr>
            <w:r>
              <w:rPr>
                <w:rFonts w:asciiTheme="minorHAnsi" w:hAnsiTheme="minorHAnsi"/>
              </w:rPr>
              <w:t>7,000,000</w:t>
            </w:r>
          </w:p>
        </w:tc>
        <w:tc>
          <w:tcPr>
            <w:tcW w:w="1958" w:type="dxa"/>
          </w:tcPr>
          <w:p w14:paraId="4877A736" w14:textId="77777777" w:rsidR="005D2DD7" w:rsidRPr="006900FE" w:rsidRDefault="005D2DD7" w:rsidP="005D2DD7">
            <w:pPr>
              <w:pStyle w:val="BodyText2"/>
              <w:jc w:val="center"/>
              <w:rPr>
                <w:rFonts w:asciiTheme="minorHAnsi" w:hAnsiTheme="minorHAnsi"/>
              </w:rPr>
            </w:pPr>
            <w:r>
              <w:rPr>
                <w:rFonts w:asciiTheme="minorHAnsi" w:hAnsiTheme="minorHAnsi"/>
              </w:rPr>
              <w:t>72,000,000</w:t>
            </w:r>
          </w:p>
        </w:tc>
        <w:tc>
          <w:tcPr>
            <w:tcW w:w="1974" w:type="dxa"/>
          </w:tcPr>
          <w:p w14:paraId="3156ABF8" w14:textId="77777777" w:rsidR="005D2DD7" w:rsidRPr="006900FE" w:rsidRDefault="005D2DD7" w:rsidP="005D2DD7">
            <w:pPr>
              <w:pStyle w:val="BodyText2"/>
              <w:jc w:val="center"/>
              <w:rPr>
                <w:rFonts w:asciiTheme="minorHAnsi" w:hAnsiTheme="minorHAnsi"/>
              </w:rPr>
            </w:pPr>
            <w:r>
              <w:rPr>
                <w:rFonts w:asciiTheme="minorHAnsi" w:hAnsiTheme="minorHAnsi"/>
              </w:rPr>
              <w:t>26,46</w:t>
            </w:r>
          </w:p>
        </w:tc>
      </w:tr>
      <w:tr w:rsidR="005D2DD7" w:rsidRPr="006900FE" w14:paraId="497FF116" w14:textId="77777777" w:rsidTr="00332A42">
        <w:tc>
          <w:tcPr>
            <w:tcW w:w="2059" w:type="dxa"/>
            <w:shd w:val="clear" w:color="auto" w:fill="365F91" w:themeFill="accent1" w:themeFillShade="BF"/>
          </w:tcPr>
          <w:p w14:paraId="3392651B" w14:textId="77777777" w:rsidR="005D2DD7" w:rsidRPr="00332A42" w:rsidRDefault="005D2DD7" w:rsidP="005D2DD7">
            <w:pPr>
              <w:pStyle w:val="BodyText2"/>
              <w:jc w:val="center"/>
              <w:rPr>
                <w:rFonts w:asciiTheme="minorHAnsi" w:hAnsiTheme="minorHAnsi"/>
                <w:color w:val="FFFFFF" w:themeColor="background1"/>
              </w:rPr>
            </w:pPr>
            <w:r w:rsidRPr="00332A42">
              <w:rPr>
                <w:rFonts w:asciiTheme="minorHAnsi" w:hAnsiTheme="minorHAnsi"/>
                <w:color w:val="FFFFFF" w:themeColor="background1"/>
              </w:rPr>
              <w:t>Total</w:t>
            </w:r>
          </w:p>
        </w:tc>
        <w:tc>
          <w:tcPr>
            <w:tcW w:w="1868" w:type="dxa"/>
            <w:shd w:val="clear" w:color="auto" w:fill="365F91" w:themeFill="accent1" w:themeFillShade="BF"/>
          </w:tcPr>
          <w:p w14:paraId="123D8BDC" w14:textId="77777777" w:rsidR="005D2DD7" w:rsidRPr="00332A42" w:rsidRDefault="005D2DD7" w:rsidP="005D2DD7">
            <w:pPr>
              <w:pStyle w:val="BodyText2"/>
              <w:jc w:val="center"/>
              <w:rPr>
                <w:rFonts w:asciiTheme="minorHAnsi" w:hAnsiTheme="minorHAnsi"/>
                <w:b/>
                <w:color w:val="FFFFFF" w:themeColor="background1"/>
              </w:rPr>
            </w:pPr>
            <w:r w:rsidRPr="00332A42">
              <w:rPr>
                <w:rFonts w:asciiTheme="minorHAnsi" w:hAnsiTheme="minorHAnsi"/>
                <w:b/>
                <w:color w:val="FFFFFF" w:themeColor="background1"/>
              </w:rPr>
              <w:t>3,516,000</w:t>
            </w:r>
          </w:p>
        </w:tc>
        <w:tc>
          <w:tcPr>
            <w:tcW w:w="2046" w:type="dxa"/>
            <w:shd w:val="clear" w:color="auto" w:fill="365F91" w:themeFill="accent1" w:themeFillShade="BF"/>
          </w:tcPr>
          <w:p w14:paraId="5E2B4299" w14:textId="77777777" w:rsidR="005D2DD7" w:rsidRPr="00332A42" w:rsidRDefault="005D2DD7" w:rsidP="005D2DD7">
            <w:pPr>
              <w:pStyle w:val="BodyText2"/>
              <w:jc w:val="center"/>
              <w:rPr>
                <w:rFonts w:asciiTheme="minorHAnsi" w:hAnsiTheme="minorHAnsi"/>
                <w:b/>
                <w:color w:val="FFFFFF" w:themeColor="background1"/>
              </w:rPr>
            </w:pPr>
            <w:r w:rsidRPr="00332A42">
              <w:rPr>
                <w:rFonts w:asciiTheme="minorHAnsi" w:hAnsiTheme="minorHAnsi"/>
                <w:b/>
                <w:color w:val="FFFFFF" w:themeColor="background1"/>
              </w:rPr>
              <w:t>23,700,000</w:t>
            </w:r>
          </w:p>
        </w:tc>
        <w:tc>
          <w:tcPr>
            <w:tcW w:w="1958" w:type="dxa"/>
            <w:shd w:val="clear" w:color="auto" w:fill="365F91" w:themeFill="accent1" w:themeFillShade="BF"/>
          </w:tcPr>
          <w:p w14:paraId="3CA6D2F4" w14:textId="77777777" w:rsidR="005D2DD7" w:rsidRPr="00332A42" w:rsidRDefault="005D2DD7" w:rsidP="005D2DD7">
            <w:pPr>
              <w:pStyle w:val="BodyText2"/>
              <w:jc w:val="center"/>
              <w:rPr>
                <w:rFonts w:asciiTheme="minorHAnsi" w:hAnsiTheme="minorHAnsi"/>
                <w:b/>
                <w:color w:val="FFFFFF" w:themeColor="background1"/>
              </w:rPr>
            </w:pPr>
            <w:r w:rsidRPr="00332A42">
              <w:rPr>
                <w:rFonts w:asciiTheme="minorHAnsi" w:hAnsiTheme="minorHAnsi"/>
                <w:b/>
                <w:color w:val="FFFFFF" w:themeColor="background1"/>
              </w:rPr>
              <w:t>27,216,000</w:t>
            </w:r>
          </w:p>
        </w:tc>
        <w:tc>
          <w:tcPr>
            <w:tcW w:w="1974" w:type="dxa"/>
            <w:shd w:val="clear" w:color="auto" w:fill="365F91" w:themeFill="accent1" w:themeFillShade="BF"/>
          </w:tcPr>
          <w:p w14:paraId="66F7BFA4" w14:textId="77777777" w:rsidR="005D2DD7" w:rsidRPr="00332A42" w:rsidRDefault="005D2DD7" w:rsidP="005D2DD7">
            <w:pPr>
              <w:pStyle w:val="BodyText2"/>
              <w:jc w:val="center"/>
              <w:rPr>
                <w:rFonts w:asciiTheme="minorHAnsi" w:hAnsiTheme="minorHAnsi"/>
                <w:b/>
                <w:color w:val="FFFFFF" w:themeColor="background1"/>
              </w:rPr>
            </w:pPr>
            <w:r w:rsidRPr="00332A42">
              <w:rPr>
                <w:rFonts w:asciiTheme="minorHAnsi" w:hAnsiTheme="minorHAnsi"/>
                <w:b/>
                <w:color w:val="FFFFFF" w:themeColor="background1"/>
              </w:rPr>
              <w:t>100</w:t>
            </w:r>
          </w:p>
        </w:tc>
      </w:tr>
    </w:tbl>
    <w:p w14:paraId="79F08A81" w14:textId="77777777" w:rsidR="005D2DD7" w:rsidRPr="005474ED" w:rsidRDefault="005D2DD7" w:rsidP="00E37E7A">
      <w:pPr>
        <w:pStyle w:val="BodyText2"/>
        <w:jc w:val="center"/>
        <w:rPr>
          <w:rFonts w:asciiTheme="minorHAnsi" w:hAnsiTheme="minorHAnsi"/>
          <w:sz w:val="24"/>
        </w:rPr>
      </w:pPr>
    </w:p>
    <w:p w14:paraId="4CB66999" w14:textId="77ADDFA6" w:rsidR="00635929" w:rsidRDefault="00635929" w:rsidP="002315A5">
      <w:pPr>
        <w:pStyle w:val="BodyText2"/>
        <w:rPr>
          <w:rFonts w:asciiTheme="minorHAnsi" w:hAnsiTheme="minorHAnsi"/>
          <w:sz w:val="24"/>
        </w:rPr>
      </w:pPr>
    </w:p>
    <w:p w14:paraId="6469DB0A" w14:textId="62F0B952" w:rsidR="005D2DD7" w:rsidRDefault="005D2DD7" w:rsidP="002315A5">
      <w:pPr>
        <w:pStyle w:val="BodyText2"/>
        <w:rPr>
          <w:rFonts w:asciiTheme="minorHAnsi" w:hAnsiTheme="minorHAnsi"/>
          <w:sz w:val="24"/>
        </w:rPr>
      </w:pPr>
    </w:p>
    <w:p w14:paraId="4802631E" w14:textId="4814D878" w:rsidR="005D2DD7" w:rsidRDefault="005D2DD7" w:rsidP="002315A5">
      <w:pPr>
        <w:pStyle w:val="BodyText2"/>
        <w:rPr>
          <w:rFonts w:asciiTheme="minorHAnsi" w:hAnsiTheme="minorHAnsi"/>
          <w:sz w:val="24"/>
        </w:rPr>
      </w:pPr>
    </w:p>
    <w:p w14:paraId="62C142DE" w14:textId="6C233764" w:rsidR="005D2DD7" w:rsidRDefault="005D2DD7" w:rsidP="002315A5">
      <w:pPr>
        <w:pStyle w:val="BodyText2"/>
        <w:rPr>
          <w:rFonts w:asciiTheme="minorHAnsi" w:hAnsiTheme="minorHAnsi"/>
          <w:sz w:val="24"/>
        </w:rPr>
      </w:pPr>
    </w:p>
    <w:p w14:paraId="1E10E207" w14:textId="5C97BE74" w:rsidR="005D2DD7" w:rsidRDefault="005D2DD7" w:rsidP="002315A5">
      <w:pPr>
        <w:pStyle w:val="BodyText2"/>
        <w:rPr>
          <w:rFonts w:asciiTheme="minorHAnsi" w:hAnsiTheme="minorHAnsi"/>
          <w:sz w:val="24"/>
        </w:rPr>
      </w:pPr>
    </w:p>
    <w:p w14:paraId="44723EC2" w14:textId="7658D46E" w:rsidR="005D2DD7" w:rsidRDefault="005D2DD7" w:rsidP="002315A5">
      <w:pPr>
        <w:pStyle w:val="BodyText2"/>
        <w:rPr>
          <w:rFonts w:asciiTheme="minorHAnsi" w:hAnsiTheme="minorHAnsi"/>
          <w:sz w:val="24"/>
        </w:rPr>
      </w:pPr>
    </w:p>
    <w:p w14:paraId="48DA7260" w14:textId="748DD8D4" w:rsidR="005D2DD7" w:rsidRDefault="005D2DD7" w:rsidP="002315A5">
      <w:pPr>
        <w:pStyle w:val="BodyText2"/>
        <w:rPr>
          <w:rFonts w:asciiTheme="minorHAnsi" w:hAnsiTheme="minorHAnsi"/>
          <w:sz w:val="24"/>
        </w:rPr>
      </w:pPr>
    </w:p>
    <w:p w14:paraId="00C42C23" w14:textId="5C2FB1C7" w:rsidR="005D2DD7" w:rsidRDefault="005D2DD7" w:rsidP="002315A5">
      <w:pPr>
        <w:pStyle w:val="BodyText2"/>
        <w:rPr>
          <w:rFonts w:asciiTheme="minorHAnsi" w:hAnsiTheme="minorHAnsi"/>
          <w:sz w:val="24"/>
        </w:rPr>
      </w:pPr>
    </w:p>
    <w:p w14:paraId="2CC3F4DD" w14:textId="5E3D1903" w:rsidR="005D2DD7" w:rsidRDefault="005D2DD7" w:rsidP="002315A5">
      <w:pPr>
        <w:pStyle w:val="BodyText2"/>
        <w:rPr>
          <w:rFonts w:asciiTheme="minorHAnsi" w:hAnsiTheme="minorHAnsi"/>
          <w:sz w:val="24"/>
        </w:rPr>
      </w:pPr>
    </w:p>
    <w:p w14:paraId="68F57B8D" w14:textId="77777777" w:rsidR="005D2DD7" w:rsidRPr="006900FE" w:rsidRDefault="005D2DD7"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03136C0B" w14:textId="77777777" w:rsidTr="00B64ACA">
        <w:tc>
          <w:tcPr>
            <w:tcW w:w="14176" w:type="dxa"/>
          </w:tcPr>
          <w:p w14:paraId="0CFDE3A8" w14:textId="77777777"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6F140C82" w14:textId="77777777" w:rsidTr="00B64ACA">
        <w:tc>
          <w:tcPr>
            <w:tcW w:w="14176" w:type="dxa"/>
          </w:tcPr>
          <w:p w14:paraId="1B248477" w14:textId="77777777" w:rsidR="00B64ACA" w:rsidRPr="006900FE" w:rsidRDefault="00B64ACA" w:rsidP="002315A5">
            <w:pPr>
              <w:pStyle w:val="BodyText2"/>
              <w:rPr>
                <w:rFonts w:asciiTheme="minorHAnsi" w:hAnsiTheme="minorHAnsi"/>
                <w:b/>
              </w:rPr>
            </w:pPr>
          </w:p>
          <w:p w14:paraId="22C80928" w14:textId="7D29EFC4" w:rsidR="008D791F" w:rsidRPr="006900FE" w:rsidRDefault="00672191" w:rsidP="00332A42">
            <w:pPr>
              <w:pStyle w:val="BodyText2"/>
              <w:rPr>
                <w:rFonts w:asciiTheme="minorHAnsi" w:hAnsiTheme="minorHAnsi"/>
                <w:b/>
              </w:rPr>
            </w:pPr>
            <w:r w:rsidRPr="00672191">
              <w:rPr>
                <w:rFonts w:asciiTheme="minorHAnsi" w:hAnsiTheme="minorHAnsi"/>
              </w:rPr>
              <w:t xml:space="preserve">The sources are from </w:t>
            </w:r>
            <w:r w:rsidR="00906595" w:rsidRPr="00672191">
              <w:rPr>
                <w:rFonts w:asciiTheme="minorHAnsi" w:hAnsiTheme="minorHAnsi"/>
              </w:rPr>
              <w:t>various project</w:t>
            </w:r>
            <w:r w:rsidR="000E146B">
              <w:rPr>
                <w:rFonts w:asciiTheme="minorHAnsi" w:hAnsiTheme="minorHAnsi"/>
              </w:rPr>
              <w:t xml:space="preserve">   reports and government </w:t>
            </w:r>
            <w:r w:rsidR="00906595">
              <w:rPr>
                <w:rFonts w:asciiTheme="minorHAnsi" w:hAnsiTheme="minorHAnsi"/>
              </w:rPr>
              <w:t>institutions.</w:t>
            </w:r>
          </w:p>
        </w:tc>
      </w:tr>
    </w:tbl>
    <w:p w14:paraId="6F30D448"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4B37" w14:textId="77777777" w:rsidR="00673157" w:rsidRDefault="00673157">
      <w:r>
        <w:separator/>
      </w:r>
    </w:p>
  </w:endnote>
  <w:endnote w:type="continuationSeparator" w:id="0">
    <w:p w14:paraId="7418A911" w14:textId="77777777" w:rsidR="00673157" w:rsidRDefault="006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14:paraId="2FF04163" w14:textId="7FF06388" w:rsidR="005719DF" w:rsidRDefault="005719DF">
        <w:pPr>
          <w:pStyle w:val="Footer"/>
          <w:jc w:val="center"/>
        </w:pPr>
        <w:r>
          <w:fldChar w:fldCharType="begin"/>
        </w:r>
        <w:r>
          <w:instrText xml:space="preserve"> PAGE   \* MERGEFORMAT </w:instrText>
        </w:r>
        <w:r>
          <w:fldChar w:fldCharType="separate"/>
        </w:r>
        <w:r w:rsidR="00E959CE">
          <w:rPr>
            <w:noProof/>
          </w:rPr>
          <w:t>1</w:t>
        </w:r>
        <w:r>
          <w:rPr>
            <w:noProof/>
          </w:rPr>
          <w:fldChar w:fldCharType="end"/>
        </w:r>
      </w:p>
    </w:sdtContent>
  </w:sdt>
  <w:p w14:paraId="2F09343B" w14:textId="77777777" w:rsidR="005719DF" w:rsidRDefault="0057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2031" w14:textId="77777777" w:rsidR="00673157" w:rsidRDefault="00673157">
      <w:r>
        <w:separator/>
      </w:r>
    </w:p>
  </w:footnote>
  <w:footnote w:type="continuationSeparator" w:id="0">
    <w:p w14:paraId="43DC408C" w14:textId="77777777" w:rsidR="00673157" w:rsidRDefault="00673157">
      <w:r>
        <w:continuationSeparator/>
      </w:r>
    </w:p>
  </w:footnote>
  <w:footnote w:id="1">
    <w:p w14:paraId="415FE91E" w14:textId="77777777" w:rsidR="005719DF" w:rsidRPr="0064746F" w:rsidRDefault="005719DF">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6B01B40C" w14:textId="77777777" w:rsidR="005D2DD7" w:rsidRPr="00C438A7" w:rsidRDefault="005D2DD7" w:rsidP="005D2DD7">
      <w:pPr>
        <w:pStyle w:val="FootnoteText"/>
        <w:jc w:val="both"/>
        <w:rPr>
          <w:rFonts w:asciiTheme="minorHAnsi" w:hAnsiTheme="minorHAnsi" w:cstheme="minorHAnsi"/>
          <w:sz w:val="22"/>
        </w:rPr>
      </w:pPr>
      <w:r w:rsidRPr="00C438A7">
        <w:rPr>
          <w:rStyle w:val="FootnoteReference"/>
          <w:rFonts w:asciiTheme="minorHAnsi" w:hAnsiTheme="minorHAnsi" w:cstheme="minorHAnsi"/>
          <w:szCs w:val="18"/>
        </w:rPr>
        <w:footnoteRef/>
      </w:r>
      <w:r w:rsidRPr="00C438A7">
        <w:rPr>
          <w:rFonts w:asciiTheme="minorHAnsi" w:hAnsiTheme="minorHAnsi" w:cstheme="minorHAnsi"/>
          <w:szCs w:val="18"/>
        </w:rPr>
        <w:t xml:space="preserve"> Data from Office Resource Overview (ORO)</w:t>
      </w:r>
    </w:p>
  </w:footnote>
  <w:footnote w:id="3">
    <w:p w14:paraId="3B651EE1" w14:textId="77777777" w:rsidR="005D2DD7" w:rsidRPr="00C438A7" w:rsidRDefault="005D2DD7" w:rsidP="005D2DD7">
      <w:pPr>
        <w:pStyle w:val="FootnoteText"/>
        <w:jc w:val="both"/>
        <w:rPr>
          <w:sz w:val="18"/>
          <w:szCs w:val="18"/>
        </w:rPr>
      </w:pPr>
      <w:r w:rsidRPr="00C438A7">
        <w:rPr>
          <w:rStyle w:val="FootnoteReference"/>
          <w:rFonts w:asciiTheme="minorHAnsi" w:hAnsiTheme="minorHAnsi" w:cstheme="minorHAnsi"/>
          <w:szCs w:val="18"/>
        </w:rPr>
        <w:footnoteRef/>
      </w:r>
      <w:r w:rsidRPr="00C438A7">
        <w:rPr>
          <w:rFonts w:asciiTheme="minorHAnsi" w:hAnsiTheme="minorHAnsi" w:cstheme="minorHAnsi"/>
          <w:szCs w:val="18"/>
        </w:rPr>
        <w:t xml:space="preserve"> Data from Project Resource Overview (PRO)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8B7"/>
    <w:multiLevelType w:val="hybridMultilevel"/>
    <w:tmpl w:val="0804D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71851"/>
    <w:multiLevelType w:val="hybridMultilevel"/>
    <w:tmpl w:val="A83A5C46"/>
    <w:lvl w:ilvl="0" w:tplc="1326F5F0">
      <w:start w:val="1"/>
      <w:numFmt w:val="bullet"/>
      <w:lvlText w:val="-"/>
      <w:lvlJc w:val="left"/>
      <w:pPr>
        <w:ind w:left="1003" w:hanging="360"/>
      </w:pPr>
      <w:rPr>
        <w:rFonts w:ascii="Bookman Old Style" w:eastAsiaTheme="minorHAnsi" w:hAnsi="Bookman Old Style" w:cstheme="minorHAns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B71A2"/>
    <w:multiLevelType w:val="hybridMultilevel"/>
    <w:tmpl w:val="66B46A6A"/>
    <w:lvl w:ilvl="0" w:tplc="1326F5F0">
      <w:start w:val="1"/>
      <w:numFmt w:val="bullet"/>
      <w:lvlText w:val="-"/>
      <w:lvlJc w:val="left"/>
      <w:pPr>
        <w:ind w:left="720" w:hanging="360"/>
      </w:pPr>
      <w:rPr>
        <w:rFonts w:ascii="Bookman Old Style" w:eastAsiaTheme="minorHAnsi" w:hAnsi="Bookman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3794D"/>
    <w:multiLevelType w:val="hybridMultilevel"/>
    <w:tmpl w:val="A4B8AE8E"/>
    <w:lvl w:ilvl="0" w:tplc="1326F5F0">
      <w:start w:val="1"/>
      <w:numFmt w:val="bullet"/>
      <w:lvlText w:val="-"/>
      <w:lvlJc w:val="left"/>
      <w:pPr>
        <w:ind w:left="360" w:hanging="360"/>
      </w:pPr>
      <w:rPr>
        <w:rFonts w:ascii="Bookman Old Style" w:eastAsiaTheme="minorHAnsi" w:hAnsi="Bookman Old Style"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366FB0"/>
    <w:multiLevelType w:val="hybridMultilevel"/>
    <w:tmpl w:val="F446CF5E"/>
    <w:lvl w:ilvl="0" w:tplc="1326F5F0">
      <w:start w:val="1"/>
      <w:numFmt w:val="bullet"/>
      <w:lvlText w:val="-"/>
      <w:lvlJc w:val="left"/>
      <w:pPr>
        <w:ind w:left="720" w:hanging="360"/>
      </w:pPr>
      <w:rPr>
        <w:rFonts w:ascii="Bookman Old Style" w:eastAsiaTheme="minorHAnsi" w:hAnsi="Bookman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96880"/>
    <w:multiLevelType w:val="hybridMultilevel"/>
    <w:tmpl w:val="7A5CBF96"/>
    <w:lvl w:ilvl="0" w:tplc="5242FD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8773F"/>
    <w:multiLevelType w:val="hybridMultilevel"/>
    <w:tmpl w:val="082485CE"/>
    <w:lvl w:ilvl="0" w:tplc="5242FD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B14DA7"/>
    <w:multiLevelType w:val="hybridMultilevel"/>
    <w:tmpl w:val="7D023DF8"/>
    <w:lvl w:ilvl="0" w:tplc="1326F5F0">
      <w:start w:val="1"/>
      <w:numFmt w:val="bullet"/>
      <w:lvlText w:val="-"/>
      <w:lvlJc w:val="left"/>
      <w:pPr>
        <w:ind w:left="720" w:hanging="360"/>
      </w:pPr>
      <w:rPr>
        <w:rFonts w:ascii="Bookman Old Style" w:eastAsiaTheme="minorHAnsi" w:hAnsi="Bookman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F19FD"/>
    <w:multiLevelType w:val="hybridMultilevel"/>
    <w:tmpl w:val="6EA668A0"/>
    <w:lvl w:ilvl="0" w:tplc="040C0005">
      <w:start w:val="1"/>
      <w:numFmt w:val="bullet"/>
      <w:lvlText w:val=""/>
      <w:lvlJc w:val="left"/>
      <w:pPr>
        <w:ind w:left="720" w:hanging="360"/>
      </w:pPr>
      <w:rPr>
        <w:rFonts w:ascii="Wingdings" w:hAnsi="Wingdings" w:cs="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01A1D"/>
    <w:multiLevelType w:val="hybridMultilevel"/>
    <w:tmpl w:val="DEEA4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9" w15:restartNumberingAfterBreak="0">
    <w:nsid w:val="3EBF6B8B"/>
    <w:multiLevelType w:val="hybridMultilevel"/>
    <w:tmpl w:val="080C21F8"/>
    <w:lvl w:ilvl="0" w:tplc="5242FD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676EC"/>
    <w:multiLevelType w:val="hybridMultilevel"/>
    <w:tmpl w:val="F6C0E902"/>
    <w:lvl w:ilvl="0" w:tplc="5242FD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4E16B3"/>
    <w:multiLevelType w:val="hybridMultilevel"/>
    <w:tmpl w:val="229AB4CA"/>
    <w:lvl w:ilvl="0" w:tplc="5242FD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A81C30"/>
    <w:multiLevelType w:val="hybridMultilevel"/>
    <w:tmpl w:val="88582E4C"/>
    <w:lvl w:ilvl="0" w:tplc="03DEBE50">
      <w:start w:val="1202"/>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942184"/>
    <w:multiLevelType w:val="hybridMultilevel"/>
    <w:tmpl w:val="EEA2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61C4F96"/>
    <w:multiLevelType w:val="hybridMultilevel"/>
    <w:tmpl w:val="C6F4005C"/>
    <w:lvl w:ilvl="0" w:tplc="1326F5F0">
      <w:start w:val="1"/>
      <w:numFmt w:val="bullet"/>
      <w:lvlText w:val="-"/>
      <w:lvlJc w:val="left"/>
      <w:pPr>
        <w:ind w:left="720" w:hanging="360"/>
      </w:pPr>
      <w:rPr>
        <w:rFonts w:ascii="Bookman Old Style" w:eastAsiaTheme="minorHAnsi" w:hAnsi="Bookman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710E64"/>
    <w:multiLevelType w:val="hybridMultilevel"/>
    <w:tmpl w:val="89064ECE"/>
    <w:lvl w:ilvl="0" w:tplc="A3E89AF8">
      <w:start w:val="1202"/>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7"/>
  </w:num>
  <w:num w:numId="5">
    <w:abstractNumId w:val="25"/>
  </w:num>
  <w:num w:numId="6">
    <w:abstractNumId w:val="27"/>
  </w:num>
  <w:num w:numId="7">
    <w:abstractNumId w:val="4"/>
  </w:num>
  <w:num w:numId="8">
    <w:abstractNumId w:val="26"/>
  </w:num>
  <w:num w:numId="9">
    <w:abstractNumId w:val="9"/>
  </w:num>
  <w:num w:numId="10">
    <w:abstractNumId w:val="17"/>
  </w:num>
  <w:num w:numId="11">
    <w:abstractNumId w:val="31"/>
  </w:num>
  <w:num w:numId="12">
    <w:abstractNumId w:val="20"/>
  </w:num>
  <w:num w:numId="13">
    <w:abstractNumId w:val="22"/>
  </w:num>
  <w:num w:numId="14">
    <w:abstractNumId w:val="13"/>
  </w:num>
  <w:num w:numId="15">
    <w:abstractNumId w:val="2"/>
  </w:num>
  <w:num w:numId="16">
    <w:abstractNumId w:val="29"/>
  </w:num>
  <w:num w:numId="17">
    <w:abstractNumId w:val="28"/>
  </w:num>
  <w:num w:numId="18">
    <w:abstractNumId w:val="16"/>
  </w:num>
  <w:num w:numId="19">
    <w:abstractNumId w:val="15"/>
  </w:num>
  <w:num w:numId="20">
    <w:abstractNumId w:val="1"/>
  </w:num>
  <w:num w:numId="21">
    <w:abstractNumId w:val="14"/>
  </w:num>
  <w:num w:numId="22">
    <w:abstractNumId w:val="32"/>
  </w:num>
  <w:num w:numId="23">
    <w:abstractNumId w:val="5"/>
  </w:num>
  <w:num w:numId="24">
    <w:abstractNumId w:val="8"/>
  </w:num>
  <w:num w:numId="25">
    <w:abstractNumId w:val="24"/>
  </w:num>
  <w:num w:numId="26">
    <w:abstractNumId w:val="33"/>
  </w:num>
  <w:num w:numId="27">
    <w:abstractNumId w:val="6"/>
  </w:num>
  <w:num w:numId="28">
    <w:abstractNumId w:val="0"/>
  </w:num>
  <w:num w:numId="29">
    <w:abstractNumId w:val="30"/>
  </w:num>
  <w:num w:numId="30">
    <w:abstractNumId w:val="10"/>
  </w:num>
  <w:num w:numId="31">
    <w:abstractNumId w:val="11"/>
  </w:num>
  <w:num w:numId="32">
    <w:abstractNumId w:val="23"/>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14863"/>
    <w:rsid w:val="000330AC"/>
    <w:rsid w:val="000502AD"/>
    <w:rsid w:val="0007367D"/>
    <w:rsid w:val="000823AC"/>
    <w:rsid w:val="00091BED"/>
    <w:rsid w:val="000A049E"/>
    <w:rsid w:val="000C09B4"/>
    <w:rsid w:val="000C4457"/>
    <w:rsid w:val="000D4E8A"/>
    <w:rsid w:val="000D67AB"/>
    <w:rsid w:val="000D6DE5"/>
    <w:rsid w:val="000E146B"/>
    <w:rsid w:val="000F77FD"/>
    <w:rsid w:val="00136C61"/>
    <w:rsid w:val="00151FC2"/>
    <w:rsid w:val="0015409F"/>
    <w:rsid w:val="00157815"/>
    <w:rsid w:val="001663A4"/>
    <w:rsid w:val="00167DA9"/>
    <w:rsid w:val="00171AC4"/>
    <w:rsid w:val="00176076"/>
    <w:rsid w:val="001956C7"/>
    <w:rsid w:val="001A4D75"/>
    <w:rsid w:val="001B721D"/>
    <w:rsid w:val="001E00B0"/>
    <w:rsid w:val="001E33EF"/>
    <w:rsid w:val="001F3524"/>
    <w:rsid w:val="00201AE4"/>
    <w:rsid w:val="00205475"/>
    <w:rsid w:val="0021031E"/>
    <w:rsid w:val="00220DF9"/>
    <w:rsid w:val="00224679"/>
    <w:rsid w:val="00230A0E"/>
    <w:rsid w:val="002315A5"/>
    <w:rsid w:val="00232597"/>
    <w:rsid w:val="002547CF"/>
    <w:rsid w:val="0026321D"/>
    <w:rsid w:val="002A1729"/>
    <w:rsid w:val="002A3B2B"/>
    <w:rsid w:val="002B509B"/>
    <w:rsid w:val="002B7DD1"/>
    <w:rsid w:val="002C4B80"/>
    <w:rsid w:val="002D1697"/>
    <w:rsid w:val="002E3C7C"/>
    <w:rsid w:val="002F5669"/>
    <w:rsid w:val="002F570E"/>
    <w:rsid w:val="002F7E65"/>
    <w:rsid w:val="00306507"/>
    <w:rsid w:val="003109E3"/>
    <w:rsid w:val="0031547C"/>
    <w:rsid w:val="0032175A"/>
    <w:rsid w:val="00322DEA"/>
    <w:rsid w:val="00332A42"/>
    <w:rsid w:val="00346615"/>
    <w:rsid w:val="00354CB5"/>
    <w:rsid w:val="00357B0E"/>
    <w:rsid w:val="00363EC5"/>
    <w:rsid w:val="00366AD1"/>
    <w:rsid w:val="0037523B"/>
    <w:rsid w:val="0039570B"/>
    <w:rsid w:val="003A294F"/>
    <w:rsid w:val="003B037A"/>
    <w:rsid w:val="003B422F"/>
    <w:rsid w:val="003D653B"/>
    <w:rsid w:val="003E3125"/>
    <w:rsid w:val="004004FC"/>
    <w:rsid w:val="0041368D"/>
    <w:rsid w:val="00417008"/>
    <w:rsid w:val="00422355"/>
    <w:rsid w:val="00424E4F"/>
    <w:rsid w:val="004324B9"/>
    <w:rsid w:val="004407F2"/>
    <w:rsid w:val="0044391D"/>
    <w:rsid w:val="00461D62"/>
    <w:rsid w:val="004712FF"/>
    <w:rsid w:val="00473372"/>
    <w:rsid w:val="004808C8"/>
    <w:rsid w:val="004A3D73"/>
    <w:rsid w:val="004B3911"/>
    <w:rsid w:val="004C33B8"/>
    <w:rsid w:val="004C4BDE"/>
    <w:rsid w:val="004C595C"/>
    <w:rsid w:val="004D3DBE"/>
    <w:rsid w:val="004F2567"/>
    <w:rsid w:val="00512570"/>
    <w:rsid w:val="00516AC8"/>
    <w:rsid w:val="00517955"/>
    <w:rsid w:val="00530FDE"/>
    <w:rsid w:val="00540C42"/>
    <w:rsid w:val="00540ECA"/>
    <w:rsid w:val="005474ED"/>
    <w:rsid w:val="005622FF"/>
    <w:rsid w:val="005719DF"/>
    <w:rsid w:val="00577627"/>
    <w:rsid w:val="005A7B65"/>
    <w:rsid w:val="005C3D3A"/>
    <w:rsid w:val="005C6168"/>
    <w:rsid w:val="005D2DD7"/>
    <w:rsid w:val="005D5F58"/>
    <w:rsid w:val="005E0C05"/>
    <w:rsid w:val="005F14DE"/>
    <w:rsid w:val="005F2E08"/>
    <w:rsid w:val="005F6261"/>
    <w:rsid w:val="00612159"/>
    <w:rsid w:val="00615F1F"/>
    <w:rsid w:val="00632C00"/>
    <w:rsid w:val="00635929"/>
    <w:rsid w:val="0064746F"/>
    <w:rsid w:val="00656CC0"/>
    <w:rsid w:val="006615BD"/>
    <w:rsid w:val="00662B89"/>
    <w:rsid w:val="00672191"/>
    <w:rsid w:val="00673157"/>
    <w:rsid w:val="00673710"/>
    <w:rsid w:val="00674539"/>
    <w:rsid w:val="00674B1A"/>
    <w:rsid w:val="006900FE"/>
    <w:rsid w:val="006A48D5"/>
    <w:rsid w:val="006A5860"/>
    <w:rsid w:val="006B4380"/>
    <w:rsid w:val="00700521"/>
    <w:rsid w:val="00760E32"/>
    <w:rsid w:val="00764E41"/>
    <w:rsid w:val="00771515"/>
    <w:rsid w:val="00776056"/>
    <w:rsid w:val="00790C12"/>
    <w:rsid w:val="00791DB7"/>
    <w:rsid w:val="007A218E"/>
    <w:rsid w:val="007B5E88"/>
    <w:rsid w:val="007C1B15"/>
    <w:rsid w:val="007C25A9"/>
    <w:rsid w:val="007E1663"/>
    <w:rsid w:val="008018C5"/>
    <w:rsid w:val="008056DD"/>
    <w:rsid w:val="00811AFA"/>
    <w:rsid w:val="00813F1E"/>
    <w:rsid w:val="0081403B"/>
    <w:rsid w:val="00823FEE"/>
    <w:rsid w:val="00834DC2"/>
    <w:rsid w:val="00835FDE"/>
    <w:rsid w:val="00837C4B"/>
    <w:rsid w:val="00842737"/>
    <w:rsid w:val="00843006"/>
    <w:rsid w:val="008440D9"/>
    <w:rsid w:val="00845340"/>
    <w:rsid w:val="00867AAC"/>
    <w:rsid w:val="00882ECA"/>
    <w:rsid w:val="008A440C"/>
    <w:rsid w:val="008B06DD"/>
    <w:rsid w:val="008D4556"/>
    <w:rsid w:val="008D791F"/>
    <w:rsid w:val="008E4CE1"/>
    <w:rsid w:val="008E7AEC"/>
    <w:rsid w:val="008F0A97"/>
    <w:rsid w:val="00906595"/>
    <w:rsid w:val="00920DBC"/>
    <w:rsid w:val="00924293"/>
    <w:rsid w:val="009251D7"/>
    <w:rsid w:val="0092677D"/>
    <w:rsid w:val="009353D7"/>
    <w:rsid w:val="00942B3B"/>
    <w:rsid w:val="00957997"/>
    <w:rsid w:val="0097197E"/>
    <w:rsid w:val="009741F2"/>
    <w:rsid w:val="00975566"/>
    <w:rsid w:val="00986F80"/>
    <w:rsid w:val="00990CED"/>
    <w:rsid w:val="0099584A"/>
    <w:rsid w:val="009A3E8C"/>
    <w:rsid w:val="009A6308"/>
    <w:rsid w:val="009B76A1"/>
    <w:rsid w:val="009C09A3"/>
    <w:rsid w:val="009E15EF"/>
    <w:rsid w:val="009E7526"/>
    <w:rsid w:val="009F21FD"/>
    <w:rsid w:val="009F6298"/>
    <w:rsid w:val="009F7137"/>
    <w:rsid w:val="00A0001A"/>
    <w:rsid w:val="00A1786A"/>
    <w:rsid w:val="00A210CD"/>
    <w:rsid w:val="00A30EBB"/>
    <w:rsid w:val="00A40130"/>
    <w:rsid w:val="00A44F24"/>
    <w:rsid w:val="00A45528"/>
    <w:rsid w:val="00A507AE"/>
    <w:rsid w:val="00A57912"/>
    <w:rsid w:val="00A74149"/>
    <w:rsid w:val="00A85E34"/>
    <w:rsid w:val="00A95366"/>
    <w:rsid w:val="00A971AF"/>
    <w:rsid w:val="00B00E5C"/>
    <w:rsid w:val="00B053BE"/>
    <w:rsid w:val="00B2050D"/>
    <w:rsid w:val="00B25B8C"/>
    <w:rsid w:val="00B2658A"/>
    <w:rsid w:val="00B32ADA"/>
    <w:rsid w:val="00B64ACA"/>
    <w:rsid w:val="00B92CE5"/>
    <w:rsid w:val="00BB078E"/>
    <w:rsid w:val="00BC38E0"/>
    <w:rsid w:val="00BD28A3"/>
    <w:rsid w:val="00BE2925"/>
    <w:rsid w:val="00BF16A8"/>
    <w:rsid w:val="00BF585E"/>
    <w:rsid w:val="00C20B57"/>
    <w:rsid w:val="00C23E47"/>
    <w:rsid w:val="00C31864"/>
    <w:rsid w:val="00C66DE1"/>
    <w:rsid w:val="00C87F49"/>
    <w:rsid w:val="00C933A0"/>
    <w:rsid w:val="00C97E31"/>
    <w:rsid w:val="00CB647D"/>
    <w:rsid w:val="00CC5F44"/>
    <w:rsid w:val="00CF5502"/>
    <w:rsid w:val="00D15630"/>
    <w:rsid w:val="00D30BE3"/>
    <w:rsid w:val="00D809BA"/>
    <w:rsid w:val="00D80A4F"/>
    <w:rsid w:val="00D9192E"/>
    <w:rsid w:val="00DA09EE"/>
    <w:rsid w:val="00DC4D86"/>
    <w:rsid w:val="00DC7354"/>
    <w:rsid w:val="00DD4368"/>
    <w:rsid w:val="00DE53FC"/>
    <w:rsid w:val="00DF0357"/>
    <w:rsid w:val="00E067D1"/>
    <w:rsid w:val="00E06A4E"/>
    <w:rsid w:val="00E1547F"/>
    <w:rsid w:val="00E32058"/>
    <w:rsid w:val="00E32ACA"/>
    <w:rsid w:val="00E37E7A"/>
    <w:rsid w:val="00E770DC"/>
    <w:rsid w:val="00E959CE"/>
    <w:rsid w:val="00EA2AD5"/>
    <w:rsid w:val="00EA7740"/>
    <w:rsid w:val="00EC7BBC"/>
    <w:rsid w:val="00ED4ECB"/>
    <w:rsid w:val="00EE016B"/>
    <w:rsid w:val="00EE1D60"/>
    <w:rsid w:val="00F01FDE"/>
    <w:rsid w:val="00F16195"/>
    <w:rsid w:val="00F20539"/>
    <w:rsid w:val="00F31949"/>
    <w:rsid w:val="00F368FF"/>
    <w:rsid w:val="00F37FA7"/>
    <w:rsid w:val="00F761EC"/>
    <w:rsid w:val="00F826EC"/>
    <w:rsid w:val="00F84FD4"/>
    <w:rsid w:val="00FB2C4C"/>
    <w:rsid w:val="00FB3DB2"/>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C5429"/>
  <w15:docId w15:val="{3D2502DE-031F-485E-B725-953679A4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56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Footnote Text Char1,Char,Text"/>
    <w:basedOn w:val="Normal"/>
    <w:link w:val="FootnoteTextChar"/>
    <w:uiPriority w:val="99"/>
    <w:qFormat/>
    <w:rsid w:val="001F3524"/>
    <w:rPr>
      <w:sz w:val="20"/>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Char Char"/>
    <w:basedOn w:val="DefaultParagraphFont"/>
    <w:link w:val="FootnoteText"/>
    <w:uiPriority w:val="99"/>
    <w:rsid w:val="001F3524"/>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SUPERS,BVI f"/>
    <w:basedOn w:val="DefaultParagraphFont"/>
    <w:link w:val="BVIfnrCharCharChar1CharCharCharCharCharCharChar1CharCharChar1Char"/>
    <w:uiPriority w:val="99"/>
    <w:rsid w:val="001F3524"/>
    <w:rPr>
      <w:vertAlign w:val="superscript"/>
    </w:rPr>
  </w:style>
  <w:style w:type="paragraph" w:styleId="BalloonText">
    <w:name w:val="Balloon Text"/>
    <w:basedOn w:val="Normal"/>
    <w:link w:val="BalloonTextChar"/>
    <w:rsid w:val="0021031E"/>
    <w:rPr>
      <w:rFonts w:ascii="Segoe UI" w:hAnsi="Segoe UI" w:cs="Segoe UI"/>
      <w:sz w:val="18"/>
      <w:szCs w:val="18"/>
    </w:rPr>
  </w:style>
  <w:style w:type="character" w:customStyle="1" w:styleId="BalloonTextChar">
    <w:name w:val="Balloon Text Char"/>
    <w:basedOn w:val="DefaultParagraphFont"/>
    <w:link w:val="BalloonText"/>
    <w:rsid w:val="0021031E"/>
    <w:rPr>
      <w:rFonts w:ascii="Segoe UI" w:hAnsi="Segoe UI" w:cs="Segoe UI"/>
      <w:sz w:val="18"/>
      <w:szCs w:val="18"/>
    </w:rPr>
  </w:style>
  <w:style w:type="paragraph" w:styleId="ListParagraph">
    <w:name w:val="List Paragraph"/>
    <w:aliases w:val="List Paragraph (numbered (a)),Lapis Bulleted List,List Paragraph1,WB Para"/>
    <w:basedOn w:val="Normal"/>
    <w:link w:val="ListParagraphChar"/>
    <w:uiPriority w:val="34"/>
    <w:qFormat/>
    <w:rsid w:val="003A294F"/>
    <w:pPr>
      <w:widowControl/>
      <w:spacing w:after="200" w:line="276" w:lineRule="auto"/>
      <w:ind w:left="720"/>
      <w:contextualSpacing/>
    </w:pPr>
    <w:rPr>
      <w:rFonts w:ascii="Calibri" w:eastAsia="Calibri" w:hAnsi="Calibri"/>
      <w:sz w:val="22"/>
      <w:szCs w:val="22"/>
      <w:lang w:val="fr-FR"/>
    </w:rPr>
  </w:style>
  <w:style w:type="character" w:customStyle="1" w:styleId="ListParagraphChar">
    <w:name w:val="List Paragraph Char"/>
    <w:aliases w:val="List Paragraph (numbered (a)) Char,Lapis Bulleted List Char,List Paragraph1 Char,WB Para Char"/>
    <w:link w:val="ListParagraph"/>
    <w:uiPriority w:val="34"/>
    <w:locked/>
    <w:rsid w:val="003A294F"/>
    <w:rPr>
      <w:rFonts w:ascii="Calibri" w:eastAsia="Calibri" w:hAnsi="Calibri"/>
      <w:sz w:val="22"/>
      <w:szCs w:val="22"/>
      <w:lang w:val="fr-FR"/>
    </w:rPr>
  </w:style>
  <w:style w:type="character" w:styleId="CommentReference">
    <w:name w:val="annotation reference"/>
    <w:basedOn w:val="DefaultParagraphFont"/>
    <w:semiHidden/>
    <w:unhideWhenUsed/>
    <w:rsid w:val="0007367D"/>
    <w:rPr>
      <w:sz w:val="16"/>
      <w:szCs w:val="16"/>
    </w:rPr>
  </w:style>
  <w:style w:type="paragraph" w:styleId="CommentText">
    <w:name w:val="annotation text"/>
    <w:basedOn w:val="Normal"/>
    <w:link w:val="CommentTextChar"/>
    <w:semiHidden/>
    <w:unhideWhenUsed/>
    <w:rsid w:val="0007367D"/>
    <w:rPr>
      <w:sz w:val="20"/>
    </w:rPr>
  </w:style>
  <w:style w:type="character" w:customStyle="1" w:styleId="CommentTextChar">
    <w:name w:val="Comment Text Char"/>
    <w:basedOn w:val="DefaultParagraphFont"/>
    <w:link w:val="CommentText"/>
    <w:semiHidden/>
    <w:rsid w:val="0007367D"/>
  </w:style>
  <w:style w:type="paragraph" w:styleId="CommentSubject">
    <w:name w:val="annotation subject"/>
    <w:basedOn w:val="CommentText"/>
    <w:next w:val="CommentText"/>
    <w:link w:val="CommentSubjectChar"/>
    <w:semiHidden/>
    <w:unhideWhenUsed/>
    <w:rsid w:val="0007367D"/>
    <w:rPr>
      <w:b/>
      <w:bCs/>
    </w:rPr>
  </w:style>
  <w:style w:type="character" w:customStyle="1" w:styleId="CommentSubjectChar">
    <w:name w:val="Comment Subject Char"/>
    <w:basedOn w:val="CommentTextChar"/>
    <w:link w:val="CommentSubject"/>
    <w:semiHidden/>
    <w:rsid w:val="0007367D"/>
    <w:rPr>
      <w:b/>
      <w:bCs/>
    </w:rPr>
  </w:style>
  <w:style w:type="character" w:customStyle="1" w:styleId="Heading2Char">
    <w:name w:val="Heading 2 Char"/>
    <w:basedOn w:val="DefaultParagraphFont"/>
    <w:link w:val="Heading2"/>
    <w:semiHidden/>
    <w:rsid w:val="008056DD"/>
    <w:rPr>
      <w:rFonts w:asciiTheme="majorHAnsi" w:eastAsiaTheme="majorEastAsia" w:hAnsiTheme="majorHAnsi" w:cstheme="majorBidi"/>
      <w:color w:val="365F91" w:themeColor="accent1" w:themeShade="BF"/>
      <w:sz w:val="26"/>
      <w:szCs w:val="26"/>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D2DD7"/>
    <w:pPr>
      <w:widowControl/>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17038">
      <w:bodyDiv w:val="1"/>
      <w:marLeft w:val="0"/>
      <w:marRight w:val="0"/>
      <w:marTop w:val="0"/>
      <w:marBottom w:val="0"/>
      <w:divBdr>
        <w:top w:val="none" w:sz="0" w:space="0" w:color="auto"/>
        <w:left w:val="none" w:sz="0" w:space="0" w:color="auto"/>
        <w:bottom w:val="none" w:sz="0" w:space="0" w:color="auto"/>
        <w:right w:val="none" w:sz="0" w:space="0" w:color="auto"/>
      </w:divBdr>
    </w:div>
    <w:div w:id="1281257530">
      <w:bodyDiv w:val="1"/>
      <w:marLeft w:val="0"/>
      <w:marRight w:val="0"/>
      <w:marTop w:val="0"/>
      <w:marBottom w:val="0"/>
      <w:divBdr>
        <w:top w:val="none" w:sz="0" w:space="0" w:color="auto"/>
        <w:left w:val="none" w:sz="0" w:space="0" w:color="auto"/>
        <w:bottom w:val="none" w:sz="0" w:space="0" w:color="auto"/>
        <w:right w:val="none" w:sz="0" w:space="0" w:color="auto"/>
      </w:divBdr>
    </w:div>
    <w:div w:id="16327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3082EDF3-3045-4B7D-BA5F-D8F80B8F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2017-10-01T12:12:00Z</cp:lastPrinted>
  <dcterms:created xsi:type="dcterms:W3CDTF">2017-10-17T21:58:00Z</dcterms:created>
  <dcterms:modified xsi:type="dcterms:W3CDTF">2017-10-17T21:58:00Z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