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482E7" w14:textId="77777777" w:rsidR="005C6168" w:rsidRPr="009F476B" w:rsidRDefault="005C6168" w:rsidP="00E3399B">
      <w:pPr>
        <w:pStyle w:val="Heading3"/>
        <w:spacing w:line="276" w:lineRule="auto"/>
        <w:jc w:val="left"/>
        <w:rPr>
          <w:rFonts w:ascii="Times New Roman" w:hAnsi="Times New Roman"/>
          <w:sz w:val="20"/>
        </w:rPr>
      </w:pPr>
      <w:r w:rsidRPr="009F476B">
        <w:rPr>
          <w:rFonts w:ascii="Times New Roman" w:hAnsi="Times New Roman"/>
          <w:sz w:val="20"/>
        </w:rPr>
        <w:t>Country:</w:t>
      </w:r>
      <w:r w:rsidRPr="009F476B">
        <w:rPr>
          <w:rFonts w:ascii="Times New Roman" w:hAnsi="Times New Roman"/>
          <w:sz w:val="20"/>
        </w:rPr>
        <w:tab/>
      </w:r>
      <w:r w:rsidRPr="009F476B">
        <w:rPr>
          <w:rFonts w:ascii="Times New Roman" w:hAnsi="Times New Roman"/>
          <w:sz w:val="20"/>
        </w:rPr>
        <w:tab/>
      </w:r>
      <w:r w:rsidR="004B4BD8" w:rsidRPr="009F476B">
        <w:rPr>
          <w:rFonts w:ascii="Times New Roman" w:hAnsi="Times New Roman"/>
          <w:sz w:val="20"/>
        </w:rPr>
        <w:t xml:space="preserve">         </w:t>
      </w:r>
      <w:r w:rsidR="00C12D2B" w:rsidRPr="009F476B">
        <w:rPr>
          <w:rFonts w:ascii="Times New Roman" w:hAnsi="Times New Roman"/>
          <w:sz w:val="20"/>
        </w:rPr>
        <w:t xml:space="preserve">Libya </w:t>
      </w:r>
    </w:p>
    <w:p w14:paraId="4C9EC756" w14:textId="77777777" w:rsidR="005C6168" w:rsidRPr="009F476B" w:rsidRDefault="005C6168" w:rsidP="00E3399B">
      <w:pPr>
        <w:pStyle w:val="Heading3"/>
        <w:spacing w:line="276" w:lineRule="auto"/>
        <w:rPr>
          <w:rFonts w:ascii="Times New Roman" w:hAnsi="Times New Roman"/>
          <w:sz w:val="20"/>
        </w:rPr>
      </w:pPr>
    </w:p>
    <w:p w14:paraId="02520BE8" w14:textId="77777777" w:rsidR="005C6168" w:rsidRPr="009F476B" w:rsidRDefault="00BC38E0" w:rsidP="00E3399B">
      <w:pPr>
        <w:pStyle w:val="Heading3"/>
        <w:spacing w:line="276" w:lineRule="auto"/>
        <w:rPr>
          <w:rFonts w:ascii="Times New Roman" w:hAnsi="Times New Roman"/>
          <w:b/>
          <w:bCs w:val="0"/>
          <w:sz w:val="20"/>
        </w:rPr>
      </w:pPr>
      <w:r w:rsidRPr="009F476B">
        <w:rPr>
          <w:rFonts w:ascii="Times New Roman" w:hAnsi="Times New Roman"/>
          <w:b/>
          <w:bCs w:val="0"/>
          <w:sz w:val="20"/>
        </w:rPr>
        <w:t>COUNTRY PROGRAMME</w:t>
      </w:r>
      <w:r w:rsidR="00B32ADA" w:rsidRPr="009F476B">
        <w:rPr>
          <w:rFonts w:ascii="Times New Roman" w:hAnsi="Times New Roman"/>
          <w:b/>
          <w:bCs w:val="0"/>
          <w:sz w:val="20"/>
        </w:rPr>
        <w:t xml:space="preserve"> PERFORMANCE SUMMARY</w:t>
      </w:r>
      <w:r w:rsidR="001F3524" w:rsidRPr="009F476B">
        <w:rPr>
          <w:rStyle w:val="FootnoteReference"/>
          <w:rFonts w:ascii="Times New Roman" w:hAnsi="Times New Roman"/>
          <w:b/>
          <w:bCs w:val="0"/>
          <w:sz w:val="20"/>
        </w:rPr>
        <w:footnoteReference w:id="1"/>
      </w:r>
    </w:p>
    <w:p w14:paraId="209F78B5" w14:textId="77777777" w:rsidR="005C6168" w:rsidRPr="009F476B" w:rsidRDefault="005C6168" w:rsidP="00E3399B">
      <w:pPr>
        <w:pStyle w:val="Heading3"/>
        <w:spacing w:line="276" w:lineRule="auto"/>
        <w:rPr>
          <w:rFonts w:ascii="Times New Roman" w:hAnsi="Times New Roman"/>
          <w:b/>
          <w:sz w:val="20"/>
        </w:rPr>
      </w:pPr>
    </w:p>
    <w:p w14:paraId="20E67ECA" w14:textId="77777777" w:rsidR="005C6168" w:rsidRPr="009F476B" w:rsidRDefault="005C6168" w:rsidP="00E3399B">
      <w:pPr>
        <w:pStyle w:val="Heading3"/>
        <w:spacing w:line="276" w:lineRule="auto"/>
        <w:jc w:val="left"/>
        <w:rPr>
          <w:rFonts w:ascii="Times New Roman" w:hAnsi="Times New Roman"/>
          <w:sz w:val="20"/>
        </w:rPr>
      </w:pPr>
      <w:r w:rsidRPr="009F476B">
        <w:rPr>
          <w:rFonts w:ascii="Times New Roman" w:hAnsi="Times New Roman"/>
          <w:sz w:val="20"/>
        </w:rPr>
        <w:t xml:space="preserve">Reporting period: </w:t>
      </w:r>
      <w:r w:rsidRPr="009F476B">
        <w:rPr>
          <w:rFonts w:ascii="Times New Roman" w:hAnsi="Times New Roman"/>
          <w:sz w:val="20"/>
        </w:rPr>
        <w:tab/>
      </w:r>
      <w:r w:rsidR="00C12D2B" w:rsidRPr="009F476B">
        <w:rPr>
          <w:rFonts w:ascii="Times New Roman" w:hAnsi="Times New Roman"/>
          <w:sz w:val="20"/>
        </w:rPr>
        <w:t>201</w:t>
      </w:r>
      <w:r w:rsidR="002C578B">
        <w:rPr>
          <w:rFonts w:ascii="Times New Roman" w:hAnsi="Times New Roman"/>
          <w:sz w:val="20"/>
        </w:rPr>
        <w:t>2-2018</w:t>
      </w:r>
    </w:p>
    <w:p w14:paraId="459ADD5B" w14:textId="77777777" w:rsidR="005C6168" w:rsidRPr="009F476B" w:rsidRDefault="005C6168" w:rsidP="00E3399B">
      <w:pPr>
        <w:spacing w:line="276" w:lineRule="auto"/>
      </w:pPr>
    </w:p>
    <w:p w14:paraId="612ABAF5" w14:textId="18E30E70" w:rsidR="005C6168" w:rsidRPr="009F476B" w:rsidRDefault="005C6168" w:rsidP="00E3399B">
      <w:pPr>
        <w:pStyle w:val="Heading3"/>
        <w:spacing w:line="276" w:lineRule="auto"/>
        <w:rPr>
          <w:rFonts w:ascii="Times New Roman" w:hAnsi="Times New Roman"/>
          <w:b/>
          <w:bCs w:val="0"/>
          <w:sz w:val="22"/>
          <w:szCs w:val="22"/>
        </w:rPr>
      </w:pPr>
      <w:r w:rsidRPr="009F476B">
        <w:rPr>
          <w:rFonts w:ascii="Times New Roman" w:hAnsi="Times New Roman"/>
          <w:b/>
          <w:bCs w:val="0"/>
          <w:sz w:val="22"/>
          <w:szCs w:val="22"/>
        </w:rPr>
        <w:t xml:space="preserve">I.  </w:t>
      </w:r>
      <w:r w:rsidR="0064746F" w:rsidRPr="009F476B">
        <w:rPr>
          <w:rFonts w:ascii="Times New Roman" w:hAnsi="Times New Roman"/>
          <w:b/>
          <w:bCs w:val="0"/>
          <w:sz w:val="22"/>
          <w:szCs w:val="22"/>
        </w:rPr>
        <w:t>EXECUTIVE SUMMARY</w:t>
      </w:r>
      <w:r w:rsidR="00760E32" w:rsidRPr="009F476B">
        <w:rPr>
          <w:rFonts w:ascii="Times New Roman" w:hAnsi="Times New Roman"/>
          <w:b/>
          <w:bCs w:val="0"/>
          <w:sz w:val="22"/>
          <w:szCs w:val="22"/>
        </w:rPr>
        <w:t xml:space="preserve"> </w:t>
      </w:r>
      <w:bookmarkStart w:id="0" w:name="_GoBack"/>
      <w:bookmarkEnd w:id="0"/>
    </w:p>
    <w:p w14:paraId="3F532D1C" w14:textId="77777777" w:rsidR="00A34FF1" w:rsidRPr="009F476B" w:rsidRDefault="00A34FF1" w:rsidP="00E3399B">
      <w:pPr>
        <w:pStyle w:val="BodyText2"/>
        <w:spacing w:line="276" w:lineRule="auto"/>
        <w:rPr>
          <w:rFonts w:ascii="Times New Roman" w:hAnsi="Times New Roman"/>
          <w:color w:val="000000"/>
          <w:sz w:val="24"/>
          <w:szCs w:val="24"/>
        </w:rPr>
      </w:pPr>
    </w:p>
    <w:p w14:paraId="74F6586C" w14:textId="42E12ADA" w:rsidR="00C455A1" w:rsidRPr="009F476B" w:rsidRDefault="00F45449" w:rsidP="00E3399B">
      <w:pPr>
        <w:pStyle w:val="BodyText2"/>
        <w:spacing w:line="276" w:lineRule="auto"/>
        <w:jc w:val="both"/>
        <w:rPr>
          <w:rFonts w:ascii="Times New Roman" w:hAnsi="Times New Roman"/>
        </w:rPr>
      </w:pPr>
      <w:r>
        <w:rPr>
          <w:rFonts w:ascii="Times New Roman" w:hAnsi="Times New Roman"/>
        </w:rPr>
        <w:t>Post-</w:t>
      </w:r>
      <w:r w:rsidR="000C5507" w:rsidRPr="009F476B">
        <w:rPr>
          <w:rFonts w:ascii="Times New Roman" w:hAnsi="Times New Roman"/>
        </w:rPr>
        <w:t xml:space="preserve">revolution </w:t>
      </w:r>
      <w:r w:rsidR="00E44520" w:rsidRPr="009F476B">
        <w:rPr>
          <w:rFonts w:ascii="Times New Roman" w:hAnsi="Times New Roman"/>
        </w:rPr>
        <w:t xml:space="preserve">Libya is at cross roads and the ongoing crisis has compromised the transition to state building and democracy. The deepening crises in the country’s political </w:t>
      </w:r>
      <w:r w:rsidR="00944615" w:rsidRPr="009F476B">
        <w:rPr>
          <w:rFonts w:ascii="Times New Roman" w:hAnsi="Times New Roman"/>
        </w:rPr>
        <w:t xml:space="preserve">situation </w:t>
      </w:r>
      <w:r w:rsidR="00E44520" w:rsidRPr="009F476B">
        <w:rPr>
          <w:rFonts w:ascii="Times New Roman" w:hAnsi="Times New Roman"/>
        </w:rPr>
        <w:t>and the security c</w:t>
      </w:r>
      <w:r w:rsidR="00C455A1" w:rsidRPr="009F476B">
        <w:rPr>
          <w:rFonts w:ascii="Times New Roman" w:hAnsi="Times New Roman"/>
        </w:rPr>
        <w:t>hallenges</w:t>
      </w:r>
      <w:r w:rsidR="00877478">
        <w:rPr>
          <w:rFonts w:ascii="Times New Roman" w:hAnsi="Times New Roman"/>
        </w:rPr>
        <w:t>,</w:t>
      </w:r>
      <w:r w:rsidR="00C455A1" w:rsidRPr="009F476B">
        <w:rPr>
          <w:rFonts w:ascii="Times New Roman" w:hAnsi="Times New Roman"/>
        </w:rPr>
        <w:t xml:space="preserve"> coupled with the </w:t>
      </w:r>
      <w:r w:rsidR="002C1A29" w:rsidRPr="009F476B">
        <w:rPr>
          <w:rFonts w:ascii="Times New Roman" w:hAnsi="Times New Roman"/>
        </w:rPr>
        <w:t>drop-in</w:t>
      </w:r>
      <w:r w:rsidR="00C455A1" w:rsidRPr="009F476B">
        <w:rPr>
          <w:rFonts w:ascii="Times New Roman" w:hAnsi="Times New Roman"/>
        </w:rPr>
        <w:t xml:space="preserve"> </w:t>
      </w:r>
      <w:r w:rsidR="00E44520" w:rsidRPr="009F476B">
        <w:rPr>
          <w:rFonts w:ascii="Times New Roman" w:hAnsi="Times New Roman"/>
        </w:rPr>
        <w:t xml:space="preserve">oil prices have created a huge burden on the economy. </w:t>
      </w:r>
      <w:r w:rsidR="004E499B" w:rsidRPr="009F476B">
        <w:rPr>
          <w:rFonts w:ascii="Times New Roman" w:hAnsi="Times New Roman"/>
        </w:rPr>
        <w:t xml:space="preserve">Moreover, the </w:t>
      </w:r>
      <w:r w:rsidR="00E44520" w:rsidRPr="009F476B">
        <w:rPr>
          <w:rFonts w:ascii="Times New Roman" w:hAnsi="Times New Roman"/>
        </w:rPr>
        <w:t>crisis</w:t>
      </w:r>
      <w:r w:rsidR="004E499B" w:rsidRPr="009F476B">
        <w:rPr>
          <w:rFonts w:ascii="Times New Roman" w:hAnsi="Times New Roman"/>
        </w:rPr>
        <w:t xml:space="preserve"> that </w:t>
      </w:r>
      <w:r w:rsidR="00E44520" w:rsidRPr="009F476B">
        <w:rPr>
          <w:rFonts w:ascii="Times New Roman" w:hAnsi="Times New Roman"/>
        </w:rPr>
        <w:t>led to military conflict</w:t>
      </w:r>
      <w:r w:rsidR="00C455A1" w:rsidRPr="009F476B">
        <w:rPr>
          <w:rFonts w:ascii="Times New Roman" w:hAnsi="Times New Roman"/>
        </w:rPr>
        <w:t xml:space="preserve"> in 2014</w:t>
      </w:r>
      <w:r w:rsidR="00E44520" w:rsidRPr="009F476B">
        <w:rPr>
          <w:rFonts w:ascii="Times New Roman" w:hAnsi="Times New Roman"/>
        </w:rPr>
        <w:t xml:space="preserve"> negatively affected the wellbeing of</w:t>
      </w:r>
      <w:r>
        <w:rPr>
          <w:rFonts w:ascii="Times New Roman" w:hAnsi="Times New Roman"/>
        </w:rPr>
        <w:t xml:space="preserve"> people in Libya</w:t>
      </w:r>
      <w:r w:rsidR="00E44520" w:rsidRPr="009F476B">
        <w:rPr>
          <w:rFonts w:ascii="Times New Roman" w:hAnsi="Times New Roman"/>
        </w:rPr>
        <w:t xml:space="preserve">, halting and reversing some of the progress made on human development in the country. </w:t>
      </w:r>
    </w:p>
    <w:p w14:paraId="29AB0B7D" w14:textId="77777777" w:rsidR="00C455A1" w:rsidRPr="009F476B" w:rsidRDefault="00C455A1" w:rsidP="00E3399B">
      <w:pPr>
        <w:pStyle w:val="BodyText2"/>
        <w:spacing w:line="276" w:lineRule="auto"/>
        <w:jc w:val="both"/>
        <w:rPr>
          <w:rFonts w:ascii="Times New Roman" w:hAnsi="Times New Roman"/>
        </w:rPr>
      </w:pPr>
    </w:p>
    <w:p w14:paraId="21E495C0" w14:textId="05A6195A" w:rsidR="00C455A1" w:rsidRPr="009F476B" w:rsidRDefault="00E44520" w:rsidP="00E3399B">
      <w:pPr>
        <w:pStyle w:val="BodyText2"/>
        <w:spacing w:line="276" w:lineRule="auto"/>
        <w:jc w:val="both"/>
        <w:rPr>
          <w:rFonts w:ascii="Times New Roman" w:hAnsi="Times New Roman"/>
        </w:rPr>
      </w:pPr>
      <w:r w:rsidRPr="009F476B">
        <w:rPr>
          <w:rFonts w:ascii="Times New Roman" w:hAnsi="Times New Roman"/>
        </w:rPr>
        <w:t xml:space="preserve">Despite the difficult </w:t>
      </w:r>
      <w:r w:rsidR="00C455A1" w:rsidRPr="009F476B">
        <w:rPr>
          <w:rFonts w:ascii="Times New Roman" w:hAnsi="Times New Roman"/>
        </w:rPr>
        <w:t xml:space="preserve">political and security </w:t>
      </w:r>
      <w:r w:rsidR="004E499B" w:rsidRPr="009F476B">
        <w:rPr>
          <w:rFonts w:ascii="Times New Roman" w:hAnsi="Times New Roman"/>
        </w:rPr>
        <w:t>challenges</w:t>
      </w:r>
      <w:r w:rsidRPr="009F476B">
        <w:rPr>
          <w:rFonts w:ascii="Times New Roman" w:hAnsi="Times New Roman"/>
        </w:rPr>
        <w:t xml:space="preserve">, UNDP’s support to legitimate and elected state institutions has shown significant progress on many fronts. During the past </w:t>
      </w:r>
      <w:r w:rsidR="00C455A1" w:rsidRPr="009F476B">
        <w:rPr>
          <w:rFonts w:ascii="Times New Roman" w:hAnsi="Times New Roman"/>
        </w:rPr>
        <w:t xml:space="preserve">five </w:t>
      </w:r>
      <w:r w:rsidRPr="009F476B">
        <w:rPr>
          <w:rFonts w:ascii="Times New Roman" w:hAnsi="Times New Roman"/>
        </w:rPr>
        <w:t>years, UNDP</w:t>
      </w:r>
      <w:r w:rsidR="00877478">
        <w:rPr>
          <w:rFonts w:ascii="Times New Roman" w:hAnsi="Times New Roman"/>
        </w:rPr>
        <w:t>, in partnership with UNSMIL</w:t>
      </w:r>
      <w:r w:rsidR="002C1A29">
        <w:rPr>
          <w:rFonts w:ascii="Times New Roman" w:hAnsi="Times New Roman"/>
        </w:rPr>
        <w:t xml:space="preserve"> </w:t>
      </w:r>
      <w:r w:rsidRPr="009F476B">
        <w:rPr>
          <w:rFonts w:ascii="Times New Roman" w:hAnsi="Times New Roman"/>
        </w:rPr>
        <w:t>provided support to the High National Elections Commission (HNEC) in organizing two national elections, which led to the establishment of the Constitution Drafting Assembly (CDA) and the House of Representatives.</w:t>
      </w:r>
      <w:r w:rsidR="004E499B" w:rsidRPr="009F476B">
        <w:rPr>
          <w:rFonts w:ascii="Times New Roman" w:hAnsi="Times New Roman"/>
        </w:rPr>
        <w:t xml:space="preserve"> </w:t>
      </w:r>
      <w:r w:rsidRPr="009F476B">
        <w:rPr>
          <w:rFonts w:ascii="Times New Roman" w:hAnsi="Times New Roman"/>
        </w:rPr>
        <w:t>UNDP</w:t>
      </w:r>
      <w:r w:rsidR="00877478">
        <w:rPr>
          <w:rFonts w:ascii="Times New Roman" w:hAnsi="Times New Roman"/>
        </w:rPr>
        <w:t xml:space="preserve">, under the leadership of SRSG Salame, </w:t>
      </w:r>
      <w:r w:rsidR="00F45449">
        <w:rPr>
          <w:rFonts w:ascii="Times New Roman" w:hAnsi="Times New Roman"/>
        </w:rPr>
        <w:t xml:space="preserve">also </w:t>
      </w:r>
      <w:r w:rsidRPr="009F476B">
        <w:rPr>
          <w:rFonts w:ascii="Times New Roman" w:hAnsi="Times New Roman"/>
        </w:rPr>
        <w:t>provi</w:t>
      </w:r>
      <w:r w:rsidR="00F45449">
        <w:rPr>
          <w:rFonts w:ascii="Times New Roman" w:hAnsi="Times New Roman"/>
        </w:rPr>
        <w:t>ded support to the constitution-</w:t>
      </w:r>
      <w:r w:rsidRPr="009F476B">
        <w:rPr>
          <w:rFonts w:ascii="Times New Roman" w:hAnsi="Times New Roman"/>
        </w:rPr>
        <w:t>making process led by the CDA</w:t>
      </w:r>
      <w:r w:rsidR="00C455A1" w:rsidRPr="009F476B">
        <w:rPr>
          <w:rFonts w:ascii="Times New Roman" w:hAnsi="Times New Roman"/>
        </w:rPr>
        <w:t xml:space="preserve"> in finalizing the final draft of constitution</w:t>
      </w:r>
      <w:r w:rsidRPr="009F476B">
        <w:rPr>
          <w:rFonts w:ascii="Times New Roman" w:hAnsi="Times New Roman"/>
        </w:rPr>
        <w:t xml:space="preserve">. </w:t>
      </w:r>
    </w:p>
    <w:p w14:paraId="5951AA56" w14:textId="77777777" w:rsidR="00C455A1" w:rsidRPr="009F476B" w:rsidRDefault="00C455A1" w:rsidP="00E3399B">
      <w:pPr>
        <w:pStyle w:val="BodyText2"/>
        <w:spacing w:line="276" w:lineRule="auto"/>
        <w:jc w:val="both"/>
        <w:rPr>
          <w:rFonts w:ascii="Times New Roman" w:hAnsi="Times New Roman"/>
        </w:rPr>
      </w:pPr>
    </w:p>
    <w:p w14:paraId="2D0078F0" w14:textId="732FB1B6" w:rsidR="00747169" w:rsidRPr="009F476B" w:rsidRDefault="00E44520" w:rsidP="00E3399B">
      <w:pPr>
        <w:pStyle w:val="BodyText2"/>
        <w:spacing w:line="276" w:lineRule="auto"/>
        <w:jc w:val="both"/>
        <w:rPr>
          <w:rFonts w:ascii="Times New Roman" w:hAnsi="Times New Roman"/>
        </w:rPr>
      </w:pPr>
      <w:r w:rsidRPr="009F476B">
        <w:rPr>
          <w:rFonts w:ascii="Times New Roman" w:hAnsi="Times New Roman"/>
        </w:rPr>
        <w:t xml:space="preserve">Our support has contributed to enhancing the capacities of many state institutions including the Ministry of Planning, </w:t>
      </w:r>
      <w:r w:rsidR="00E516C0" w:rsidRPr="009F476B">
        <w:rPr>
          <w:rFonts w:ascii="Times New Roman" w:hAnsi="Times New Roman"/>
        </w:rPr>
        <w:t xml:space="preserve">Presidential Council, </w:t>
      </w:r>
      <w:r w:rsidRPr="009F476B">
        <w:rPr>
          <w:rFonts w:ascii="Times New Roman" w:hAnsi="Times New Roman"/>
        </w:rPr>
        <w:t>the Environment</w:t>
      </w:r>
      <w:r w:rsidR="00E516C0" w:rsidRPr="009F476B">
        <w:rPr>
          <w:rFonts w:ascii="Times New Roman" w:hAnsi="Times New Roman"/>
        </w:rPr>
        <w:t xml:space="preserve"> General Authority and targeted </w:t>
      </w:r>
      <w:r w:rsidRPr="009F476B">
        <w:rPr>
          <w:rFonts w:ascii="Times New Roman" w:hAnsi="Times New Roman"/>
        </w:rPr>
        <w:t xml:space="preserve">municipalities. </w:t>
      </w:r>
      <w:r w:rsidR="00C455A1" w:rsidRPr="009F476B">
        <w:rPr>
          <w:rFonts w:ascii="Times New Roman" w:hAnsi="Times New Roman"/>
        </w:rPr>
        <w:t xml:space="preserve">The </w:t>
      </w:r>
      <w:r w:rsidR="00877478">
        <w:rPr>
          <w:rFonts w:ascii="Times New Roman" w:hAnsi="Times New Roman"/>
        </w:rPr>
        <w:t xml:space="preserve">UNDP </w:t>
      </w:r>
      <w:r w:rsidR="00C455A1" w:rsidRPr="009F476B">
        <w:rPr>
          <w:rFonts w:ascii="Times New Roman" w:hAnsi="Times New Roman"/>
        </w:rPr>
        <w:t>C</w:t>
      </w:r>
      <w:r w:rsidR="006A708A">
        <w:rPr>
          <w:rFonts w:ascii="Times New Roman" w:hAnsi="Times New Roman"/>
        </w:rPr>
        <w:t xml:space="preserve">ountry </w:t>
      </w:r>
      <w:r w:rsidR="00C455A1" w:rsidRPr="009F476B">
        <w:rPr>
          <w:rFonts w:ascii="Times New Roman" w:hAnsi="Times New Roman"/>
        </w:rPr>
        <w:t>O</w:t>
      </w:r>
      <w:r w:rsidR="006A708A">
        <w:rPr>
          <w:rFonts w:ascii="Times New Roman" w:hAnsi="Times New Roman"/>
        </w:rPr>
        <w:t>ffice</w:t>
      </w:r>
      <w:r w:rsidR="00C455A1" w:rsidRPr="009F476B">
        <w:rPr>
          <w:rFonts w:ascii="Times New Roman" w:hAnsi="Times New Roman"/>
        </w:rPr>
        <w:t xml:space="preserve"> provided opportunities for Libyan women to discuss the</w:t>
      </w:r>
      <w:r w:rsidR="00877478">
        <w:rPr>
          <w:rFonts w:ascii="Times New Roman" w:hAnsi="Times New Roman"/>
        </w:rPr>
        <w:t>ir</w:t>
      </w:r>
      <w:r w:rsidR="00C455A1" w:rsidRPr="009F476B">
        <w:rPr>
          <w:rFonts w:ascii="Times New Roman" w:hAnsi="Times New Roman"/>
        </w:rPr>
        <w:t xml:space="preserve"> </w:t>
      </w:r>
      <w:r w:rsidR="002C1A29" w:rsidRPr="009F476B">
        <w:rPr>
          <w:rFonts w:ascii="Times New Roman" w:hAnsi="Times New Roman"/>
        </w:rPr>
        <w:t>demands in</w:t>
      </w:r>
      <w:r w:rsidR="00C455A1" w:rsidRPr="009F476B">
        <w:rPr>
          <w:rFonts w:ascii="Times New Roman" w:hAnsi="Times New Roman"/>
        </w:rPr>
        <w:t xml:space="preserve"> </w:t>
      </w:r>
      <w:r w:rsidR="00877478">
        <w:rPr>
          <w:rFonts w:ascii="Times New Roman" w:hAnsi="Times New Roman"/>
        </w:rPr>
        <w:t xml:space="preserve">the </w:t>
      </w:r>
      <w:r w:rsidR="00C455A1" w:rsidRPr="009F476B">
        <w:rPr>
          <w:rFonts w:ascii="Times New Roman" w:hAnsi="Times New Roman"/>
        </w:rPr>
        <w:t>transition and the national reconciliation processes. UNDP provided an enabling environment to e</w:t>
      </w:r>
      <w:r w:rsidR="00F45449">
        <w:rPr>
          <w:rFonts w:ascii="Times New Roman" w:hAnsi="Times New Roman"/>
        </w:rPr>
        <w:t>stablish an advocacy group for w</w:t>
      </w:r>
      <w:r w:rsidR="00C455A1" w:rsidRPr="009F476B">
        <w:rPr>
          <w:rFonts w:ascii="Times New Roman" w:hAnsi="Times New Roman"/>
        </w:rPr>
        <w:t>omen’s empowerment at the Presidential Council</w:t>
      </w:r>
      <w:r w:rsidR="00877478">
        <w:rPr>
          <w:rFonts w:ascii="Times New Roman" w:hAnsi="Times New Roman"/>
        </w:rPr>
        <w:t xml:space="preserve"> (PC)</w:t>
      </w:r>
      <w:r w:rsidR="00C455A1" w:rsidRPr="009F476B">
        <w:rPr>
          <w:rFonts w:ascii="Times New Roman" w:hAnsi="Times New Roman"/>
        </w:rPr>
        <w:t>. Due to the persistent advocacy and support of UNDP, the PC issued a decree for the establishment of this unit at the Presidential Office.</w:t>
      </w:r>
      <w:r w:rsidR="00760125">
        <w:rPr>
          <w:rFonts w:ascii="Times New Roman" w:hAnsi="Times New Roman"/>
        </w:rPr>
        <w:t xml:space="preserve"> The government accepted to establish women empowerment unit at Presidential council level. However, the unit is yet to be created.</w:t>
      </w:r>
      <w:r w:rsidR="00C455A1" w:rsidRPr="009F476B">
        <w:rPr>
          <w:rFonts w:ascii="Times New Roman" w:hAnsi="Times New Roman"/>
        </w:rPr>
        <w:t xml:space="preserve"> </w:t>
      </w:r>
      <w:r w:rsidR="00A34FF1" w:rsidRPr="009F476B">
        <w:rPr>
          <w:rFonts w:ascii="Times New Roman" w:hAnsi="Times New Roman"/>
        </w:rPr>
        <w:t>UNDP supported 28 CSOs in developing their implementation capacity. This has strengthened UNDP’s partnerships with CSOs considerably. Also, UNDP supported Ministries through the provision of technica</w:t>
      </w:r>
      <w:r w:rsidR="00F45449">
        <w:rPr>
          <w:rFonts w:ascii="Times New Roman" w:hAnsi="Times New Roman"/>
        </w:rPr>
        <w:t>l experts who were deployed at t</w:t>
      </w:r>
      <w:r w:rsidR="00A34FF1" w:rsidRPr="009F476B">
        <w:rPr>
          <w:rFonts w:ascii="Times New Roman" w:hAnsi="Times New Roman"/>
        </w:rPr>
        <w:t>he Mi</w:t>
      </w:r>
      <w:r w:rsidR="00F45449">
        <w:rPr>
          <w:rFonts w:ascii="Times New Roman" w:hAnsi="Times New Roman"/>
        </w:rPr>
        <w:t xml:space="preserve">nistry of Planning and PC. </w:t>
      </w:r>
    </w:p>
    <w:p w14:paraId="062C64E9" w14:textId="77777777" w:rsidR="00747169" w:rsidRPr="009F476B" w:rsidRDefault="00747169" w:rsidP="00E3399B">
      <w:pPr>
        <w:pStyle w:val="BodyText2"/>
        <w:spacing w:line="276" w:lineRule="auto"/>
        <w:jc w:val="both"/>
        <w:rPr>
          <w:rFonts w:ascii="Times New Roman" w:hAnsi="Times New Roman"/>
        </w:rPr>
      </w:pPr>
    </w:p>
    <w:p w14:paraId="7027EA53" w14:textId="5706529E" w:rsidR="000C5507" w:rsidRPr="009F476B" w:rsidRDefault="000C5507" w:rsidP="00E3399B">
      <w:pPr>
        <w:pStyle w:val="ListParagraph"/>
        <w:spacing w:line="276" w:lineRule="auto"/>
        <w:ind w:left="0"/>
        <w:jc w:val="both"/>
        <w:rPr>
          <w:sz w:val="20"/>
        </w:rPr>
      </w:pPr>
      <w:r w:rsidRPr="009F476B">
        <w:rPr>
          <w:sz w:val="20"/>
        </w:rPr>
        <w:t xml:space="preserve">The political polarization that prevailed in the country has </w:t>
      </w:r>
      <w:r w:rsidR="00F45449">
        <w:rPr>
          <w:sz w:val="20"/>
        </w:rPr>
        <w:t xml:space="preserve">persisted </w:t>
      </w:r>
      <w:r w:rsidRPr="009F476B">
        <w:rPr>
          <w:sz w:val="20"/>
        </w:rPr>
        <w:t>for about 6 years</w:t>
      </w:r>
      <w:r w:rsidR="00F45449">
        <w:rPr>
          <w:sz w:val="20"/>
        </w:rPr>
        <w:t>, leading to</w:t>
      </w:r>
      <w:r w:rsidRPr="009F476B">
        <w:rPr>
          <w:sz w:val="20"/>
        </w:rPr>
        <w:t xml:space="preserve"> parallel institutions. This created </w:t>
      </w:r>
      <w:r w:rsidR="00F45449">
        <w:rPr>
          <w:sz w:val="20"/>
        </w:rPr>
        <w:t xml:space="preserve">a </w:t>
      </w:r>
      <w:r w:rsidRPr="009F476B">
        <w:rPr>
          <w:sz w:val="20"/>
        </w:rPr>
        <w:t xml:space="preserve">vacuum in security and state institutions that </w:t>
      </w:r>
      <w:r w:rsidR="00F45449">
        <w:rPr>
          <w:sz w:val="20"/>
        </w:rPr>
        <w:t>had an impact</w:t>
      </w:r>
      <w:r w:rsidRPr="009F476B">
        <w:rPr>
          <w:sz w:val="20"/>
        </w:rPr>
        <w:t xml:space="preserve"> on programme delivery in</w:t>
      </w:r>
      <w:r w:rsidR="00F45449">
        <w:rPr>
          <w:sz w:val="20"/>
        </w:rPr>
        <w:t xml:space="preserve"> Libya. However, engaging third-</w:t>
      </w:r>
      <w:r w:rsidRPr="009F476B">
        <w:rPr>
          <w:sz w:val="20"/>
        </w:rPr>
        <w:t>part</w:t>
      </w:r>
      <w:r w:rsidR="00F45449">
        <w:rPr>
          <w:sz w:val="20"/>
        </w:rPr>
        <w:t>y</w:t>
      </w:r>
      <w:r w:rsidRPr="009F476B">
        <w:rPr>
          <w:sz w:val="20"/>
        </w:rPr>
        <w:t xml:space="preserve"> contractors in implementation of programmes</w:t>
      </w:r>
      <w:r w:rsidR="00877478">
        <w:rPr>
          <w:sz w:val="20"/>
        </w:rPr>
        <w:t xml:space="preserve"> to </w:t>
      </w:r>
      <w:r w:rsidRPr="009F476B">
        <w:rPr>
          <w:sz w:val="20"/>
        </w:rPr>
        <w:t>deploy experts in a cris</w:t>
      </w:r>
      <w:r w:rsidR="00877478">
        <w:rPr>
          <w:sz w:val="20"/>
        </w:rPr>
        <w:t>is</w:t>
      </w:r>
      <w:r w:rsidRPr="009F476B">
        <w:rPr>
          <w:sz w:val="20"/>
        </w:rPr>
        <w:t xml:space="preserve"> country like Libya was one solution to ensure the continuity of </w:t>
      </w:r>
      <w:r w:rsidR="00877478">
        <w:rPr>
          <w:sz w:val="20"/>
        </w:rPr>
        <w:t xml:space="preserve">UNDP’s </w:t>
      </w:r>
      <w:r w:rsidRPr="009F476B">
        <w:rPr>
          <w:sz w:val="20"/>
        </w:rPr>
        <w:t xml:space="preserve">support. Due to the timely finalization </w:t>
      </w:r>
      <w:r w:rsidR="001721B5" w:rsidRPr="009F476B">
        <w:rPr>
          <w:sz w:val="20"/>
        </w:rPr>
        <w:t>of Long</w:t>
      </w:r>
      <w:r w:rsidR="00877478">
        <w:rPr>
          <w:sz w:val="20"/>
        </w:rPr>
        <w:t xml:space="preserve"> Term Agreement (L</w:t>
      </w:r>
      <w:r w:rsidRPr="009F476B">
        <w:rPr>
          <w:sz w:val="20"/>
        </w:rPr>
        <w:t>TA</w:t>
      </w:r>
      <w:r w:rsidR="00877478">
        <w:rPr>
          <w:sz w:val="20"/>
        </w:rPr>
        <w:t>)</w:t>
      </w:r>
      <w:r w:rsidRPr="009F476B">
        <w:rPr>
          <w:sz w:val="20"/>
        </w:rPr>
        <w:t xml:space="preserve"> contracts companies, the </w:t>
      </w:r>
      <w:r w:rsidR="00877478">
        <w:rPr>
          <w:sz w:val="20"/>
        </w:rPr>
        <w:t xml:space="preserve">UNDP Libya CO </w:t>
      </w:r>
      <w:r w:rsidRPr="009F476B">
        <w:rPr>
          <w:sz w:val="20"/>
        </w:rPr>
        <w:t xml:space="preserve">office </w:t>
      </w:r>
      <w:r w:rsidR="002C578B" w:rsidRPr="009F476B">
        <w:rPr>
          <w:sz w:val="20"/>
        </w:rPr>
        <w:t>could</w:t>
      </w:r>
      <w:r w:rsidRPr="009F476B">
        <w:rPr>
          <w:sz w:val="20"/>
        </w:rPr>
        <w:t xml:space="preserve"> deploy experts who can </w:t>
      </w:r>
      <w:r w:rsidR="00877478">
        <w:rPr>
          <w:sz w:val="20"/>
        </w:rPr>
        <w:t xml:space="preserve">further </w:t>
      </w:r>
      <w:r w:rsidRPr="009F476B">
        <w:rPr>
          <w:sz w:val="20"/>
        </w:rPr>
        <w:t>provide technical support to state institutions.</w:t>
      </w:r>
    </w:p>
    <w:p w14:paraId="46556E62" w14:textId="77777777" w:rsidR="000C5507" w:rsidRPr="009F476B" w:rsidRDefault="000C5507" w:rsidP="00E3399B">
      <w:pPr>
        <w:spacing w:line="276" w:lineRule="auto"/>
        <w:contextualSpacing/>
        <w:jc w:val="both"/>
        <w:rPr>
          <w:sz w:val="20"/>
        </w:rPr>
      </w:pPr>
    </w:p>
    <w:p w14:paraId="567885BC" w14:textId="522A2C9F" w:rsidR="000C5507" w:rsidRPr="009F476B" w:rsidRDefault="00877478" w:rsidP="00E3399B">
      <w:pPr>
        <w:spacing w:line="276" w:lineRule="auto"/>
        <w:contextualSpacing/>
        <w:jc w:val="both"/>
        <w:rPr>
          <w:sz w:val="20"/>
        </w:rPr>
      </w:pPr>
      <w:r>
        <w:rPr>
          <w:sz w:val="20"/>
        </w:rPr>
        <w:t xml:space="preserve">Finally, </w:t>
      </w:r>
      <w:r w:rsidR="000C5507" w:rsidRPr="009F476B">
        <w:rPr>
          <w:sz w:val="20"/>
        </w:rPr>
        <w:t>UNDP’s timely</w:t>
      </w:r>
      <w:r>
        <w:rPr>
          <w:sz w:val="20"/>
        </w:rPr>
        <w:t xml:space="preserve"> and strategic</w:t>
      </w:r>
      <w:r w:rsidR="000C5507" w:rsidRPr="009F476B">
        <w:rPr>
          <w:sz w:val="20"/>
        </w:rPr>
        <w:t xml:space="preserve"> intervention</w:t>
      </w:r>
      <w:r>
        <w:rPr>
          <w:sz w:val="20"/>
        </w:rPr>
        <w:t>s</w:t>
      </w:r>
      <w:r w:rsidR="000C5507" w:rsidRPr="009F476B">
        <w:rPr>
          <w:sz w:val="20"/>
        </w:rPr>
        <w:t xml:space="preserve"> on national dialogue and stabilization programmes proved to be effective in addressing the immediate needs of the population and strengthening partnerships with </w:t>
      </w:r>
      <w:r>
        <w:rPr>
          <w:sz w:val="20"/>
        </w:rPr>
        <w:t xml:space="preserve">the </w:t>
      </w:r>
      <w:r w:rsidR="000C5507" w:rsidRPr="009F476B">
        <w:rPr>
          <w:sz w:val="20"/>
        </w:rPr>
        <w:t xml:space="preserve">Libyan counterparts and </w:t>
      </w:r>
      <w:r>
        <w:rPr>
          <w:sz w:val="20"/>
        </w:rPr>
        <w:t xml:space="preserve">the </w:t>
      </w:r>
      <w:r w:rsidR="000C5507" w:rsidRPr="009F476B">
        <w:rPr>
          <w:sz w:val="20"/>
        </w:rPr>
        <w:t xml:space="preserve">donor community. </w:t>
      </w:r>
    </w:p>
    <w:p w14:paraId="68AF58DB" w14:textId="77777777" w:rsidR="000C5507" w:rsidRPr="009F476B" w:rsidRDefault="000C5507" w:rsidP="00E3399B">
      <w:pPr>
        <w:pStyle w:val="BodyText2"/>
        <w:spacing w:line="276" w:lineRule="auto"/>
        <w:jc w:val="both"/>
        <w:rPr>
          <w:rFonts w:ascii="Times New Roman" w:hAnsi="Times New Roman"/>
        </w:rPr>
      </w:pPr>
    </w:p>
    <w:p w14:paraId="29F0C86A" w14:textId="77777777" w:rsidR="00B06FEC" w:rsidRPr="009F476B" w:rsidRDefault="00B06FEC" w:rsidP="00E3399B">
      <w:pPr>
        <w:pStyle w:val="BodyText2"/>
        <w:spacing w:line="276" w:lineRule="auto"/>
        <w:rPr>
          <w:rFonts w:ascii="Times New Roman" w:hAnsi="Times New Roman"/>
          <w:b/>
        </w:rPr>
      </w:pPr>
    </w:p>
    <w:p w14:paraId="154551D8" w14:textId="77777777" w:rsidR="0037523B" w:rsidRPr="009F476B" w:rsidRDefault="0037523B" w:rsidP="00E3399B">
      <w:pPr>
        <w:pStyle w:val="BodyText2"/>
        <w:spacing w:line="276" w:lineRule="auto"/>
        <w:jc w:val="both"/>
        <w:rPr>
          <w:rFonts w:ascii="Times New Roman" w:hAnsi="Times New Roman"/>
          <w:b/>
        </w:rPr>
      </w:pPr>
    </w:p>
    <w:p w14:paraId="1F617BF3" w14:textId="77777777" w:rsidR="0037523B" w:rsidRPr="009F476B" w:rsidRDefault="0037523B" w:rsidP="00E3399B">
      <w:pPr>
        <w:pStyle w:val="BodyText2"/>
        <w:spacing w:line="276" w:lineRule="auto"/>
        <w:jc w:val="both"/>
        <w:rPr>
          <w:rFonts w:ascii="Times New Roman" w:hAnsi="Times New Roman"/>
          <w:b/>
        </w:rPr>
      </w:pPr>
    </w:p>
    <w:p w14:paraId="79DCE0C1" w14:textId="77777777" w:rsidR="0037523B" w:rsidRPr="009F476B" w:rsidRDefault="0037523B" w:rsidP="00E3399B">
      <w:pPr>
        <w:pStyle w:val="BodyText2"/>
        <w:spacing w:line="276" w:lineRule="auto"/>
        <w:jc w:val="both"/>
        <w:rPr>
          <w:rFonts w:ascii="Times New Roman" w:hAnsi="Times New Roman"/>
          <w:b/>
        </w:rPr>
      </w:pPr>
    </w:p>
    <w:p w14:paraId="29A75742" w14:textId="77777777" w:rsidR="0037523B" w:rsidRPr="009F476B" w:rsidRDefault="0037523B" w:rsidP="00E3399B">
      <w:pPr>
        <w:pStyle w:val="BodyText2"/>
        <w:spacing w:line="276" w:lineRule="auto"/>
        <w:jc w:val="both"/>
        <w:rPr>
          <w:rFonts w:ascii="Times New Roman" w:hAnsi="Times New Roman"/>
          <w:b/>
        </w:rPr>
      </w:pPr>
    </w:p>
    <w:p w14:paraId="13CB3E4B" w14:textId="77777777" w:rsidR="0037523B" w:rsidRPr="009F476B" w:rsidRDefault="0037523B" w:rsidP="00E3399B">
      <w:pPr>
        <w:pStyle w:val="BodyText2"/>
        <w:spacing w:line="276" w:lineRule="auto"/>
        <w:jc w:val="both"/>
        <w:rPr>
          <w:rFonts w:ascii="Times New Roman" w:hAnsi="Times New Roman"/>
          <w:b/>
        </w:rPr>
      </w:pPr>
    </w:p>
    <w:p w14:paraId="77218960" w14:textId="77777777" w:rsidR="004613E1" w:rsidRPr="009F476B" w:rsidRDefault="004613E1" w:rsidP="00E3399B">
      <w:pPr>
        <w:pStyle w:val="BodyText2"/>
        <w:spacing w:line="276" w:lineRule="auto"/>
        <w:jc w:val="both"/>
        <w:rPr>
          <w:rFonts w:ascii="Times New Roman" w:hAnsi="Times New Roman"/>
          <w:b/>
        </w:rPr>
      </w:pPr>
    </w:p>
    <w:p w14:paraId="5CA028AD" w14:textId="77777777" w:rsidR="0037523B" w:rsidRPr="009F476B" w:rsidRDefault="0037523B" w:rsidP="00E3399B">
      <w:pPr>
        <w:pStyle w:val="BodyText2"/>
        <w:spacing w:line="276" w:lineRule="auto"/>
        <w:jc w:val="both"/>
        <w:rPr>
          <w:rFonts w:ascii="Times New Roman" w:hAnsi="Times New Roman"/>
          <w:b/>
        </w:rPr>
      </w:pPr>
    </w:p>
    <w:p w14:paraId="074557FB" w14:textId="77777777" w:rsidR="0037523B" w:rsidRPr="009F476B" w:rsidRDefault="0037523B" w:rsidP="00E3399B">
      <w:pPr>
        <w:pStyle w:val="BodyText2"/>
        <w:spacing w:line="276" w:lineRule="auto"/>
        <w:jc w:val="both"/>
        <w:rPr>
          <w:rFonts w:ascii="Times New Roman" w:hAnsi="Times New Roman"/>
          <w:b/>
        </w:rPr>
        <w:sectPr w:rsidR="0037523B" w:rsidRPr="009F476B">
          <w:footerReference w:type="default" r:id="rId8"/>
          <w:endnotePr>
            <w:numFmt w:val="decimal"/>
          </w:endnotePr>
          <w:pgSz w:w="11907" w:h="16840" w:code="9"/>
          <w:pgMar w:top="1440" w:right="1440" w:bottom="1440" w:left="1440" w:header="720" w:footer="720" w:gutter="0"/>
          <w:cols w:space="720"/>
        </w:sectPr>
      </w:pPr>
    </w:p>
    <w:p w14:paraId="0A4CF794" w14:textId="77777777" w:rsidR="00975566" w:rsidRPr="009F476B" w:rsidRDefault="006900FE" w:rsidP="00E3399B">
      <w:pPr>
        <w:pStyle w:val="Heading3"/>
        <w:spacing w:line="276" w:lineRule="auto"/>
        <w:jc w:val="both"/>
        <w:rPr>
          <w:rFonts w:ascii="Times New Roman" w:hAnsi="Times New Roman"/>
          <w:b/>
          <w:sz w:val="20"/>
        </w:rPr>
      </w:pPr>
      <w:r w:rsidRPr="009F476B">
        <w:rPr>
          <w:rFonts w:ascii="Times New Roman" w:hAnsi="Times New Roman"/>
          <w:b/>
          <w:sz w:val="20"/>
        </w:rPr>
        <w:lastRenderedPageBreak/>
        <w:t>II</w:t>
      </w:r>
      <w:r w:rsidR="0081403B" w:rsidRPr="009F476B">
        <w:rPr>
          <w:rFonts w:ascii="Times New Roman" w:hAnsi="Times New Roman"/>
          <w:b/>
          <w:sz w:val="20"/>
        </w:rPr>
        <w:t xml:space="preserve">: </w:t>
      </w:r>
      <w:r w:rsidR="000C09B4" w:rsidRPr="009F476B">
        <w:rPr>
          <w:rFonts w:ascii="Times New Roman" w:hAnsi="Times New Roman"/>
          <w:b/>
          <w:sz w:val="20"/>
        </w:rPr>
        <w:t xml:space="preserve">Country Programme Performance </w:t>
      </w:r>
      <w:r w:rsidR="00975566" w:rsidRPr="009F476B">
        <w:rPr>
          <w:rFonts w:ascii="Times New Roman" w:hAnsi="Times New Roman"/>
          <w:b/>
          <w:sz w:val="20"/>
        </w:rPr>
        <w:t>Summary</w:t>
      </w:r>
    </w:p>
    <w:p w14:paraId="45C28F81" w14:textId="77777777" w:rsidR="00DC7354" w:rsidRPr="009F476B" w:rsidRDefault="00DC7354" w:rsidP="00E3399B">
      <w:pPr>
        <w:pStyle w:val="BodyText2"/>
        <w:spacing w:line="276" w:lineRule="auto"/>
        <w:jc w:val="both"/>
        <w:rPr>
          <w:rFonts w:ascii="Times New Roman" w:hAnsi="Times New Roman"/>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851"/>
        <w:gridCol w:w="4632"/>
        <w:gridCol w:w="5490"/>
      </w:tblGrid>
      <w:tr w:rsidR="00CB647D" w:rsidRPr="009F476B" w14:paraId="3B777657" w14:textId="77777777" w:rsidTr="00F16FDA">
        <w:tc>
          <w:tcPr>
            <w:tcW w:w="3067" w:type="dxa"/>
            <w:tcBorders>
              <w:right w:val="nil"/>
            </w:tcBorders>
            <w:shd w:val="clear" w:color="auto" w:fill="FFC000"/>
          </w:tcPr>
          <w:p w14:paraId="54081E2E" w14:textId="77777777" w:rsidR="00CB647D" w:rsidRPr="009F476B" w:rsidRDefault="00CB647D" w:rsidP="00E3399B">
            <w:pPr>
              <w:pStyle w:val="BodyText2"/>
              <w:spacing w:line="276" w:lineRule="auto"/>
              <w:jc w:val="both"/>
              <w:rPr>
                <w:rFonts w:ascii="Times New Roman" w:hAnsi="Times New Roman"/>
                <w:b/>
              </w:rPr>
            </w:pPr>
            <w:r w:rsidRPr="009F476B">
              <w:rPr>
                <w:rFonts w:ascii="Times New Roman" w:hAnsi="Times New Roman"/>
                <w:b/>
              </w:rPr>
              <w:t>Country information</w:t>
            </w:r>
          </w:p>
        </w:tc>
        <w:tc>
          <w:tcPr>
            <w:tcW w:w="10973" w:type="dxa"/>
            <w:gridSpan w:val="3"/>
            <w:tcBorders>
              <w:left w:val="nil"/>
            </w:tcBorders>
            <w:shd w:val="clear" w:color="auto" w:fill="FFC000"/>
          </w:tcPr>
          <w:p w14:paraId="567AAE24" w14:textId="77777777" w:rsidR="00CB647D" w:rsidRPr="009F476B" w:rsidRDefault="00CB647D" w:rsidP="00E3399B">
            <w:pPr>
              <w:pStyle w:val="BodyText2"/>
              <w:spacing w:line="276" w:lineRule="auto"/>
              <w:jc w:val="both"/>
              <w:rPr>
                <w:rFonts w:ascii="Times New Roman" w:hAnsi="Times New Roman"/>
                <w:b/>
              </w:rPr>
            </w:pPr>
          </w:p>
        </w:tc>
      </w:tr>
      <w:tr w:rsidR="009B76A1" w:rsidRPr="009F476B" w14:paraId="397FB44F" w14:textId="77777777" w:rsidTr="00E20FCD">
        <w:tc>
          <w:tcPr>
            <w:tcW w:w="14040" w:type="dxa"/>
            <w:gridSpan w:val="4"/>
          </w:tcPr>
          <w:p w14:paraId="7103CA95" w14:textId="77777777" w:rsidR="009B76A1" w:rsidRPr="009F476B" w:rsidRDefault="009B76A1" w:rsidP="00E3399B">
            <w:pPr>
              <w:pStyle w:val="BodyText2"/>
              <w:spacing w:line="276" w:lineRule="auto"/>
              <w:jc w:val="both"/>
              <w:rPr>
                <w:rFonts w:ascii="Times New Roman" w:hAnsi="Times New Roman"/>
                <w:b/>
              </w:rPr>
            </w:pPr>
            <w:r w:rsidRPr="009F476B">
              <w:rPr>
                <w:rFonts w:ascii="Times New Roman" w:hAnsi="Times New Roman"/>
                <w:b/>
              </w:rPr>
              <w:t>Country name:</w:t>
            </w:r>
            <w:r w:rsidR="00C12D2B" w:rsidRPr="009F476B">
              <w:rPr>
                <w:rFonts w:ascii="Times New Roman" w:hAnsi="Times New Roman"/>
                <w:b/>
              </w:rPr>
              <w:t xml:space="preserve"> Libya </w:t>
            </w:r>
          </w:p>
        </w:tc>
      </w:tr>
      <w:tr w:rsidR="009B76A1" w:rsidRPr="009F476B" w14:paraId="55B54B90" w14:textId="77777777" w:rsidTr="00E20FCD">
        <w:tc>
          <w:tcPr>
            <w:tcW w:w="14040" w:type="dxa"/>
            <w:gridSpan w:val="4"/>
          </w:tcPr>
          <w:p w14:paraId="7335100A" w14:textId="77777777" w:rsidR="009B76A1" w:rsidRPr="009F476B" w:rsidRDefault="009B76A1" w:rsidP="00E3399B">
            <w:pPr>
              <w:pStyle w:val="BodyText2"/>
              <w:spacing w:line="276" w:lineRule="auto"/>
              <w:jc w:val="both"/>
              <w:rPr>
                <w:rFonts w:ascii="Times New Roman" w:hAnsi="Times New Roman"/>
                <w:b/>
              </w:rPr>
            </w:pPr>
            <w:r w:rsidRPr="009F476B">
              <w:rPr>
                <w:rFonts w:ascii="Times New Roman" w:hAnsi="Times New Roman"/>
                <w:b/>
              </w:rPr>
              <w:t>Current country programme period:</w:t>
            </w:r>
            <w:r w:rsidR="00412FDA" w:rsidRPr="009F476B">
              <w:rPr>
                <w:rFonts w:ascii="Times New Roman" w:hAnsi="Times New Roman"/>
                <w:b/>
              </w:rPr>
              <w:t xml:space="preserve"> 2</w:t>
            </w:r>
            <w:r w:rsidR="0065574E" w:rsidRPr="009F476B">
              <w:rPr>
                <w:rFonts w:ascii="Times New Roman" w:hAnsi="Times New Roman"/>
                <w:b/>
              </w:rPr>
              <w:t>0</w:t>
            </w:r>
            <w:r w:rsidR="00412FDA" w:rsidRPr="009F476B">
              <w:rPr>
                <w:rFonts w:ascii="Times New Roman" w:hAnsi="Times New Roman"/>
                <w:b/>
              </w:rPr>
              <w:t>1</w:t>
            </w:r>
            <w:r w:rsidR="0065574E" w:rsidRPr="009F476B">
              <w:rPr>
                <w:rFonts w:ascii="Times New Roman" w:hAnsi="Times New Roman"/>
                <w:b/>
              </w:rPr>
              <w:t>2</w:t>
            </w:r>
            <w:r w:rsidR="00412FDA" w:rsidRPr="009F476B">
              <w:rPr>
                <w:rFonts w:ascii="Times New Roman" w:hAnsi="Times New Roman"/>
                <w:b/>
              </w:rPr>
              <w:t>-2018</w:t>
            </w:r>
          </w:p>
        </w:tc>
      </w:tr>
      <w:tr w:rsidR="0069200C" w:rsidRPr="009F476B" w14:paraId="0F0242C9" w14:textId="77777777" w:rsidTr="00F16FDA">
        <w:tc>
          <w:tcPr>
            <w:tcW w:w="3067" w:type="dxa"/>
          </w:tcPr>
          <w:p w14:paraId="2720BDF0" w14:textId="77777777" w:rsidR="0069200C" w:rsidRPr="009F476B" w:rsidRDefault="0069200C" w:rsidP="00E3399B">
            <w:pPr>
              <w:pStyle w:val="BodyText2"/>
              <w:spacing w:line="276" w:lineRule="auto"/>
              <w:jc w:val="both"/>
              <w:rPr>
                <w:rFonts w:ascii="Times New Roman" w:hAnsi="Times New Roman"/>
                <w:b/>
              </w:rPr>
            </w:pPr>
            <w:bookmarkStart w:id="1" w:name="_Hlk511294937"/>
            <w:bookmarkStart w:id="2" w:name="_Hlk511297623"/>
            <w:r w:rsidRPr="009F476B">
              <w:rPr>
                <w:rFonts w:ascii="Times New Roman" w:hAnsi="Times New Roman"/>
                <w:b/>
              </w:rPr>
              <w:t>Outcomes</w:t>
            </w:r>
          </w:p>
        </w:tc>
        <w:tc>
          <w:tcPr>
            <w:tcW w:w="5483" w:type="dxa"/>
            <w:gridSpan w:val="2"/>
            <w:shd w:val="clear" w:color="auto" w:fill="auto"/>
          </w:tcPr>
          <w:p w14:paraId="2E2365DF" w14:textId="77777777" w:rsidR="0069200C" w:rsidRPr="009F476B" w:rsidRDefault="0069200C" w:rsidP="00E3399B">
            <w:pPr>
              <w:pStyle w:val="BodyText2"/>
              <w:spacing w:line="276" w:lineRule="auto"/>
              <w:jc w:val="both"/>
              <w:rPr>
                <w:rFonts w:ascii="Times New Roman" w:hAnsi="Times New Roman"/>
                <w:b/>
              </w:rPr>
            </w:pPr>
            <w:r w:rsidRPr="009F476B">
              <w:rPr>
                <w:rFonts w:ascii="Times New Roman" w:hAnsi="Times New Roman"/>
                <w:b/>
              </w:rPr>
              <w:t>Key Indicators of outcome (1-4 per outcome)</w:t>
            </w:r>
          </w:p>
        </w:tc>
        <w:tc>
          <w:tcPr>
            <w:tcW w:w="5490" w:type="dxa"/>
          </w:tcPr>
          <w:p w14:paraId="1F07F301" w14:textId="77777777" w:rsidR="0069200C" w:rsidRPr="009F476B" w:rsidRDefault="0069200C" w:rsidP="00E3399B">
            <w:pPr>
              <w:pStyle w:val="BodyText2"/>
              <w:spacing w:line="276" w:lineRule="auto"/>
              <w:jc w:val="both"/>
              <w:rPr>
                <w:rFonts w:ascii="Times New Roman" w:hAnsi="Times New Roman"/>
                <w:b/>
              </w:rPr>
            </w:pPr>
            <w:r w:rsidRPr="009F476B">
              <w:rPr>
                <w:rFonts w:ascii="Times New Roman" w:hAnsi="Times New Roman"/>
                <w:b/>
              </w:rPr>
              <w:t>Progress made against key indicators</w:t>
            </w:r>
          </w:p>
        </w:tc>
      </w:tr>
      <w:bookmarkEnd w:id="1"/>
      <w:tr w:rsidR="0069200C" w:rsidRPr="009F476B" w14:paraId="183357CE" w14:textId="77777777" w:rsidTr="00F16FDA">
        <w:tc>
          <w:tcPr>
            <w:tcW w:w="3067" w:type="dxa"/>
            <w:tcBorders>
              <w:bottom w:val="single" w:sz="4" w:space="0" w:color="auto"/>
            </w:tcBorders>
            <w:shd w:val="clear" w:color="auto" w:fill="95B3D7"/>
          </w:tcPr>
          <w:p w14:paraId="64C8CF31" w14:textId="77777777" w:rsidR="0069200C" w:rsidRPr="009F476B" w:rsidRDefault="0069200C" w:rsidP="00E3399B">
            <w:pPr>
              <w:widowControl/>
              <w:autoSpaceDE w:val="0"/>
              <w:autoSpaceDN w:val="0"/>
              <w:adjustRightInd w:val="0"/>
              <w:spacing w:line="276" w:lineRule="auto"/>
              <w:jc w:val="both"/>
              <w:rPr>
                <w:b/>
                <w:bCs/>
                <w:sz w:val="20"/>
                <w:lang w:val="en-GB" w:eastAsia="en-GB"/>
              </w:rPr>
            </w:pPr>
            <w:r w:rsidRPr="009F476B">
              <w:rPr>
                <w:b/>
                <w:bCs/>
                <w:sz w:val="20"/>
                <w:lang w:val="en-GB" w:eastAsia="en-GB"/>
              </w:rPr>
              <w:t>Outcome 1. The active participation of citizens in the democratic transition</w:t>
            </w:r>
          </w:p>
          <w:p w14:paraId="06C17128" w14:textId="77777777" w:rsidR="0069200C" w:rsidRPr="009F476B" w:rsidRDefault="0069200C" w:rsidP="00E3399B">
            <w:pPr>
              <w:pStyle w:val="BodyText2"/>
              <w:spacing w:line="276" w:lineRule="auto"/>
              <w:jc w:val="both"/>
              <w:rPr>
                <w:rFonts w:ascii="Times New Roman" w:hAnsi="Times New Roman"/>
                <w:b/>
              </w:rPr>
            </w:pPr>
            <w:r w:rsidRPr="009F476B">
              <w:rPr>
                <w:rFonts w:ascii="Times New Roman" w:hAnsi="Times New Roman"/>
                <w:b/>
                <w:bCs/>
                <w:lang w:val="en-GB" w:eastAsia="en-GB"/>
              </w:rPr>
              <w:t>of their nation is facilitated.</w:t>
            </w:r>
          </w:p>
        </w:tc>
        <w:tc>
          <w:tcPr>
            <w:tcW w:w="5483" w:type="dxa"/>
            <w:gridSpan w:val="2"/>
            <w:tcBorders>
              <w:bottom w:val="single" w:sz="4" w:space="0" w:color="auto"/>
            </w:tcBorders>
            <w:shd w:val="clear" w:color="auto" w:fill="auto"/>
          </w:tcPr>
          <w:p w14:paraId="461EC3A7" w14:textId="77777777" w:rsidR="0069200C" w:rsidRPr="009F476B" w:rsidRDefault="0069200C" w:rsidP="00E3399B">
            <w:pPr>
              <w:widowControl/>
              <w:numPr>
                <w:ilvl w:val="0"/>
                <w:numId w:val="18"/>
              </w:numPr>
              <w:autoSpaceDE w:val="0"/>
              <w:autoSpaceDN w:val="0"/>
              <w:adjustRightInd w:val="0"/>
              <w:spacing w:line="276" w:lineRule="auto"/>
              <w:jc w:val="both"/>
              <w:rPr>
                <w:sz w:val="20"/>
                <w:lang w:val="en-GB" w:eastAsia="en-GB"/>
              </w:rPr>
            </w:pPr>
            <w:r w:rsidRPr="009F476B">
              <w:rPr>
                <w:sz w:val="20"/>
                <w:lang w:val="en-GB" w:eastAsia="en-GB"/>
              </w:rPr>
              <w:t>Transitional authorities have managed fair and inclusive democratic Processes</w:t>
            </w:r>
          </w:p>
          <w:p w14:paraId="2544B962" w14:textId="77777777" w:rsidR="0069200C" w:rsidRPr="009F476B" w:rsidRDefault="0069200C" w:rsidP="00E3399B">
            <w:pPr>
              <w:widowControl/>
              <w:autoSpaceDE w:val="0"/>
              <w:autoSpaceDN w:val="0"/>
              <w:adjustRightInd w:val="0"/>
              <w:spacing w:line="276" w:lineRule="auto"/>
              <w:jc w:val="both"/>
              <w:rPr>
                <w:sz w:val="20"/>
                <w:lang w:val="en-GB" w:eastAsia="en-GB"/>
              </w:rPr>
            </w:pPr>
          </w:p>
          <w:p w14:paraId="5888A4AA" w14:textId="77777777" w:rsidR="0069200C" w:rsidRPr="009F476B" w:rsidRDefault="0069200C" w:rsidP="00E3399B">
            <w:pPr>
              <w:widowControl/>
              <w:numPr>
                <w:ilvl w:val="0"/>
                <w:numId w:val="18"/>
              </w:numPr>
              <w:autoSpaceDE w:val="0"/>
              <w:autoSpaceDN w:val="0"/>
              <w:adjustRightInd w:val="0"/>
              <w:spacing w:line="276" w:lineRule="auto"/>
              <w:jc w:val="both"/>
              <w:rPr>
                <w:sz w:val="20"/>
                <w:lang w:val="en-GB" w:eastAsia="en-GB"/>
              </w:rPr>
            </w:pPr>
            <w:r w:rsidRPr="009F476B">
              <w:rPr>
                <w:sz w:val="20"/>
                <w:lang w:val="en-GB" w:eastAsia="en-GB"/>
              </w:rPr>
              <w:t>Percentage of civic engagement and monitoring activities of democratic processes implemented by CSOs, with specific focus on women and youth.</w:t>
            </w:r>
          </w:p>
          <w:p w14:paraId="0D21F337" w14:textId="77777777" w:rsidR="0069200C" w:rsidRPr="009F476B" w:rsidRDefault="0069200C" w:rsidP="00E3399B">
            <w:pPr>
              <w:widowControl/>
              <w:autoSpaceDE w:val="0"/>
              <w:autoSpaceDN w:val="0"/>
              <w:adjustRightInd w:val="0"/>
              <w:spacing w:line="276" w:lineRule="auto"/>
              <w:jc w:val="both"/>
              <w:rPr>
                <w:i/>
                <w:sz w:val="20"/>
              </w:rPr>
            </w:pPr>
          </w:p>
        </w:tc>
        <w:tc>
          <w:tcPr>
            <w:tcW w:w="5490" w:type="dxa"/>
            <w:tcBorders>
              <w:bottom w:val="single" w:sz="4" w:space="0" w:color="auto"/>
            </w:tcBorders>
            <w:shd w:val="clear" w:color="auto" w:fill="auto"/>
          </w:tcPr>
          <w:p w14:paraId="6A7C3635" w14:textId="77777777" w:rsidR="0069200C" w:rsidRPr="009F476B" w:rsidRDefault="0069200C" w:rsidP="00E3399B">
            <w:pPr>
              <w:widowControl/>
              <w:numPr>
                <w:ilvl w:val="0"/>
                <w:numId w:val="19"/>
              </w:numPr>
              <w:autoSpaceDE w:val="0"/>
              <w:autoSpaceDN w:val="0"/>
              <w:adjustRightInd w:val="0"/>
              <w:spacing w:line="276" w:lineRule="auto"/>
              <w:jc w:val="both"/>
              <w:rPr>
                <w:sz w:val="20"/>
                <w:lang w:val="en-GB" w:eastAsia="en-GB"/>
              </w:rPr>
            </w:pPr>
            <w:r w:rsidRPr="009F476B">
              <w:rPr>
                <w:sz w:val="20"/>
                <w:lang w:val="en-GB" w:eastAsia="en-GB"/>
              </w:rPr>
              <w:t>Organizational, management and operational capacities are in place to manage transitional democratic processes</w:t>
            </w:r>
            <w:r w:rsidR="00877478">
              <w:rPr>
                <w:sz w:val="20"/>
                <w:lang w:val="en-GB" w:eastAsia="en-GB"/>
              </w:rPr>
              <w:t>.</w:t>
            </w:r>
            <w:r w:rsidRPr="009F476B">
              <w:rPr>
                <w:sz w:val="20"/>
                <w:lang w:val="en-GB" w:eastAsia="en-GB"/>
              </w:rPr>
              <w:t xml:space="preserve"> </w:t>
            </w:r>
          </w:p>
          <w:p w14:paraId="3A38760E" w14:textId="77777777" w:rsidR="0069200C" w:rsidRPr="009F476B" w:rsidRDefault="0069200C" w:rsidP="00E3399B">
            <w:pPr>
              <w:pStyle w:val="BodyText2"/>
              <w:spacing w:line="276" w:lineRule="auto"/>
              <w:ind w:left="720"/>
              <w:jc w:val="both"/>
              <w:rPr>
                <w:rFonts w:ascii="Times New Roman" w:hAnsi="Times New Roman"/>
                <w:lang w:val="en-GB" w:eastAsia="en-GB"/>
              </w:rPr>
            </w:pPr>
          </w:p>
          <w:p w14:paraId="2315D905" w14:textId="77777777" w:rsidR="0069200C" w:rsidRPr="009F476B" w:rsidRDefault="0069200C" w:rsidP="00E3399B">
            <w:pPr>
              <w:widowControl/>
              <w:numPr>
                <w:ilvl w:val="0"/>
                <w:numId w:val="19"/>
              </w:numPr>
              <w:autoSpaceDE w:val="0"/>
              <w:autoSpaceDN w:val="0"/>
              <w:adjustRightInd w:val="0"/>
              <w:spacing w:line="276" w:lineRule="auto"/>
              <w:jc w:val="both"/>
              <w:rPr>
                <w:sz w:val="20"/>
                <w:lang w:val="en-GB" w:eastAsia="en-GB"/>
              </w:rPr>
            </w:pPr>
            <w:r w:rsidRPr="009F476B">
              <w:rPr>
                <w:sz w:val="20"/>
                <w:lang w:val="en-GB" w:eastAsia="en-GB"/>
              </w:rPr>
              <w:t>Thirty per cent of civic engagement and monitoring activities are implemented by CSOs during the transitional phase.</w:t>
            </w:r>
          </w:p>
        </w:tc>
      </w:tr>
      <w:bookmarkEnd w:id="2"/>
      <w:tr w:rsidR="00530FDE" w:rsidRPr="009F476B" w14:paraId="0C1CCE35" w14:textId="77777777" w:rsidTr="009E7526">
        <w:tc>
          <w:tcPr>
            <w:tcW w:w="14040" w:type="dxa"/>
            <w:gridSpan w:val="4"/>
          </w:tcPr>
          <w:p w14:paraId="04BC3C27" w14:textId="77777777" w:rsidR="00843006" w:rsidRPr="009F476B" w:rsidRDefault="00837C4B" w:rsidP="00E3399B">
            <w:pPr>
              <w:pStyle w:val="BodyText2"/>
              <w:spacing w:line="276" w:lineRule="auto"/>
              <w:jc w:val="both"/>
              <w:rPr>
                <w:rFonts w:ascii="Times New Roman" w:hAnsi="Times New Roman"/>
                <w:b/>
              </w:rPr>
            </w:pPr>
            <w:r w:rsidRPr="009F476B">
              <w:rPr>
                <w:rFonts w:ascii="Times New Roman" w:hAnsi="Times New Roman"/>
                <w:b/>
              </w:rPr>
              <w:t>UNDP Contribution:</w:t>
            </w:r>
          </w:p>
          <w:p w14:paraId="445C4E21" w14:textId="77777777" w:rsidR="00412FDA" w:rsidRPr="009F476B" w:rsidRDefault="00412FDA" w:rsidP="00E3399B">
            <w:pPr>
              <w:pStyle w:val="BodyText2"/>
              <w:spacing w:line="276" w:lineRule="auto"/>
              <w:jc w:val="both"/>
              <w:rPr>
                <w:rFonts w:ascii="Times New Roman" w:hAnsi="Times New Roman"/>
              </w:rPr>
            </w:pPr>
          </w:p>
          <w:p w14:paraId="242E170A" w14:textId="77777777" w:rsidR="00412FDA" w:rsidRPr="009F476B" w:rsidRDefault="00401B1A" w:rsidP="00E3399B">
            <w:pPr>
              <w:widowControl/>
              <w:autoSpaceDE w:val="0"/>
              <w:autoSpaceDN w:val="0"/>
              <w:adjustRightInd w:val="0"/>
              <w:spacing w:line="276" w:lineRule="auto"/>
              <w:jc w:val="both"/>
              <w:rPr>
                <w:sz w:val="20"/>
              </w:rPr>
            </w:pPr>
            <w:r w:rsidRPr="009F476B">
              <w:rPr>
                <w:sz w:val="20"/>
                <w:lang w:val="en-GB" w:eastAsia="en-GB"/>
              </w:rPr>
              <w:t>UNDP provided technical</w:t>
            </w:r>
            <w:r w:rsidR="00412FDA" w:rsidRPr="009F476B">
              <w:rPr>
                <w:sz w:val="20"/>
                <w:lang w:val="en-GB" w:eastAsia="en-GB"/>
              </w:rPr>
              <w:t xml:space="preserve"> expertise, operational and advisory services, networking and advocacy to support democratic processes and capacity development of the new legislature.</w:t>
            </w:r>
            <w:r w:rsidRPr="009F476B">
              <w:rPr>
                <w:sz w:val="20"/>
                <w:lang w:val="en-GB" w:eastAsia="en-GB"/>
              </w:rPr>
              <w:t xml:space="preserve"> UNDP fostered n</w:t>
            </w:r>
            <w:r w:rsidR="00412FDA" w:rsidRPr="009F476B">
              <w:rPr>
                <w:sz w:val="20"/>
                <w:lang w:val="en-GB" w:eastAsia="en-GB"/>
              </w:rPr>
              <w:t>ationwide civic education and CSO</w:t>
            </w:r>
            <w:r w:rsidRPr="009F476B">
              <w:rPr>
                <w:sz w:val="20"/>
                <w:lang w:val="en-GB" w:eastAsia="en-GB"/>
              </w:rPr>
              <w:t xml:space="preserve"> </w:t>
            </w:r>
            <w:r w:rsidR="00877478">
              <w:rPr>
                <w:sz w:val="20"/>
                <w:lang w:val="en-GB" w:eastAsia="en-GB"/>
              </w:rPr>
              <w:t xml:space="preserve">capacity building and </w:t>
            </w:r>
            <w:r w:rsidR="00412FDA" w:rsidRPr="009F476B">
              <w:rPr>
                <w:sz w:val="20"/>
                <w:lang w:val="en-GB" w:eastAsia="en-GB"/>
              </w:rPr>
              <w:t>development.</w:t>
            </w:r>
          </w:p>
          <w:p w14:paraId="1736A650" w14:textId="77777777" w:rsidR="00412FDA" w:rsidRPr="009F476B" w:rsidRDefault="00412FDA" w:rsidP="00E3399B">
            <w:pPr>
              <w:pStyle w:val="BodyText2"/>
              <w:spacing w:line="276" w:lineRule="auto"/>
              <w:jc w:val="both"/>
              <w:rPr>
                <w:rFonts w:ascii="Times New Roman" w:hAnsi="Times New Roman"/>
              </w:rPr>
            </w:pPr>
          </w:p>
          <w:p w14:paraId="26971013" w14:textId="77777777" w:rsidR="00B00E5C" w:rsidRPr="009F476B" w:rsidRDefault="00B00E5C" w:rsidP="00E3399B">
            <w:pPr>
              <w:widowControl/>
              <w:autoSpaceDE w:val="0"/>
              <w:autoSpaceDN w:val="0"/>
              <w:adjustRightInd w:val="0"/>
              <w:spacing w:line="276" w:lineRule="auto"/>
              <w:jc w:val="both"/>
              <w:rPr>
                <w:sz w:val="20"/>
              </w:rPr>
            </w:pPr>
            <w:r w:rsidRPr="009F476B">
              <w:rPr>
                <w:sz w:val="20"/>
                <w:u w:val="single"/>
              </w:rPr>
              <w:t>CP Outputs</w:t>
            </w:r>
            <w:r w:rsidR="00845340" w:rsidRPr="009F476B">
              <w:rPr>
                <w:sz w:val="20"/>
              </w:rPr>
              <w:t>:</w:t>
            </w:r>
          </w:p>
          <w:p w14:paraId="0C50678C" w14:textId="77777777" w:rsidR="0065574E" w:rsidRPr="009F476B" w:rsidRDefault="0065574E" w:rsidP="00E3399B">
            <w:pPr>
              <w:widowControl/>
              <w:autoSpaceDE w:val="0"/>
              <w:autoSpaceDN w:val="0"/>
              <w:adjustRightInd w:val="0"/>
              <w:spacing w:line="276" w:lineRule="auto"/>
              <w:jc w:val="both"/>
              <w:rPr>
                <w:sz w:val="20"/>
              </w:rPr>
            </w:pPr>
            <w:r w:rsidRPr="009F476B">
              <w:rPr>
                <w:sz w:val="20"/>
              </w:rPr>
              <w:t>Output 1: National capacities (state and civil society) are strengthened to manage fair and inclusive transitional democratic processes.</w:t>
            </w:r>
          </w:p>
          <w:p w14:paraId="03A113A5" w14:textId="77777777" w:rsidR="00657DAB" w:rsidRPr="009F476B" w:rsidRDefault="00657DAB" w:rsidP="00E3399B">
            <w:pPr>
              <w:pStyle w:val="BodyText2"/>
              <w:spacing w:line="276" w:lineRule="auto"/>
              <w:jc w:val="both"/>
              <w:rPr>
                <w:rFonts w:ascii="Times New Roman" w:hAnsi="Times New Roman"/>
              </w:rPr>
            </w:pPr>
          </w:p>
          <w:p w14:paraId="557B53BE" w14:textId="77777777" w:rsidR="00B00E5C" w:rsidRPr="009F476B" w:rsidRDefault="00B00E5C" w:rsidP="00E3399B">
            <w:pPr>
              <w:pStyle w:val="BodyText2"/>
              <w:spacing w:line="276" w:lineRule="auto"/>
              <w:jc w:val="both"/>
              <w:rPr>
                <w:rFonts w:ascii="Times New Roman" w:hAnsi="Times New Roman"/>
              </w:rPr>
            </w:pPr>
            <w:r w:rsidRPr="009F476B">
              <w:rPr>
                <w:rFonts w:ascii="Times New Roman" w:hAnsi="Times New Roman"/>
                <w:u w:val="single"/>
              </w:rPr>
              <w:t>Progress and Achievements</w:t>
            </w:r>
            <w:r w:rsidR="00845340" w:rsidRPr="009F476B">
              <w:rPr>
                <w:rFonts w:ascii="Times New Roman" w:hAnsi="Times New Roman"/>
              </w:rPr>
              <w:t>:</w:t>
            </w:r>
          </w:p>
          <w:p w14:paraId="77487FB4" w14:textId="77777777" w:rsidR="00935D8A" w:rsidRPr="009F476B" w:rsidRDefault="00935D8A" w:rsidP="00E3399B">
            <w:pPr>
              <w:pStyle w:val="BodyText2"/>
              <w:spacing w:line="276" w:lineRule="auto"/>
              <w:jc w:val="both"/>
              <w:rPr>
                <w:rFonts w:ascii="Times New Roman" w:hAnsi="Times New Roman"/>
                <w:b/>
                <w:bCs/>
                <w:u w:val="single"/>
              </w:rPr>
            </w:pPr>
          </w:p>
          <w:p w14:paraId="33581ADF" w14:textId="77777777" w:rsidR="00935D8A" w:rsidRPr="009F476B" w:rsidRDefault="00935D8A" w:rsidP="00E3399B">
            <w:pPr>
              <w:pStyle w:val="BodyText2"/>
              <w:spacing w:line="276" w:lineRule="auto"/>
              <w:jc w:val="both"/>
              <w:rPr>
                <w:rFonts w:ascii="Times New Roman" w:hAnsi="Times New Roman"/>
                <w:b/>
                <w:bCs/>
                <w:u w:val="single"/>
              </w:rPr>
            </w:pPr>
            <w:r w:rsidRPr="009F476B">
              <w:rPr>
                <w:rFonts w:ascii="Times New Roman" w:hAnsi="Times New Roman"/>
                <w:b/>
                <w:bCs/>
                <w:u w:val="single"/>
              </w:rPr>
              <w:t>Electoral Assistance</w:t>
            </w:r>
          </w:p>
          <w:p w14:paraId="560BA7DD" w14:textId="77777777" w:rsidR="00935D8A" w:rsidRPr="009F476B" w:rsidRDefault="00935D8A" w:rsidP="00E3399B">
            <w:pPr>
              <w:spacing w:line="276" w:lineRule="auto"/>
              <w:jc w:val="both"/>
              <w:rPr>
                <w:sz w:val="20"/>
              </w:rPr>
            </w:pPr>
          </w:p>
          <w:p w14:paraId="1833B4BC" w14:textId="43A62604" w:rsidR="00935D8A" w:rsidRPr="009F476B" w:rsidRDefault="00935D8A" w:rsidP="00E3399B">
            <w:pPr>
              <w:spacing w:line="276" w:lineRule="auto"/>
              <w:jc w:val="both"/>
              <w:rPr>
                <w:sz w:val="20"/>
              </w:rPr>
            </w:pPr>
            <w:r w:rsidRPr="009F476B">
              <w:rPr>
                <w:sz w:val="20"/>
              </w:rPr>
              <w:t xml:space="preserve">UNDP committed itself to fostering the democratic processes in Libya through assisting Libyan authorities to strengthen their capacity to plan, prepare and conduct credible and transparent elections through the country’s post-2011 transition and beyond. Support in 2013-14 contributed to </w:t>
            </w:r>
            <w:r w:rsidR="003830AA">
              <w:rPr>
                <w:sz w:val="20"/>
              </w:rPr>
              <w:t xml:space="preserve">a) </w:t>
            </w:r>
            <w:r w:rsidRPr="009F476B">
              <w:rPr>
                <w:sz w:val="20"/>
              </w:rPr>
              <w:t>a new mandate and structure for Libya’s High National Elections Commission (HNEC),</w:t>
            </w:r>
            <w:r w:rsidR="003830AA">
              <w:rPr>
                <w:sz w:val="20"/>
              </w:rPr>
              <w:t xml:space="preserve"> and b) the drafting of</w:t>
            </w:r>
            <w:r w:rsidRPr="009F476B">
              <w:rPr>
                <w:sz w:val="20"/>
              </w:rPr>
              <w:t xml:space="preserve"> electoral laws governing the process of electing the Constitution Drafting Assembly (CDA) and House of Repre</w:t>
            </w:r>
            <w:r w:rsidR="00C25C39">
              <w:rPr>
                <w:sz w:val="20"/>
              </w:rPr>
              <w:t>sentatives (HoR). UNDP advisors</w:t>
            </w:r>
            <w:r w:rsidRPr="009F476B">
              <w:rPr>
                <w:sz w:val="20"/>
              </w:rPr>
              <w:t xml:space="preserve"> provided daily advice and assistance to the HNEC in areas such as planning, training, procedures, awareness, electoral security, coordination and media </w:t>
            </w:r>
            <w:r w:rsidR="003830AA" w:rsidRPr="009F476B">
              <w:rPr>
                <w:sz w:val="20"/>
              </w:rPr>
              <w:t>center</w:t>
            </w:r>
            <w:r w:rsidRPr="009F476B">
              <w:rPr>
                <w:sz w:val="20"/>
              </w:rPr>
              <w:t xml:space="preserve"> management. </w:t>
            </w:r>
          </w:p>
          <w:p w14:paraId="12A955E9" w14:textId="77777777" w:rsidR="00935D8A" w:rsidRPr="009F476B" w:rsidRDefault="00935D8A" w:rsidP="00E3399B">
            <w:pPr>
              <w:spacing w:line="276" w:lineRule="auto"/>
              <w:jc w:val="both"/>
              <w:rPr>
                <w:sz w:val="20"/>
              </w:rPr>
            </w:pPr>
          </w:p>
          <w:p w14:paraId="0551754F" w14:textId="580D2EC9" w:rsidR="00A30FB8" w:rsidRPr="009F476B" w:rsidRDefault="00A30FB8" w:rsidP="00E3399B">
            <w:pPr>
              <w:pStyle w:val="BodyText2"/>
              <w:spacing w:line="276" w:lineRule="auto"/>
              <w:jc w:val="both"/>
              <w:rPr>
                <w:rFonts w:ascii="Times New Roman" w:hAnsi="Times New Roman"/>
              </w:rPr>
            </w:pPr>
            <w:r w:rsidRPr="009F476B">
              <w:rPr>
                <w:rFonts w:ascii="Times New Roman" w:hAnsi="Times New Roman"/>
              </w:rPr>
              <w:t>In support of electoral processes in Libya, UNDP in partnership with the Government</w:t>
            </w:r>
            <w:r w:rsidR="003830AA">
              <w:rPr>
                <w:rFonts w:ascii="Times New Roman" w:hAnsi="Times New Roman"/>
              </w:rPr>
              <w:t xml:space="preserve"> of National Accord (GNA)</w:t>
            </w:r>
            <w:r w:rsidRPr="009F476B">
              <w:rPr>
                <w:rFonts w:ascii="Times New Roman" w:hAnsi="Times New Roman"/>
              </w:rPr>
              <w:t xml:space="preserve">, the UN Support Mission in Libya (UNSMIL) and other UN agencies provided crucial support to three national elections in the country. Libya’s first free, multi-party parliamentary elections in six decades was held on 7 July 2012. </w:t>
            </w:r>
            <w:r w:rsidRPr="009F476B">
              <w:rPr>
                <w:rFonts w:ascii="Times New Roman" w:hAnsi="Times New Roman"/>
              </w:rPr>
              <w:lastRenderedPageBreak/>
              <w:t>Through the UN electoral team approximately 1.77 million Libyans, 39 percent of them women, cast their vote for the General National Congress</w:t>
            </w:r>
            <w:r w:rsidR="003830AA">
              <w:rPr>
                <w:rFonts w:ascii="Times New Roman" w:hAnsi="Times New Roman"/>
              </w:rPr>
              <w:t xml:space="preserve"> (GNC)</w:t>
            </w:r>
            <w:r w:rsidRPr="009F476B">
              <w:rPr>
                <w:rFonts w:ascii="Times New Roman" w:hAnsi="Times New Roman"/>
              </w:rPr>
              <w:t xml:space="preserve">, tasked with the preparation of the new Constitution. </w:t>
            </w:r>
          </w:p>
          <w:p w14:paraId="210E0AE1" w14:textId="77777777" w:rsidR="00A30FB8" w:rsidRPr="009F476B" w:rsidRDefault="00A30FB8" w:rsidP="00E3399B">
            <w:pPr>
              <w:spacing w:line="276" w:lineRule="auto"/>
              <w:jc w:val="both"/>
              <w:rPr>
                <w:sz w:val="20"/>
              </w:rPr>
            </w:pPr>
          </w:p>
          <w:p w14:paraId="32C40F8A" w14:textId="20E98984" w:rsidR="00A30FB8" w:rsidRPr="009F476B" w:rsidRDefault="00A30FB8" w:rsidP="00E3399B">
            <w:pPr>
              <w:spacing w:line="276" w:lineRule="auto"/>
              <w:jc w:val="both"/>
              <w:rPr>
                <w:sz w:val="20"/>
              </w:rPr>
            </w:pPr>
            <w:r w:rsidRPr="009F476B">
              <w:rPr>
                <w:sz w:val="20"/>
              </w:rPr>
              <w:t>Over 2013-14, a total of 1000 electoral staff, decision-makers, media and civil society members participated in a series of UNDP-supported training events, conferences, workshops and roundtables that</w:t>
            </w:r>
            <w:r w:rsidR="003830AA">
              <w:rPr>
                <w:sz w:val="20"/>
              </w:rPr>
              <w:t xml:space="preserve"> </w:t>
            </w:r>
            <w:r w:rsidR="00E5492E">
              <w:rPr>
                <w:sz w:val="20"/>
              </w:rPr>
              <w:t xml:space="preserve">strengthened </w:t>
            </w:r>
            <w:r w:rsidR="00E5492E" w:rsidRPr="009F476B">
              <w:rPr>
                <w:sz w:val="20"/>
              </w:rPr>
              <w:t>their</w:t>
            </w:r>
            <w:r w:rsidRPr="009F476B">
              <w:rPr>
                <w:sz w:val="20"/>
              </w:rPr>
              <w:t xml:space="preserve"> understanding of critical electoral issues</w:t>
            </w:r>
            <w:r w:rsidR="003830AA">
              <w:rPr>
                <w:sz w:val="20"/>
              </w:rPr>
              <w:t>,</w:t>
            </w:r>
            <w:r w:rsidRPr="009F476B">
              <w:rPr>
                <w:sz w:val="20"/>
              </w:rPr>
              <w:t xml:space="preserve"> ranging from electoral systems to electoral dispute resolution. </w:t>
            </w:r>
            <w:r w:rsidR="003830AA">
              <w:rPr>
                <w:sz w:val="20"/>
              </w:rPr>
              <w:t>Around</w:t>
            </w:r>
            <w:r w:rsidRPr="009F476B">
              <w:rPr>
                <w:sz w:val="20"/>
              </w:rPr>
              <w:t xml:space="preserve"> a quarter of participants (24 per cent) were women. Raising awareness o</w:t>
            </w:r>
            <w:r w:rsidR="003830AA">
              <w:rPr>
                <w:sz w:val="20"/>
              </w:rPr>
              <w:t>n</w:t>
            </w:r>
            <w:r w:rsidRPr="009F476B">
              <w:rPr>
                <w:sz w:val="20"/>
              </w:rPr>
              <w:t xml:space="preserve"> such important issues amongst diverse stakeholders, </w:t>
            </w:r>
            <w:r w:rsidR="003830AA">
              <w:rPr>
                <w:sz w:val="20"/>
              </w:rPr>
              <w:t>was</w:t>
            </w:r>
            <w:r w:rsidRPr="009F476B">
              <w:rPr>
                <w:sz w:val="20"/>
              </w:rPr>
              <w:t xml:space="preserve"> key to strengthening the knowledge foundations of Libya’s emerging democracy.</w:t>
            </w:r>
          </w:p>
          <w:p w14:paraId="2694E4A5" w14:textId="77777777" w:rsidR="00A30FB8" w:rsidRPr="009F476B" w:rsidRDefault="00A30FB8" w:rsidP="00E3399B">
            <w:pPr>
              <w:pStyle w:val="BodyText2"/>
              <w:spacing w:line="276" w:lineRule="auto"/>
              <w:jc w:val="both"/>
              <w:rPr>
                <w:rFonts w:ascii="Times New Roman" w:hAnsi="Times New Roman"/>
              </w:rPr>
            </w:pPr>
          </w:p>
          <w:p w14:paraId="39145AAB" w14:textId="43E9649B" w:rsidR="00935D8A" w:rsidRPr="009F476B" w:rsidRDefault="00A30FB8" w:rsidP="00E3399B">
            <w:pPr>
              <w:pStyle w:val="BodyText2"/>
              <w:spacing w:line="276" w:lineRule="auto"/>
              <w:jc w:val="both"/>
            </w:pPr>
            <w:r w:rsidRPr="009F476B">
              <w:rPr>
                <w:rFonts w:ascii="Times New Roman" w:hAnsi="Times New Roman"/>
              </w:rPr>
              <w:t>Moreover, UNDP managed to work with Libyan authorities to prepare for and conduct well-administered, transparent and credible elections that represent the will of the Libyan people and meet international standards and best practices. Under a</w:t>
            </w:r>
            <w:r w:rsidR="003830AA">
              <w:rPr>
                <w:rFonts w:ascii="Times New Roman" w:hAnsi="Times New Roman"/>
              </w:rPr>
              <w:t xml:space="preserve"> </w:t>
            </w:r>
            <w:r w:rsidRPr="009F476B">
              <w:rPr>
                <w:rFonts w:ascii="Times New Roman" w:hAnsi="Times New Roman"/>
              </w:rPr>
              <w:t xml:space="preserve">tight deadline, UNDP provided timely delivery </w:t>
            </w:r>
            <w:r>
              <w:rPr>
                <w:rFonts w:ascii="Times New Roman" w:hAnsi="Times New Roman"/>
              </w:rPr>
              <w:t>of essential election materials</w:t>
            </w:r>
            <w:r w:rsidRPr="009F476B">
              <w:rPr>
                <w:rFonts w:ascii="Times New Roman" w:hAnsi="Times New Roman"/>
              </w:rPr>
              <w:t xml:space="preserve">; </w:t>
            </w:r>
            <w:r w:rsidR="003830AA">
              <w:rPr>
                <w:rFonts w:ascii="Times New Roman" w:hAnsi="Times New Roman"/>
              </w:rPr>
              <w:t>and</w:t>
            </w:r>
            <w:r w:rsidRPr="009F476B">
              <w:rPr>
                <w:rFonts w:ascii="Times New Roman" w:hAnsi="Times New Roman"/>
              </w:rPr>
              <w:t xml:space="preserve"> assisted in establishing a coordinated election security plan. UNDP worked with the International Organization for Migration (IOM) to administer out-of-country voting, enabling 8,000 Libyans from the diaspora to cast ballots. </w:t>
            </w:r>
            <w:r w:rsidR="00935D8A" w:rsidRPr="00A30FB8">
              <w:rPr>
                <w:rFonts w:ascii="Times New Roman" w:hAnsi="Times New Roman"/>
              </w:rPr>
              <w:t>UNDP provided sensitive electoral materials that included over 14 million ballots, 38,000 bottles of indelible ink and 18,000 polling kits. UNDP also provided the expertise needed to design ballots, produce voter information materials, and design and manage results software to tabulate approximately 14,000 results forms.</w:t>
            </w:r>
          </w:p>
          <w:p w14:paraId="5CE72BF5" w14:textId="77777777" w:rsidR="00935D8A" w:rsidRPr="009F476B" w:rsidRDefault="00935D8A" w:rsidP="00E3399B">
            <w:pPr>
              <w:spacing w:line="276" w:lineRule="auto"/>
              <w:jc w:val="both"/>
              <w:rPr>
                <w:sz w:val="20"/>
              </w:rPr>
            </w:pPr>
          </w:p>
          <w:p w14:paraId="2B8E4E0A" w14:textId="6BC554BD" w:rsidR="00935D8A" w:rsidRPr="009F476B" w:rsidRDefault="00935D8A" w:rsidP="00E3399B">
            <w:pPr>
              <w:spacing w:line="276" w:lineRule="auto"/>
              <w:jc w:val="both"/>
              <w:rPr>
                <w:sz w:val="20"/>
              </w:rPr>
            </w:pPr>
            <w:r w:rsidRPr="009F476B">
              <w:rPr>
                <w:sz w:val="20"/>
              </w:rPr>
              <w:t xml:space="preserve">A focus of UNDP’s support to Libya’s elections </w:t>
            </w:r>
            <w:r w:rsidR="00C25C39">
              <w:rPr>
                <w:sz w:val="20"/>
              </w:rPr>
              <w:t>was on</w:t>
            </w:r>
            <w:r w:rsidRPr="009F476B">
              <w:rPr>
                <w:sz w:val="20"/>
              </w:rPr>
              <w:t xml:space="preserve"> enhancing access and participation in electoral processes, including by encouraging greater representation of women in all aspects of elections. In cooperation with partners, UNDP advocated the adoption of special measures that ultimately ensured that 10 per cent of seats in Constitution Drafting Assembly (CDA) were reserved for women and 10 per cent for cultural-linguistic groups, resulting in diverse representation in this important body. UNDP’s advocacy and support ensured </w:t>
            </w:r>
            <w:r w:rsidR="003830AA">
              <w:rPr>
                <w:sz w:val="20"/>
              </w:rPr>
              <w:t xml:space="preserve">that the </w:t>
            </w:r>
            <w:r w:rsidR="00A30FB8">
              <w:rPr>
                <w:sz w:val="20"/>
              </w:rPr>
              <w:t xml:space="preserve">HNEC </w:t>
            </w:r>
            <w:r w:rsidR="00BA0D3B">
              <w:rPr>
                <w:sz w:val="20"/>
              </w:rPr>
              <w:t>d</w:t>
            </w:r>
            <w:r w:rsidR="00A30FB8">
              <w:rPr>
                <w:sz w:val="20"/>
              </w:rPr>
              <w:t xml:space="preserve"> track and retain</w:t>
            </w:r>
            <w:r w:rsidRPr="009F476B">
              <w:rPr>
                <w:sz w:val="20"/>
              </w:rPr>
              <w:t xml:space="preserve"> sex-disaggregated data for all elections</w:t>
            </w:r>
            <w:r w:rsidR="00A30FB8">
              <w:rPr>
                <w:sz w:val="20"/>
              </w:rPr>
              <w:t>,</w:t>
            </w:r>
            <w:r w:rsidRPr="009F476B">
              <w:rPr>
                <w:sz w:val="20"/>
              </w:rPr>
              <w:t xml:space="preserve"> providing a key input to support </w:t>
            </w:r>
            <w:r w:rsidR="00A30FB8">
              <w:rPr>
                <w:sz w:val="20"/>
              </w:rPr>
              <w:t>future awareness and advocacy of</w:t>
            </w:r>
            <w:r w:rsidRPr="009F476B">
              <w:rPr>
                <w:sz w:val="20"/>
              </w:rPr>
              <w:t xml:space="preserve"> </w:t>
            </w:r>
            <w:r w:rsidR="003830AA">
              <w:rPr>
                <w:sz w:val="20"/>
              </w:rPr>
              <w:t xml:space="preserve">Libyan </w:t>
            </w:r>
            <w:r w:rsidRPr="009F476B">
              <w:rPr>
                <w:sz w:val="20"/>
              </w:rPr>
              <w:t>women’s full and equal participation in the political life of their country.</w:t>
            </w:r>
          </w:p>
          <w:p w14:paraId="0D54AF07" w14:textId="77777777" w:rsidR="00935D8A" w:rsidRPr="009F476B" w:rsidRDefault="00935D8A" w:rsidP="00E3399B">
            <w:pPr>
              <w:spacing w:line="276" w:lineRule="auto"/>
              <w:jc w:val="both"/>
              <w:rPr>
                <w:sz w:val="20"/>
              </w:rPr>
            </w:pPr>
          </w:p>
          <w:p w14:paraId="04CB4769" w14:textId="77777777" w:rsidR="00935D8A" w:rsidRPr="009F476B" w:rsidRDefault="00E3399B" w:rsidP="00E3399B">
            <w:pPr>
              <w:pStyle w:val="BodyText2"/>
              <w:spacing w:line="276" w:lineRule="auto"/>
              <w:jc w:val="both"/>
              <w:rPr>
                <w:rFonts w:ascii="Times New Roman" w:hAnsi="Times New Roman"/>
                <w:b/>
                <w:bCs/>
                <w:u w:val="single"/>
                <w:lang w:val="en-GB"/>
              </w:rPr>
            </w:pPr>
            <w:r>
              <w:rPr>
                <w:rFonts w:ascii="Times New Roman" w:hAnsi="Times New Roman"/>
                <w:b/>
                <w:bCs/>
                <w:u w:val="single"/>
                <w:lang w:val="en-GB"/>
              </w:rPr>
              <w:t>Supporting Constitution-m</w:t>
            </w:r>
            <w:r w:rsidR="00935D8A" w:rsidRPr="009F476B">
              <w:rPr>
                <w:rFonts w:ascii="Times New Roman" w:hAnsi="Times New Roman"/>
                <w:b/>
                <w:bCs/>
                <w:u w:val="single"/>
                <w:lang w:val="en-GB"/>
              </w:rPr>
              <w:t xml:space="preserve">aking processes </w:t>
            </w:r>
          </w:p>
          <w:p w14:paraId="057F2C8A" w14:textId="77777777" w:rsidR="00935D8A" w:rsidRPr="009F476B" w:rsidRDefault="00935D8A" w:rsidP="00E3399B">
            <w:pPr>
              <w:pStyle w:val="BodyText2"/>
              <w:spacing w:line="276" w:lineRule="auto"/>
              <w:jc w:val="both"/>
              <w:rPr>
                <w:rFonts w:ascii="Times New Roman" w:hAnsi="Times New Roman"/>
                <w:b/>
                <w:bCs/>
                <w:u w:val="single"/>
                <w:lang w:val="en-GB"/>
              </w:rPr>
            </w:pPr>
          </w:p>
          <w:p w14:paraId="7ADC4FBE" w14:textId="7B1C6330" w:rsidR="00935D8A" w:rsidRPr="009F476B" w:rsidRDefault="00935D8A" w:rsidP="00E3399B">
            <w:pPr>
              <w:spacing w:line="276" w:lineRule="auto"/>
              <w:jc w:val="both"/>
              <w:rPr>
                <w:sz w:val="20"/>
              </w:rPr>
            </w:pPr>
            <w:r w:rsidRPr="009F476B">
              <w:rPr>
                <w:sz w:val="20"/>
              </w:rPr>
              <w:t xml:space="preserve">UNDP supported constitution building in Libya by promoting citizen’s participation in constitution-making processes, through well-coordinated initiatives implemented with civil society organizations, the media and academia. </w:t>
            </w:r>
            <w:r w:rsidR="003830AA">
              <w:rPr>
                <w:sz w:val="20"/>
              </w:rPr>
              <w:t>UNDP worked</w:t>
            </w:r>
            <w:r w:rsidRPr="009F476B">
              <w:rPr>
                <w:sz w:val="20"/>
              </w:rPr>
              <w:t xml:space="preserve"> g with women, youth and minorities, and provided technical, communication and outreach support. </w:t>
            </w:r>
          </w:p>
          <w:p w14:paraId="70EC3344" w14:textId="77777777" w:rsidR="00935D8A" w:rsidRPr="009F476B" w:rsidRDefault="00935D8A" w:rsidP="00E3399B">
            <w:pPr>
              <w:spacing w:line="276" w:lineRule="auto"/>
              <w:jc w:val="both"/>
              <w:rPr>
                <w:sz w:val="20"/>
              </w:rPr>
            </w:pPr>
          </w:p>
          <w:p w14:paraId="3077B2A9" w14:textId="77777777" w:rsidR="00935D8A" w:rsidRPr="009F476B" w:rsidRDefault="00935D8A" w:rsidP="00E3399B">
            <w:pPr>
              <w:spacing w:line="276" w:lineRule="auto"/>
              <w:jc w:val="both"/>
              <w:rPr>
                <w:sz w:val="20"/>
              </w:rPr>
            </w:pPr>
            <w:r w:rsidRPr="009F476B">
              <w:rPr>
                <w:sz w:val="20"/>
              </w:rPr>
              <w:t xml:space="preserve">UNDP conducted, </w:t>
            </w:r>
            <w:r w:rsidRPr="00E3399B">
              <w:rPr>
                <w:i/>
                <w:sz w:val="20"/>
              </w:rPr>
              <w:t>inter alia</w:t>
            </w:r>
            <w:r w:rsidRPr="009F476B">
              <w:rPr>
                <w:sz w:val="20"/>
              </w:rPr>
              <w:t>, a series of training sessions on constitution-making processes</w:t>
            </w:r>
            <w:r w:rsidRPr="009F476B" w:rsidDel="00AF25ED">
              <w:rPr>
                <w:sz w:val="20"/>
              </w:rPr>
              <w:t xml:space="preserve"> </w:t>
            </w:r>
            <w:r w:rsidRPr="009F476B">
              <w:rPr>
                <w:sz w:val="20"/>
              </w:rPr>
              <w:t xml:space="preserve">for candidates standing for election to the CDA. The training covered more than 50% of the 649 candidates, of which 45 were women. Trained candidates represented 60% of members of the elected CDA.  </w:t>
            </w:r>
          </w:p>
          <w:p w14:paraId="7B0DDA14" w14:textId="77777777" w:rsidR="00935D8A" w:rsidRPr="009F476B" w:rsidRDefault="00935D8A" w:rsidP="00E3399B">
            <w:pPr>
              <w:spacing w:line="276" w:lineRule="auto"/>
              <w:jc w:val="both"/>
              <w:rPr>
                <w:sz w:val="20"/>
              </w:rPr>
            </w:pPr>
          </w:p>
          <w:p w14:paraId="5D74258E" w14:textId="0B162C3D" w:rsidR="00935D8A" w:rsidRPr="009F476B" w:rsidRDefault="00E3399B" w:rsidP="00E3399B">
            <w:pPr>
              <w:spacing w:line="276" w:lineRule="auto"/>
              <w:jc w:val="both"/>
              <w:rPr>
                <w:sz w:val="20"/>
              </w:rPr>
            </w:pPr>
            <w:r>
              <w:rPr>
                <w:sz w:val="20"/>
              </w:rPr>
              <w:t>UNDP</w:t>
            </w:r>
            <w:r w:rsidR="00935D8A" w:rsidRPr="009F476B">
              <w:rPr>
                <w:sz w:val="20"/>
              </w:rPr>
              <w:t xml:space="preserve"> provided a set of digital constitutional reference materials and research papers, which contributed to strengthening the skills of CDA members in constitutional making processes</w:t>
            </w:r>
            <w:r w:rsidR="003830AA">
              <w:rPr>
                <w:sz w:val="20"/>
              </w:rPr>
              <w:t>;</w:t>
            </w:r>
            <w:r w:rsidR="00935D8A" w:rsidRPr="009F476B">
              <w:rPr>
                <w:sz w:val="20"/>
              </w:rPr>
              <w:t xml:space="preserve"> and organized a workshop on issues of local governance for members of the CDA subcommittee handling the local governance portfolio. </w:t>
            </w:r>
          </w:p>
          <w:p w14:paraId="4BD18ED4" w14:textId="77777777" w:rsidR="00935D8A" w:rsidRPr="009F476B" w:rsidRDefault="00935D8A" w:rsidP="00E3399B">
            <w:pPr>
              <w:spacing w:line="276" w:lineRule="auto"/>
              <w:jc w:val="both"/>
              <w:rPr>
                <w:sz w:val="20"/>
              </w:rPr>
            </w:pPr>
          </w:p>
          <w:p w14:paraId="4161377A" w14:textId="77777777" w:rsidR="00935D8A" w:rsidRPr="009F476B" w:rsidRDefault="00935D8A" w:rsidP="00E3399B">
            <w:pPr>
              <w:spacing w:line="276" w:lineRule="auto"/>
              <w:jc w:val="both"/>
              <w:rPr>
                <w:sz w:val="20"/>
              </w:rPr>
            </w:pPr>
            <w:r w:rsidRPr="009F476B">
              <w:rPr>
                <w:sz w:val="20"/>
              </w:rPr>
              <w:t xml:space="preserve">UNDP has also supported media and communication activities of the CDA through an expert who helped </w:t>
            </w:r>
            <w:r w:rsidR="00E3399B">
              <w:rPr>
                <w:sz w:val="20"/>
              </w:rPr>
              <w:t xml:space="preserve">to </w:t>
            </w:r>
            <w:r w:rsidRPr="009F476B">
              <w:rPr>
                <w:sz w:val="20"/>
              </w:rPr>
              <w:t xml:space="preserve">prepare guiding strategy documents and supported the production of multi-media content for an awareness campaign on constitution making. The campaign raised awareness of the process and promoted open televised debates between </w:t>
            </w:r>
            <w:r w:rsidRPr="009F476B">
              <w:rPr>
                <w:sz w:val="20"/>
              </w:rPr>
              <w:lastRenderedPageBreak/>
              <w:t>experts and citizens on the Libyan constitution</w:t>
            </w:r>
            <w:r w:rsidR="00E3399B">
              <w:rPr>
                <w:sz w:val="20"/>
              </w:rPr>
              <w:t>.</w:t>
            </w:r>
            <w:r w:rsidRPr="009F476B">
              <w:rPr>
                <w:sz w:val="20"/>
              </w:rPr>
              <w:t xml:space="preserve"> Content developed for the campaign included TV, radio and print materials, partly developed by young journalists trained under the project for this purpose.</w:t>
            </w:r>
          </w:p>
          <w:p w14:paraId="499A22B4" w14:textId="77777777" w:rsidR="00935D8A" w:rsidRPr="009F476B" w:rsidRDefault="00935D8A" w:rsidP="00E3399B">
            <w:pPr>
              <w:spacing w:line="276" w:lineRule="auto"/>
              <w:jc w:val="both"/>
              <w:rPr>
                <w:sz w:val="20"/>
              </w:rPr>
            </w:pPr>
          </w:p>
          <w:p w14:paraId="393235FF" w14:textId="600273AE" w:rsidR="00935D8A" w:rsidRPr="009F476B" w:rsidRDefault="00935D8A" w:rsidP="00E3399B">
            <w:pPr>
              <w:spacing w:line="276" w:lineRule="auto"/>
              <w:jc w:val="both"/>
              <w:rPr>
                <w:sz w:val="20"/>
              </w:rPr>
            </w:pPr>
            <w:r w:rsidRPr="009F476B">
              <w:rPr>
                <w:sz w:val="20"/>
              </w:rPr>
              <w:t>To enhance civil society particip</w:t>
            </w:r>
            <w:r w:rsidR="00E3399B">
              <w:rPr>
                <w:sz w:val="20"/>
              </w:rPr>
              <w:t>ation in constitution-making, UNDP</w:t>
            </w:r>
            <w:r w:rsidRPr="009F476B">
              <w:rPr>
                <w:sz w:val="20"/>
              </w:rPr>
              <w:t xml:space="preserve"> </w:t>
            </w:r>
            <w:r w:rsidR="003830AA">
              <w:rPr>
                <w:sz w:val="20"/>
              </w:rPr>
              <w:t xml:space="preserve">organized </w:t>
            </w:r>
            <w:r w:rsidRPr="009F476B">
              <w:rPr>
                <w:sz w:val="20"/>
              </w:rPr>
              <w:t>with University of Benghazi and CSOs open public debates on constitutional issues</w:t>
            </w:r>
            <w:r w:rsidR="003830AA">
              <w:rPr>
                <w:sz w:val="20"/>
              </w:rPr>
              <w:t>,</w:t>
            </w:r>
            <w:r w:rsidRPr="009F476B">
              <w:rPr>
                <w:sz w:val="20"/>
              </w:rPr>
              <w:t xml:space="preserve"> with </w:t>
            </w:r>
            <w:r w:rsidR="00E5492E" w:rsidRPr="009F476B">
              <w:rPr>
                <w:sz w:val="20"/>
              </w:rPr>
              <w:t>focus</w:t>
            </w:r>
            <w:r w:rsidRPr="009F476B">
              <w:rPr>
                <w:sz w:val="20"/>
              </w:rPr>
              <w:t xml:space="preserve"> on the key questions of identity and form of state. </w:t>
            </w:r>
            <w:r w:rsidR="003830AA">
              <w:rPr>
                <w:sz w:val="20"/>
              </w:rPr>
              <w:t xml:space="preserve">In 2013, </w:t>
            </w:r>
            <w:r w:rsidR="003830AA" w:rsidRPr="009F476B">
              <w:rPr>
                <w:sz w:val="20"/>
              </w:rPr>
              <w:t>the University</w:t>
            </w:r>
            <w:r w:rsidR="003830AA">
              <w:rPr>
                <w:sz w:val="20"/>
              </w:rPr>
              <w:t xml:space="preserve"> of Benghazi, with UNDP support, organized </w:t>
            </w:r>
            <w:r w:rsidR="00E5492E">
              <w:rPr>
                <w:sz w:val="20"/>
              </w:rPr>
              <w:t>several</w:t>
            </w:r>
            <w:r w:rsidRPr="009F476B">
              <w:rPr>
                <w:sz w:val="20"/>
              </w:rPr>
              <w:t xml:space="preserve"> debates</w:t>
            </w:r>
            <w:r w:rsidR="003830AA">
              <w:rPr>
                <w:sz w:val="20"/>
              </w:rPr>
              <w:t xml:space="preserve"> </w:t>
            </w:r>
            <w:r w:rsidR="00E5492E">
              <w:rPr>
                <w:sz w:val="20"/>
              </w:rPr>
              <w:t>and</w:t>
            </w:r>
            <w:r w:rsidRPr="009F476B">
              <w:rPr>
                <w:sz w:val="20"/>
              </w:rPr>
              <w:t xml:space="preserve"> discussed outcomes of the countrywide constitutional survey</w:t>
            </w:r>
            <w:r w:rsidR="00FC06EB">
              <w:rPr>
                <w:sz w:val="20"/>
              </w:rPr>
              <w:t>.</w:t>
            </w:r>
            <w:r w:rsidR="00E3399B">
              <w:rPr>
                <w:sz w:val="20"/>
              </w:rPr>
              <w:t>3. In total UNDP</w:t>
            </w:r>
            <w:r w:rsidRPr="009F476B">
              <w:rPr>
                <w:sz w:val="20"/>
              </w:rPr>
              <w:t xml:space="preserve"> organized sixteen debates throughout the country, in all main university campuses and other locations. UNDP also worked with sixteen CSOs through a special grant fund to promote civic education on the constitution and encourage greater public engagement in the process of developing constitutional recommendations. </w:t>
            </w:r>
            <w:r w:rsidR="001721B5">
              <w:rPr>
                <w:sz w:val="20"/>
              </w:rPr>
              <w:t xml:space="preserve">Sixteen </w:t>
            </w:r>
            <w:r w:rsidR="001721B5" w:rsidRPr="009F476B">
              <w:rPr>
                <w:sz w:val="20"/>
              </w:rPr>
              <w:t>participating</w:t>
            </w:r>
            <w:r w:rsidRPr="009F476B">
              <w:rPr>
                <w:sz w:val="20"/>
              </w:rPr>
              <w:t xml:space="preserve"> CSOs benefitted from intensive training and ongoing coaching throughout the implementation period of the project. </w:t>
            </w:r>
          </w:p>
          <w:p w14:paraId="564E52F9" w14:textId="77777777" w:rsidR="00935D8A" w:rsidRPr="009F476B" w:rsidRDefault="00935D8A" w:rsidP="00E3399B">
            <w:pPr>
              <w:spacing w:line="276" w:lineRule="auto"/>
              <w:jc w:val="both"/>
              <w:rPr>
                <w:sz w:val="20"/>
              </w:rPr>
            </w:pPr>
          </w:p>
          <w:p w14:paraId="15D20469" w14:textId="3D76456C" w:rsidR="00935D8A" w:rsidRPr="009F476B" w:rsidRDefault="00935D8A" w:rsidP="00E3399B">
            <w:pPr>
              <w:spacing w:line="276" w:lineRule="auto"/>
              <w:jc w:val="both"/>
              <w:rPr>
                <w:sz w:val="20"/>
              </w:rPr>
            </w:pPr>
            <w:r w:rsidRPr="009F476B">
              <w:rPr>
                <w:sz w:val="20"/>
              </w:rPr>
              <w:t xml:space="preserve">The 16 CSOs implemented a wide range of civic education and constitutional awareness-raising activities, reaching more than 5,794 direct </w:t>
            </w:r>
            <w:r w:rsidR="00E3399B">
              <w:rPr>
                <w:sz w:val="20"/>
              </w:rPr>
              <w:t>beneficiaries (approximately two-thirds</w:t>
            </w:r>
            <w:r w:rsidR="00E3399B" w:rsidRPr="009F476B">
              <w:rPr>
                <w:sz w:val="20"/>
              </w:rPr>
              <w:t xml:space="preserve"> </w:t>
            </w:r>
            <w:r w:rsidRPr="009F476B">
              <w:rPr>
                <w:sz w:val="20"/>
              </w:rPr>
              <w:t xml:space="preserve">women) and more than 23,000 indirect beneficiaries in the South, Middle, East and West regions of the country. Engaged CSOs submitted to the CDA constitutional recommendations developed through the project, </w:t>
            </w:r>
            <w:r w:rsidR="00FC06EB">
              <w:rPr>
                <w:sz w:val="20"/>
              </w:rPr>
              <w:t xml:space="preserve">including </w:t>
            </w:r>
            <w:r w:rsidR="00E5492E">
              <w:rPr>
                <w:sz w:val="20"/>
              </w:rPr>
              <w:t xml:space="preserve">on </w:t>
            </w:r>
            <w:r w:rsidR="00E5492E" w:rsidRPr="009F476B">
              <w:rPr>
                <w:sz w:val="20"/>
              </w:rPr>
              <w:t>educational</w:t>
            </w:r>
            <w:r w:rsidRPr="009F476B">
              <w:rPr>
                <w:sz w:val="20"/>
              </w:rPr>
              <w:t xml:space="preserve"> rights, citizenship rights, women</w:t>
            </w:r>
            <w:r w:rsidR="00E3399B">
              <w:rPr>
                <w:sz w:val="20"/>
              </w:rPr>
              <w:t>’s</w:t>
            </w:r>
            <w:r w:rsidRPr="009F476B">
              <w:rPr>
                <w:sz w:val="20"/>
              </w:rPr>
              <w:t xml:space="preserve"> rights, the police and the army, among others.</w:t>
            </w:r>
            <w:r w:rsidRPr="009F476B" w:rsidDel="004E4886">
              <w:rPr>
                <w:sz w:val="20"/>
              </w:rPr>
              <w:t xml:space="preserve"> </w:t>
            </w:r>
            <w:r w:rsidR="001721B5" w:rsidRPr="009F476B">
              <w:rPr>
                <w:sz w:val="20"/>
              </w:rPr>
              <w:t>To</w:t>
            </w:r>
            <w:r w:rsidRPr="009F476B">
              <w:rPr>
                <w:sz w:val="20"/>
              </w:rPr>
              <w:t xml:space="preserve"> ensure that the future Libyan constitution is inclusive, UNDP supported a deliberate effort to </w:t>
            </w:r>
            <w:r w:rsidR="00E3399B">
              <w:rPr>
                <w:sz w:val="20"/>
              </w:rPr>
              <w:t xml:space="preserve">formulate women’s demands and </w:t>
            </w:r>
            <w:r w:rsidRPr="009F476B">
              <w:rPr>
                <w:sz w:val="20"/>
              </w:rPr>
              <w:t>advocate the</w:t>
            </w:r>
            <w:r w:rsidR="00E3399B">
              <w:rPr>
                <w:sz w:val="20"/>
              </w:rPr>
              <w:t>ir</w:t>
            </w:r>
            <w:r w:rsidRPr="009F476B">
              <w:rPr>
                <w:sz w:val="20"/>
              </w:rPr>
              <w:t xml:space="preserve"> inclusion in the constitution. This effort included organizing consultative meetings in Tripoli alongside two technical workshops organized in Cairo and Tunis</w:t>
            </w:r>
            <w:r w:rsidR="00FC06EB">
              <w:rPr>
                <w:sz w:val="20"/>
              </w:rPr>
              <w:t xml:space="preserve">, </w:t>
            </w:r>
            <w:r w:rsidR="001721B5" w:rsidRPr="009F476B">
              <w:rPr>
                <w:sz w:val="20"/>
              </w:rPr>
              <w:t>those</w:t>
            </w:r>
            <w:r w:rsidRPr="009F476B">
              <w:rPr>
                <w:sz w:val="20"/>
              </w:rPr>
              <w:t xml:space="preserve"> consultative meetings engaged around 100 women activists in developing a set of women’s demands from the new constitution. The demands were formulated based on latest available drafts that CDA sub-committees have produced on issues related to System of the Government; Judiciary Powers; the Constitutional Court; Rights and Freedoms; Management of Natural Resources; Transitional Procedures; Independent Constitutional Bodies; and the State of Emergency and Martial Law.</w:t>
            </w:r>
          </w:p>
          <w:p w14:paraId="34FFDD7A" w14:textId="77777777" w:rsidR="00935D8A" w:rsidRPr="009F476B" w:rsidRDefault="00935D8A" w:rsidP="00E3399B">
            <w:pPr>
              <w:spacing w:line="276" w:lineRule="auto"/>
              <w:jc w:val="both"/>
              <w:rPr>
                <w:sz w:val="20"/>
              </w:rPr>
            </w:pPr>
          </w:p>
          <w:p w14:paraId="56E0670A" w14:textId="77777777" w:rsidR="00935D8A" w:rsidRPr="009F476B" w:rsidRDefault="00935D8A" w:rsidP="00E3399B">
            <w:pPr>
              <w:spacing w:line="276" w:lineRule="auto"/>
              <w:jc w:val="both"/>
              <w:rPr>
                <w:sz w:val="20"/>
              </w:rPr>
            </w:pPr>
            <w:r w:rsidRPr="009F476B">
              <w:rPr>
                <w:sz w:val="20"/>
              </w:rPr>
              <w:t>To contribute to the democratic transformation and the development of a new political culture in Libya, UNDP began implementing its “Support to Civic Engagement in Libya’s Transition” (SCELT) project in early 2012. Working in coordination with Libyan partner ministries and CSOs, the project aimed to facilitate and support Libyan citizens, particularly youth, women and marginalized groups</w:t>
            </w:r>
            <w:r w:rsidR="00E3399B">
              <w:rPr>
                <w:sz w:val="20"/>
              </w:rPr>
              <w:t>,</w:t>
            </w:r>
            <w:r w:rsidRPr="009F476B">
              <w:rPr>
                <w:sz w:val="20"/>
              </w:rPr>
              <w:t xml:space="preserve"> to engage actively in the transition to democracy. </w:t>
            </w:r>
          </w:p>
          <w:p w14:paraId="79DDBCAD" w14:textId="77777777" w:rsidR="00935D8A" w:rsidRPr="009F476B" w:rsidRDefault="00935D8A" w:rsidP="00E3399B">
            <w:pPr>
              <w:spacing w:line="276" w:lineRule="auto"/>
              <w:jc w:val="both"/>
              <w:rPr>
                <w:sz w:val="20"/>
              </w:rPr>
            </w:pPr>
          </w:p>
          <w:p w14:paraId="4A9C3514" w14:textId="77777777" w:rsidR="00935D8A" w:rsidRPr="009F476B" w:rsidRDefault="00935D8A" w:rsidP="00E3399B">
            <w:pPr>
              <w:pStyle w:val="BodyText2"/>
              <w:spacing w:line="276" w:lineRule="auto"/>
              <w:jc w:val="both"/>
              <w:rPr>
                <w:rFonts w:ascii="Times New Roman" w:hAnsi="Times New Roman"/>
                <w:b/>
                <w:bCs/>
              </w:rPr>
            </w:pPr>
            <w:r w:rsidRPr="009F476B">
              <w:rPr>
                <w:rFonts w:ascii="Times New Roman" w:hAnsi="Times New Roman"/>
                <w:b/>
                <w:bCs/>
              </w:rPr>
              <w:t xml:space="preserve">Dialogue and Reconciliation Support </w:t>
            </w:r>
          </w:p>
          <w:p w14:paraId="65AD2066" w14:textId="77777777" w:rsidR="00935D8A" w:rsidRPr="009F476B" w:rsidRDefault="00935D8A" w:rsidP="00E3399B">
            <w:pPr>
              <w:pStyle w:val="BodyText2"/>
              <w:spacing w:line="276" w:lineRule="auto"/>
              <w:jc w:val="both"/>
              <w:rPr>
                <w:rFonts w:ascii="Times New Roman" w:hAnsi="Times New Roman"/>
                <w:b/>
                <w:bCs/>
              </w:rPr>
            </w:pPr>
          </w:p>
          <w:p w14:paraId="3DC0C49E" w14:textId="1CBC625A" w:rsidR="00E3399B" w:rsidRPr="009F476B" w:rsidRDefault="00E3399B" w:rsidP="00E3399B">
            <w:pPr>
              <w:pStyle w:val="BodyText2"/>
              <w:spacing w:line="276" w:lineRule="auto"/>
              <w:jc w:val="both"/>
              <w:rPr>
                <w:rFonts w:ascii="Times New Roman" w:hAnsi="Times New Roman"/>
              </w:rPr>
            </w:pPr>
            <w:r w:rsidRPr="009F476B">
              <w:rPr>
                <w:rFonts w:ascii="Times New Roman" w:hAnsi="Times New Roman"/>
              </w:rPr>
              <w:t xml:space="preserve">UNDP has greatly contributed to the UN brokered dialogue processes that led to political agreement endorsed in December 2015. To maintain the Libyan Political Agreement (LPA) brokered by the UN, UNDP provided support to UNSMIL </w:t>
            </w:r>
            <w:r w:rsidR="00FC06EB">
              <w:rPr>
                <w:rFonts w:ascii="Times New Roman" w:hAnsi="Times New Roman"/>
              </w:rPr>
              <w:t xml:space="preserve">and </w:t>
            </w:r>
            <w:r w:rsidRPr="009F476B">
              <w:rPr>
                <w:rFonts w:ascii="Times New Roman" w:hAnsi="Times New Roman"/>
              </w:rPr>
              <w:t>organize</w:t>
            </w:r>
            <w:r w:rsidR="00FC06EB">
              <w:rPr>
                <w:rFonts w:ascii="Times New Roman" w:hAnsi="Times New Roman"/>
              </w:rPr>
              <w:t>d</w:t>
            </w:r>
            <w:r w:rsidRPr="009F476B">
              <w:rPr>
                <w:rFonts w:ascii="Times New Roman" w:hAnsi="Times New Roman"/>
              </w:rPr>
              <w:t xml:space="preserve"> a</w:t>
            </w:r>
            <w:r w:rsidR="00FC06EB">
              <w:rPr>
                <w:rFonts w:ascii="Times New Roman" w:hAnsi="Times New Roman"/>
              </w:rPr>
              <w:t>n inclusive</w:t>
            </w:r>
            <w:r w:rsidRPr="009F476B">
              <w:rPr>
                <w:rFonts w:ascii="Times New Roman" w:hAnsi="Times New Roman"/>
              </w:rPr>
              <w:t xml:space="preserve"> political dialogue meeting to discuss current challenges to the implementation of the LPA. Options for addressing challenges were identified and developed and prospects to facilitate the GNA formation and the amendment to the constitutional declaration were discussed. Due to continuous support for this dialogue, political dialogue members agreed on a statement calling on institutions emanating from the LPA, the PC and HoR to uphold their responsibilities in line with the LPA. Members particularly called on the PC to address the numerous security and socioeconomic challenges facing Libyan citizens.</w:t>
            </w:r>
          </w:p>
          <w:p w14:paraId="2743B9E4" w14:textId="77777777" w:rsidR="00E3399B" w:rsidRDefault="00E3399B" w:rsidP="00E3399B">
            <w:pPr>
              <w:pStyle w:val="BodyText2"/>
              <w:spacing w:line="276" w:lineRule="auto"/>
              <w:jc w:val="both"/>
              <w:rPr>
                <w:rFonts w:ascii="Times New Roman" w:hAnsi="Times New Roman"/>
              </w:rPr>
            </w:pPr>
          </w:p>
          <w:p w14:paraId="6C3F2728" w14:textId="2997FD0F" w:rsidR="00705CD8" w:rsidRDefault="00935D8A" w:rsidP="00E3399B">
            <w:pPr>
              <w:pStyle w:val="BodyText2"/>
              <w:spacing w:line="276" w:lineRule="auto"/>
              <w:jc w:val="both"/>
              <w:rPr>
                <w:rFonts w:ascii="Times New Roman" w:hAnsi="Times New Roman"/>
                <w:iCs/>
              </w:rPr>
            </w:pPr>
            <w:r w:rsidRPr="009F476B">
              <w:rPr>
                <w:rFonts w:ascii="Times New Roman" w:hAnsi="Times New Roman"/>
              </w:rPr>
              <w:t>Despite the challenges, UNDP’s interventions contributed to the national priorities on the participation of citizens in political transition of the country</w:t>
            </w:r>
            <w:r w:rsidR="00705CD8">
              <w:rPr>
                <w:rFonts w:ascii="Times New Roman" w:hAnsi="Times New Roman"/>
              </w:rPr>
              <w:t>. A</w:t>
            </w:r>
            <w:r w:rsidR="003D653B" w:rsidRPr="009F476B">
              <w:rPr>
                <w:rFonts w:ascii="Times New Roman" w:hAnsi="Times New Roman"/>
                <w:iCs/>
              </w:rPr>
              <w:t xml:space="preserve">t the end of the cycle </w:t>
            </w:r>
            <w:r w:rsidRPr="009F476B">
              <w:rPr>
                <w:rFonts w:ascii="Times New Roman" w:hAnsi="Times New Roman"/>
                <w:iCs/>
              </w:rPr>
              <w:t>two national elections</w:t>
            </w:r>
            <w:r w:rsidR="00705CD8">
              <w:rPr>
                <w:rFonts w:ascii="Times New Roman" w:hAnsi="Times New Roman"/>
                <w:iCs/>
              </w:rPr>
              <w:t xml:space="preserve"> had been</w:t>
            </w:r>
            <w:r w:rsidRPr="009F476B">
              <w:rPr>
                <w:rFonts w:ascii="Times New Roman" w:hAnsi="Times New Roman"/>
                <w:iCs/>
              </w:rPr>
              <w:t xml:space="preserve"> org</w:t>
            </w:r>
            <w:r w:rsidR="0079730D" w:rsidRPr="009F476B">
              <w:rPr>
                <w:rFonts w:ascii="Times New Roman" w:hAnsi="Times New Roman"/>
                <w:iCs/>
              </w:rPr>
              <w:t xml:space="preserve">anized, </w:t>
            </w:r>
            <w:r w:rsidR="00E3399B">
              <w:rPr>
                <w:rFonts w:ascii="Times New Roman" w:hAnsi="Times New Roman"/>
                <w:iCs/>
              </w:rPr>
              <w:t>a C</w:t>
            </w:r>
            <w:r w:rsidRPr="009F476B">
              <w:rPr>
                <w:rFonts w:ascii="Times New Roman" w:hAnsi="Times New Roman"/>
                <w:iCs/>
              </w:rPr>
              <w:t>onstitution drafted</w:t>
            </w:r>
            <w:r w:rsidR="0079730D" w:rsidRPr="009F476B">
              <w:rPr>
                <w:rFonts w:ascii="Times New Roman" w:hAnsi="Times New Roman"/>
                <w:iCs/>
              </w:rPr>
              <w:t xml:space="preserve">, </w:t>
            </w:r>
            <w:r w:rsidR="00E3399B">
              <w:rPr>
                <w:rFonts w:ascii="Times New Roman" w:hAnsi="Times New Roman"/>
                <w:iCs/>
              </w:rPr>
              <w:t xml:space="preserve">and </w:t>
            </w:r>
            <w:r w:rsidR="0079730D" w:rsidRPr="009F476B">
              <w:rPr>
                <w:rFonts w:ascii="Times New Roman" w:hAnsi="Times New Roman"/>
                <w:iCs/>
              </w:rPr>
              <w:t xml:space="preserve">repeated dialogue </w:t>
            </w:r>
            <w:r w:rsidR="00E3399B">
              <w:rPr>
                <w:rFonts w:ascii="Times New Roman" w:hAnsi="Times New Roman"/>
                <w:iCs/>
              </w:rPr>
              <w:t>processes and reconciliation were</w:t>
            </w:r>
            <w:r w:rsidR="0079730D" w:rsidRPr="009F476B">
              <w:rPr>
                <w:rFonts w:ascii="Times New Roman" w:hAnsi="Times New Roman"/>
                <w:iCs/>
              </w:rPr>
              <w:t xml:space="preserve"> supported</w:t>
            </w:r>
            <w:r w:rsidR="00417008" w:rsidRPr="009F476B">
              <w:rPr>
                <w:rFonts w:ascii="Times New Roman" w:hAnsi="Times New Roman"/>
                <w:iCs/>
              </w:rPr>
              <w:t xml:space="preserve">. </w:t>
            </w:r>
            <w:r w:rsidR="00EC7BBC" w:rsidRPr="009F476B">
              <w:rPr>
                <w:rFonts w:ascii="Times New Roman" w:hAnsi="Times New Roman"/>
                <w:iCs/>
              </w:rPr>
              <w:t xml:space="preserve">These have resulted in </w:t>
            </w:r>
            <w:r w:rsidR="0079730D" w:rsidRPr="009F476B">
              <w:rPr>
                <w:rFonts w:ascii="Times New Roman" w:hAnsi="Times New Roman"/>
                <w:iCs/>
              </w:rPr>
              <w:t xml:space="preserve">establishing </w:t>
            </w:r>
            <w:r w:rsidR="00E3399B">
              <w:rPr>
                <w:rFonts w:ascii="Times New Roman" w:hAnsi="Times New Roman"/>
                <w:iCs/>
              </w:rPr>
              <w:t xml:space="preserve">a </w:t>
            </w:r>
            <w:r w:rsidR="0079730D" w:rsidRPr="009F476B">
              <w:rPr>
                <w:rFonts w:ascii="Times New Roman" w:hAnsi="Times New Roman"/>
                <w:iCs/>
              </w:rPr>
              <w:lastRenderedPageBreak/>
              <w:t xml:space="preserve">GNA and responsive national institutions. </w:t>
            </w:r>
            <w:r w:rsidR="00EC7BBC" w:rsidRPr="009F476B">
              <w:rPr>
                <w:rFonts w:ascii="Times New Roman" w:hAnsi="Times New Roman"/>
                <w:iCs/>
              </w:rPr>
              <w:t>Moreover</w:t>
            </w:r>
            <w:r w:rsidR="0079730D" w:rsidRPr="009F476B">
              <w:rPr>
                <w:rFonts w:ascii="Times New Roman" w:hAnsi="Times New Roman"/>
                <w:iCs/>
              </w:rPr>
              <w:t>,</w:t>
            </w:r>
            <w:r w:rsidR="00EC7BBC" w:rsidRPr="009F476B">
              <w:rPr>
                <w:rFonts w:ascii="Times New Roman" w:hAnsi="Times New Roman"/>
                <w:iCs/>
              </w:rPr>
              <w:t xml:space="preserve"> there are early signs that </w:t>
            </w:r>
            <w:r w:rsidR="00FC06EB">
              <w:rPr>
                <w:rFonts w:ascii="Times New Roman" w:hAnsi="Times New Roman"/>
                <w:iCs/>
              </w:rPr>
              <w:t xml:space="preserve">the </w:t>
            </w:r>
            <w:r w:rsidR="0079730D" w:rsidRPr="009F476B">
              <w:rPr>
                <w:rFonts w:ascii="Times New Roman" w:hAnsi="Times New Roman"/>
                <w:iCs/>
              </w:rPr>
              <w:t xml:space="preserve">GNA is establishing its authority at </w:t>
            </w:r>
            <w:r w:rsidR="00FC06EB">
              <w:rPr>
                <w:rFonts w:ascii="Times New Roman" w:hAnsi="Times New Roman"/>
                <w:iCs/>
              </w:rPr>
              <w:t xml:space="preserve">the </w:t>
            </w:r>
            <w:r w:rsidR="0079730D" w:rsidRPr="009F476B">
              <w:rPr>
                <w:rFonts w:ascii="Times New Roman" w:hAnsi="Times New Roman"/>
                <w:iCs/>
              </w:rPr>
              <w:t>national level and there are improv</w:t>
            </w:r>
            <w:r w:rsidR="00FC06EB">
              <w:rPr>
                <w:rFonts w:ascii="Times New Roman" w:hAnsi="Times New Roman"/>
                <w:iCs/>
              </w:rPr>
              <w:t>ed</w:t>
            </w:r>
            <w:r w:rsidR="0079730D" w:rsidRPr="009F476B">
              <w:rPr>
                <w:rFonts w:ascii="Times New Roman" w:hAnsi="Times New Roman"/>
                <w:iCs/>
              </w:rPr>
              <w:t xml:space="preserve"> signs o</w:t>
            </w:r>
            <w:r w:rsidR="00FC06EB">
              <w:rPr>
                <w:rFonts w:ascii="Times New Roman" w:hAnsi="Times New Roman"/>
                <w:iCs/>
              </w:rPr>
              <w:t>f</w:t>
            </w:r>
            <w:r w:rsidR="0079730D" w:rsidRPr="009F476B">
              <w:rPr>
                <w:rFonts w:ascii="Times New Roman" w:hAnsi="Times New Roman"/>
                <w:iCs/>
              </w:rPr>
              <w:t xml:space="preserve"> political stability.</w:t>
            </w:r>
            <w:r w:rsidR="00EC7BBC" w:rsidRPr="009F476B">
              <w:rPr>
                <w:rFonts w:ascii="Times New Roman" w:hAnsi="Times New Roman"/>
                <w:iCs/>
              </w:rPr>
              <w:t xml:space="preserve"> </w:t>
            </w:r>
          </w:p>
          <w:p w14:paraId="4DCE26BC" w14:textId="77777777" w:rsidR="00705CD8" w:rsidRDefault="00705CD8" w:rsidP="00E3399B">
            <w:pPr>
              <w:pStyle w:val="BodyText2"/>
              <w:spacing w:line="276" w:lineRule="auto"/>
              <w:jc w:val="both"/>
              <w:rPr>
                <w:rFonts w:ascii="Times New Roman" w:hAnsi="Times New Roman"/>
                <w:iCs/>
              </w:rPr>
            </w:pPr>
          </w:p>
          <w:p w14:paraId="78B0E837" w14:textId="46D3F853" w:rsidR="00E3399B" w:rsidRPr="009F476B" w:rsidRDefault="004A240D" w:rsidP="00E3399B">
            <w:pPr>
              <w:pStyle w:val="BodyText2"/>
              <w:spacing w:line="276" w:lineRule="auto"/>
              <w:jc w:val="both"/>
              <w:rPr>
                <w:rFonts w:ascii="Times New Roman" w:hAnsi="Times New Roman"/>
              </w:rPr>
            </w:pPr>
            <w:r w:rsidRPr="009F476B">
              <w:rPr>
                <w:rFonts w:ascii="Times New Roman" w:hAnsi="Times New Roman"/>
                <w:iCs/>
              </w:rPr>
              <w:t>Additionally,</w:t>
            </w:r>
            <w:r w:rsidR="00EC7BBC" w:rsidRPr="009F476B">
              <w:rPr>
                <w:rFonts w:ascii="Times New Roman" w:hAnsi="Times New Roman"/>
                <w:iCs/>
              </w:rPr>
              <w:t xml:space="preserve"> UNDP played</w:t>
            </w:r>
            <w:r w:rsidR="008B06DD" w:rsidRPr="009F476B">
              <w:rPr>
                <w:rFonts w:ascii="Times New Roman" w:hAnsi="Times New Roman"/>
                <w:iCs/>
              </w:rPr>
              <w:t xml:space="preserve"> an </w:t>
            </w:r>
            <w:r w:rsidR="00EC7BBC" w:rsidRPr="009F476B">
              <w:rPr>
                <w:rFonts w:ascii="Times New Roman" w:hAnsi="Times New Roman"/>
                <w:iCs/>
              </w:rPr>
              <w:t>important role in convening</w:t>
            </w:r>
            <w:r w:rsidR="0032175A" w:rsidRPr="009F476B">
              <w:rPr>
                <w:rFonts w:ascii="Times New Roman" w:hAnsi="Times New Roman"/>
                <w:iCs/>
              </w:rPr>
              <w:t xml:space="preserve"> </w:t>
            </w:r>
            <w:r w:rsidRPr="009F476B">
              <w:rPr>
                <w:rFonts w:ascii="Times New Roman" w:hAnsi="Times New Roman"/>
                <w:iCs/>
              </w:rPr>
              <w:t xml:space="preserve">national reconciliation by </w:t>
            </w:r>
            <w:r w:rsidR="00366AD1" w:rsidRPr="009F476B">
              <w:rPr>
                <w:rFonts w:ascii="Times New Roman" w:hAnsi="Times New Roman"/>
                <w:iCs/>
              </w:rPr>
              <w:t>bringing together</w:t>
            </w:r>
            <w:r w:rsidRPr="009F476B">
              <w:rPr>
                <w:rFonts w:ascii="Times New Roman" w:hAnsi="Times New Roman"/>
                <w:iCs/>
              </w:rPr>
              <w:t xml:space="preserve"> conflicting factions</w:t>
            </w:r>
            <w:r w:rsidR="0079730D" w:rsidRPr="009F476B">
              <w:rPr>
                <w:rFonts w:ascii="Times New Roman" w:hAnsi="Times New Roman"/>
                <w:iCs/>
              </w:rPr>
              <w:t xml:space="preserve">. </w:t>
            </w:r>
            <w:r w:rsidR="00E3399B" w:rsidRPr="009F476B">
              <w:rPr>
                <w:rFonts w:ascii="Times New Roman" w:hAnsi="Times New Roman"/>
              </w:rPr>
              <w:t>Progress has also been achieved through UNDP’s persistent support to inter-tribal dialogue processes that have resulted in reconciliation among clashing factions. Support included technical experts and creating an enabling</w:t>
            </w:r>
            <w:r w:rsidR="00E3399B">
              <w:rPr>
                <w:rFonts w:ascii="Times New Roman" w:hAnsi="Times New Roman"/>
              </w:rPr>
              <w:t xml:space="preserve"> environment for dialogue. This</w:t>
            </w:r>
            <w:r w:rsidR="00E3399B" w:rsidRPr="009F476B">
              <w:rPr>
                <w:rFonts w:ascii="Times New Roman" w:hAnsi="Times New Roman"/>
              </w:rPr>
              <w:t xml:space="preserve"> ensured progress towards reconciliation including the adoption of a road map for compensation of affected populations and a strategy for the voluntary return of displaced populations. With these two initiatives UNDP progressed towards the CPD expected outcome “Supporting Libya for the active participation of Citizens in the democratic transition”.</w:t>
            </w:r>
          </w:p>
          <w:p w14:paraId="35C971BA" w14:textId="77777777" w:rsidR="00F16FDA" w:rsidRPr="009F476B" w:rsidRDefault="00F16FDA" w:rsidP="00D723C0">
            <w:pPr>
              <w:pStyle w:val="BodyText2"/>
              <w:spacing w:line="276" w:lineRule="auto"/>
              <w:jc w:val="both"/>
              <w:rPr>
                <w:rFonts w:ascii="Times New Roman" w:hAnsi="Times New Roman"/>
              </w:rPr>
            </w:pPr>
          </w:p>
        </w:tc>
      </w:tr>
      <w:tr w:rsidR="0069200C" w:rsidRPr="009F476B" w14:paraId="229E07CC" w14:textId="77777777" w:rsidTr="00F16FDA">
        <w:tc>
          <w:tcPr>
            <w:tcW w:w="3067" w:type="dxa"/>
          </w:tcPr>
          <w:p w14:paraId="481F6E5E" w14:textId="77777777" w:rsidR="0069200C" w:rsidRPr="009F476B" w:rsidRDefault="0069200C" w:rsidP="002E79B0">
            <w:pPr>
              <w:pStyle w:val="BodyText2"/>
              <w:spacing w:line="276" w:lineRule="auto"/>
              <w:jc w:val="both"/>
              <w:rPr>
                <w:rFonts w:ascii="Times New Roman" w:hAnsi="Times New Roman"/>
                <w:b/>
              </w:rPr>
            </w:pPr>
            <w:r w:rsidRPr="009F476B">
              <w:rPr>
                <w:rFonts w:ascii="Times New Roman" w:hAnsi="Times New Roman"/>
                <w:b/>
              </w:rPr>
              <w:lastRenderedPageBreak/>
              <w:t>Outcomes</w:t>
            </w:r>
          </w:p>
        </w:tc>
        <w:tc>
          <w:tcPr>
            <w:tcW w:w="5483" w:type="dxa"/>
            <w:gridSpan w:val="2"/>
            <w:shd w:val="clear" w:color="auto" w:fill="auto"/>
          </w:tcPr>
          <w:p w14:paraId="78D9DEF1" w14:textId="77777777" w:rsidR="0069200C" w:rsidRPr="009F476B" w:rsidRDefault="0069200C" w:rsidP="002E79B0">
            <w:pPr>
              <w:pStyle w:val="BodyText2"/>
              <w:spacing w:line="276" w:lineRule="auto"/>
              <w:jc w:val="both"/>
              <w:rPr>
                <w:rFonts w:ascii="Times New Roman" w:hAnsi="Times New Roman"/>
                <w:b/>
              </w:rPr>
            </w:pPr>
            <w:r w:rsidRPr="009F476B">
              <w:rPr>
                <w:rFonts w:ascii="Times New Roman" w:hAnsi="Times New Roman"/>
                <w:b/>
              </w:rPr>
              <w:t>Key Indicators of outcome (1-4 per outcome)</w:t>
            </w:r>
          </w:p>
        </w:tc>
        <w:tc>
          <w:tcPr>
            <w:tcW w:w="5490" w:type="dxa"/>
          </w:tcPr>
          <w:p w14:paraId="594AB8BD" w14:textId="77777777" w:rsidR="0069200C" w:rsidRPr="009F476B" w:rsidRDefault="0069200C" w:rsidP="002E79B0">
            <w:pPr>
              <w:pStyle w:val="BodyText2"/>
              <w:spacing w:line="276" w:lineRule="auto"/>
              <w:jc w:val="both"/>
              <w:rPr>
                <w:rFonts w:ascii="Times New Roman" w:hAnsi="Times New Roman"/>
                <w:b/>
              </w:rPr>
            </w:pPr>
            <w:r w:rsidRPr="009F476B">
              <w:rPr>
                <w:rFonts w:ascii="Times New Roman" w:hAnsi="Times New Roman"/>
                <w:b/>
              </w:rPr>
              <w:t>Progress made against key indicators</w:t>
            </w:r>
          </w:p>
        </w:tc>
      </w:tr>
      <w:tr w:rsidR="0069200C" w:rsidRPr="009F476B" w14:paraId="54EC5C23" w14:textId="77777777" w:rsidTr="0069200C">
        <w:tc>
          <w:tcPr>
            <w:tcW w:w="3067" w:type="dxa"/>
            <w:shd w:val="clear" w:color="auto" w:fill="95B3D7"/>
          </w:tcPr>
          <w:p w14:paraId="239DEE7C" w14:textId="77777777" w:rsidR="0069200C" w:rsidRPr="009F476B" w:rsidRDefault="0069200C" w:rsidP="00E3399B">
            <w:pPr>
              <w:widowControl/>
              <w:autoSpaceDE w:val="0"/>
              <w:autoSpaceDN w:val="0"/>
              <w:adjustRightInd w:val="0"/>
              <w:spacing w:line="276" w:lineRule="auto"/>
              <w:jc w:val="both"/>
              <w:rPr>
                <w:b/>
                <w:bCs/>
                <w:sz w:val="20"/>
                <w:lang w:val="en-GB" w:eastAsia="en-GB"/>
              </w:rPr>
            </w:pPr>
            <w:r w:rsidRPr="009F476B">
              <w:rPr>
                <w:b/>
                <w:bCs/>
                <w:sz w:val="20"/>
                <w:lang w:val="en-GB" w:eastAsia="en-GB"/>
              </w:rPr>
              <w:t>Outcome 2. Central and local government authorities are strengthened to</w:t>
            </w:r>
          </w:p>
          <w:p w14:paraId="7CD2C88F" w14:textId="77777777" w:rsidR="0069200C" w:rsidRPr="009F476B" w:rsidRDefault="0069200C" w:rsidP="00E3399B">
            <w:pPr>
              <w:pStyle w:val="BodyText2"/>
              <w:spacing w:line="276" w:lineRule="auto"/>
              <w:jc w:val="both"/>
              <w:rPr>
                <w:rFonts w:ascii="Times New Roman" w:hAnsi="Times New Roman"/>
                <w:b/>
              </w:rPr>
            </w:pPr>
            <w:r w:rsidRPr="009F476B">
              <w:rPr>
                <w:rFonts w:ascii="Times New Roman" w:hAnsi="Times New Roman"/>
                <w:b/>
                <w:bCs/>
                <w:lang w:val="en-GB" w:eastAsia="en-GB"/>
              </w:rPr>
              <w:t>provide better public services to citizens.</w:t>
            </w:r>
          </w:p>
        </w:tc>
        <w:tc>
          <w:tcPr>
            <w:tcW w:w="5483" w:type="dxa"/>
            <w:gridSpan w:val="2"/>
            <w:shd w:val="clear" w:color="auto" w:fill="auto"/>
          </w:tcPr>
          <w:p w14:paraId="3D651B06" w14:textId="77777777" w:rsidR="0069200C" w:rsidRPr="009F476B" w:rsidRDefault="0069200C" w:rsidP="00E3399B">
            <w:pPr>
              <w:pStyle w:val="BodyText2"/>
              <w:spacing w:line="276" w:lineRule="auto"/>
              <w:jc w:val="both"/>
              <w:rPr>
                <w:rFonts w:ascii="Times New Roman" w:hAnsi="Times New Roman"/>
              </w:rPr>
            </w:pPr>
          </w:p>
          <w:p w14:paraId="6ACA7F6E" w14:textId="77777777" w:rsidR="0069200C" w:rsidRPr="009F476B" w:rsidRDefault="0069200C" w:rsidP="00E3399B">
            <w:pPr>
              <w:widowControl/>
              <w:numPr>
                <w:ilvl w:val="0"/>
                <w:numId w:val="20"/>
              </w:numPr>
              <w:autoSpaceDE w:val="0"/>
              <w:autoSpaceDN w:val="0"/>
              <w:adjustRightInd w:val="0"/>
              <w:spacing w:line="276" w:lineRule="auto"/>
              <w:jc w:val="both"/>
              <w:rPr>
                <w:sz w:val="20"/>
                <w:lang w:val="en-GB" w:eastAsia="en-GB"/>
              </w:rPr>
            </w:pPr>
            <w:r w:rsidRPr="009F476B">
              <w:rPr>
                <w:sz w:val="20"/>
                <w:lang w:val="en-GB" w:eastAsia="en-GB"/>
              </w:rPr>
              <w:t>Partner institutions are delivering basic services in a transparent and accountable manner (gender-disaggregated data fused or this indicator);</w:t>
            </w:r>
          </w:p>
          <w:p w14:paraId="75879F63" w14:textId="77777777" w:rsidR="0069200C" w:rsidRPr="009F476B" w:rsidRDefault="0069200C" w:rsidP="00E3399B">
            <w:pPr>
              <w:widowControl/>
              <w:autoSpaceDE w:val="0"/>
              <w:autoSpaceDN w:val="0"/>
              <w:adjustRightInd w:val="0"/>
              <w:spacing w:line="276" w:lineRule="auto"/>
              <w:jc w:val="both"/>
              <w:rPr>
                <w:sz w:val="20"/>
                <w:lang w:val="en-GB" w:eastAsia="en-GB"/>
              </w:rPr>
            </w:pPr>
          </w:p>
          <w:p w14:paraId="6EFA7FB0" w14:textId="77777777" w:rsidR="0069200C" w:rsidRPr="009F476B" w:rsidRDefault="0069200C" w:rsidP="00E3399B">
            <w:pPr>
              <w:widowControl/>
              <w:numPr>
                <w:ilvl w:val="0"/>
                <w:numId w:val="20"/>
              </w:numPr>
              <w:autoSpaceDE w:val="0"/>
              <w:autoSpaceDN w:val="0"/>
              <w:adjustRightInd w:val="0"/>
              <w:spacing w:line="276" w:lineRule="auto"/>
              <w:jc w:val="both"/>
              <w:rPr>
                <w:sz w:val="20"/>
                <w:lang w:val="en-GB" w:eastAsia="en-GB"/>
              </w:rPr>
            </w:pPr>
            <w:r w:rsidRPr="009F476B">
              <w:rPr>
                <w:sz w:val="20"/>
                <w:lang w:val="en-GB" w:eastAsia="en-GB"/>
              </w:rPr>
              <w:t>LMAC is carrying out mine action and small weapons control according to international norms and standards.</w:t>
            </w:r>
          </w:p>
          <w:p w14:paraId="1B018457" w14:textId="77777777" w:rsidR="0069200C" w:rsidRPr="009F476B" w:rsidRDefault="0069200C" w:rsidP="00E3399B">
            <w:pPr>
              <w:widowControl/>
              <w:autoSpaceDE w:val="0"/>
              <w:autoSpaceDN w:val="0"/>
              <w:adjustRightInd w:val="0"/>
              <w:spacing w:line="276" w:lineRule="auto"/>
              <w:ind w:left="360"/>
              <w:jc w:val="both"/>
              <w:rPr>
                <w:i/>
                <w:sz w:val="20"/>
              </w:rPr>
            </w:pPr>
          </w:p>
        </w:tc>
        <w:tc>
          <w:tcPr>
            <w:tcW w:w="5490" w:type="dxa"/>
            <w:shd w:val="clear" w:color="auto" w:fill="auto"/>
          </w:tcPr>
          <w:p w14:paraId="243ECBC2" w14:textId="77777777" w:rsidR="0069200C" w:rsidRPr="009F476B" w:rsidRDefault="0069200C" w:rsidP="00E3399B">
            <w:pPr>
              <w:widowControl/>
              <w:numPr>
                <w:ilvl w:val="0"/>
                <w:numId w:val="21"/>
              </w:numPr>
              <w:autoSpaceDE w:val="0"/>
              <w:autoSpaceDN w:val="0"/>
              <w:adjustRightInd w:val="0"/>
              <w:spacing w:line="276" w:lineRule="auto"/>
              <w:jc w:val="both"/>
              <w:rPr>
                <w:sz w:val="20"/>
                <w:lang w:val="en-GB" w:eastAsia="en-GB"/>
              </w:rPr>
            </w:pPr>
            <w:r w:rsidRPr="009F476B">
              <w:rPr>
                <w:sz w:val="20"/>
                <w:lang w:val="en-GB" w:eastAsia="en-GB"/>
              </w:rPr>
              <w:t>Some institutions have established necessary systems to deliver on their mandates in a transparent and accountable manner.</w:t>
            </w:r>
          </w:p>
          <w:p w14:paraId="181B9643" w14:textId="77777777" w:rsidR="0069200C" w:rsidRPr="009F476B" w:rsidRDefault="0069200C" w:rsidP="00E3399B">
            <w:pPr>
              <w:widowControl/>
              <w:autoSpaceDE w:val="0"/>
              <w:autoSpaceDN w:val="0"/>
              <w:adjustRightInd w:val="0"/>
              <w:spacing w:line="276" w:lineRule="auto"/>
              <w:ind w:left="360"/>
              <w:jc w:val="both"/>
              <w:rPr>
                <w:sz w:val="20"/>
                <w:lang w:val="en-GB" w:eastAsia="en-GB"/>
              </w:rPr>
            </w:pPr>
          </w:p>
          <w:p w14:paraId="7560586F" w14:textId="77777777" w:rsidR="0069200C" w:rsidRPr="009F476B" w:rsidRDefault="0069200C" w:rsidP="00E3399B">
            <w:pPr>
              <w:widowControl/>
              <w:autoSpaceDE w:val="0"/>
              <w:autoSpaceDN w:val="0"/>
              <w:adjustRightInd w:val="0"/>
              <w:spacing w:line="276" w:lineRule="auto"/>
              <w:ind w:left="360"/>
              <w:jc w:val="both"/>
              <w:rPr>
                <w:sz w:val="20"/>
                <w:lang w:val="en-GB" w:eastAsia="en-GB"/>
              </w:rPr>
            </w:pPr>
          </w:p>
          <w:p w14:paraId="0C2DA133" w14:textId="77777777" w:rsidR="0069200C" w:rsidRPr="009F476B" w:rsidRDefault="0069200C" w:rsidP="00E3399B">
            <w:pPr>
              <w:widowControl/>
              <w:numPr>
                <w:ilvl w:val="0"/>
                <w:numId w:val="21"/>
              </w:numPr>
              <w:autoSpaceDE w:val="0"/>
              <w:autoSpaceDN w:val="0"/>
              <w:adjustRightInd w:val="0"/>
              <w:spacing w:line="276" w:lineRule="auto"/>
              <w:jc w:val="both"/>
              <w:rPr>
                <w:sz w:val="20"/>
                <w:lang w:val="en-GB" w:eastAsia="en-GB"/>
              </w:rPr>
            </w:pPr>
            <w:r w:rsidRPr="009F476B">
              <w:rPr>
                <w:sz w:val="20"/>
                <w:lang w:val="en-GB" w:eastAsia="en-GB"/>
              </w:rPr>
              <w:t>LMAC has established systems to carry out mine action and small weapons control.</w:t>
            </w:r>
          </w:p>
          <w:p w14:paraId="4D8DD334" w14:textId="77777777" w:rsidR="0069200C" w:rsidRPr="009F476B" w:rsidRDefault="0069200C" w:rsidP="00E3399B">
            <w:pPr>
              <w:pStyle w:val="BodyText2"/>
              <w:spacing w:line="276" w:lineRule="auto"/>
              <w:jc w:val="both"/>
              <w:rPr>
                <w:rFonts w:ascii="Times New Roman" w:hAnsi="Times New Roman"/>
                <w:lang w:val="en-GB" w:eastAsia="en-GB"/>
              </w:rPr>
            </w:pPr>
          </w:p>
        </w:tc>
      </w:tr>
      <w:tr w:rsidR="00700521" w:rsidRPr="009F476B" w14:paraId="3880B26E" w14:textId="77777777" w:rsidTr="009E7526">
        <w:tc>
          <w:tcPr>
            <w:tcW w:w="14040" w:type="dxa"/>
            <w:gridSpan w:val="4"/>
          </w:tcPr>
          <w:p w14:paraId="0A979A49" w14:textId="77777777" w:rsidR="004B4BD8" w:rsidRPr="00FE4D3C" w:rsidRDefault="004B4BD8" w:rsidP="00E3399B">
            <w:pPr>
              <w:pStyle w:val="BodyText2"/>
              <w:spacing w:line="276" w:lineRule="auto"/>
              <w:jc w:val="both"/>
              <w:rPr>
                <w:rFonts w:ascii="Times New Roman" w:hAnsi="Times New Roman"/>
                <w:b/>
              </w:rPr>
            </w:pPr>
          </w:p>
          <w:p w14:paraId="7506A7C0" w14:textId="77777777" w:rsidR="00700521" w:rsidRPr="00FE4D3C" w:rsidRDefault="00700521" w:rsidP="00E3399B">
            <w:pPr>
              <w:pStyle w:val="BodyText2"/>
              <w:spacing w:line="276" w:lineRule="auto"/>
              <w:jc w:val="both"/>
              <w:rPr>
                <w:rFonts w:ascii="Times New Roman" w:hAnsi="Times New Roman"/>
                <w:b/>
              </w:rPr>
            </w:pPr>
            <w:r w:rsidRPr="00FE4D3C">
              <w:rPr>
                <w:rFonts w:ascii="Times New Roman" w:hAnsi="Times New Roman"/>
                <w:b/>
              </w:rPr>
              <w:t>UNDP Contribution:</w:t>
            </w:r>
          </w:p>
          <w:p w14:paraId="1B5E6AA9" w14:textId="77777777" w:rsidR="008B06DD" w:rsidRPr="00FE4D3C" w:rsidRDefault="00401B1A" w:rsidP="00E3399B">
            <w:pPr>
              <w:widowControl/>
              <w:autoSpaceDE w:val="0"/>
              <w:autoSpaceDN w:val="0"/>
              <w:adjustRightInd w:val="0"/>
              <w:spacing w:line="276" w:lineRule="auto"/>
              <w:jc w:val="both"/>
              <w:rPr>
                <w:sz w:val="20"/>
                <w:lang w:val="en-GB" w:eastAsia="en-GB"/>
              </w:rPr>
            </w:pPr>
            <w:r w:rsidRPr="00FE4D3C">
              <w:rPr>
                <w:sz w:val="20"/>
                <w:lang w:val="en-GB" w:eastAsia="en-GB"/>
              </w:rPr>
              <w:t xml:space="preserve">UNDP provided programmatic, technical and policy support to support national and subnational institutional strengthening, especially in </w:t>
            </w:r>
            <w:r w:rsidR="00594AF2" w:rsidRPr="00FE4D3C">
              <w:rPr>
                <w:sz w:val="20"/>
                <w:lang w:val="en-GB" w:eastAsia="en-GB"/>
              </w:rPr>
              <w:t>public</w:t>
            </w:r>
            <w:r w:rsidRPr="00FE4D3C">
              <w:rPr>
                <w:sz w:val="20"/>
                <w:lang w:val="en-GB" w:eastAsia="en-GB"/>
              </w:rPr>
              <w:t xml:space="preserve"> service provision</w:t>
            </w:r>
            <w:r w:rsidR="00D723C0" w:rsidRPr="00FE4D3C">
              <w:rPr>
                <w:sz w:val="20"/>
                <w:lang w:val="en-GB" w:eastAsia="en-GB"/>
              </w:rPr>
              <w:t xml:space="preserve"> and local peace and stability</w:t>
            </w:r>
            <w:r w:rsidRPr="00FE4D3C">
              <w:rPr>
                <w:sz w:val="20"/>
                <w:lang w:val="en-GB" w:eastAsia="en-GB"/>
              </w:rPr>
              <w:t>.</w:t>
            </w:r>
          </w:p>
          <w:p w14:paraId="102E9D41" w14:textId="77777777" w:rsidR="00D51245" w:rsidRPr="00FE4D3C" w:rsidRDefault="00D51245" w:rsidP="00E3399B">
            <w:pPr>
              <w:widowControl/>
              <w:autoSpaceDE w:val="0"/>
              <w:autoSpaceDN w:val="0"/>
              <w:adjustRightInd w:val="0"/>
              <w:spacing w:line="276" w:lineRule="auto"/>
              <w:jc w:val="both"/>
              <w:rPr>
                <w:sz w:val="20"/>
                <w:u w:val="single"/>
              </w:rPr>
            </w:pPr>
          </w:p>
          <w:p w14:paraId="67538181" w14:textId="77777777" w:rsidR="008B06DD" w:rsidRPr="00FE4D3C" w:rsidRDefault="008B06DD" w:rsidP="00E3399B">
            <w:pPr>
              <w:pStyle w:val="BodyText2"/>
              <w:spacing w:line="276" w:lineRule="auto"/>
              <w:jc w:val="both"/>
              <w:rPr>
                <w:rFonts w:ascii="Times New Roman" w:hAnsi="Times New Roman"/>
              </w:rPr>
            </w:pPr>
            <w:r w:rsidRPr="00FE4D3C">
              <w:rPr>
                <w:rFonts w:ascii="Times New Roman" w:hAnsi="Times New Roman"/>
                <w:u w:val="single"/>
              </w:rPr>
              <w:t>CP Outputs</w:t>
            </w:r>
            <w:r w:rsidR="00845340" w:rsidRPr="00FE4D3C">
              <w:rPr>
                <w:rFonts w:ascii="Times New Roman" w:hAnsi="Times New Roman"/>
              </w:rPr>
              <w:t>:</w:t>
            </w:r>
          </w:p>
          <w:p w14:paraId="099C293A" w14:textId="77777777" w:rsidR="001B6F51" w:rsidRPr="00FE4D3C" w:rsidRDefault="001B6F51" w:rsidP="00E3399B">
            <w:pPr>
              <w:widowControl/>
              <w:autoSpaceDE w:val="0"/>
              <w:autoSpaceDN w:val="0"/>
              <w:adjustRightInd w:val="0"/>
              <w:spacing w:line="276" w:lineRule="auto"/>
              <w:jc w:val="both"/>
              <w:rPr>
                <w:sz w:val="20"/>
                <w:lang w:val="en-GB" w:eastAsia="en-GB"/>
              </w:rPr>
            </w:pPr>
            <w:r w:rsidRPr="00FE4D3C">
              <w:rPr>
                <w:b/>
                <w:bCs/>
                <w:sz w:val="20"/>
                <w:lang w:val="en-GB" w:eastAsia="en-GB"/>
              </w:rPr>
              <w:t xml:space="preserve">Output 1: </w:t>
            </w:r>
            <w:r w:rsidRPr="00FE4D3C">
              <w:rPr>
                <w:sz w:val="20"/>
                <w:lang w:val="en-GB" w:eastAsia="en-GB"/>
              </w:rPr>
              <w:t>Performance of key public institutions is strengthened to deliver basic services and adopt anti-corruption measures.</w:t>
            </w:r>
          </w:p>
          <w:p w14:paraId="46E6571C" w14:textId="77777777" w:rsidR="00394C0C" w:rsidRDefault="001B6F51" w:rsidP="00E3399B">
            <w:pPr>
              <w:widowControl/>
              <w:autoSpaceDE w:val="0"/>
              <w:autoSpaceDN w:val="0"/>
              <w:adjustRightInd w:val="0"/>
              <w:spacing w:line="276" w:lineRule="auto"/>
              <w:jc w:val="both"/>
              <w:rPr>
                <w:sz w:val="20"/>
                <w:lang w:val="en-GB" w:eastAsia="en-GB"/>
              </w:rPr>
            </w:pPr>
            <w:r w:rsidRPr="00FE4D3C">
              <w:rPr>
                <w:b/>
                <w:bCs/>
                <w:sz w:val="20"/>
                <w:lang w:val="en-GB" w:eastAsia="en-GB"/>
              </w:rPr>
              <w:t xml:space="preserve">Output 2: </w:t>
            </w:r>
            <w:r w:rsidRPr="00FE4D3C">
              <w:rPr>
                <w:sz w:val="20"/>
                <w:lang w:val="en-GB" w:eastAsia="en-GB"/>
              </w:rPr>
              <w:t xml:space="preserve">Institutional and human capacities developed </w:t>
            </w:r>
          </w:p>
          <w:p w14:paraId="0DA89A20" w14:textId="77777777" w:rsidR="00BA0D3B" w:rsidRPr="00FE4D3C" w:rsidRDefault="00BA0D3B" w:rsidP="00E3399B">
            <w:pPr>
              <w:widowControl/>
              <w:autoSpaceDE w:val="0"/>
              <w:autoSpaceDN w:val="0"/>
              <w:adjustRightInd w:val="0"/>
              <w:spacing w:line="276" w:lineRule="auto"/>
              <w:jc w:val="both"/>
              <w:rPr>
                <w:sz w:val="20"/>
              </w:rPr>
            </w:pPr>
          </w:p>
          <w:p w14:paraId="182D8602" w14:textId="77777777" w:rsidR="00920A99" w:rsidRPr="00FE4D3C" w:rsidRDefault="008B06DD" w:rsidP="00E3399B">
            <w:pPr>
              <w:pStyle w:val="BodyText2"/>
              <w:spacing w:line="276" w:lineRule="auto"/>
              <w:jc w:val="both"/>
              <w:rPr>
                <w:rFonts w:ascii="Times New Roman" w:hAnsi="Times New Roman"/>
              </w:rPr>
            </w:pPr>
            <w:r w:rsidRPr="00FE4D3C">
              <w:rPr>
                <w:rFonts w:ascii="Times New Roman" w:hAnsi="Times New Roman"/>
                <w:u w:val="single"/>
              </w:rPr>
              <w:t>Progress and Achievements</w:t>
            </w:r>
            <w:r w:rsidR="00845340" w:rsidRPr="00FE4D3C">
              <w:rPr>
                <w:rFonts w:ascii="Times New Roman" w:hAnsi="Times New Roman"/>
              </w:rPr>
              <w:t>:</w:t>
            </w:r>
          </w:p>
          <w:p w14:paraId="257AC00A" w14:textId="77777777" w:rsidR="00920A99" w:rsidRPr="00FE4D3C" w:rsidRDefault="00920A99" w:rsidP="00E3399B">
            <w:pPr>
              <w:widowControl/>
              <w:autoSpaceDE w:val="0"/>
              <w:autoSpaceDN w:val="0"/>
              <w:adjustRightInd w:val="0"/>
              <w:spacing w:line="276" w:lineRule="auto"/>
              <w:jc w:val="both"/>
              <w:rPr>
                <w:bCs/>
                <w:sz w:val="20"/>
              </w:rPr>
            </w:pPr>
          </w:p>
          <w:p w14:paraId="7125F3C8" w14:textId="08C0031F" w:rsidR="00705CD8" w:rsidRPr="00FE4D3C" w:rsidRDefault="00705CD8" w:rsidP="00705CD8">
            <w:pPr>
              <w:pStyle w:val="BodyText2"/>
              <w:spacing w:line="276" w:lineRule="auto"/>
              <w:jc w:val="both"/>
              <w:rPr>
                <w:rFonts w:ascii="Times New Roman" w:hAnsi="Times New Roman"/>
                <w:iCs/>
              </w:rPr>
            </w:pPr>
            <w:r w:rsidRPr="00FE4D3C">
              <w:rPr>
                <w:rFonts w:ascii="Times New Roman" w:hAnsi="Times New Roman"/>
                <w:iCs/>
              </w:rPr>
              <w:t xml:space="preserve">UNDP finalized core government functions (CGF) assessments on government employees and Civil Service Reform. The assessment will serve as guidance for government and development partners in Libya as they develop policy and programme interventions. </w:t>
            </w:r>
          </w:p>
          <w:p w14:paraId="580629AE" w14:textId="77777777" w:rsidR="00705CD8" w:rsidRPr="00FE4D3C" w:rsidRDefault="00705CD8" w:rsidP="00E3399B">
            <w:pPr>
              <w:widowControl/>
              <w:autoSpaceDE w:val="0"/>
              <w:autoSpaceDN w:val="0"/>
              <w:adjustRightInd w:val="0"/>
              <w:spacing w:line="276" w:lineRule="auto"/>
              <w:jc w:val="both"/>
              <w:rPr>
                <w:bCs/>
                <w:sz w:val="20"/>
              </w:rPr>
            </w:pPr>
          </w:p>
          <w:p w14:paraId="7F79D2F2" w14:textId="5C7BA91B" w:rsidR="00FE4D3C" w:rsidRPr="00FE4D3C" w:rsidRDefault="00920A99" w:rsidP="00FE4D3C">
            <w:pPr>
              <w:pStyle w:val="Pa4"/>
              <w:spacing w:line="276" w:lineRule="auto"/>
              <w:jc w:val="both"/>
              <w:rPr>
                <w:rFonts w:ascii="Times New Roman" w:hAnsi="Times New Roman"/>
                <w:bCs/>
                <w:color w:val="000000"/>
                <w:sz w:val="20"/>
                <w:szCs w:val="20"/>
              </w:rPr>
            </w:pPr>
            <w:r w:rsidRPr="00FE4D3C">
              <w:rPr>
                <w:rStyle w:val="A3"/>
                <w:rFonts w:ascii="Times New Roman" w:hAnsi="Times New Roman" w:cs="Times New Roman"/>
                <w:bCs/>
              </w:rPr>
              <w:lastRenderedPageBreak/>
              <w:t xml:space="preserve">During the past five years, the political and security situation has been fragile in Libya and stability remains elusive throughout the country. </w:t>
            </w:r>
            <w:r w:rsidRPr="00FE4D3C">
              <w:rPr>
                <w:rFonts w:ascii="Times New Roman" w:hAnsi="Times New Roman"/>
                <w:bCs/>
                <w:sz w:val="20"/>
              </w:rPr>
              <w:t xml:space="preserve">Due to the conflict, critical public service providers are facing challenges resulting from increasing demands on health services as well as shortages resulting from instability prevailing in the country during the past five years. Shortages of power affected the health care facilities as well as weak public infrastructure compromising basic services. </w:t>
            </w:r>
            <w:r w:rsidRPr="00FE4D3C">
              <w:rPr>
                <w:rStyle w:val="A3"/>
                <w:rFonts w:ascii="Times New Roman" w:hAnsi="Times New Roman" w:cs="Times New Roman"/>
                <w:bCs/>
              </w:rPr>
              <w:t xml:space="preserve">Despite these challenges, progress was achieved through </w:t>
            </w:r>
            <w:r w:rsidRPr="00FE4D3C">
              <w:rPr>
                <w:rFonts w:ascii="Times New Roman" w:hAnsi="Times New Roman"/>
                <w:bCs/>
                <w:sz w:val="20"/>
              </w:rPr>
              <w:t>the Stabilisation Facility for Libya (SFL)</w:t>
            </w:r>
            <w:r w:rsidR="00FC06EB">
              <w:rPr>
                <w:rFonts w:ascii="Times New Roman" w:hAnsi="Times New Roman"/>
                <w:bCs/>
                <w:sz w:val="20"/>
              </w:rPr>
              <w:t>,</w:t>
            </w:r>
            <w:r w:rsidRPr="00FE4D3C">
              <w:rPr>
                <w:rFonts w:ascii="Times New Roman" w:hAnsi="Times New Roman"/>
                <w:bCs/>
                <w:sz w:val="20"/>
              </w:rPr>
              <w:t xml:space="preserve"> which has delivered results in all regions of the country, allowing the Government of National Accord (GNA) to reach out to citizens across Libya. UNDP partnered with Municipalities to rehabilitate critical public infrastructures to improve services and in many locations people started to benefit from this support.  This contributed to the realization of one of Libya’s CPD expected outcomes to “Strengthening the Central and local Government Capacities to provide better Public Services to Citizens”. </w:t>
            </w:r>
            <w:r w:rsidR="00FE4D3C" w:rsidRPr="00FE4D3C">
              <w:rPr>
                <w:rFonts w:ascii="Times New Roman" w:hAnsi="Times New Roman"/>
                <w:bCs/>
                <w:sz w:val="20"/>
              </w:rPr>
              <w:t xml:space="preserve">  </w:t>
            </w:r>
            <w:r w:rsidR="00FE4D3C" w:rsidRPr="00FE4D3C">
              <w:rPr>
                <w:rStyle w:val="A3"/>
                <w:rFonts w:ascii="Times New Roman" w:hAnsi="Times New Roman" w:cs="Times New Roman"/>
                <w:bCs/>
              </w:rPr>
              <w:t>The SFL was launched in April 2016, and has attracted financial contributions amount</w:t>
            </w:r>
            <w:r w:rsidR="00FE4D3C">
              <w:rPr>
                <w:rStyle w:val="A3"/>
                <w:rFonts w:ascii="Times New Roman" w:hAnsi="Times New Roman" w:cs="Times New Roman"/>
                <w:bCs/>
              </w:rPr>
              <w:t>ing to $53 million</w:t>
            </w:r>
            <w:r w:rsidR="00FE4D3C" w:rsidRPr="00FE4D3C">
              <w:rPr>
                <w:rStyle w:val="A3"/>
                <w:rFonts w:ascii="Times New Roman" w:hAnsi="Times New Roman" w:cs="Times New Roman"/>
                <w:bCs/>
              </w:rPr>
              <w:t xml:space="preserve"> from 14 donors. The </w:t>
            </w:r>
            <w:r w:rsidR="00FC06EB">
              <w:rPr>
                <w:rStyle w:val="A3"/>
                <w:rFonts w:ascii="Times New Roman" w:hAnsi="Times New Roman" w:cs="Times New Roman"/>
                <w:bCs/>
              </w:rPr>
              <w:t>GNA</w:t>
            </w:r>
            <w:r w:rsidR="00FE4D3C" w:rsidRPr="00FE4D3C">
              <w:rPr>
                <w:rStyle w:val="A3"/>
                <w:rFonts w:ascii="Times New Roman" w:hAnsi="Times New Roman" w:cs="Times New Roman"/>
                <w:bCs/>
              </w:rPr>
              <w:t xml:space="preserve"> has contributed </w:t>
            </w:r>
            <w:r w:rsidR="00FE4D3C">
              <w:rPr>
                <w:rStyle w:val="A3"/>
                <w:rFonts w:ascii="Times New Roman" w:hAnsi="Times New Roman" w:cs="Times New Roman"/>
                <w:bCs/>
              </w:rPr>
              <w:t>$</w:t>
            </w:r>
            <w:r w:rsidR="00FE4D3C" w:rsidRPr="00FE4D3C">
              <w:rPr>
                <w:rStyle w:val="A3"/>
                <w:rFonts w:ascii="Times New Roman" w:hAnsi="Times New Roman" w:cs="Times New Roman"/>
                <w:bCs/>
              </w:rPr>
              <w:t>5 million to the Facility</w:t>
            </w:r>
            <w:r w:rsidR="00FE4D3C">
              <w:rPr>
                <w:rStyle w:val="A3"/>
                <w:rFonts w:ascii="Times New Roman" w:hAnsi="Times New Roman" w:cs="Times New Roman"/>
                <w:bCs/>
              </w:rPr>
              <w:t>,</w:t>
            </w:r>
            <w:r w:rsidR="00FE4D3C" w:rsidRPr="00FE4D3C">
              <w:rPr>
                <w:rStyle w:val="A3"/>
                <w:rFonts w:ascii="Times New Roman" w:hAnsi="Times New Roman" w:cs="Times New Roman"/>
                <w:bCs/>
              </w:rPr>
              <w:t xml:space="preserve"> making it a UNDP programme with Libyan funding.  </w:t>
            </w:r>
          </w:p>
          <w:p w14:paraId="7F9E8CD7" w14:textId="77777777" w:rsidR="00920A99" w:rsidRPr="00FE4D3C" w:rsidRDefault="00920A99" w:rsidP="00E3399B">
            <w:pPr>
              <w:pStyle w:val="BodyText2"/>
              <w:spacing w:line="276" w:lineRule="auto"/>
              <w:jc w:val="both"/>
              <w:rPr>
                <w:rFonts w:ascii="Times New Roman" w:hAnsi="Times New Roman"/>
                <w:bCs/>
              </w:rPr>
            </w:pPr>
          </w:p>
          <w:p w14:paraId="008E08EC" w14:textId="64201911" w:rsidR="00920A99" w:rsidRPr="00FE4D3C" w:rsidRDefault="00920A99" w:rsidP="00E3399B">
            <w:pPr>
              <w:widowControl/>
              <w:autoSpaceDE w:val="0"/>
              <w:autoSpaceDN w:val="0"/>
              <w:adjustRightInd w:val="0"/>
              <w:spacing w:line="276" w:lineRule="auto"/>
              <w:jc w:val="both"/>
              <w:rPr>
                <w:bCs/>
                <w:sz w:val="20"/>
                <w:lang w:val="en-GB" w:eastAsia="en-GB"/>
              </w:rPr>
            </w:pPr>
            <w:r w:rsidRPr="00FE4D3C">
              <w:rPr>
                <w:bCs/>
                <w:sz w:val="20"/>
                <w:lang w:val="en-GB" w:eastAsia="en-GB"/>
              </w:rPr>
              <w:t xml:space="preserve">Moreover, through the SFL, </w:t>
            </w:r>
            <w:r w:rsidR="00FC06EB">
              <w:rPr>
                <w:bCs/>
                <w:sz w:val="20"/>
                <w:lang w:val="en-GB" w:eastAsia="en-GB"/>
              </w:rPr>
              <w:t xml:space="preserve">trust was built between the communities and the GNA and </w:t>
            </w:r>
            <w:r w:rsidRPr="00FE4D3C">
              <w:rPr>
                <w:bCs/>
                <w:sz w:val="20"/>
                <w:lang w:val="en-GB" w:eastAsia="en-GB"/>
              </w:rPr>
              <w:t xml:space="preserve">UNDP Libya </w:t>
            </w:r>
            <w:r w:rsidR="00F16FDA" w:rsidRPr="00FE4D3C">
              <w:rPr>
                <w:bCs/>
                <w:sz w:val="20"/>
                <w:lang w:val="en-GB" w:eastAsia="en-GB"/>
              </w:rPr>
              <w:t>could</w:t>
            </w:r>
            <w:r w:rsidRPr="00FE4D3C">
              <w:rPr>
                <w:bCs/>
                <w:sz w:val="20"/>
                <w:lang w:val="en-GB" w:eastAsia="en-GB"/>
              </w:rPr>
              <w:t xml:space="preserve"> reach out </w:t>
            </w:r>
            <w:r w:rsidR="00FE4D3C">
              <w:rPr>
                <w:bCs/>
                <w:sz w:val="20"/>
                <w:lang w:val="en-GB" w:eastAsia="en-GB"/>
              </w:rPr>
              <w:t xml:space="preserve">to </w:t>
            </w:r>
            <w:r w:rsidRPr="00FE4D3C">
              <w:rPr>
                <w:bCs/>
                <w:sz w:val="20"/>
                <w:lang w:val="en-GB" w:eastAsia="en-GB"/>
              </w:rPr>
              <w:t xml:space="preserve">citizens. The Facility connects the Government with Municipalities, and both national and Municipal Government with citizens. It delivers equipment and refurbishes buildings that allow key services to resume. It also helped </w:t>
            </w:r>
            <w:r w:rsidR="00E5492E" w:rsidRPr="00FE4D3C">
              <w:rPr>
                <w:bCs/>
                <w:sz w:val="20"/>
                <w:lang w:val="en-GB" w:eastAsia="en-GB"/>
              </w:rPr>
              <w:t>communities create</w:t>
            </w:r>
            <w:r w:rsidRPr="00FE4D3C">
              <w:rPr>
                <w:bCs/>
                <w:sz w:val="20"/>
                <w:lang w:val="en-GB" w:eastAsia="en-GB"/>
              </w:rPr>
              <w:t xml:space="preserve"> local peace structures which, working with the Municipalit</w:t>
            </w:r>
            <w:r w:rsidR="00FC06EB">
              <w:rPr>
                <w:bCs/>
                <w:sz w:val="20"/>
                <w:lang w:val="en-GB" w:eastAsia="en-GB"/>
              </w:rPr>
              <w:t>ies</w:t>
            </w:r>
            <w:r w:rsidRPr="00FE4D3C">
              <w:rPr>
                <w:bCs/>
                <w:sz w:val="20"/>
                <w:lang w:val="en-GB" w:eastAsia="en-GB"/>
              </w:rPr>
              <w:t>, develop the capacity to spot the warning signs of conflict and act to prevent escalati</w:t>
            </w:r>
            <w:r w:rsidR="00FC06EB">
              <w:rPr>
                <w:bCs/>
                <w:sz w:val="20"/>
                <w:lang w:val="en-GB" w:eastAsia="en-GB"/>
              </w:rPr>
              <w:t>on</w:t>
            </w:r>
            <w:r w:rsidRPr="00FE4D3C">
              <w:rPr>
                <w:bCs/>
                <w:sz w:val="20"/>
                <w:lang w:val="en-GB" w:eastAsia="en-GB"/>
              </w:rPr>
              <w:t xml:space="preserve">. </w:t>
            </w:r>
          </w:p>
          <w:p w14:paraId="63F9001A" w14:textId="77777777" w:rsidR="00920A99" w:rsidRPr="00FE4D3C" w:rsidRDefault="00920A99" w:rsidP="00E3399B">
            <w:pPr>
              <w:widowControl/>
              <w:autoSpaceDE w:val="0"/>
              <w:autoSpaceDN w:val="0"/>
              <w:adjustRightInd w:val="0"/>
              <w:spacing w:line="276" w:lineRule="auto"/>
              <w:jc w:val="both"/>
              <w:rPr>
                <w:bCs/>
                <w:sz w:val="20"/>
                <w:lang w:val="en-GB" w:eastAsia="en-GB"/>
              </w:rPr>
            </w:pPr>
          </w:p>
          <w:p w14:paraId="6285D264" w14:textId="345761BD" w:rsidR="00FE4D3C" w:rsidRDefault="00920A99" w:rsidP="00E3399B">
            <w:pPr>
              <w:pStyle w:val="Pa4"/>
              <w:spacing w:line="276" w:lineRule="auto"/>
              <w:jc w:val="both"/>
              <w:rPr>
                <w:rStyle w:val="A3"/>
                <w:rFonts w:ascii="Times New Roman" w:hAnsi="Times New Roman" w:cs="Times New Roman"/>
                <w:bCs/>
              </w:rPr>
            </w:pPr>
            <w:r w:rsidRPr="00FE4D3C">
              <w:rPr>
                <w:rStyle w:val="A3"/>
                <w:rFonts w:ascii="Times New Roman" w:hAnsi="Times New Roman" w:cs="Times New Roman"/>
                <w:bCs/>
              </w:rPr>
              <w:t>The Facility delivered its support to health, education and basic services sectors in Benghazi, Kikla, Ubari, Sebha and Sirte</w:t>
            </w:r>
            <w:r w:rsidR="000C7B58" w:rsidRPr="00FE4D3C">
              <w:rPr>
                <w:rStyle w:val="A3"/>
                <w:rFonts w:ascii="Times New Roman" w:hAnsi="Times New Roman" w:cs="Times New Roman"/>
                <w:bCs/>
              </w:rPr>
              <w:t xml:space="preserve">, supporting over a million people. </w:t>
            </w:r>
            <w:r w:rsidR="00E5492E" w:rsidRPr="00FE4D3C">
              <w:rPr>
                <w:rStyle w:val="A3"/>
                <w:rFonts w:ascii="Times New Roman" w:hAnsi="Times New Roman" w:cs="Times New Roman"/>
                <w:bCs/>
              </w:rPr>
              <w:t>It recently</w:t>
            </w:r>
            <w:r w:rsidRPr="00FE4D3C">
              <w:rPr>
                <w:rStyle w:val="A3"/>
                <w:rFonts w:ascii="Times New Roman" w:hAnsi="Times New Roman" w:cs="Times New Roman"/>
                <w:bCs/>
              </w:rPr>
              <w:t xml:space="preserve"> expanded into Bani Walid, Tripoli,</w:t>
            </w:r>
            <w:r w:rsidR="000C7B58" w:rsidRPr="00FE4D3C">
              <w:rPr>
                <w:rStyle w:val="A3"/>
                <w:rFonts w:ascii="Times New Roman" w:hAnsi="Times New Roman" w:cs="Times New Roman"/>
                <w:bCs/>
              </w:rPr>
              <w:t xml:space="preserve"> and is mandated to broaden to Kufra, Tawergha, Ajdabya, Ghat and Derna</w:t>
            </w:r>
            <w:r w:rsidRPr="00FE4D3C">
              <w:rPr>
                <w:rStyle w:val="A3"/>
                <w:rFonts w:ascii="Times New Roman" w:hAnsi="Times New Roman" w:cs="Times New Roman"/>
                <w:bCs/>
              </w:rPr>
              <w:t xml:space="preserve">. </w:t>
            </w:r>
          </w:p>
          <w:p w14:paraId="42E52FAD" w14:textId="77777777" w:rsidR="00FE4D3C" w:rsidRDefault="00FE4D3C" w:rsidP="00E3399B">
            <w:pPr>
              <w:pStyle w:val="Pa4"/>
              <w:spacing w:line="276" w:lineRule="auto"/>
              <w:jc w:val="both"/>
              <w:rPr>
                <w:rStyle w:val="A3"/>
                <w:rFonts w:ascii="Times New Roman" w:hAnsi="Times New Roman" w:cs="Times New Roman"/>
                <w:bCs/>
              </w:rPr>
            </w:pPr>
          </w:p>
          <w:p w14:paraId="6D62E885" w14:textId="017023BF" w:rsidR="00FE4D3C" w:rsidRPr="00FE4D3C" w:rsidRDefault="00920A99" w:rsidP="00E3399B">
            <w:pPr>
              <w:pStyle w:val="Pa4"/>
              <w:spacing w:line="276" w:lineRule="auto"/>
              <w:jc w:val="both"/>
              <w:rPr>
                <w:rFonts w:ascii="Times New Roman" w:hAnsi="Times New Roman"/>
                <w:sz w:val="20"/>
                <w:szCs w:val="20"/>
              </w:rPr>
            </w:pPr>
            <w:r w:rsidRPr="00FE4D3C">
              <w:rPr>
                <w:rStyle w:val="A3"/>
                <w:rFonts w:ascii="Times New Roman" w:hAnsi="Times New Roman" w:cs="Times New Roman"/>
                <w:bCs/>
              </w:rPr>
              <w:t>Within one year and</w:t>
            </w:r>
            <w:r w:rsidR="000C7B58" w:rsidRPr="00FE4D3C">
              <w:rPr>
                <w:rStyle w:val="A3"/>
                <w:rFonts w:ascii="Times New Roman" w:hAnsi="Times New Roman" w:cs="Times New Roman"/>
                <w:bCs/>
              </w:rPr>
              <w:t xml:space="preserve"> </w:t>
            </w:r>
            <w:r w:rsidR="00FE4D3C" w:rsidRPr="00FE4D3C">
              <w:rPr>
                <w:rStyle w:val="A3"/>
                <w:rFonts w:ascii="Times New Roman" w:hAnsi="Times New Roman" w:cs="Times New Roman"/>
                <w:bCs/>
              </w:rPr>
              <w:t>a</w:t>
            </w:r>
            <w:r w:rsidRPr="00FE4D3C">
              <w:rPr>
                <w:rStyle w:val="A3"/>
                <w:rFonts w:ascii="Times New Roman" w:hAnsi="Times New Roman" w:cs="Times New Roman"/>
                <w:bCs/>
              </w:rPr>
              <w:t xml:space="preserve"> half, </w:t>
            </w:r>
            <w:r w:rsidR="00FE4D3C">
              <w:rPr>
                <w:rStyle w:val="A3"/>
                <w:rFonts w:ascii="Times New Roman" w:hAnsi="Times New Roman" w:cs="Times New Roman"/>
                <w:bCs/>
              </w:rPr>
              <w:t xml:space="preserve">the SFL </w:t>
            </w:r>
            <w:r w:rsidRPr="00FE4D3C">
              <w:rPr>
                <w:rStyle w:val="A3"/>
                <w:rFonts w:ascii="Times New Roman" w:hAnsi="Times New Roman" w:cs="Times New Roman"/>
                <w:bCs/>
              </w:rPr>
              <w:t>rehabilitated and equipped 11 hospitals including prefabricated Medical Centres</w:t>
            </w:r>
            <w:r w:rsidR="00FE4D3C">
              <w:rPr>
                <w:rStyle w:val="A3"/>
                <w:rFonts w:ascii="Times New Roman" w:hAnsi="Times New Roman" w:cs="Times New Roman"/>
                <w:bCs/>
              </w:rPr>
              <w:t>,</w:t>
            </w:r>
            <w:r w:rsidRPr="00FE4D3C">
              <w:rPr>
                <w:rStyle w:val="A3"/>
                <w:rFonts w:ascii="Times New Roman" w:hAnsi="Times New Roman" w:cs="Times New Roman"/>
                <w:bCs/>
              </w:rPr>
              <w:t xml:space="preserve"> and delivered </w:t>
            </w:r>
            <w:r w:rsidR="00FE4D3C" w:rsidRPr="00FE4D3C">
              <w:rPr>
                <w:rStyle w:val="A3"/>
                <w:rFonts w:ascii="Times New Roman" w:hAnsi="Times New Roman" w:cs="Times New Roman"/>
                <w:bCs/>
              </w:rPr>
              <w:t>25</w:t>
            </w:r>
            <w:r w:rsidRPr="00FE4D3C">
              <w:rPr>
                <w:rStyle w:val="A3"/>
                <w:rFonts w:ascii="Times New Roman" w:hAnsi="Times New Roman" w:cs="Times New Roman"/>
                <w:bCs/>
              </w:rPr>
              <w:t xml:space="preserve"> ambulances. </w:t>
            </w:r>
            <w:r w:rsidR="000C7B58" w:rsidRPr="00FE4D3C">
              <w:rPr>
                <w:rFonts w:ascii="Times New Roman" w:hAnsi="Times New Roman"/>
                <w:sz w:val="20"/>
                <w:szCs w:val="20"/>
              </w:rPr>
              <w:t>Of particular concern are chronic shortages of power, including frequent cuts affecting health care fac</w:t>
            </w:r>
            <w:r w:rsidR="00FE4D3C" w:rsidRPr="00FE4D3C">
              <w:rPr>
                <w:rFonts w:ascii="Times New Roman" w:hAnsi="Times New Roman"/>
                <w:sz w:val="20"/>
                <w:szCs w:val="20"/>
              </w:rPr>
              <w:t>ilities; t</w:t>
            </w:r>
            <w:r w:rsidR="000C7B58" w:rsidRPr="00FE4D3C">
              <w:rPr>
                <w:rFonts w:ascii="Times New Roman" w:hAnsi="Times New Roman"/>
                <w:sz w:val="20"/>
                <w:szCs w:val="20"/>
              </w:rPr>
              <w:t xml:space="preserve">o address these challenges and to prevent the collapse of the health sector, UNDP partnered with Municipalities </w:t>
            </w:r>
            <w:r w:rsidR="00FE4D3C" w:rsidRPr="00FE4D3C">
              <w:rPr>
                <w:rFonts w:ascii="Times New Roman" w:hAnsi="Times New Roman"/>
                <w:sz w:val="20"/>
                <w:szCs w:val="20"/>
              </w:rPr>
              <w:t>to ensure</w:t>
            </w:r>
            <w:r w:rsidR="000C7B58" w:rsidRPr="00FE4D3C">
              <w:rPr>
                <w:rFonts w:ascii="Times New Roman" w:hAnsi="Times New Roman"/>
                <w:sz w:val="20"/>
                <w:szCs w:val="20"/>
              </w:rPr>
              <w:t xml:space="preserve"> that life-saving medications were not destroyed by a break in the cold </w:t>
            </w:r>
            <w:r w:rsidR="00760125">
              <w:rPr>
                <w:rFonts w:ascii="Times New Roman" w:hAnsi="Times New Roman"/>
                <w:sz w:val="20"/>
                <w:szCs w:val="20"/>
              </w:rPr>
              <w:t xml:space="preserve">season in the country </w:t>
            </w:r>
            <w:r w:rsidR="000C7B58" w:rsidRPr="00FE4D3C">
              <w:rPr>
                <w:rFonts w:ascii="Times New Roman" w:hAnsi="Times New Roman"/>
                <w:sz w:val="20"/>
                <w:szCs w:val="20"/>
              </w:rPr>
              <w:t xml:space="preserve"> resulting from</w:t>
            </w:r>
            <w:r w:rsidR="00FE4D3C" w:rsidRPr="00FE4D3C">
              <w:rPr>
                <w:rFonts w:ascii="Times New Roman" w:hAnsi="Times New Roman"/>
                <w:sz w:val="20"/>
                <w:szCs w:val="20"/>
              </w:rPr>
              <w:t xml:space="preserve"> power cuts.</w:t>
            </w:r>
            <w:r w:rsidR="00FC06EB">
              <w:rPr>
                <w:rFonts w:ascii="Times New Roman" w:hAnsi="Times New Roman"/>
                <w:sz w:val="20"/>
                <w:szCs w:val="20"/>
              </w:rPr>
              <w:t>,</w:t>
            </w:r>
            <w:r w:rsidR="00FE4D3C" w:rsidRPr="00FE4D3C">
              <w:rPr>
                <w:rFonts w:ascii="Times New Roman" w:hAnsi="Times New Roman"/>
                <w:sz w:val="20"/>
                <w:szCs w:val="20"/>
              </w:rPr>
              <w:t xml:space="preserve"> </w:t>
            </w:r>
            <w:r w:rsidR="0061705D">
              <w:rPr>
                <w:rFonts w:ascii="Times New Roman" w:hAnsi="Times New Roman"/>
                <w:sz w:val="20"/>
                <w:szCs w:val="20"/>
              </w:rPr>
              <w:t>F</w:t>
            </w:r>
            <w:r w:rsidR="00FE4D3C" w:rsidRPr="00FE4D3C">
              <w:rPr>
                <w:rFonts w:ascii="Times New Roman" w:hAnsi="Times New Roman"/>
                <w:sz w:val="20"/>
                <w:szCs w:val="20"/>
              </w:rPr>
              <w:t xml:space="preserve">ifteen </w:t>
            </w:r>
            <w:r w:rsidR="000C7B58" w:rsidRPr="00FE4D3C">
              <w:rPr>
                <w:rFonts w:ascii="Times New Roman" w:hAnsi="Times New Roman"/>
                <w:sz w:val="20"/>
                <w:szCs w:val="20"/>
              </w:rPr>
              <w:t>hospitals</w:t>
            </w:r>
            <w:r w:rsidR="00FE4D3C" w:rsidRPr="00FE4D3C">
              <w:rPr>
                <w:rFonts w:ascii="Times New Roman" w:hAnsi="Times New Roman"/>
                <w:sz w:val="20"/>
                <w:szCs w:val="20"/>
              </w:rPr>
              <w:t>,</w:t>
            </w:r>
            <w:r w:rsidR="000C7B58" w:rsidRPr="00FE4D3C">
              <w:rPr>
                <w:rFonts w:ascii="Times New Roman" w:hAnsi="Times New Roman"/>
                <w:sz w:val="20"/>
                <w:szCs w:val="20"/>
              </w:rPr>
              <w:t xml:space="preserve"> providing services to nearly a million people</w:t>
            </w:r>
            <w:r w:rsidR="00FE4D3C" w:rsidRPr="00FE4D3C">
              <w:rPr>
                <w:rFonts w:ascii="Times New Roman" w:hAnsi="Times New Roman"/>
                <w:sz w:val="20"/>
                <w:szCs w:val="20"/>
              </w:rPr>
              <w:t>,</w:t>
            </w:r>
            <w:r w:rsidR="000C7B58" w:rsidRPr="00FE4D3C">
              <w:rPr>
                <w:rFonts w:ascii="Times New Roman" w:hAnsi="Times New Roman"/>
                <w:sz w:val="20"/>
                <w:szCs w:val="20"/>
              </w:rPr>
              <w:t xml:space="preserve"> are benefiting from this support</w:t>
            </w:r>
            <w:r w:rsidR="00301F36">
              <w:rPr>
                <w:rFonts w:ascii="Times New Roman" w:hAnsi="Times New Roman"/>
                <w:sz w:val="20"/>
                <w:szCs w:val="20"/>
              </w:rPr>
              <w:t>. N</w:t>
            </w:r>
            <w:r w:rsidR="00FE4D3C" w:rsidRPr="00FE4D3C">
              <w:rPr>
                <w:rFonts w:ascii="Times New Roman" w:hAnsi="Times New Roman"/>
                <w:sz w:val="20"/>
                <w:szCs w:val="20"/>
              </w:rPr>
              <w:t>ine through solar power systems and the rest through the supply of emergency generators</w:t>
            </w:r>
            <w:r w:rsidR="000C7B58" w:rsidRPr="00FE4D3C">
              <w:rPr>
                <w:rFonts w:ascii="Times New Roman" w:hAnsi="Times New Roman"/>
                <w:sz w:val="20"/>
                <w:szCs w:val="20"/>
              </w:rPr>
              <w:t>. Hospitals will now have continued power supply</w:t>
            </w:r>
            <w:r w:rsidR="00301F36">
              <w:rPr>
                <w:rFonts w:ascii="Times New Roman" w:hAnsi="Times New Roman"/>
                <w:sz w:val="20"/>
                <w:szCs w:val="20"/>
              </w:rPr>
              <w:t>,</w:t>
            </w:r>
            <w:r w:rsidR="000C7B58" w:rsidRPr="00FE4D3C">
              <w:rPr>
                <w:rFonts w:ascii="Times New Roman" w:hAnsi="Times New Roman"/>
                <w:sz w:val="20"/>
                <w:szCs w:val="20"/>
              </w:rPr>
              <w:t xml:space="preserve"> which enables them to perform surgical operations and maintain cooling systems to keep critical medicines viable. </w:t>
            </w:r>
          </w:p>
          <w:p w14:paraId="067F2D02" w14:textId="77777777" w:rsidR="00FE4D3C" w:rsidRPr="00FE4D3C" w:rsidRDefault="00FE4D3C" w:rsidP="00E3399B">
            <w:pPr>
              <w:pStyle w:val="Pa4"/>
              <w:spacing w:line="276" w:lineRule="auto"/>
              <w:jc w:val="both"/>
              <w:rPr>
                <w:rFonts w:ascii="Times New Roman" w:hAnsi="Times New Roman"/>
                <w:sz w:val="20"/>
                <w:szCs w:val="20"/>
              </w:rPr>
            </w:pPr>
          </w:p>
          <w:p w14:paraId="57EE4E69" w14:textId="77777777" w:rsidR="00920A99" w:rsidRPr="00FE4D3C" w:rsidRDefault="00920A99" w:rsidP="00E3399B">
            <w:pPr>
              <w:pStyle w:val="Pa4"/>
              <w:spacing w:line="276" w:lineRule="auto"/>
              <w:jc w:val="both"/>
              <w:rPr>
                <w:rStyle w:val="A3"/>
                <w:rFonts w:ascii="Times New Roman" w:hAnsi="Times New Roman" w:cs="Times New Roman"/>
                <w:bCs/>
              </w:rPr>
            </w:pPr>
            <w:r w:rsidRPr="00FE4D3C">
              <w:rPr>
                <w:rStyle w:val="A3"/>
                <w:rFonts w:ascii="Times New Roman" w:hAnsi="Times New Roman" w:cs="Times New Roman"/>
                <w:bCs/>
              </w:rPr>
              <w:t>Sixteen schools have been rehabilitated or re-equipped and the municipalities have benefited from rehabilitation and re-quipping improving performance of electrical substations, water pumping stations and sewage system</w:t>
            </w:r>
            <w:r w:rsidR="000C7B58" w:rsidRPr="00FE4D3C">
              <w:rPr>
                <w:rStyle w:val="A3"/>
                <w:rFonts w:ascii="Times New Roman" w:hAnsi="Times New Roman" w:cs="Times New Roman"/>
                <w:bCs/>
              </w:rPr>
              <w:t>s</w:t>
            </w:r>
            <w:r w:rsidRPr="00FE4D3C">
              <w:rPr>
                <w:rStyle w:val="A3"/>
                <w:rFonts w:ascii="Times New Roman" w:hAnsi="Times New Roman" w:cs="Times New Roman"/>
                <w:bCs/>
              </w:rPr>
              <w:t xml:space="preserve">. The project has also provided equipment to the municipalities to enhance capacity in waste removal, firefighting and road safety. </w:t>
            </w:r>
          </w:p>
          <w:p w14:paraId="6C43042F" w14:textId="77777777" w:rsidR="00920A99" w:rsidRDefault="00920A99" w:rsidP="00E3399B">
            <w:pPr>
              <w:pStyle w:val="Pa4"/>
              <w:spacing w:line="276" w:lineRule="auto"/>
              <w:jc w:val="both"/>
              <w:rPr>
                <w:rStyle w:val="A3"/>
                <w:rFonts w:ascii="Times New Roman" w:hAnsi="Times New Roman" w:cs="Times New Roman"/>
                <w:bCs/>
              </w:rPr>
            </w:pPr>
          </w:p>
          <w:p w14:paraId="62046A72" w14:textId="1FAD6770" w:rsidR="00E84649" w:rsidRDefault="00E84649" w:rsidP="00E84649">
            <w:pPr>
              <w:pStyle w:val="BodyText2"/>
              <w:spacing w:line="276" w:lineRule="auto"/>
              <w:jc w:val="both"/>
              <w:rPr>
                <w:rFonts w:ascii="Times New Roman" w:hAnsi="Times New Roman"/>
              </w:rPr>
            </w:pPr>
            <w:r w:rsidRPr="009F476B">
              <w:rPr>
                <w:rFonts w:ascii="Times New Roman" w:hAnsi="Times New Roman"/>
              </w:rPr>
              <w:t xml:space="preserve">While the gaps in obtaining quantifiable disaggregated data on service delivery and </w:t>
            </w:r>
            <w:r w:rsidR="00321C13">
              <w:rPr>
                <w:rFonts w:ascii="Times New Roman" w:hAnsi="Times New Roman"/>
              </w:rPr>
              <w:t>access to services are</w:t>
            </w:r>
            <w:r w:rsidRPr="009F476B">
              <w:rPr>
                <w:rFonts w:ascii="Times New Roman" w:hAnsi="Times New Roman"/>
              </w:rPr>
              <w:t xml:space="preserve"> a challenge, UNDP’s support</w:t>
            </w:r>
            <w:r w:rsidR="00301F36">
              <w:rPr>
                <w:rFonts w:ascii="Times New Roman" w:hAnsi="Times New Roman"/>
              </w:rPr>
              <w:t xml:space="preserve"> contributed to </w:t>
            </w:r>
            <w:r w:rsidRPr="009F476B">
              <w:rPr>
                <w:rFonts w:ascii="Times New Roman" w:hAnsi="Times New Roman"/>
              </w:rPr>
              <w:t xml:space="preserve">improving service delivery in targeted municipalities. UNDP will enhance monitoring in the next years to ensure it can obtain disaggregated data to the extent possible, </w:t>
            </w:r>
            <w:r w:rsidR="00301F36">
              <w:rPr>
                <w:rFonts w:ascii="Times New Roman" w:hAnsi="Times New Roman"/>
              </w:rPr>
              <w:t xml:space="preserve">including </w:t>
            </w:r>
            <w:r w:rsidRPr="009F476B">
              <w:rPr>
                <w:rFonts w:ascii="Times New Roman" w:hAnsi="Times New Roman"/>
              </w:rPr>
              <w:t xml:space="preserve">to ensure </w:t>
            </w:r>
            <w:r w:rsidR="00301F36">
              <w:rPr>
                <w:rFonts w:ascii="Times New Roman" w:hAnsi="Times New Roman"/>
              </w:rPr>
              <w:t>tracking of</w:t>
            </w:r>
            <w:r w:rsidR="00301F36" w:rsidRPr="009F476B">
              <w:rPr>
                <w:rFonts w:ascii="Times New Roman" w:hAnsi="Times New Roman"/>
              </w:rPr>
              <w:t xml:space="preserve"> </w:t>
            </w:r>
            <w:r w:rsidRPr="009F476B">
              <w:rPr>
                <w:rFonts w:ascii="Times New Roman" w:hAnsi="Times New Roman"/>
              </w:rPr>
              <w:t xml:space="preserve">gender </w:t>
            </w:r>
            <w:r w:rsidR="00301F36">
              <w:rPr>
                <w:rFonts w:ascii="Times New Roman" w:hAnsi="Times New Roman"/>
              </w:rPr>
              <w:t xml:space="preserve">sensitive data. </w:t>
            </w:r>
          </w:p>
          <w:p w14:paraId="5E747C7E" w14:textId="77777777" w:rsidR="00E84649" w:rsidRDefault="00E84649" w:rsidP="00E84649">
            <w:pPr>
              <w:pStyle w:val="Default"/>
            </w:pPr>
          </w:p>
          <w:p w14:paraId="35D8C8E3" w14:textId="77777777" w:rsidR="00F16FDA" w:rsidRDefault="00F16FDA" w:rsidP="00E84649">
            <w:pPr>
              <w:pStyle w:val="Default"/>
            </w:pPr>
          </w:p>
          <w:p w14:paraId="589F8182" w14:textId="77777777" w:rsidR="00F16FDA" w:rsidRPr="00E84649" w:rsidRDefault="00F16FDA" w:rsidP="00E84649">
            <w:pPr>
              <w:pStyle w:val="Default"/>
            </w:pPr>
          </w:p>
          <w:p w14:paraId="7A383848" w14:textId="77777777" w:rsidR="005C0DE4" w:rsidRPr="00FE4D3C" w:rsidRDefault="005C0DE4" w:rsidP="00E3399B">
            <w:pPr>
              <w:pStyle w:val="BodyText2"/>
              <w:spacing w:line="276" w:lineRule="auto"/>
              <w:jc w:val="both"/>
              <w:rPr>
                <w:rFonts w:ascii="Times New Roman" w:hAnsi="Times New Roman"/>
                <w:b/>
                <w:bCs/>
              </w:rPr>
            </w:pPr>
            <w:r w:rsidRPr="00FE4D3C">
              <w:rPr>
                <w:rFonts w:ascii="Times New Roman" w:hAnsi="Times New Roman"/>
                <w:b/>
                <w:bCs/>
              </w:rPr>
              <w:t>Support to Women</w:t>
            </w:r>
            <w:r w:rsidR="00FE4D3C">
              <w:rPr>
                <w:rFonts w:ascii="Times New Roman" w:hAnsi="Times New Roman"/>
                <w:b/>
                <w:bCs/>
              </w:rPr>
              <w:t>’s</w:t>
            </w:r>
            <w:r w:rsidRPr="00FE4D3C">
              <w:rPr>
                <w:rFonts w:ascii="Times New Roman" w:hAnsi="Times New Roman"/>
                <w:b/>
                <w:bCs/>
              </w:rPr>
              <w:t xml:space="preserve"> Empowerment </w:t>
            </w:r>
          </w:p>
          <w:p w14:paraId="59D41D1D" w14:textId="77777777" w:rsidR="005C0DE4" w:rsidRPr="00FE4D3C" w:rsidRDefault="005C0DE4" w:rsidP="00E3399B">
            <w:pPr>
              <w:pStyle w:val="BodyText2"/>
              <w:spacing w:line="276" w:lineRule="auto"/>
              <w:jc w:val="both"/>
              <w:rPr>
                <w:rFonts w:ascii="Times New Roman" w:hAnsi="Times New Roman"/>
                <w:b/>
                <w:bCs/>
              </w:rPr>
            </w:pPr>
          </w:p>
          <w:p w14:paraId="396DBE39" w14:textId="2D31D1BD" w:rsidR="005C0DE4" w:rsidRPr="00FE4D3C" w:rsidRDefault="005C0DE4" w:rsidP="00E3399B">
            <w:pPr>
              <w:spacing w:line="276" w:lineRule="auto"/>
              <w:jc w:val="both"/>
              <w:rPr>
                <w:sz w:val="20"/>
              </w:rPr>
            </w:pPr>
            <w:r w:rsidRPr="00FE4D3C">
              <w:rPr>
                <w:sz w:val="20"/>
              </w:rPr>
              <w:t xml:space="preserve">UNDP’s support to women’s full participation in Libya’s </w:t>
            </w:r>
            <w:r w:rsidR="00301F36">
              <w:rPr>
                <w:sz w:val="20"/>
              </w:rPr>
              <w:t xml:space="preserve">political </w:t>
            </w:r>
            <w:r w:rsidRPr="00FE4D3C">
              <w:rPr>
                <w:sz w:val="20"/>
              </w:rPr>
              <w:t xml:space="preserve">transition </w:t>
            </w:r>
            <w:r w:rsidR="00301F36" w:rsidRPr="00FE4D3C">
              <w:rPr>
                <w:sz w:val="20"/>
              </w:rPr>
              <w:t>has shown some progress</w:t>
            </w:r>
            <w:r w:rsidR="00301F36">
              <w:rPr>
                <w:sz w:val="20"/>
              </w:rPr>
              <w:t>. UNDP</w:t>
            </w:r>
            <w:r w:rsidR="00301F36" w:rsidRPr="00FE4D3C">
              <w:rPr>
                <w:sz w:val="20"/>
              </w:rPr>
              <w:t xml:space="preserve"> </w:t>
            </w:r>
            <w:r w:rsidRPr="00FE4D3C">
              <w:rPr>
                <w:sz w:val="20"/>
              </w:rPr>
              <w:t>focused increas</w:t>
            </w:r>
            <w:r w:rsidR="00301F36">
              <w:rPr>
                <w:sz w:val="20"/>
              </w:rPr>
              <w:t>ing</w:t>
            </w:r>
            <w:r w:rsidRPr="00FE4D3C">
              <w:rPr>
                <w:sz w:val="20"/>
              </w:rPr>
              <w:t xml:space="preserve"> </w:t>
            </w:r>
            <w:r w:rsidR="00301F36">
              <w:rPr>
                <w:sz w:val="20"/>
              </w:rPr>
              <w:t xml:space="preserve">women’s </w:t>
            </w:r>
            <w:r w:rsidRPr="00FE4D3C">
              <w:rPr>
                <w:sz w:val="20"/>
              </w:rPr>
              <w:t xml:space="preserve">access to political processes and emerging institutions of governance.  Progress was </w:t>
            </w:r>
            <w:r w:rsidR="00C86489" w:rsidRPr="00FE4D3C">
              <w:rPr>
                <w:sz w:val="20"/>
              </w:rPr>
              <w:t xml:space="preserve">achieved </w:t>
            </w:r>
            <w:r w:rsidR="00301F36">
              <w:rPr>
                <w:sz w:val="20"/>
              </w:rPr>
              <w:t xml:space="preserve">through </w:t>
            </w:r>
            <w:r w:rsidR="00C86489" w:rsidRPr="00FE4D3C">
              <w:rPr>
                <w:sz w:val="20"/>
              </w:rPr>
              <w:t xml:space="preserve"> consistent advocacy efforts </w:t>
            </w:r>
            <w:r w:rsidRPr="00FE4D3C">
              <w:rPr>
                <w:sz w:val="20"/>
              </w:rPr>
              <w:t xml:space="preserve">for greater inclusion of women in all aspects of political life, particularly through tracking sex-disaggregated data on access to political processes and institutions, in order to provide a strong evidence-base for future decisions on women’s participation. </w:t>
            </w:r>
          </w:p>
          <w:p w14:paraId="42275EA2" w14:textId="77777777" w:rsidR="005C0DE4" w:rsidRPr="00FE4D3C" w:rsidRDefault="005C0DE4" w:rsidP="00E3399B">
            <w:pPr>
              <w:spacing w:line="276" w:lineRule="auto"/>
              <w:jc w:val="both"/>
              <w:rPr>
                <w:sz w:val="20"/>
              </w:rPr>
            </w:pPr>
          </w:p>
          <w:p w14:paraId="7B664317" w14:textId="6B4815E6" w:rsidR="005C0DE4" w:rsidRPr="00FE4D3C" w:rsidRDefault="005C0DE4" w:rsidP="00E3399B">
            <w:pPr>
              <w:spacing w:line="276" w:lineRule="auto"/>
              <w:jc w:val="both"/>
              <w:rPr>
                <w:sz w:val="20"/>
              </w:rPr>
            </w:pPr>
            <w:r w:rsidRPr="00FE4D3C">
              <w:rPr>
                <w:sz w:val="20"/>
              </w:rPr>
              <w:t>UNDP in cooperation with partners advocated for special measures to be enshrined in the electoral legal framework for two successive elections, ensuring the inclusion of significant proportion of women in both the Constitutional Drafting Assembly (10 per cent) and the House of Representatives (16 per cent). Through its ongoing technical support to elections, UNDP promotes gender mainstreaming within Libya’s Electoral Management Body and provides opportunities for key stakeholders to discuss particular issues affecting the free and equal participation of women in Libyan political life.</w:t>
            </w:r>
          </w:p>
          <w:p w14:paraId="1D28CC2F" w14:textId="77777777" w:rsidR="00705CD8" w:rsidRPr="00FE4D3C" w:rsidRDefault="00705CD8" w:rsidP="00E3399B">
            <w:pPr>
              <w:spacing w:line="276" w:lineRule="auto"/>
              <w:jc w:val="both"/>
              <w:rPr>
                <w:sz w:val="20"/>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4519"/>
              <w:gridCol w:w="5867"/>
            </w:tblGrid>
            <w:tr w:rsidR="00784209" w:rsidRPr="009F476B" w14:paraId="27AF77C4" w14:textId="77777777" w:rsidTr="004B322B">
              <w:tc>
                <w:tcPr>
                  <w:tcW w:w="3970" w:type="dxa"/>
                </w:tcPr>
                <w:p w14:paraId="412DE03F" w14:textId="77777777" w:rsidR="00784209" w:rsidRPr="009F476B" w:rsidRDefault="00784209" w:rsidP="00784209">
                  <w:pPr>
                    <w:pStyle w:val="BodyText2"/>
                    <w:spacing w:line="276" w:lineRule="auto"/>
                    <w:jc w:val="both"/>
                    <w:rPr>
                      <w:rFonts w:ascii="Times New Roman" w:hAnsi="Times New Roman"/>
                      <w:b/>
                    </w:rPr>
                  </w:pPr>
                  <w:r w:rsidRPr="009F476B">
                    <w:rPr>
                      <w:rFonts w:ascii="Times New Roman" w:hAnsi="Times New Roman"/>
                      <w:b/>
                    </w:rPr>
                    <w:t>Outcomes</w:t>
                  </w:r>
                </w:p>
              </w:tc>
              <w:tc>
                <w:tcPr>
                  <w:tcW w:w="4519" w:type="dxa"/>
                  <w:shd w:val="clear" w:color="auto" w:fill="auto"/>
                </w:tcPr>
                <w:p w14:paraId="18009B12" w14:textId="77777777" w:rsidR="00784209" w:rsidRPr="009F476B" w:rsidRDefault="00784209" w:rsidP="00784209">
                  <w:pPr>
                    <w:pStyle w:val="BodyText2"/>
                    <w:spacing w:line="276" w:lineRule="auto"/>
                    <w:jc w:val="both"/>
                    <w:rPr>
                      <w:rFonts w:ascii="Times New Roman" w:hAnsi="Times New Roman"/>
                      <w:b/>
                    </w:rPr>
                  </w:pPr>
                  <w:r w:rsidRPr="009F476B">
                    <w:rPr>
                      <w:rFonts w:ascii="Times New Roman" w:hAnsi="Times New Roman"/>
                      <w:b/>
                    </w:rPr>
                    <w:t>Key Indicators of outcome (1-4 per outcome)</w:t>
                  </w:r>
                </w:p>
              </w:tc>
              <w:tc>
                <w:tcPr>
                  <w:tcW w:w="5867" w:type="dxa"/>
                </w:tcPr>
                <w:p w14:paraId="6A49AE45" w14:textId="77777777" w:rsidR="00784209" w:rsidRPr="009F476B" w:rsidRDefault="00784209" w:rsidP="00784209">
                  <w:pPr>
                    <w:pStyle w:val="BodyText2"/>
                    <w:spacing w:line="276" w:lineRule="auto"/>
                    <w:jc w:val="both"/>
                    <w:rPr>
                      <w:rFonts w:ascii="Times New Roman" w:hAnsi="Times New Roman"/>
                      <w:b/>
                    </w:rPr>
                  </w:pPr>
                  <w:r w:rsidRPr="009F476B">
                    <w:rPr>
                      <w:rFonts w:ascii="Times New Roman" w:hAnsi="Times New Roman"/>
                      <w:b/>
                    </w:rPr>
                    <w:t>Progress made against key indicators</w:t>
                  </w:r>
                </w:p>
              </w:tc>
            </w:tr>
          </w:tbl>
          <w:p w14:paraId="119266DC" w14:textId="77777777" w:rsidR="00D75E51" w:rsidRPr="00FE4D3C" w:rsidRDefault="00D75E51" w:rsidP="00E3399B">
            <w:pPr>
              <w:pStyle w:val="BodyText2"/>
              <w:spacing w:line="276" w:lineRule="auto"/>
              <w:jc w:val="both"/>
              <w:rPr>
                <w:rFonts w:ascii="Times New Roman" w:hAnsi="Times New Roman"/>
              </w:rPr>
            </w:pPr>
          </w:p>
        </w:tc>
      </w:tr>
      <w:tr w:rsidR="00784209" w:rsidRPr="009F476B" w14:paraId="36061D67" w14:textId="77777777" w:rsidTr="002E79B0">
        <w:tc>
          <w:tcPr>
            <w:tcW w:w="3918" w:type="dxa"/>
            <w:gridSpan w:val="2"/>
            <w:shd w:val="clear" w:color="auto" w:fill="95B3D7"/>
          </w:tcPr>
          <w:p w14:paraId="3C49FBC1" w14:textId="77777777" w:rsidR="00784209" w:rsidRPr="009F476B" w:rsidRDefault="00784209" w:rsidP="00E3399B">
            <w:pPr>
              <w:widowControl/>
              <w:autoSpaceDE w:val="0"/>
              <w:autoSpaceDN w:val="0"/>
              <w:adjustRightInd w:val="0"/>
              <w:spacing w:line="276" w:lineRule="auto"/>
              <w:jc w:val="both"/>
              <w:rPr>
                <w:b/>
                <w:bCs/>
                <w:sz w:val="20"/>
                <w:lang w:val="en-GB" w:eastAsia="en-GB"/>
              </w:rPr>
            </w:pPr>
            <w:bookmarkStart w:id="3" w:name="_Hlk507505043"/>
            <w:r w:rsidRPr="009F476B">
              <w:rPr>
                <w:sz w:val="20"/>
              </w:rPr>
              <w:lastRenderedPageBreak/>
              <w:t>3.</w:t>
            </w:r>
            <w:r w:rsidRPr="009F476B">
              <w:rPr>
                <w:b/>
                <w:bCs/>
                <w:sz w:val="20"/>
                <w:lang w:val="en-GB" w:eastAsia="en-GB"/>
              </w:rPr>
              <w:t xml:space="preserve"> Outcome 3. Libya successfully manages its transition to a state founded on</w:t>
            </w:r>
          </w:p>
          <w:p w14:paraId="7D4BF420" w14:textId="77777777" w:rsidR="00784209" w:rsidRPr="009F476B" w:rsidRDefault="00784209" w:rsidP="00E3399B">
            <w:pPr>
              <w:pStyle w:val="BodyText2"/>
              <w:spacing w:line="276" w:lineRule="auto"/>
              <w:jc w:val="both"/>
              <w:rPr>
                <w:rFonts w:ascii="Times New Roman" w:hAnsi="Times New Roman"/>
                <w:b/>
              </w:rPr>
            </w:pPr>
            <w:r w:rsidRPr="009F476B">
              <w:rPr>
                <w:rFonts w:ascii="Times New Roman" w:hAnsi="Times New Roman"/>
                <w:b/>
                <w:bCs/>
                <w:lang w:val="en-GB" w:eastAsia="en-GB"/>
              </w:rPr>
              <w:t>the rule of law.</w:t>
            </w:r>
          </w:p>
        </w:tc>
        <w:tc>
          <w:tcPr>
            <w:tcW w:w="4632" w:type="dxa"/>
            <w:shd w:val="clear" w:color="auto" w:fill="auto"/>
          </w:tcPr>
          <w:p w14:paraId="65E167BC" w14:textId="77777777" w:rsidR="00784209" w:rsidRPr="009F476B" w:rsidRDefault="00784209" w:rsidP="00E3399B">
            <w:pPr>
              <w:widowControl/>
              <w:numPr>
                <w:ilvl w:val="0"/>
                <w:numId w:val="22"/>
              </w:numPr>
              <w:autoSpaceDE w:val="0"/>
              <w:autoSpaceDN w:val="0"/>
              <w:adjustRightInd w:val="0"/>
              <w:spacing w:line="276" w:lineRule="auto"/>
              <w:ind w:left="360"/>
              <w:jc w:val="both"/>
              <w:rPr>
                <w:sz w:val="20"/>
                <w:lang w:val="en-GB" w:eastAsia="en-GB"/>
              </w:rPr>
            </w:pPr>
            <w:r w:rsidRPr="009F476B">
              <w:rPr>
                <w:sz w:val="20"/>
                <w:lang w:val="en-GB" w:eastAsia="en-GB"/>
              </w:rPr>
              <w:t>Percentage of cases adjudicated increases consistently over time as a sign of improved efficiency of the judicial system as whole, including legal aid services;</w:t>
            </w:r>
          </w:p>
          <w:p w14:paraId="135577BC" w14:textId="77777777" w:rsidR="00784209" w:rsidRPr="009F476B" w:rsidRDefault="00784209" w:rsidP="00E3399B">
            <w:pPr>
              <w:widowControl/>
              <w:autoSpaceDE w:val="0"/>
              <w:autoSpaceDN w:val="0"/>
              <w:adjustRightInd w:val="0"/>
              <w:spacing w:line="276" w:lineRule="auto"/>
              <w:jc w:val="both"/>
              <w:rPr>
                <w:sz w:val="20"/>
                <w:lang w:val="en-GB" w:eastAsia="en-GB"/>
              </w:rPr>
            </w:pPr>
          </w:p>
          <w:p w14:paraId="50DF1201" w14:textId="77777777" w:rsidR="00784209" w:rsidRPr="009F476B" w:rsidRDefault="00784209" w:rsidP="00E3399B">
            <w:pPr>
              <w:widowControl/>
              <w:numPr>
                <w:ilvl w:val="0"/>
                <w:numId w:val="22"/>
              </w:numPr>
              <w:autoSpaceDE w:val="0"/>
              <w:autoSpaceDN w:val="0"/>
              <w:adjustRightInd w:val="0"/>
              <w:spacing w:line="276" w:lineRule="auto"/>
              <w:ind w:left="360"/>
              <w:jc w:val="both"/>
              <w:rPr>
                <w:sz w:val="20"/>
                <w:lang w:val="en-GB" w:eastAsia="en-GB"/>
              </w:rPr>
            </w:pPr>
            <w:r w:rsidRPr="009F476B">
              <w:rPr>
                <w:sz w:val="20"/>
                <w:lang w:val="en-GB" w:eastAsia="en-GB"/>
              </w:rPr>
              <w:t>The fact-finding and reconciliation commission is operational and implementing different national reconciliation processes.</w:t>
            </w:r>
          </w:p>
          <w:p w14:paraId="18C29EBC" w14:textId="77777777" w:rsidR="00784209" w:rsidRPr="009F476B" w:rsidRDefault="00784209" w:rsidP="00E3399B">
            <w:pPr>
              <w:widowControl/>
              <w:autoSpaceDE w:val="0"/>
              <w:autoSpaceDN w:val="0"/>
              <w:adjustRightInd w:val="0"/>
              <w:spacing w:line="276" w:lineRule="auto"/>
              <w:jc w:val="both"/>
              <w:rPr>
                <w:sz w:val="20"/>
              </w:rPr>
            </w:pPr>
          </w:p>
        </w:tc>
        <w:tc>
          <w:tcPr>
            <w:tcW w:w="5490" w:type="dxa"/>
            <w:shd w:val="clear" w:color="auto" w:fill="auto"/>
          </w:tcPr>
          <w:p w14:paraId="7D505B20" w14:textId="77777777" w:rsidR="00784209" w:rsidRPr="009F476B" w:rsidRDefault="00784209" w:rsidP="00E3399B">
            <w:pPr>
              <w:widowControl/>
              <w:numPr>
                <w:ilvl w:val="0"/>
                <w:numId w:val="23"/>
              </w:numPr>
              <w:autoSpaceDE w:val="0"/>
              <w:autoSpaceDN w:val="0"/>
              <w:adjustRightInd w:val="0"/>
              <w:spacing w:line="276" w:lineRule="auto"/>
              <w:jc w:val="both"/>
              <w:rPr>
                <w:sz w:val="20"/>
                <w:lang w:val="en-GB" w:eastAsia="en-GB"/>
              </w:rPr>
            </w:pPr>
            <w:r w:rsidRPr="009F476B">
              <w:rPr>
                <w:sz w:val="20"/>
                <w:lang w:val="en-GB" w:eastAsia="en-GB"/>
              </w:rPr>
              <w:t xml:space="preserve">Less than Twenty per cent increase in adjudicated cases per year; </w:t>
            </w:r>
          </w:p>
          <w:p w14:paraId="0EC4C9BF" w14:textId="77777777" w:rsidR="00784209" w:rsidRPr="009F476B" w:rsidRDefault="00784209" w:rsidP="00E3399B">
            <w:pPr>
              <w:widowControl/>
              <w:autoSpaceDE w:val="0"/>
              <w:autoSpaceDN w:val="0"/>
              <w:adjustRightInd w:val="0"/>
              <w:spacing w:line="276" w:lineRule="auto"/>
              <w:jc w:val="both"/>
              <w:rPr>
                <w:sz w:val="20"/>
                <w:lang w:val="en-GB" w:eastAsia="en-GB"/>
              </w:rPr>
            </w:pPr>
          </w:p>
          <w:p w14:paraId="2E7C6640" w14:textId="77777777" w:rsidR="00784209" w:rsidRPr="009F476B" w:rsidRDefault="00784209" w:rsidP="00E3399B">
            <w:pPr>
              <w:widowControl/>
              <w:numPr>
                <w:ilvl w:val="0"/>
                <w:numId w:val="23"/>
              </w:numPr>
              <w:autoSpaceDE w:val="0"/>
              <w:autoSpaceDN w:val="0"/>
              <w:adjustRightInd w:val="0"/>
              <w:spacing w:line="276" w:lineRule="auto"/>
              <w:jc w:val="both"/>
              <w:rPr>
                <w:sz w:val="20"/>
                <w:lang w:val="en-GB" w:eastAsia="en-GB"/>
              </w:rPr>
            </w:pPr>
            <w:r w:rsidRPr="009F476B">
              <w:rPr>
                <w:sz w:val="20"/>
                <w:lang w:val="en-GB" w:eastAsia="en-GB"/>
              </w:rPr>
              <w:t xml:space="preserve">The factfinding and reconciliation commission has been recently </w:t>
            </w:r>
            <w:r>
              <w:rPr>
                <w:sz w:val="20"/>
                <w:lang w:val="en-GB" w:eastAsia="en-GB"/>
              </w:rPr>
              <w:t>e</w:t>
            </w:r>
            <w:r w:rsidRPr="009F476B">
              <w:rPr>
                <w:sz w:val="20"/>
                <w:lang w:val="en-GB" w:eastAsia="en-GB"/>
              </w:rPr>
              <w:t xml:space="preserve">stablished on 2017 </w:t>
            </w:r>
          </w:p>
          <w:p w14:paraId="756B7220" w14:textId="77777777" w:rsidR="00784209" w:rsidRPr="009F476B" w:rsidRDefault="00784209" w:rsidP="00E3399B">
            <w:pPr>
              <w:widowControl/>
              <w:autoSpaceDE w:val="0"/>
              <w:autoSpaceDN w:val="0"/>
              <w:adjustRightInd w:val="0"/>
              <w:spacing w:line="276" w:lineRule="auto"/>
              <w:jc w:val="both"/>
              <w:rPr>
                <w:sz w:val="20"/>
              </w:rPr>
            </w:pPr>
          </w:p>
        </w:tc>
      </w:tr>
      <w:tr w:rsidR="00DC4D86" w:rsidRPr="009F476B" w14:paraId="7F61D441" w14:textId="77777777" w:rsidTr="009E7526">
        <w:tc>
          <w:tcPr>
            <w:tcW w:w="14040" w:type="dxa"/>
            <w:gridSpan w:val="4"/>
          </w:tcPr>
          <w:p w14:paraId="23A2C1ED" w14:textId="77777777" w:rsidR="00DC4D86" w:rsidRPr="009F476B" w:rsidRDefault="00DC4D86" w:rsidP="00E3399B">
            <w:pPr>
              <w:pStyle w:val="BodyText2"/>
              <w:spacing w:line="276" w:lineRule="auto"/>
              <w:jc w:val="both"/>
              <w:rPr>
                <w:rFonts w:ascii="Times New Roman" w:hAnsi="Times New Roman"/>
                <w:b/>
              </w:rPr>
            </w:pPr>
            <w:r w:rsidRPr="009F476B">
              <w:rPr>
                <w:rFonts w:ascii="Times New Roman" w:hAnsi="Times New Roman"/>
                <w:b/>
              </w:rPr>
              <w:t>UNDP Contribution:</w:t>
            </w:r>
          </w:p>
          <w:p w14:paraId="35F65BD8" w14:textId="77777777" w:rsidR="00D9192E" w:rsidRPr="009F476B" w:rsidRDefault="000A4610" w:rsidP="00E3399B">
            <w:pPr>
              <w:widowControl/>
              <w:autoSpaceDE w:val="0"/>
              <w:autoSpaceDN w:val="0"/>
              <w:adjustRightInd w:val="0"/>
              <w:spacing w:line="276" w:lineRule="auto"/>
              <w:jc w:val="both"/>
              <w:rPr>
                <w:b/>
                <w:sz w:val="20"/>
              </w:rPr>
            </w:pPr>
            <w:r w:rsidRPr="009F476B">
              <w:rPr>
                <w:sz w:val="20"/>
                <w:lang w:val="en-GB" w:eastAsia="en-GB"/>
              </w:rPr>
              <w:t xml:space="preserve">UNDP </w:t>
            </w:r>
            <w:r w:rsidR="005C7E7C" w:rsidRPr="009F476B">
              <w:rPr>
                <w:sz w:val="20"/>
                <w:lang w:val="en-GB" w:eastAsia="en-GB"/>
              </w:rPr>
              <w:t>provided support</w:t>
            </w:r>
            <w:r w:rsidRPr="009F476B">
              <w:rPr>
                <w:sz w:val="20"/>
                <w:lang w:val="en-GB" w:eastAsia="en-GB"/>
              </w:rPr>
              <w:t xml:space="preserve"> to key rule-of-law institutions in coordination with UNSMIL and other United Nations organizations. </w:t>
            </w:r>
          </w:p>
          <w:p w14:paraId="472E3088" w14:textId="77777777" w:rsidR="000A4610" w:rsidRPr="009F476B" w:rsidRDefault="000A4610" w:rsidP="00E3399B">
            <w:pPr>
              <w:pStyle w:val="BodyText2"/>
              <w:spacing w:line="276" w:lineRule="auto"/>
              <w:jc w:val="both"/>
              <w:rPr>
                <w:rFonts w:ascii="Times New Roman" w:hAnsi="Times New Roman"/>
                <w:b/>
              </w:rPr>
            </w:pPr>
          </w:p>
          <w:p w14:paraId="52089AAF" w14:textId="77777777" w:rsidR="008B06DD" w:rsidRPr="009F476B" w:rsidRDefault="008B06DD" w:rsidP="00E3399B">
            <w:pPr>
              <w:pStyle w:val="BodyText2"/>
              <w:spacing w:line="276" w:lineRule="auto"/>
              <w:jc w:val="both"/>
              <w:rPr>
                <w:rFonts w:ascii="Times New Roman" w:hAnsi="Times New Roman"/>
                <w:u w:val="single"/>
              </w:rPr>
            </w:pPr>
            <w:r w:rsidRPr="009F476B">
              <w:rPr>
                <w:rFonts w:ascii="Times New Roman" w:hAnsi="Times New Roman"/>
                <w:u w:val="single"/>
              </w:rPr>
              <w:t>CP Outputs</w:t>
            </w:r>
          </w:p>
          <w:p w14:paraId="2F231E24" w14:textId="77777777" w:rsidR="00127E4D" w:rsidRPr="009F476B" w:rsidRDefault="00127E4D" w:rsidP="00E3399B">
            <w:pPr>
              <w:widowControl/>
              <w:autoSpaceDE w:val="0"/>
              <w:autoSpaceDN w:val="0"/>
              <w:adjustRightInd w:val="0"/>
              <w:spacing w:line="276" w:lineRule="auto"/>
              <w:jc w:val="both"/>
              <w:rPr>
                <w:sz w:val="20"/>
                <w:lang w:val="en-GB" w:eastAsia="en-GB"/>
              </w:rPr>
            </w:pPr>
            <w:r w:rsidRPr="009F476B">
              <w:rPr>
                <w:b/>
                <w:bCs/>
                <w:sz w:val="20"/>
                <w:lang w:val="en-GB" w:eastAsia="en-GB"/>
              </w:rPr>
              <w:t xml:space="preserve">Output 1: </w:t>
            </w:r>
            <w:r w:rsidRPr="009F476B">
              <w:rPr>
                <w:sz w:val="20"/>
                <w:lang w:val="en-GB" w:eastAsia="en-GB"/>
              </w:rPr>
              <w:t>The capacity of rule-of-law institutions is developed to restore justice and security in accordance with international human rights principles.</w:t>
            </w:r>
          </w:p>
          <w:p w14:paraId="71481A80" w14:textId="77777777" w:rsidR="00127E4D" w:rsidRPr="009F476B" w:rsidRDefault="00127E4D" w:rsidP="00E3399B">
            <w:pPr>
              <w:widowControl/>
              <w:autoSpaceDE w:val="0"/>
              <w:autoSpaceDN w:val="0"/>
              <w:adjustRightInd w:val="0"/>
              <w:spacing w:line="276" w:lineRule="auto"/>
              <w:jc w:val="both"/>
              <w:rPr>
                <w:sz w:val="20"/>
                <w:lang w:val="en-GB" w:eastAsia="en-GB"/>
              </w:rPr>
            </w:pPr>
          </w:p>
          <w:p w14:paraId="762D8F04" w14:textId="77777777" w:rsidR="00184F02" w:rsidRPr="009F476B" w:rsidRDefault="00127E4D" w:rsidP="00E3399B">
            <w:pPr>
              <w:widowControl/>
              <w:autoSpaceDE w:val="0"/>
              <w:autoSpaceDN w:val="0"/>
              <w:adjustRightInd w:val="0"/>
              <w:spacing w:line="276" w:lineRule="auto"/>
              <w:jc w:val="both"/>
              <w:rPr>
                <w:sz w:val="20"/>
                <w:u w:val="single"/>
              </w:rPr>
            </w:pPr>
            <w:r w:rsidRPr="009F476B">
              <w:rPr>
                <w:b/>
                <w:bCs/>
                <w:sz w:val="20"/>
                <w:lang w:val="en-GB" w:eastAsia="en-GB"/>
              </w:rPr>
              <w:t xml:space="preserve">Output 2: </w:t>
            </w:r>
            <w:r w:rsidRPr="009F476B">
              <w:rPr>
                <w:sz w:val="20"/>
                <w:lang w:val="en-GB" w:eastAsia="en-GB"/>
              </w:rPr>
              <w:t>Implementation of transitional justice processes is launched according to national consensus and international standards.</w:t>
            </w:r>
          </w:p>
          <w:p w14:paraId="4CD489A8" w14:textId="77777777" w:rsidR="00184F02" w:rsidRPr="009F476B" w:rsidRDefault="00184F02" w:rsidP="00E3399B">
            <w:pPr>
              <w:pStyle w:val="BodyText2"/>
              <w:spacing w:line="276" w:lineRule="auto"/>
              <w:jc w:val="both"/>
              <w:rPr>
                <w:rFonts w:ascii="Times New Roman" w:hAnsi="Times New Roman"/>
                <w:u w:val="single"/>
              </w:rPr>
            </w:pPr>
          </w:p>
          <w:p w14:paraId="10B1DFF4" w14:textId="77777777" w:rsidR="00184F02" w:rsidRPr="009F476B" w:rsidRDefault="008B06DD" w:rsidP="00E3399B">
            <w:pPr>
              <w:pStyle w:val="BodyText2"/>
              <w:spacing w:line="276" w:lineRule="auto"/>
              <w:jc w:val="both"/>
              <w:rPr>
                <w:rFonts w:ascii="Times New Roman" w:hAnsi="Times New Roman"/>
                <w:u w:val="single"/>
              </w:rPr>
            </w:pPr>
            <w:r w:rsidRPr="009F476B">
              <w:rPr>
                <w:rFonts w:ascii="Times New Roman" w:hAnsi="Times New Roman"/>
                <w:u w:val="single"/>
              </w:rPr>
              <w:t>Progress and Achievements</w:t>
            </w:r>
          </w:p>
          <w:p w14:paraId="12E95907" w14:textId="77777777" w:rsidR="00C86489" w:rsidRPr="009F476B" w:rsidRDefault="00C86489" w:rsidP="00E3399B">
            <w:pPr>
              <w:pStyle w:val="BodyText2"/>
              <w:spacing w:line="276" w:lineRule="auto"/>
              <w:jc w:val="both"/>
              <w:rPr>
                <w:rFonts w:ascii="Times New Roman" w:hAnsi="Times New Roman"/>
              </w:rPr>
            </w:pPr>
          </w:p>
          <w:p w14:paraId="1D091CAA" w14:textId="77777777" w:rsidR="00C86489" w:rsidRPr="009F476B" w:rsidRDefault="00C86489" w:rsidP="00E3399B">
            <w:pPr>
              <w:pStyle w:val="BodyText2"/>
              <w:spacing w:line="276" w:lineRule="auto"/>
              <w:jc w:val="both"/>
              <w:rPr>
                <w:rFonts w:ascii="Times New Roman" w:hAnsi="Times New Roman"/>
                <w:b/>
                <w:bCs/>
                <w:u w:val="single"/>
              </w:rPr>
            </w:pPr>
            <w:r w:rsidRPr="009F476B">
              <w:rPr>
                <w:rFonts w:ascii="Times New Roman" w:hAnsi="Times New Roman"/>
                <w:b/>
                <w:bCs/>
                <w:u w:val="single"/>
              </w:rPr>
              <w:t xml:space="preserve">Rule of Law Support </w:t>
            </w:r>
          </w:p>
          <w:p w14:paraId="019D654D" w14:textId="77777777" w:rsidR="00C86489" w:rsidRPr="009F476B" w:rsidRDefault="00C86489" w:rsidP="00E3399B">
            <w:pPr>
              <w:pStyle w:val="BodyText2"/>
              <w:spacing w:line="276" w:lineRule="auto"/>
              <w:jc w:val="both"/>
              <w:rPr>
                <w:rFonts w:ascii="Times New Roman" w:hAnsi="Times New Roman"/>
              </w:rPr>
            </w:pPr>
          </w:p>
          <w:p w14:paraId="0E43EFA7" w14:textId="28B8711C" w:rsidR="00C86489" w:rsidRPr="009F476B" w:rsidRDefault="00C86489" w:rsidP="00E3399B">
            <w:pPr>
              <w:pStyle w:val="BodyText2"/>
              <w:spacing w:line="276" w:lineRule="auto"/>
              <w:jc w:val="both"/>
              <w:rPr>
                <w:rFonts w:ascii="Times New Roman" w:hAnsi="Times New Roman"/>
              </w:rPr>
            </w:pPr>
            <w:r w:rsidRPr="009F476B">
              <w:rPr>
                <w:rFonts w:ascii="Times New Roman" w:hAnsi="Times New Roman"/>
              </w:rPr>
              <w:lastRenderedPageBreak/>
              <w:t xml:space="preserve">UNDP built the capacity of members of the judiciary that enabled them to plan for, develop and deliver an effective and transparent mechanism for electoral disputes. </w:t>
            </w:r>
            <w:r w:rsidRPr="009F476B">
              <w:rPr>
                <w:rFonts w:ascii="Times New Roman" w:hAnsi="Times New Roman"/>
                <w:bCs/>
              </w:rPr>
              <w:t xml:space="preserve">In partnership with the Ministry of Justice and High Judicial Institute, UNDP advocated </w:t>
            </w:r>
            <w:r w:rsidR="00A74577">
              <w:rPr>
                <w:rFonts w:ascii="Times New Roman" w:hAnsi="Times New Roman"/>
                <w:bCs/>
              </w:rPr>
              <w:t xml:space="preserve">for </w:t>
            </w:r>
            <w:r w:rsidRPr="009F476B">
              <w:rPr>
                <w:rFonts w:ascii="Times New Roman" w:hAnsi="Times New Roman"/>
              </w:rPr>
              <w:t>improving access to justice for vulnerable groups</w:t>
            </w:r>
            <w:r w:rsidR="00D9486E">
              <w:rPr>
                <w:rFonts w:ascii="Times New Roman" w:hAnsi="Times New Roman"/>
              </w:rPr>
              <w:t>,</w:t>
            </w:r>
            <w:r w:rsidRPr="009F476B">
              <w:rPr>
                <w:rFonts w:ascii="Times New Roman" w:hAnsi="Times New Roman"/>
              </w:rPr>
              <w:t xml:space="preserve"> and the reform of rule-of-law institutions. </w:t>
            </w:r>
            <w:r w:rsidR="00D9486E">
              <w:rPr>
                <w:rFonts w:ascii="Times New Roman" w:hAnsi="Times New Roman"/>
              </w:rPr>
              <w:t>UNDP</w:t>
            </w:r>
            <w:r w:rsidRPr="009F476B">
              <w:rPr>
                <w:rFonts w:ascii="Times New Roman" w:hAnsi="Times New Roman"/>
              </w:rPr>
              <w:t xml:space="preserve"> supported the first pilot baseline analysis of access to justices for Internally Displaced Persons</w:t>
            </w:r>
            <w:r w:rsidR="00A74577">
              <w:rPr>
                <w:rFonts w:ascii="Times New Roman" w:hAnsi="Times New Roman"/>
              </w:rPr>
              <w:t xml:space="preserve"> (IDPs)</w:t>
            </w:r>
            <w:r w:rsidR="00D9486E">
              <w:rPr>
                <w:rFonts w:ascii="Times New Roman" w:hAnsi="Times New Roman"/>
              </w:rPr>
              <w:t xml:space="preserve">, and </w:t>
            </w:r>
            <w:r w:rsidRPr="009F476B">
              <w:rPr>
                <w:rFonts w:ascii="Times New Roman" w:hAnsi="Times New Roman"/>
              </w:rPr>
              <w:t xml:space="preserve">also supported 20 CSOs to assess the population’s access-to-justice needs. </w:t>
            </w:r>
            <w:r w:rsidR="00D9486E">
              <w:rPr>
                <w:rFonts w:ascii="Times New Roman" w:hAnsi="Times New Roman"/>
              </w:rPr>
              <w:t>UNDP</w:t>
            </w:r>
            <w:r w:rsidRPr="009F476B">
              <w:rPr>
                <w:rFonts w:ascii="Times New Roman" w:hAnsi="Times New Roman"/>
              </w:rPr>
              <w:t xml:space="preserve"> provided support to 260 individuals from various sectors of government, the High Judiciary Institute and civil society organizations to gain knowledge on the processes of rule of law reforms in times of crises. UNDP’s support</w:t>
            </w:r>
            <w:r w:rsidR="00D9486E">
              <w:rPr>
                <w:rFonts w:ascii="Times New Roman" w:hAnsi="Times New Roman"/>
              </w:rPr>
              <w:t xml:space="preserve"> enabled the Libyan authorities to formulate</w:t>
            </w:r>
            <w:r w:rsidRPr="009F476B">
              <w:rPr>
                <w:rFonts w:ascii="Times New Roman" w:hAnsi="Times New Roman"/>
              </w:rPr>
              <w:t xml:space="preserve"> a Transitional Justice Law, which led to the adoption of a new and improved law in December 2013. Progress has been achi</w:t>
            </w:r>
            <w:r w:rsidR="00D9486E">
              <w:rPr>
                <w:rFonts w:ascii="Times New Roman" w:hAnsi="Times New Roman"/>
              </w:rPr>
              <w:t>e</w:t>
            </w:r>
            <w:r w:rsidRPr="009F476B">
              <w:rPr>
                <w:rFonts w:ascii="Times New Roman" w:hAnsi="Times New Roman"/>
              </w:rPr>
              <w:t xml:space="preserve">ved in strengthening the capacity of Libya’s National Council for Civil Liberties and Human Rights (NCCLHR) to enhance awareness and knowledge of the role of national institutions of human rights in line with the Paris Principles. UNDP also facilitated experience-sharing with countries </w:t>
            </w:r>
            <w:r w:rsidR="00D9486E">
              <w:rPr>
                <w:rFonts w:ascii="Times New Roman" w:hAnsi="Times New Roman"/>
              </w:rPr>
              <w:t xml:space="preserve">in </w:t>
            </w:r>
            <w:r w:rsidRPr="009F476B">
              <w:rPr>
                <w:rFonts w:ascii="Times New Roman" w:hAnsi="Times New Roman"/>
              </w:rPr>
              <w:t xml:space="preserve">the region with the objective of promoting Human Rights and strengthening Human Rights </w:t>
            </w:r>
            <w:r w:rsidR="00D9486E">
              <w:rPr>
                <w:rFonts w:ascii="Times New Roman" w:hAnsi="Times New Roman"/>
              </w:rPr>
              <w:t>i</w:t>
            </w:r>
            <w:r w:rsidRPr="009F476B">
              <w:rPr>
                <w:rFonts w:ascii="Times New Roman" w:hAnsi="Times New Roman"/>
              </w:rPr>
              <w:t xml:space="preserve">nstitutions in Libya. </w:t>
            </w:r>
          </w:p>
          <w:p w14:paraId="5F4D8161" w14:textId="77777777" w:rsidR="00C86489" w:rsidRPr="009F476B" w:rsidRDefault="00C86489" w:rsidP="00E3399B">
            <w:pPr>
              <w:pStyle w:val="BodyText2"/>
              <w:spacing w:line="276" w:lineRule="auto"/>
              <w:jc w:val="both"/>
              <w:rPr>
                <w:rFonts w:ascii="Times New Roman" w:hAnsi="Times New Roman"/>
              </w:rPr>
            </w:pPr>
          </w:p>
          <w:p w14:paraId="3B6955EB" w14:textId="77777777" w:rsidR="00C86489" w:rsidRPr="009F476B" w:rsidRDefault="00C86489" w:rsidP="00E3399B">
            <w:pPr>
              <w:pStyle w:val="BodyText2"/>
              <w:spacing w:line="276" w:lineRule="auto"/>
              <w:jc w:val="both"/>
              <w:rPr>
                <w:rFonts w:ascii="Times New Roman" w:hAnsi="Times New Roman"/>
                <w:b/>
                <w:bCs/>
              </w:rPr>
            </w:pPr>
            <w:r w:rsidRPr="009F476B">
              <w:rPr>
                <w:rFonts w:ascii="Times New Roman" w:hAnsi="Times New Roman"/>
                <w:b/>
                <w:bCs/>
              </w:rPr>
              <w:t xml:space="preserve">Parliamentary Support </w:t>
            </w:r>
          </w:p>
          <w:p w14:paraId="5311FB47" w14:textId="77777777" w:rsidR="00C86489" w:rsidRPr="009F476B" w:rsidRDefault="00C86489" w:rsidP="00E3399B">
            <w:pPr>
              <w:spacing w:line="276" w:lineRule="auto"/>
              <w:jc w:val="both"/>
              <w:rPr>
                <w:sz w:val="20"/>
              </w:rPr>
            </w:pPr>
          </w:p>
          <w:p w14:paraId="73E1A3A3" w14:textId="46D81244" w:rsidR="00C86489" w:rsidRPr="009F476B" w:rsidRDefault="00C86489" w:rsidP="00E3399B">
            <w:pPr>
              <w:spacing w:line="276" w:lineRule="auto"/>
              <w:jc w:val="both"/>
              <w:rPr>
                <w:sz w:val="20"/>
              </w:rPr>
            </w:pPr>
            <w:r w:rsidRPr="009F476B">
              <w:rPr>
                <w:sz w:val="20"/>
              </w:rPr>
              <w:t xml:space="preserve">Another </w:t>
            </w:r>
            <w:r w:rsidR="00D9486E">
              <w:rPr>
                <w:sz w:val="20"/>
              </w:rPr>
              <w:t xml:space="preserve">sign of </w:t>
            </w:r>
            <w:r w:rsidRPr="009F476B">
              <w:rPr>
                <w:sz w:val="20"/>
              </w:rPr>
              <w:t>progress is  UNDP</w:t>
            </w:r>
            <w:r w:rsidR="006D2F57">
              <w:rPr>
                <w:sz w:val="20"/>
              </w:rPr>
              <w:t>’s</w:t>
            </w:r>
            <w:r w:rsidRPr="009F476B">
              <w:rPr>
                <w:sz w:val="20"/>
              </w:rPr>
              <w:t xml:space="preserve"> support to elected institutions in post-revolution Libya, through strengthening institutional capacities of the parliament and helping in the development of the organizational chart of the General National Congress (GNC). </w:t>
            </w:r>
            <w:r w:rsidR="00D9486E">
              <w:rPr>
                <w:sz w:val="20"/>
              </w:rPr>
              <w:t xml:space="preserve">UNDP </w:t>
            </w:r>
            <w:r w:rsidRPr="009F476B">
              <w:rPr>
                <w:sz w:val="20"/>
              </w:rPr>
              <w:t xml:space="preserve">also supported the production of a publication on the experience of parliament in post revolution Libya, focusing on lessons learned in the development of GNC Rules and procedures. </w:t>
            </w:r>
          </w:p>
          <w:p w14:paraId="324FA40B" w14:textId="77777777" w:rsidR="00C86489" w:rsidRPr="009F476B" w:rsidRDefault="00C86489" w:rsidP="00E3399B">
            <w:pPr>
              <w:spacing w:line="276" w:lineRule="auto"/>
              <w:jc w:val="both"/>
              <w:rPr>
                <w:sz w:val="20"/>
              </w:rPr>
            </w:pPr>
          </w:p>
          <w:p w14:paraId="34550F57" w14:textId="73732D11" w:rsidR="00C86489" w:rsidRPr="009F476B" w:rsidRDefault="00C86489" w:rsidP="00E3399B">
            <w:pPr>
              <w:spacing w:line="276" w:lineRule="auto"/>
              <w:jc w:val="both"/>
              <w:rPr>
                <w:sz w:val="20"/>
              </w:rPr>
            </w:pPr>
            <w:r w:rsidRPr="009F476B">
              <w:rPr>
                <w:sz w:val="20"/>
              </w:rPr>
              <w:t xml:space="preserve">UNDP delivered training courses to support elected members of the parliament including to 60 staff from the </w:t>
            </w:r>
            <w:r w:rsidR="006D2F57">
              <w:rPr>
                <w:sz w:val="20"/>
              </w:rPr>
              <w:t>GNC</w:t>
            </w:r>
            <w:r w:rsidRPr="009F476B">
              <w:rPr>
                <w:sz w:val="20"/>
              </w:rPr>
              <w:t xml:space="preserve"> secretariat. Support </w:t>
            </w:r>
            <w:r w:rsidR="00D9486E">
              <w:rPr>
                <w:sz w:val="20"/>
              </w:rPr>
              <w:t xml:space="preserve">was </w:t>
            </w:r>
            <w:r w:rsidRPr="009F476B">
              <w:rPr>
                <w:sz w:val="20"/>
              </w:rPr>
              <w:t xml:space="preserve">also extended to </w:t>
            </w:r>
            <w:r w:rsidR="00D9486E">
              <w:rPr>
                <w:sz w:val="20"/>
              </w:rPr>
              <w:t xml:space="preserve">the </w:t>
            </w:r>
            <w:r w:rsidRPr="009F476B">
              <w:rPr>
                <w:sz w:val="20"/>
              </w:rPr>
              <w:t>House of Representative</w:t>
            </w:r>
            <w:r w:rsidR="006D2F57">
              <w:rPr>
                <w:sz w:val="20"/>
              </w:rPr>
              <w:t xml:space="preserve"> (HoR)</w:t>
            </w:r>
            <w:r w:rsidR="00D9486E">
              <w:rPr>
                <w:sz w:val="20"/>
              </w:rPr>
              <w:t>,</w:t>
            </w:r>
            <w:r w:rsidRPr="009F476B">
              <w:rPr>
                <w:sz w:val="20"/>
              </w:rPr>
              <w:t xml:space="preserve"> providing manuals and research documents on key parliamentary functions. </w:t>
            </w:r>
            <w:r w:rsidR="006D2F57">
              <w:rPr>
                <w:sz w:val="20"/>
              </w:rPr>
              <w:t xml:space="preserve">UNDP trained </w:t>
            </w:r>
            <w:r w:rsidRPr="009F476B">
              <w:rPr>
                <w:color w:val="000000"/>
                <w:sz w:val="20"/>
              </w:rPr>
              <w:t>156 members and staff of the parliament on various parliamentary processes</w:t>
            </w:r>
            <w:r w:rsidR="006D2F57">
              <w:rPr>
                <w:color w:val="000000"/>
                <w:sz w:val="20"/>
              </w:rPr>
              <w:t>.</w:t>
            </w:r>
          </w:p>
          <w:p w14:paraId="3E3A522D" w14:textId="77777777" w:rsidR="00C86489" w:rsidRPr="009F476B" w:rsidRDefault="00C86489" w:rsidP="00E3399B">
            <w:pPr>
              <w:pStyle w:val="BodyText2"/>
              <w:spacing w:line="276" w:lineRule="auto"/>
              <w:jc w:val="both"/>
              <w:rPr>
                <w:rFonts w:ascii="Times New Roman" w:hAnsi="Times New Roman"/>
              </w:rPr>
            </w:pPr>
          </w:p>
          <w:p w14:paraId="5E6F4C75" w14:textId="63B22591" w:rsidR="00184F02" w:rsidRPr="009F476B" w:rsidRDefault="00184F02" w:rsidP="00E3399B">
            <w:pPr>
              <w:pStyle w:val="BodyText2"/>
              <w:spacing w:line="276" w:lineRule="auto"/>
              <w:jc w:val="both"/>
              <w:rPr>
                <w:rFonts w:ascii="Times New Roman" w:hAnsi="Times New Roman"/>
              </w:rPr>
            </w:pPr>
            <w:r w:rsidRPr="009F476B">
              <w:rPr>
                <w:rFonts w:ascii="Times New Roman" w:hAnsi="Times New Roman"/>
              </w:rPr>
              <w:t xml:space="preserve">Throughout the years, UNDP with the support of the United Mission Support in Libya </w:t>
            </w:r>
            <w:r w:rsidR="006D2F57">
              <w:rPr>
                <w:rFonts w:ascii="Times New Roman" w:hAnsi="Times New Roman"/>
              </w:rPr>
              <w:t>(UNSMIL) took</w:t>
            </w:r>
            <w:r w:rsidRPr="009F476B">
              <w:rPr>
                <w:rFonts w:ascii="Times New Roman" w:hAnsi="Times New Roman"/>
              </w:rPr>
              <w:t xml:space="preserve"> the lead </w:t>
            </w:r>
            <w:r w:rsidR="00D9486E">
              <w:rPr>
                <w:rFonts w:ascii="Times New Roman" w:hAnsi="Times New Roman"/>
              </w:rPr>
              <w:t>in supporting</w:t>
            </w:r>
            <w:r w:rsidR="006D2F57">
              <w:rPr>
                <w:rFonts w:ascii="Times New Roman" w:hAnsi="Times New Roman"/>
              </w:rPr>
              <w:t xml:space="preserve"> the</w:t>
            </w:r>
            <w:r w:rsidR="00D9486E">
              <w:rPr>
                <w:rFonts w:ascii="Times New Roman" w:hAnsi="Times New Roman"/>
              </w:rPr>
              <w:t xml:space="preserve"> </w:t>
            </w:r>
            <w:r w:rsidRPr="009F476B">
              <w:rPr>
                <w:rFonts w:ascii="Times New Roman" w:hAnsi="Times New Roman"/>
              </w:rPr>
              <w:t>improve</w:t>
            </w:r>
            <w:r w:rsidR="00D9486E">
              <w:rPr>
                <w:rFonts w:ascii="Times New Roman" w:hAnsi="Times New Roman"/>
              </w:rPr>
              <w:t>ment of</w:t>
            </w:r>
            <w:r w:rsidRPr="009F476B">
              <w:rPr>
                <w:rFonts w:ascii="Times New Roman" w:hAnsi="Times New Roman"/>
              </w:rPr>
              <w:t xml:space="preserve"> the efficiency of Judicial institutions, including </w:t>
            </w:r>
            <w:r w:rsidR="00D9486E">
              <w:rPr>
                <w:rFonts w:ascii="Times New Roman" w:hAnsi="Times New Roman"/>
              </w:rPr>
              <w:t xml:space="preserve">the </w:t>
            </w:r>
            <w:r w:rsidRPr="009F476B">
              <w:rPr>
                <w:rFonts w:ascii="Times New Roman" w:hAnsi="Times New Roman"/>
              </w:rPr>
              <w:t>legal aid service. A new initiative on the automation of national courts, with a view to increasing public access to justice, was initiated in 2008.</w:t>
            </w:r>
            <w:r w:rsidR="00C86489" w:rsidRPr="009F476B">
              <w:rPr>
                <w:rFonts w:ascii="Times New Roman" w:hAnsi="Times New Roman"/>
              </w:rPr>
              <w:t xml:space="preserve"> As a continuation, </w:t>
            </w:r>
            <w:r w:rsidR="006D2F57">
              <w:rPr>
                <w:rFonts w:ascii="Times New Roman" w:hAnsi="Times New Roman"/>
              </w:rPr>
              <w:t xml:space="preserve">UNDP observed </w:t>
            </w:r>
            <w:r w:rsidR="00C86489" w:rsidRPr="009F476B">
              <w:rPr>
                <w:rFonts w:ascii="Times New Roman" w:hAnsi="Times New Roman"/>
              </w:rPr>
              <w:t xml:space="preserve">progress </w:t>
            </w:r>
            <w:r w:rsidR="006D2F57">
              <w:rPr>
                <w:rFonts w:ascii="Times New Roman" w:hAnsi="Times New Roman"/>
              </w:rPr>
              <w:t xml:space="preserve">which </w:t>
            </w:r>
            <w:r w:rsidR="00C538C9">
              <w:rPr>
                <w:rFonts w:ascii="Times New Roman" w:hAnsi="Times New Roman"/>
              </w:rPr>
              <w:t>was</w:t>
            </w:r>
            <w:r w:rsidR="00C86489" w:rsidRPr="009F476B">
              <w:rPr>
                <w:rFonts w:ascii="Times New Roman" w:hAnsi="Times New Roman"/>
              </w:rPr>
              <w:t xml:space="preserve"> achieved through building the skills of </w:t>
            </w:r>
            <w:r w:rsidRPr="009F476B">
              <w:rPr>
                <w:rFonts w:ascii="Times New Roman" w:hAnsi="Times New Roman"/>
              </w:rPr>
              <w:t xml:space="preserve">200 judicial experts in automation techniques, complemented by capacity-building of the </w:t>
            </w:r>
            <w:r w:rsidR="00D9486E">
              <w:rPr>
                <w:rFonts w:ascii="Times New Roman" w:hAnsi="Times New Roman"/>
              </w:rPr>
              <w:t>H</w:t>
            </w:r>
            <w:r w:rsidRPr="009F476B">
              <w:rPr>
                <w:rFonts w:ascii="Times New Roman" w:hAnsi="Times New Roman"/>
              </w:rPr>
              <w:t xml:space="preserve">igh </w:t>
            </w:r>
            <w:r w:rsidR="00D9486E">
              <w:rPr>
                <w:rFonts w:ascii="Times New Roman" w:hAnsi="Times New Roman"/>
              </w:rPr>
              <w:t>J</w:t>
            </w:r>
            <w:r w:rsidRPr="009F476B">
              <w:rPr>
                <w:rFonts w:ascii="Times New Roman" w:hAnsi="Times New Roman"/>
              </w:rPr>
              <w:t xml:space="preserve">udicial </w:t>
            </w:r>
            <w:r w:rsidR="00D9486E">
              <w:rPr>
                <w:rFonts w:ascii="Times New Roman" w:hAnsi="Times New Roman"/>
              </w:rPr>
              <w:t>I</w:t>
            </w:r>
            <w:r w:rsidRPr="009F476B">
              <w:rPr>
                <w:rFonts w:ascii="Times New Roman" w:hAnsi="Times New Roman"/>
              </w:rPr>
              <w:t xml:space="preserve">nstitute through a curriculum review and ‘training of trainers’ programmes. </w:t>
            </w:r>
          </w:p>
          <w:p w14:paraId="6ED5029C" w14:textId="77777777" w:rsidR="00184F02" w:rsidRPr="009F476B" w:rsidRDefault="00184F02" w:rsidP="00E3399B">
            <w:pPr>
              <w:pStyle w:val="BodyText2"/>
              <w:spacing w:line="276" w:lineRule="auto"/>
              <w:jc w:val="both"/>
              <w:rPr>
                <w:rFonts w:ascii="Times New Roman" w:hAnsi="Times New Roman"/>
              </w:rPr>
            </w:pPr>
          </w:p>
          <w:p w14:paraId="7CD22044" w14:textId="77777777" w:rsidR="00131542" w:rsidRPr="009F476B" w:rsidRDefault="00131542" w:rsidP="00E3399B">
            <w:pPr>
              <w:pStyle w:val="BodyText2"/>
              <w:spacing w:line="276" w:lineRule="auto"/>
              <w:jc w:val="both"/>
              <w:rPr>
                <w:rFonts w:ascii="Times New Roman" w:hAnsi="Times New Roman"/>
              </w:rPr>
            </w:pPr>
            <w:r w:rsidRPr="009F476B">
              <w:rPr>
                <w:rFonts w:ascii="Times New Roman" w:hAnsi="Times New Roman"/>
              </w:rPr>
              <w:t xml:space="preserve">Limited progress </w:t>
            </w:r>
            <w:r w:rsidR="00D9486E">
              <w:rPr>
                <w:rFonts w:ascii="Times New Roman" w:hAnsi="Times New Roman"/>
              </w:rPr>
              <w:t>has been made</w:t>
            </w:r>
            <w:r w:rsidRPr="009F476B">
              <w:rPr>
                <w:rFonts w:ascii="Times New Roman" w:hAnsi="Times New Roman"/>
              </w:rPr>
              <w:t xml:space="preserve"> for the CPD outcome </w:t>
            </w:r>
            <w:r w:rsidR="00C86489" w:rsidRPr="009F476B">
              <w:rPr>
                <w:rFonts w:ascii="Times New Roman" w:hAnsi="Times New Roman"/>
              </w:rPr>
              <w:t xml:space="preserve">indicators as </w:t>
            </w:r>
            <w:r w:rsidRPr="009F476B">
              <w:rPr>
                <w:rFonts w:ascii="Times New Roman" w:hAnsi="Times New Roman"/>
              </w:rPr>
              <w:t>UNDP was unable to work with the judicial system directly</w:t>
            </w:r>
            <w:r w:rsidR="00D9486E">
              <w:rPr>
                <w:rFonts w:ascii="Times New Roman" w:hAnsi="Times New Roman"/>
              </w:rPr>
              <w:t>, due to continuous instability and</w:t>
            </w:r>
            <w:r w:rsidRPr="009F476B">
              <w:rPr>
                <w:rFonts w:ascii="Times New Roman" w:hAnsi="Times New Roman"/>
              </w:rPr>
              <w:t xml:space="preserve"> violent conflict </w:t>
            </w:r>
            <w:r w:rsidR="00D9486E">
              <w:rPr>
                <w:rFonts w:ascii="Times New Roman" w:hAnsi="Times New Roman"/>
              </w:rPr>
              <w:t xml:space="preserve">which </w:t>
            </w:r>
            <w:r w:rsidRPr="009F476B">
              <w:rPr>
                <w:rFonts w:ascii="Times New Roman" w:hAnsi="Times New Roman"/>
              </w:rPr>
              <w:t>affected government institutions at all levels. Unless the fighting is stopped through a negotiated settlement, state institutions are under threat of collapse. Libya’s financial reserves will soon be depleted</w:t>
            </w:r>
            <w:r w:rsidR="006D2F57">
              <w:rPr>
                <w:rFonts w:ascii="Times New Roman" w:hAnsi="Times New Roman"/>
              </w:rPr>
              <w:t>,</w:t>
            </w:r>
            <w:r w:rsidRPr="009F476B">
              <w:rPr>
                <w:rFonts w:ascii="Times New Roman" w:hAnsi="Times New Roman"/>
              </w:rPr>
              <w:t xml:space="preserve"> which will inevitably lead to increased suffering of Libyan citizens and a potential humanitarian disaster. The stabilization of Libya requires </w:t>
            </w:r>
            <w:r w:rsidR="006D2F57">
              <w:rPr>
                <w:rFonts w:ascii="Times New Roman" w:hAnsi="Times New Roman"/>
              </w:rPr>
              <w:t xml:space="preserve">an </w:t>
            </w:r>
            <w:r w:rsidRPr="009F476B">
              <w:rPr>
                <w:rFonts w:ascii="Times New Roman" w:hAnsi="Times New Roman"/>
              </w:rPr>
              <w:t xml:space="preserve">agreement between various political factions at the national level and peace between warring communities at the local level [(41)]. </w:t>
            </w:r>
          </w:p>
          <w:p w14:paraId="242CCBD0" w14:textId="77777777" w:rsidR="00131542" w:rsidRPr="009F476B" w:rsidRDefault="00131542" w:rsidP="00E3399B">
            <w:pPr>
              <w:pStyle w:val="BodyText2"/>
              <w:spacing w:line="276" w:lineRule="auto"/>
              <w:jc w:val="both"/>
              <w:rPr>
                <w:rFonts w:ascii="Times New Roman" w:hAnsi="Times New Roman"/>
              </w:rPr>
            </w:pPr>
          </w:p>
          <w:p w14:paraId="6593AED2" w14:textId="77777777" w:rsidR="00E84649" w:rsidRDefault="00E84649" w:rsidP="00E3399B">
            <w:pPr>
              <w:pStyle w:val="BodyText2"/>
              <w:spacing w:line="276" w:lineRule="auto"/>
              <w:jc w:val="both"/>
              <w:rPr>
                <w:rFonts w:ascii="Times New Roman" w:hAnsi="Times New Roman"/>
                <w:b/>
              </w:rPr>
            </w:pPr>
            <w:r>
              <w:rPr>
                <w:rFonts w:ascii="Times New Roman" w:hAnsi="Times New Roman"/>
                <w:b/>
              </w:rPr>
              <w:t xml:space="preserve">Local Dialogue </w:t>
            </w:r>
          </w:p>
          <w:p w14:paraId="6DA69A55" w14:textId="77777777" w:rsidR="00E84649" w:rsidRPr="00E84649" w:rsidRDefault="00E84649" w:rsidP="00E3399B">
            <w:pPr>
              <w:pStyle w:val="BodyText2"/>
              <w:spacing w:line="276" w:lineRule="auto"/>
              <w:jc w:val="both"/>
              <w:rPr>
                <w:rFonts w:ascii="Times New Roman" w:hAnsi="Times New Roman"/>
                <w:b/>
              </w:rPr>
            </w:pPr>
          </w:p>
          <w:p w14:paraId="2B7BAC3C" w14:textId="4E469C12" w:rsidR="00131542" w:rsidRPr="009F476B" w:rsidRDefault="00E84649" w:rsidP="00E3399B">
            <w:pPr>
              <w:pStyle w:val="BodyText2"/>
              <w:spacing w:line="276" w:lineRule="auto"/>
              <w:jc w:val="both"/>
              <w:rPr>
                <w:rFonts w:ascii="Times New Roman" w:hAnsi="Times New Roman"/>
              </w:rPr>
            </w:pPr>
            <w:r>
              <w:rPr>
                <w:rFonts w:ascii="Times New Roman" w:hAnsi="Times New Roman"/>
              </w:rPr>
              <w:t>Great progress has been</w:t>
            </w:r>
            <w:r w:rsidR="00C86489" w:rsidRPr="009F476B">
              <w:rPr>
                <w:rFonts w:ascii="Times New Roman" w:hAnsi="Times New Roman"/>
              </w:rPr>
              <w:t xml:space="preserve"> achieved in defusing </w:t>
            </w:r>
            <w:r w:rsidR="00131542" w:rsidRPr="009F476B">
              <w:rPr>
                <w:rFonts w:ascii="Times New Roman" w:hAnsi="Times New Roman"/>
              </w:rPr>
              <w:t xml:space="preserve">localized conflicts between specific disputing parties, </w:t>
            </w:r>
            <w:r w:rsidR="00C86489" w:rsidRPr="009F476B">
              <w:rPr>
                <w:rFonts w:ascii="Times New Roman" w:hAnsi="Times New Roman"/>
              </w:rPr>
              <w:t xml:space="preserve">which </w:t>
            </w:r>
            <w:r w:rsidR="00131542" w:rsidRPr="009F476B">
              <w:rPr>
                <w:rFonts w:ascii="Times New Roman" w:hAnsi="Times New Roman"/>
              </w:rPr>
              <w:t xml:space="preserve">led to local ceasefire agreements </w:t>
            </w:r>
            <w:r w:rsidR="006D2F57">
              <w:rPr>
                <w:rFonts w:ascii="Times New Roman" w:hAnsi="Times New Roman"/>
              </w:rPr>
              <w:t>and</w:t>
            </w:r>
            <w:r w:rsidR="00131542" w:rsidRPr="009F476B">
              <w:rPr>
                <w:rFonts w:ascii="Times New Roman" w:hAnsi="Times New Roman"/>
              </w:rPr>
              <w:t xml:space="preserve"> willingness to resolve disputes through dialogue processes. Some communities, especially those who have been displaced , have come together, after several rounds of talks </w:t>
            </w:r>
            <w:r w:rsidR="006D2F57">
              <w:rPr>
                <w:rFonts w:ascii="Times New Roman" w:hAnsi="Times New Roman"/>
              </w:rPr>
              <w:t>and</w:t>
            </w:r>
            <w:r w:rsidR="00131542" w:rsidRPr="009F476B">
              <w:rPr>
                <w:rFonts w:ascii="Times New Roman" w:hAnsi="Times New Roman"/>
              </w:rPr>
              <w:t xml:space="preserve"> confidence building efforts, </w:t>
            </w:r>
            <w:r>
              <w:rPr>
                <w:rFonts w:ascii="Times New Roman" w:hAnsi="Times New Roman"/>
              </w:rPr>
              <w:t xml:space="preserve">and </w:t>
            </w:r>
            <w:r w:rsidR="009847F2">
              <w:rPr>
                <w:rFonts w:ascii="Times New Roman" w:hAnsi="Times New Roman"/>
              </w:rPr>
              <w:t xml:space="preserve">a </w:t>
            </w:r>
            <w:r w:rsidR="00C86489" w:rsidRPr="009F476B">
              <w:rPr>
                <w:rFonts w:ascii="Times New Roman" w:hAnsi="Times New Roman"/>
              </w:rPr>
              <w:t xml:space="preserve">signed roadmap agreement for the return of IDPs and reparation arrangements. </w:t>
            </w:r>
            <w:r w:rsidR="00131542" w:rsidRPr="009F476B">
              <w:rPr>
                <w:rFonts w:ascii="Times New Roman" w:hAnsi="Times New Roman"/>
              </w:rPr>
              <w:t>UNDP</w:t>
            </w:r>
            <w:r w:rsidR="00C86489" w:rsidRPr="009F476B">
              <w:rPr>
                <w:rFonts w:ascii="Times New Roman" w:hAnsi="Times New Roman"/>
              </w:rPr>
              <w:t xml:space="preserve">’s Transitional Justice </w:t>
            </w:r>
            <w:r w:rsidR="00F574B6">
              <w:rPr>
                <w:rFonts w:ascii="Times New Roman" w:hAnsi="Times New Roman"/>
              </w:rPr>
              <w:t xml:space="preserve">programme </w:t>
            </w:r>
            <w:r w:rsidR="00131542" w:rsidRPr="009F476B">
              <w:rPr>
                <w:rFonts w:ascii="Times New Roman" w:hAnsi="Times New Roman"/>
              </w:rPr>
              <w:t xml:space="preserve">helped to facilitate dialogue between Misrata </w:t>
            </w:r>
            <w:r w:rsidR="00131542" w:rsidRPr="009F476B">
              <w:rPr>
                <w:rFonts w:ascii="Times New Roman" w:hAnsi="Times New Roman"/>
              </w:rPr>
              <w:lastRenderedPageBreak/>
              <w:t>and Tawergha</w:t>
            </w:r>
            <w:r w:rsidR="009847F2">
              <w:rPr>
                <w:rFonts w:ascii="Times New Roman" w:hAnsi="Times New Roman"/>
              </w:rPr>
              <w:t>,</w:t>
            </w:r>
            <w:r w:rsidR="00131542" w:rsidRPr="009F476B">
              <w:rPr>
                <w:rFonts w:ascii="Times New Roman" w:hAnsi="Times New Roman"/>
              </w:rPr>
              <w:t xml:space="preserve"> which led to an agreement to </w:t>
            </w:r>
            <w:r w:rsidR="00F574B6" w:rsidRPr="009F476B">
              <w:rPr>
                <w:rFonts w:ascii="Times New Roman" w:hAnsi="Times New Roman"/>
              </w:rPr>
              <w:t>enter</w:t>
            </w:r>
            <w:r w:rsidR="00131542" w:rsidRPr="009F476B">
              <w:rPr>
                <w:rFonts w:ascii="Times New Roman" w:hAnsi="Times New Roman"/>
              </w:rPr>
              <w:t xml:space="preserve"> negotiations on implementing the right of voluntary return of the</w:t>
            </w:r>
            <w:r w:rsidR="00C86489" w:rsidRPr="009F476B">
              <w:rPr>
                <w:rFonts w:ascii="Times New Roman" w:hAnsi="Times New Roman"/>
              </w:rPr>
              <w:t xml:space="preserve"> Tawerghans to Misrata. </w:t>
            </w:r>
            <w:r>
              <w:rPr>
                <w:rFonts w:ascii="Times New Roman" w:hAnsi="Times New Roman"/>
              </w:rPr>
              <w:t xml:space="preserve">Though this has not yet produced results at </w:t>
            </w:r>
            <w:r w:rsidR="009847F2">
              <w:rPr>
                <w:rFonts w:ascii="Times New Roman" w:hAnsi="Times New Roman"/>
              </w:rPr>
              <w:t xml:space="preserve">the </w:t>
            </w:r>
            <w:r>
              <w:rPr>
                <w:rFonts w:ascii="Times New Roman" w:hAnsi="Times New Roman"/>
              </w:rPr>
              <w:t>outcome level</w:t>
            </w:r>
            <w:r w:rsidR="00131542" w:rsidRPr="009F476B">
              <w:rPr>
                <w:rFonts w:ascii="Times New Roman" w:hAnsi="Times New Roman"/>
              </w:rPr>
              <w:t>, UNDP will focus</w:t>
            </w:r>
            <w:r w:rsidR="009847F2">
              <w:rPr>
                <w:rFonts w:ascii="Times New Roman" w:hAnsi="Times New Roman"/>
              </w:rPr>
              <w:t xml:space="preserve"> </w:t>
            </w:r>
            <w:r w:rsidR="00131542" w:rsidRPr="009F476B">
              <w:rPr>
                <w:rFonts w:ascii="Times New Roman" w:hAnsi="Times New Roman"/>
              </w:rPr>
              <w:t xml:space="preserve"> on creating an enabling environment to promote safety and security for returning populations, addressing gender inequalities and empowering women while working on national rec</w:t>
            </w:r>
            <w:r w:rsidR="006913C9" w:rsidRPr="009F476B">
              <w:rPr>
                <w:rFonts w:ascii="Times New Roman" w:hAnsi="Times New Roman"/>
              </w:rPr>
              <w:t xml:space="preserve">onciliation at the local level. </w:t>
            </w:r>
          </w:p>
          <w:p w14:paraId="428B4F4A" w14:textId="77777777" w:rsidR="00131542" w:rsidRPr="009F476B" w:rsidRDefault="00131542" w:rsidP="00E3399B">
            <w:pPr>
              <w:pStyle w:val="BodyText2"/>
              <w:spacing w:line="276" w:lineRule="auto"/>
              <w:jc w:val="both"/>
              <w:rPr>
                <w:rFonts w:ascii="Times New Roman" w:hAnsi="Times New Roman"/>
              </w:rPr>
            </w:pPr>
          </w:p>
          <w:p w14:paraId="756DAD62" w14:textId="75D3A1A1" w:rsidR="00760125" w:rsidRDefault="00D75E51" w:rsidP="00E3399B">
            <w:pPr>
              <w:pStyle w:val="BodyText2"/>
              <w:spacing w:line="276" w:lineRule="auto"/>
              <w:jc w:val="both"/>
              <w:rPr>
                <w:rFonts w:ascii="Times New Roman" w:hAnsi="Times New Roman"/>
              </w:rPr>
            </w:pPr>
            <w:r w:rsidRPr="009F476B">
              <w:rPr>
                <w:rFonts w:ascii="Times New Roman" w:hAnsi="Times New Roman"/>
              </w:rPr>
              <w:t xml:space="preserve">UNDP contributed </w:t>
            </w:r>
            <w:r w:rsidR="00760125">
              <w:rPr>
                <w:rFonts w:ascii="Times New Roman" w:hAnsi="Times New Roman"/>
              </w:rPr>
              <w:t xml:space="preserve">to </w:t>
            </w:r>
            <w:r w:rsidRPr="009F476B">
              <w:rPr>
                <w:rFonts w:ascii="Times New Roman" w:hAnsi="Times New Roman"/>
              </w:rPr>
              <w:t xml:space="preserve">CPD indicator </w:t>
            </w:r>
            <w:r w:rsidR="00760125">
              <w:rPr>
                <w:rFonts w:ascii="Times New Roman" w:hAnsi="Times New Roman"/>
              </w:rPr>
              <w:t xml:space="preserve"># </w:t>
            </w:r>
            <w:r w:rsidRPr="009F476B">
              <w:rPr>
                <w:rFonts w:ascii="Times New Roman" w:hAnsi="Times New Roman"/>
              </w:rPr>
              <w:t xml:space="preserve">3 </w:t>
            </w:r>
            <w:r w:rsidR="002C1A29">
              <w:rPr>
                <w:rFonts w:ascii="Times New Roman" w:hAnsi="Times New Roman"/>
              </w:rPr>
              <w:t>(the</w:t>
            </w:r>
            <w:r w:rsidR="00760125">
              <w:rPr>
                <w:rFonts w:ascii="Times New Roman" w:hAnsi="Times New Roman"/>
              </w:rPr>
              <w:t xml:space="preserve"> </w:t>
            </w:r>
            <w:r w:rsidRPr="009F476B">
              <w:rPr>
                <w:rFonts w:ascii="Times New Roman" w:hAnsi="Times New Roman"/>
              </w:rPr>
              <w:t xml:space="preserve">implementation of different national reconciliation </w:t>
            </w:r>
            <w:r w:rsidR="00760125">
              <w:rPr>
                <w:rFonts w:ascii="Times New Roman" w:hAnsi="Times New Roman"/>
              </w:rPr>
              <w:t xml:space="preserve">and </w:t>
            </w:r>
            <w:r w:rsidR="006913C9" w:rsidRPr="009F476B">
              <w:rPr>
                <w:rFonts w:ascii="Times New Roman" w:hAnsi="Times New Roman"/>
              </w:rPr>
              <w:t>transitional</w:t>
            </w:r>
            <w:r w:rsidRPr="009F476B">
              <w:rPr>
                <w:rFonts w:ascii="Times New Roman" w:hAnsi="Times New Roman"/>
              </w:rPr>
              <w:t xml:space="preserve"> justice)</w:t>
            </w:r>
            <w:r w:rsidR="00760125">
              <w:rPr>
                <w:rFonts w:ascii="Times New Roman" w:hAnsi="Times New Roman"/>
              </w:rPr>
              <w:t xml:space="preserve"> and </w:t>
            </w:r>
            <w:r w:rsidRPr="009F476B">
              <w:rPr>
                <w:rFonts w:ascii="Times New Roman" w:hAnsi="Times New Roman"/>
              </w:rPr>
              <w:t xml:space="preserve">to the SP indicator 3.4 </w:t>
            </w:r>
            <w:r w:rsidR="00760125">
              <w:rPr>
                <w:rFonts w:ascii="Times New Roman" w:hAnsi="Times New Roman"/>
              </w:rPr>
              <w:t>“</w:t>
            </w:r>
            <w:r w:rsidRPr="009F476B">
              <w:rPr>
                <w:rFonts w:ascii="Times New Roman" w:hAnsi="Times New Roman"/>
              </w:rPr>
              <w:t>functions, financing and capacity of rule of law institutions enabled, including to improve access to justice</w:t>
            </w:r>
            <w:r w:rsidR="00760125">
              <w:rPr>
                <w:rFonts w:ascii="Times New Roman" w:hAnsi="Times New Roman"/>
              </w:rPr>
              <w:t>”</w:t>
            </w:r>
          </w:p>
          <w:p w14:paraId="0BA19133" w14:textId="77777777" w:rsidR="00760125" w:rsidRDefault="00760125" w:rsidP="00E3399B">
            <w:pPr>
              <w:pStyle w:val="BodyText2"/>
              <w:spacing w:line="276" w:lineRule="auto"/>
              <w:jc w:val="both"/>
              <w:rPr>
                <w:rFonts w:ascii="Times New Roman" w:hAnsi="Times New Roman"/>
              </w:rPr>
            </w:pPr>
          </w:p>
          <w:p w14:paraId="102C403F" w14:textId="0B6F9CFE" w:rsidR="002C578B" w:rsidRPr="009F476B" w:rsidRDefault="00D75E51" w:rsidP="00760125">
            <w:pPr>
              <w:pStyle w:val="BodyText2"/>
              <w:spacing w:line="276" w:lineRule="auto"/>
              <w:jc w:val="both"/>
              <w:rPr>
                <w:rFonts w:ascii="Times New Roman" w:hAnsi="Times New Roman"/>
              </w:rPr>
            </w:pPr>
            <w:r w:rsidRPr="009F476B">
              <w:rPr>
                <w:rFonts w:ascii="Times New Roman" w:hAnsi="Times New Roman"/>
              </w:rPr>
              <w:t xml:space="preserve">The facilitation work of the </w:t>
            </w:r>
            <w:r w:rsidR="00760125">
              <w:rPr>
                <w:rFonts w:ascii="Times New Roman" w:hAnsi="Times New Roman"/>
              </w:rPr>
              <w:t xml:space="preserve">transitional Justice </w:t>
            </w:r>
            <w:r w:rsidRPr="009F476B">
              <w:rPr>
                <w:rFonts w:ascii="Times New Roman" w:hAnsi="Times New Roman"/>
              </w:rPr>
              <w:t xml:space="preserve">process at local level </w:t>
            </w:r>
            <w:r w:rsidR="002C1A29">
              <w:rPr>
                <w:rFonts w:ascii="Times New Roman" w:hAnsi="Times New Roman"/>
              </w:rPr>
              <w:t xml:space="preserve">was </w:t>
            </w:r>
            <w:r w:rsidR="002C1A29" w:rsidRPr="009F476B">
              <w:rPr>
                <w:rFonts w:ascii="Times New Roman" w:hAnsi="Times New Roman"/>
              </w:rPr>
              <w:t>limited</w:t>
            </w:r>
            <w:r w:rsidRPr="009F476B">
              <w:rPr>
                <w:rFonts w:ascii="Times New Roman" w:hAnsi="Times New Roman"/>
              </w:rPr>
              <w:t xml:space="preserve"> </w:t>
            </w:r>
            <w:r w:rsidR="00F574B6" w:rsidRPr="009F476B">
              <w:rPr>
                <w:rFonts w:ascii="Times New Roman" w:hAnsi="Times New Roman"/>
              </w:rPr>
              <w:t>to targeted</w:t>
            </w:r>
            <w:r w:rsidRPr="009F476B">
              <w:rPr>
                <w:rFonts w:ascii="Times New Roman" w:hAnsi="Times New Roman"/>
              </w:rPr>
              <w:t xml:space="preserve"> communities of Misrata/Tawergha</w:t>
            </w:r>
            <w:r w:rsidR="00760125">
              <w:rPr>
                <w:rFonts w:ascii="Times New Roman" w:hAnsi="Times New Roman"/>
              </w:rPr>
              <w:t>. However,</w:t>
            </w:r>
            <w:r w:rsidR="00F574B6" w:rsidRPr="009F476B">
              <w:rPr>
                <w:rFonts w:ascii="Times New Roman" w:hAnsi="Times New Roman"/>
              </w:rPr>
              <w:t xml:space="preserve"> the</w:t>
            </w:r>
            <w:r w:rsidRPr="009F476B">
              <w:rPr>
                <w:rFonts w:ascii="Times New Roman" w:hAnsi="Times New Roman"/>
              </w:rPr>
              <w:t xml:space="preserve"> objective </w:t>
            </w:r>
            <w:r w:rsidR="00760125">
              <w:rPr>
                <w:rFonts w:ascii="Times New Roman" w:hAnsi="Times New Roman"/>
              </w:rPr>
              <w:t xml:space="preserve">is </w:t>
            </w:r>
            <w:r w:rsidRPr="009F476B">
              <w:rPr>
                <w:rFonts w:ascii="Times New Roman" w:hAnsi="Times New Roman"/>
              </w:rPr>
              <w:t>to replicate the approach in other communities</w:t>
            </w:r>
            <w:r w:rsidR="00760125">
              <w:rPr>
                <w:rFonts w:ascii="Times New Roman" w:hAnsi="Times New Roman"/>
              </w:rPr>
              <w:t xml:space="preserve"> in Libya. </w:t>
            </w:r>
            <w:r w:rsidRPr="009F476B">
              <w:rPr>
                <w:rFonts w:ascii="Times New Roman" w:hAnsi="Times New Roman"/>
              </w:rPr>
              <w:t xml:space="preserve"> </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4993"/>
              <w:gridCol w:w="6043"/>
            </w:tblGrid>
            <w:tr w:rsidR="0007015C" w:rsidRPr="009F476B" w14:paraId="6A411891" w14:textId="77777777" w:rsidTr="002C578B">
              <w:tc>
                <w:tcPr>
                  <w:tcW w:w="3970" w:type="dxa"/>
                </w:tcPr>
                <w:p w14:paraId="0CA9583A" w14:textId="77777777" w:rsidR="0007015C" w:rsidRPr="009F476B" w:rsidRDefault="0007015C" w:rsidP="0007015C">
                  <w:pPr>
                    <w:pStyle w:val="BodyText2"/>
                    <w:spacing w:line="276" w:lineRule="auto"/>
                    <w:jc w:val="both"/>
                    <w:rPr>
                      <w:rFonts w:ascii="Times New Roman" w:hAnsi="Times New Roman"/>
                      <w:b/>
                    </w:rPr>
                  </w:pPr>
                  <w:r w:rsidRPr="009F476B">
                    <w:rPr>
                      <w:rFonts w:ascii="Times New Roman" w:hAnsi="Times New Roman"/>
                      <w:b/>
                    </w:rPr>
                    <w:t>Outcomes</w:t>
                  </w:r>
                </w:p>
              </w:tc>
              <w:tc>
                <w:tcPr>
                  <w:tcW w:w="4993" w:type="dxa"/>
                  <w:shd w:val="clear" w:color="auto" w:fill="auto"/>
                </w:tcPr>
                <w:p w14:paraId="57AA6A68" w14:textId="77777777" w:rsidR="0007015C" w:rsidRPr="009F476B" w:rsidRDefault="0007015C" w:rsidP="0007015C">
                  <w:pPr>
                    <w:pStyle w:val="BodyText2"/>
                    <w:spacing w:line="276" w:lineRule="auto"/>
                    <w:jc w:val="both"/>
                    <w:rPr>
                      <w:rFonts w:ascii="Times New Roman" w:hAnsi="Times New Roman"/>
                      <w:b/>
                    </w:rPr>
                  </w:pPr>
                  <w:r w:rsidRPr="009F476B">
                    <w:rPr>
                      <w:rFonts w:ascii="Times New Roman" w:hAnsi="Times New Roman"/>
                      <w:b/>
                    </w:rPr>
                    <w:t>Key Indicators of outcome (1-4 per outcome)</w:t>
                  </w:r>
                </w:p>
              </w:tc>
              <w:tc>
                <w:tcPr>
                  <w:tcW w:w="6043" w:type="dxa"/>
                </w:tcPr>
                <w:p w14:paraId="3FC1009B" w14:textId="77777777" w:rsidR="0007015C" w:rsidRPr="009F476B" w:rsidRDefault="0007015C" w:rsidP="0007015C">
                  <w:pPr>
                    <w:pStyle w:val="BodyText2"/>
                    <w:spacing w:line="276" w:lineRule="auto"/>
                    <w:jc w:val="both"/>
                    <w:rPr>
                      <w:rFonts w:ascii="Times New Roman" w:hAnsi="Times New Roman"/>
                      <w:b/>
                    </w:rPr>
                  </w:pPr>
                  <w:r w:rsidRPr="009F476B">
                    <w:rPr>
                      <w:rFonts w:ascii="Times New Roman" w:hAnsi="Times New Roman"/>
                      <w:b/>
                    </w:rPr>
                    <w:t>Progress made against key indicators</w:t>
                  </w:r>
                </w:p>
              </w:tc>
            </w:tr>
          </w:tbl>
          <w:p w14:paraId="5E585FD8" w14:textId="77777777" w:rsidR="00D75E51" w:rsidRPr="009F476B" w:rsidRDefault="00D75E51" w:rsidP="00E3399B">
            <w:pPr>
              <w:pStyle w:val="BodyText2"/>
              <w:spacing w:line="276" w:lineRule="auto"/>
              <w:jc w:val="both"/>
              <w:rPr>
                <w:rFonts w:ascii="Times New Roman" w:hAnsi="Times New Roman"/>
                <w:u w:val="single"/>
              </w:rPr>
            </w:pPr>
          </w:p>
        </w:tc>
      </w:tr>
      <w:bookmarkEnd w:id="3"/>
      <w:tr w:rsidR="0007015C" w:rsidRPr="009F476B" w14:paraId="2694C815" w14:textId="77777777" w:rsidTr="002E79B0">
        <w:tc>
          <w:tcPr>
            <w:tcW w:w="3918" w:type="dxa"/>
            <w:gridSpan w:val="2"/>
            <w:shd w:val="clear" w:color="auto" w:fill="95B3D7"/>
          </w:tcPr>
          <w:p w14:paraId="6718CC4E" w14:textId="77777777" w:rsidR="0007015C" w:rsidRPr="009F476B" w:rsidRDefault="0007015C" w:rsidP="00E3399B">
            <w:pPr>
              <w:widowControl/>
              <w:autoSpaceDE w:val="0"/>
              <w:autoSpaceDN w:val="0"/>
              <w:adjustRightInd w:val="0"/>
              <w:spacing w:line="276" w:lineRule="auto"/>
              <w:jc w:val="both"/>
              <w:rPr>
                <w:b/>
                <w:bCs/>
                <w:sz w:val="20"/>
                <w:lang w:val="en-GB" w:eastAsia="en-GB"/>
              </w:rPr>
            </w:pPr>
            <w:r w:rsidRPr="009F476B">
              <w:rPr>
                <w:b/>
                <w:bCs/>
                <w:sz w:val="20"/>
                <w:lang w:val="en-GB" w:eastAsia="en-GB"/>
              </w:rPr>
              <w:lastRenderedPageBreak/>
              <w:t>Outcome 4. Livelihoods opportunities and economic recovery are enhanced</w:t>
            </w:r>
          </w:p>
          <w:p w14:paraId="3D62AE91" w14:textId="77777777" w:rsidR="0007015C" w:rsidRPr="009F476B" w:rsidRDefault="0007015C" w:rsidP="00E3399B">
            <w:pPr>
              <w:pStyle w:val="BodyText2"/>
              <w:spacing w:line="276" w:lineRule="auto"/>
              <w:jc w:val="both"/>
              <w:rPr>
                <w:rFonts w:ascii="Times New Roman" w:hAnsi="Times New Roman"/>
              </w:rPr>
            </w:pPr>
            <w:r w:rsidRPr="009F476B">
              <w:rPr>
                <w:rFonts w:ascii="Times New Roman" w:hAnsi="Times New Roman"/>
                <w:b/>
                <w:bCs/>
                <w:lang w:val="en-GB" w:eastAsia="en-GB"/>
              </w:rPr>
              <w:t>for durable social reintegration, peace and stability.</w:t>
            </w:r>
          </w:p>
          <w:p w14:paraId="0DCFCF8A" w14:textId="77777777" w:rsidR="0007015C" w:rsidRPr="009F476B" w:rsidRDefault="0007015C" w:rsidP="00E3399B">
            <w:pPr>
              <w:widowControl/>
              <w:autoSpaceDE w:val="0"/>
              <w:autoSpaceDN w:val="0"/>
              <w:adjustRightInd w:val="0"/>
              <w:spacing w:line="276" w:lineRule="auto"/>
              <w:jc w:val="both"/>
              <w:rPr>
                <w:b/>
                <w:sz w:val="20"/>
              </w:rPr>
            </w:pPr>
          </w:p>
          <w:p w14:paraId="785992F5" w14:textId="77777777" w:rsidR="0007015C" w:rsidRPr="009F476B" w:rsidRDefault="0007015C" w:rsidP="00E3399B">
            <w:pPr>
              <w:pStyle w:val="BodyText2"/>
              <w:spacing w:line="276" w:lineRule="auto"/>
              <w:jc w:val="both"/>
              <w:rPr>
                <w:rFonts w:ascii="Times New Roman" w:hAnsi="Times New Roman"/>
                <w:b/>
              </w:rPr>
            </w:pPr>
          </w:p>
        </w:tc>
        <w:tc>
          <w:tcPr>
            <w:tcW w:w="4632" w:type="dxa"/>
            <w:shd w:val="clear" w:color="auto" w:fill="auto"/>
          </w:tcPr>
          <w:p w14:paraId="1F67B931" w14:textId="77777777" w:rsidR="0007015C" w:rsidRPr="009F476B" w:rsidRDefault="0007015C" w:rsidP="00E3399B">
            <w:pPr>
              <w:widowControl/>
              <w:numPr>
                <w:ilvl w:val="0"/>
                <w:numId w:val="24"/>
              </w:numPr>
              <w:autoSpaceDE w:val="0"/>
              <w:autoSpaceDN w:val="0"/>
              <w:adjustRightInd w:val="0"/>
              <w:spacing w:line="276" w:lineRule="auto"/>
              <w:jc w:val="both"/>
              <w:rPr>
                <w:sz w:val="20"/>
                <w:lang w:val="en-GB" w:eastAsia="en-GB"/>
              </w:rPr>
            </w:pPr>
            <w:r w:rsidRPr="009F476B">
              <w:rPr>
                <w:sz w:val="20"/>
                <w:lang w:val="en-GB" w:eastAsia="en-GB"/>
              </w:rPr>
              <w:t>Number of direct beneficiaries, including conflict-affected community members and marginalized groups such as IDPs, youth and women</w:t>
            </w:r>
            <w:r>
              <w:rPr>
                <w:sz w:val="20"/>
                <w:lang w:val="en-GB" w:eastAsia="en-GB"/>
              </w:rPr>
              <w:t>, who</w:t>
            </w:r>
            <w:r w:rsidRPr="009F476B">
              <w:rPr>
                <w:sz w:val="20"/>
                <w:lang w:val="en-GB" w:eastAsia="en-GB"/>
              </w:rPr>
              <w:t xml:space="preserve"> are provided with income-generation opportunities </w:t>
            </w:r>
          </w:p>
          <w:p w14:paraId="69384DC3" w14:textId="77777777" w:rsidR="0007015C" w:rsidRPr="009F476B" w:rsidRDefault="0007015C" w:rsidP="00E3399B">
            <w:pPr>
              <w:widowControl/>
              <w:autoSpaceDE w:val="0"/>
              <w:autoSpaceDN w:val="0"/>
              <w:adjustRightInd w:val="0"/>
              <w:spacing w:line="276" w:lineRule="auto"/>
              <w:jc w:val="both"/>
              <w:rPr>
                <w:sz w:val="20"/>
                <w:lang w:val="en-GB" w:eastAsia="en-GB"/>
              </w:rPr>
            </w:pPr>
          </w:p>
          <w:p w14:paraId="300C1E30" w14:textId="77777777" w:rsidR="0007015C" w:rsidRPr="009F476B" w:rsidRDefault="0007015C" w:rsidP="00E3399B">
            <w:pPr>
              <w:pStyle w:val="BodyText2"/>
              <w:spacing w:line="276" w:lineRule="auto"/>
              <w:jc w:val="both"/>
              <w:rPr>
                <w:rFonts w:ascii="Times New Roman" w:hAnsi="Times New Roman"/>
              </w:rPr>
            </w:pPr>
          </w:p>
        </w:tc>
        <w:tc>
          <w:tcPr>
            <w:tcW w:w="5490" w:type="dxa"/>
            <w:shd w:val="clear" w:color="auto" w:fill="auto"/>
          </w:tcPr>
          <w:p w14:paraId="5BEEE3F0" w14:textId="77777777" w:rsidR="0007015C" w:rsidRPr="009F476B" w:rsidRDefault="0007015C" w:rsidP="00E3399B">
            <w:pPr>
              <w:widowControl/>
              <w:numPr>
                <w:ilvl w:val="0"/>
                <w:numId w:val="25"/>
              </w:numPr>
              <w:autoSpaceDE w:val="0"/>
              <w:autoSpaceDN w:val="0"/>
              <w:adjustRightInd w:val="0"/>
              <w:spacing w:line="276" w:lineRule="auto"/>
              <w:jc w:val="both"/>
              <w:rPr>
                <w:sz w:val="20"/>
                <w:lang w:val="en-GB" w:eastAsia="en-GB"/>
              </w:rPr>
            </w:pPr>
            <w:r w:rsidRPr="009F476B">
              <w:rPr>
                <w:sz w:val="20"/>
                <w:lang w:val="en-GB" w:eastAsia="en-GB"/>
              </w:rPr>
              <w:t xml:space="preserve">Libyans were not </w:t>
            </w:r>
            <w:r>
              <w:rPr>
                <w:sz w:val="20"/>
                <w:lang w:val="en-GB" w:eastAsia="en-GB"/>
              </w:rPr>
              <w:t xml:space="preserve">yet </w:t>
            </w:r>
            <w:r w:rsidRPr="009F476B">
              <w:rPr>
                <w:sz w:val="20"/>
                <w:lang w:val="en-GB" w:eastAsia="en-GB"/>
              </w:rPr>
              <w:t>provided with income-generation opportunities</w:t>
            </w:r>
          </w:p>
          <w:p w14:paraId="76AB597B" w14:textId="77777777" w:rsidR="0007015C" w:rsidRPr="009F476B" w:rsidRDefault="0007015C" w:rsidP="00E3399B">
            <w:pPr>
              <w:pStyle w:val="BodyText2"/>
              <w:spacing w:line="276" w:lineRule="auto"/>
              <w:jc w:val="both"/>
              <w:rPr>
                <w:rFonts w:ascii="Times New Roman" w:hAnsi="Times New Roman"/>
                <w:lang w:val="en-GB"/>
              </w:rPr>
            </w:pPr>
          </w:p>
        </w:tc>
      </w:tr>
      <w:tr w:rsidR="00412FDA" w:rsidRPr="009F476B" w14:paraId="2FE9CB78" w14:textId="77777777" w:rsidTr="00E20FCD">
        <w:tc>
          <w:tcPr>
            <w:tcW w:w="14040" w:type="dxa"/>
            <w:gridSpan w:val="4"/>
          </w:tcPr>
          <w:p w14:paraId="34CCA5F8" w14:textId="77777777" w:rsidR="00412FDA" w:rsidRPr="009F476B" w:rsidRDefault="00412FDA" w:rsidP="00E3399B">
            <w:pPr>
              <w:pStyle w:val="BodyText2"/>
              <w:spacing w:line="276" w:lineRule="auto"/>
              <w:jc w:val="both"/>
              <w:rPr>
                <w:rFonts w:ascii="Times New Roman" w:hAnsi="Times New Roman"/>
                <w:b/>
              </w:rPr>
            </w:pPr>
            <w:r w:rsidRPr="009F476B">
              <w:rPr>
                <w:rFonts w:ascii="Times New Roman" w:hAnsi="Times New Roman"/>
                <w:b/>
              </w:rPr>
              <w:t>UNDP Contribution:</w:t>
            </w:r>
          </w:p>
          <w:p w14:paraId="2A07FADB" w14:textId="3E86865A" w:rsidR="00412FDA" w:rsidRPr="009F476B" w:rsidRDefault="000A4610" w:rsidP="00E3399B">
            <w:pPr>
              <w:widowControl/>
              <w:autoSpaceDE w:val="0"/>
              <w:autoSpaceDN w:val="0"/>
              <w:adjustRightInd w:val="0"/>
              <w:spacing w:line="276" w:lineRule="auto"/>
              <w:jc w:val="both"/>
              <w:rPr>
                <w:b/>
                <w:sz w:val="20"/>
              </w:rPr>
            </w:pPr>
            <w:r w:rsidRPr="009F476B">
              <w:rPr>
                <w:sz w:val="20"/>
                <w:lang w:val="en-GB" w:eastAsia="en-GB"/>
              </w:rPr>
              <w:t xml:space="preserve">UNDP provided support in </w:t>
            </w:r>
            <w:r w:rsidR="00B417FC" w:rsidRPr="009F476B">
              <w:rPr>
                <w:sz w:val="20"/>
                <w:lang w:val="en-GB" w:eastAsia="en-GB"/>
              </w:rPr>
              <w:t xml:space="preserve">coordination with UNSMIL, </w:t>
            </w:r>
            <w:r w:rsidRPr="009F476B">
              <w:rPr>
                <w:sz w:val="20"/>
                <w:lang w:val="en-GB" w:eastAsia="en-GB"/>
              </w:rPr>
              <w:t xml:space="preserve">to </w:t>
            </w:r>
            <w:r w:rsidR="00B417FC" w:rsidRPr="009F476B">
              <w:rPr>
                <w:sz w:val="20"/>
                <w:lang w:val="en-GB" w:eastAsia="en-GB"/>
              </w:rPr>
              <w:t>national counterparts for economic recovery.</w:t>
            </w:r>
          </w:p>
          <w:p w14:paraId="0F2F5C48" w14:textId="77777777" w:rsidR="00B417FC" w:rsidRPr="009F476B" w:rsidRDefault="00B417FC" w:rsidP="00E3399B">
            <w:pPr>
              <w:pStyle w:val="BodyText2"/>
              <w:spacing w:line="276" w:lineRule="auto"/>
              <w:jc w:val="both"/>
              <w:rPr>
                <w:rFonts w:ascii="Times New Roman" w:hAnsi="Times New Roman"/>
                <w:b/>
              </w:rPr>
            </w:pPr>
          </w:p>
          <w:p w14:paraId="26F3FCE4" w14:textId="77777777" w:rsidR="00412FDA" w:rsidRPr="009F476B" w:rsidRDefault="00412FDA" w:rsidP="00E3399B">
            <w:pPr>
              <w:pStyle w:val="BodyText2"/>
              <w:spacing w:line="276" w:lineRule="auto"/>
              <w:jc w:val="both"/>
              <w:rPr>
                <w:rFonts w:ascii="Times New Roman" w:hAnsi="Times New Roman"/>
                <w:u w:val="single"/>
              </w:rPr>
            </w:pPr>
            <w:r w:rsidRPr="009F476B">
              <w:rPr>
                <w:rFonts w:ascii="Times New Roman" w:hAnsi="Times New Roman"/>
                <w:u w:val="single"/>
              </w:rPr>
              <w:t>CP Outputs</w:t>
            </w:r>
          </w:p>
          <w:p w14:paraId="79397C49" w14:textId="77777777" w:rsidR="00184F02" w:rsidRPr="009F476B" w:rsidRDefault="00127E4D" w:rsidP="00E3399B">
            <w:pPr>
              <w:widowControl/>
              <w:autoSpaceDE w:val="0"/>
              <w:autoSpaceDN w:val="0"/>
              <w:adjustRightInd w:val="0"/>
              <w:spacing w:line="276" w:lineRule="auto"/>
              <w:jc w:val="both"/>
              <w:rPr>
                <w:sz w:val="20"/>
                <w:u w:val="single"/>
              </w:rPr>
            </w:pPr>
            <w:r w:rsidRPr="009F476B">
              <w:rPr>
                <w:b/>
                <w:bCs/>
                <w:sz w:val="20"/>
                <w:lang w:val="en-GB" w:eastAsia="en-GB"/>
              </w:rPr>
              <w:t xml:space="preserve">Output 1: </w:t>
            </w:r>
            <w:r w:rsidRPr="009F476B">
              <w:rPr>
                <w:sz w:val="20"/>
                <w:lang w:val="en-GB" w:eastAsia="en-GB"/>
              </w:rPr>
              <w:t>Institutional and socioeconomic capacities developed to promote socio-economic recovery for lasting peace and stability.</w:t>
            </w:r>
          </w:p>
          <w:p w14:paraId="2D61E4F9" w14:textId="77777777" w:rsidR="00127E4D" w:rsidRPr="009F476B" w:rsidRDefault="00127E4D" w:rsidP="00E3399B">
            <w:pPr>
              <w:pStyle w:val="BodyText2"/>
              <w:spacing w:line="276" w:lineRule="auto"/>
              <w:jc w:val="both"/>
              <w:rPr>
                <w:rFonts w:ascii="Times New Roman" w:hAnsi="Times New Roman"/>
                <w:u w:val="single"/>
              </w:rPr>
            </w:pPr>
          </w:p>
          <w:p w14:paraId="1F99E007" w14:textId="77777777" w:rsidR="006913C9" w:rsidRPr="009F476B" w:rsidRDefault="00412FDA" w:rsidP="00E3399B">
            <w:pPr>
              <w:pStyle w:val="BodyText2"/>
              <w:spacing w:line="276" w:lineRule="auto"/>
              <w:jc w:val="both"/>
              <w:rPr>
                <w:rFonts w:ascii="Times New Roman" w:hAnsi="Times New Roman"/>
                <w:u w:val="single"/>
              </w:rPr>
            </w:pPr>
            <w:r w:rsidRPr="009F476B">
              <w:rPr>
                <w:rFonts w:ascii="Times New Roman" w:hAnsi="Times New Roman"/>
                <w:u w:val="single"/>
              </w:rPr>
              <w:t>Progress and Achievements</w:t>
            </w:r>
          </w:p>
          <w:p w14:paraId="6D342F87" w14:textId="0C7CD0A3" w:rsidR="006913C9" w:rsidRPr="009F476B" w:rsidRDefault="006913C9" w:rsidP="00E3399B">
            <w:pPr>
              <w:widowControl/>
              <w:autoSpaceDE w:val="0"/>
              <w:autoSpaceDN w:val="0"/>
              <w:adjustRightInd w:val="0"/>
              <w:spacing w:line="276" w:lineRule="auto"/>
              <w:jc w:val="both"/>
              <w:rPr>
                <w:bCs/>
                <w:sz w:val="20"/>
              </w:rPr>
            </w:pPr>
            <w:r w:rsidRPr="009F476B">
              <w:rPr>
                <w:bCs/>
                <w:sz w:val="20"/>
              </w:rPr>
              <w:t xml:space="preserve">Post revolution Libya is mired in conflict and instability. The various post-uprising political groupings have struggled to reach a sustained political </w:t>
            </w:r>
            <w:r w:rsidR="009847F2">
              <w:rPr>
                <w:bCs/>
                <w:sz w:val="20"/>
              </w:rPr>
              <w:t xml:space="preserve">agreement leaving </w:t>
            </w:r>
            <w:r w:rsidRPr="009F476B">
              <w:rPr>
                <w:bCs/>
                <w:sz w:val="20"/>
              </w:rPr>
              <w:t>Libya in a state of turmoil. The subsequent conflict has severely impacted both the macro-</w:t>
            </w:r>
            <w:r w:rsidR="00E84649">
              <w:rPr>
                <w:bCs/>
                <w:sz w:val="20"/>
              </w:rPr>
              <w:t xml:space="preserve">economic </w:t>
            </w:r>
            <w:r w:rsidRPr="009F476B">
              <w:rPr>
                <w:bCs/>
                <w:sz w:val="20"/>
              </w:rPr>
              <w:t xml:space="preserve">stability of the country and the livelihood of the Libyan people. </w:t>
            </w:r>
          </w:p>
          <w:p w14:paraId="061036B9" w14:textId="77777777" w:rsidR="006913C9" w:rsidRPr="009F476B" w:rsidRDefault="006913C9" w:rsidP="00E3399B">
            <w:pPr>
              <w:widowControl/>
              <w:shd w:val="clear" w:color="auto" w:fill="FEFEFE"/>
              <w:spacing w:line="276" w:lineRule="auto"/>
              <w:jc w:val="both"/>
              <w:rPr>
                <w:color w:val="0A0A0A"/>
                <w:spacing w:val="8"/>
                <w:sz w:val="20"/>
                <w:lang w:val="en-GB" w:eastAsia="en-GB"/>
              </w:rPr>
            </w:pPr>
          </w:p>
          <w:p w14:paraId="3710013E" w14:textId="1F9B8A91" w:rsidR="00131542" w:rsidRPr="009F476B" w:rsidRDefault="006913C9" w:rsidP="00E3399B">
            <w:pPr>
              <w:spacing w:line="276" w:lineRule="auto"/>
              <w:jc w:val="both"/>
              <w:rPr>
                <w:sz w:val="20"/>
              </w:rPr>
            </w:pPr>
            <w:r w:rsidRPr="009F476B">
              <w:rPr>
                <w:sz w:val="20"/>
              </w:rPr>
              <w:t xml:space="preserve">Drawing lessons from the Resilience </w:t>
            </w:r>
            <w:r w:rsidR="00E84649">
              <w:rPr>
                <w:sz w:val="20"/>
              </w:rPr>
              <w:t>programme, UNDP scaled up its r</w:t>
            </w:r>
            <w:r w:rsidRPr="009F476B">
              <w:rPr>
                <w:sz w:val="20"/>
              </w:rPr>
              <w:t xml:space="preserve">esilience and recovery </w:t>
            </w:r>
            <w:r w:rsidR="009847F2">
              <w:rPr>
                <w:sz w:val="20"/>
              </w:rPr>
              <w:t>efforts</w:t>
            </w:r>
            <w:r w:rsidRPr="009F476B">
              <w:rPr>
                <w:sz w:val="20"/>
              </w:rPr>
              <w:t xml:space="preserve"> in Libya by expanding its support to </w:t>
            </w:r>
            <w:r w:rsidR="00E84649">
              <w:rPr>
                <w:sz w:val="20"/>
              </w:rPr>
              <w:t>at least</w:t>
            </w:r>
            <w:r w:rsidRPr="009F476B">
              <w:rPr>
                <w:sz w:val="20"/>
              </w:rPr>
              <w:t xml:space="preserve"> six municipalities. UNDP’</w:t>
            </w:r>
            <w:r w:rsidR="00E84649">
              <w:rPr>
                <w:sz w:val="20"/>
              </w:rPr>
              <w:t>s project ‘Strengthening Local C</w:t>
            </w:r>
            <w:r w:rsidRPr="009F476B">
              <w:rPr>
                <w:sz w:val="20"/>
              </w:rPr>
              <w:t xml:space="preserve">apacities for Resilience and Recovery’ is a three-year initiative aiming </w:t>
            </w:r>
            <w:r w:rsidR="00E84649">
              <w:rPr>
                <w:sz w:val="20"/>
              </w:rPr>
              <w:t xml:space="preserve">to help </w:t>
            </w:r>
            <w:r w:rsidRPr="009F476B">
              <w:rPr>
                <w:sz w:val="20"/>
              </w:rPr>
              <w:t xml:space="preserve">local authorities in Libya respond to </w:t>
            </w:r>
            <w:r w:rsidR="00E84649">
              <w:rPr>
                <w:sz w:val="20"/>
              </w:rPr>
              <w:t>conflict and human mobility-</w:t>
            </w:r>
            <w:r w:rsidRPr="009F476B">
              <w:rPr>
                <w:sz w:val="20"/>
              </w:rPr>
              <w:t xml:space="preserve">induced challenges that negatively </w:t>
            </w:r>
            <w:r w:rsidR="00E84649">
              <w:rPr>
                <w:sz w:val="20"/>
              </w:rPr>
              <w:t xml:space="preserve">affect </w:t>
            </w:r>
            <w:r w:rsidRPr="009F476B">
              <w:rPr>
                <w:sz w:val="20"/>
              </w:rPr>
              <w:t xml:space="preserve">people’s access to essential services, sources of jobs and livelihoods, </w:t>
            </w:r>
            <w:r w:rsidR="00E84649">
              <w:rPr>
                <w:sz w:val="20"/>
              </w:rPr>
              <w:t xml:space="preserve">and </w:t>
            </w:r>
            <w:r w:rsidRPr="009F476B">
              <w:rPr>
                <w:sz w:val="20"/>
              </w:rPr>
              <w:t xml:space="preserve">the social cohesion and security of communities. </w:t>
            </w:r>
            <w:r w:rsidR="00E84649">
              <w:rPr>
                <w:sz w:val="20"/>
              </w:rPr>
              <w:t xml:space="preserve">Focusing on </w:t>
            </w:r>
            <w:r w:rsidR="00E84649" w:rsidRPr="009F476B">
              <w:rPr>
                <w:sz w:val="20"/>
              </w:rPr>
              <w:t>strengthening local resil</w:t>
            </w:r>
            <w:r w:rsidR="00E84649">
              <w:rPr>
                <w:sz w:val="20"/>
              </w:rPr>
              <w:t>ience and recovery mechanisms, i</w:t>
            </w:r>
            <w:r w:rsidRPr="009F476B">
              <w:rPr>
                <w:sz w:val="20"/>
              </w:rPr>
              <w:t>t is being implemented by UNDP in tar</w:t>
            </w:r>
            <w:r w:rsidR="00920A99">
              <w:rPr>
                <w:sz w:val="20"/>
              </w:rPr>
              <w:t>geted municipalities: Murzuq, Se</w:t>
            </w:r>
            <w:r w:rsidRPr="009F476B">
              <w:rPr>
                <w:sz w:val="20"/>
              </w:rPr>
              <w:t xml:space="preserve">bha, </w:t>
            </w:r>
            <w:r w:rsidR="00920A99">
              <w:rPr>
                <w:sz w:val="20"/>
              </w:rPr>
              <w:t>Kufra</w:t>
            </w:r>
            <w:r w:rsidRPr="009F476B">
              <w:rPr>
                <w:sz w:val="20"/>
              </w:rPr>
              <w:t>,</w:t>
            </w:r>
            <w:r w:rsidR="00E84649">
              <w:rPr>
                <w:sz w:val="20"/>
              </w:rPr>
              <w:t xml:space="preserve"> Benghazi, Tripoli and Sabratha initially</w:t>
            </w:r>
            <w:r w:rsidRPr="009F476B">
              <w:rPr>
                <w:sz w:val="20"/>
              </w:rPr>
              <w:t xml:space="preserve">. </w:t>
            </w:r>
            <w:r w:rsidR="009847F2">
              <w:rPr>
                <w:sz w:val="20"/>
              </w:rPr>
              <w:t xml:space="preserve">UNDP’s support </w:t>
            </w:r>
            <w:r w:rsidR="00E84649">
              <w:rPr>
                <w:sz w:val="20"/>
              </w:rPr>
              <w:t>enables</w:t>
            </w:r>
            <w:r w:rsidR="00131542" w:rsidRPr="009F476B">
              <w:rPr>
                <w:sz w:val="20"/>
              </w:rPr>
              <w:t xml:space="preserve"> municipalities to provide timely services to beneficiaries</w:t>
            </w:r>
          </w:p>
          <w:p w14:paraId="7C0C7D8A" w14:textId="77777777" w:rsidR="00131542" w:rsidRPr="009F476B" w:rsidRDefault="00131542" w:rsidP="00E3399B">
            <w:pPr>
              <w:pStyle w:val="BodyText2"/>
              <w:spacing w:line="276" w:lineRule="auto"/>
              <w:jc w:val="both"/>
              <w:rPr>
                <w:rFonts w:ascii="Times New Roman" w:hAnsi="Times New Roman"/>
              </w:rPr>
            </w:pPr>
          </w:p>
          <w:p w14:paraId="0639050E" w14:textId="31625D64" w:rsidR="00D75E51" w:rsidRPr="009F476B" w:rsidRDefault="00920A99" w:rsidP="00E3399B">
            <w:pPr>
              <w:pStyle w:val="BodyText2"/>
              <w:spacing w:line="276" w:lineRule="auto"/>
              <w:jc w:val="both"/>
              <w:rPr>
                <w:rFonts w:ascii="Times New Roman" w:hAnsi="Times New Roman"/>
              </w:rPr>
            </w:pPr>
            <w:r>
              <w:rPr>
                <w:rFonts w:ascii="Times New Roman" w:hAnsi="Times New Roman"/>
              </w:rPr>
              <w:lastRenderedPageBreak/>
              <w:t>To contribute</w:t>
            </w:r>
            <w:r w:rsidR="00D03AD3" w:rsidRPr="009F476B">
              <w:rPr>
                <w:rFonts w:ascii="Times New Roman" w:hAnsi="Times New Roman"/>
              </w:rPr>
              <w:t xml:space="preserve"> </w:t>
            </w:r>
            <w:r w:rsidR="00D75E51" w:rsidRPr="009F476B">
              <w:rPr>
                <w:rFonts w:ascii="Times New Roman" w:hAnsi="Times New Roman"/>
              </w:rPr>
              <w:t>to job generation and crea</w:t>
            </w:r>
            <w:r>
              <w:rPr>
                <w:rFonts w:ascii="Times New Roman" w:hAnsi="Times New Roman"/>
              </w:rPr>
              <w:t xml:space="preserve">te economic opportunities, UNDP has reached an agreement </w:t>
            </w:r>
            <w:r w:rsidR="00D75E51" w:rsidRPr="009F476B">
              <w:rPr>
                <w:rFonts w:ascii="Times New Roman" w:hAnsi="Times New Roman"/>
              </w:rPr>
              <w:t xml:space="preserve">with Tatweer Research </w:t>
            </w:r>
            <w:r w:rsidR="00D03AD3" w:rsidRPr="009F476B">
              <w:rPr>
                <w:rFonts w:ascii="Times New Roman" w:hAnsi="Times New Roman"/>
              </w:rPr>
              <w:t xml:space="preserve">and Toyota </w:t>
            </w:r>
            <w:r w:rsidR="00D75E51" w:rsidRPr="009F476B">
              <w:rPr>
                <w:rFonts w:ascii="Times New Roman" w:hAnsi="Times New Roman"/>
              </w:rPr>
              <w:t>to partner and invest in the development of an entrepreneurial ecosystem in Liby</w:t>
            </w:r>
            <w:r w:rsidR="00321C13">
              <w:rPr>
                <w:rFonts w:ascii="Times New Roman" w:hAnsi="Times New Roman"/>
              </w:rPr>
              <w:t xml:space="preserve">a.  </w:t>
            </w:r>
            <w:r w:rsidR="00D75E51" w:rsidRPr="009F476B">
              <w:rPr>
                <w:rFonts w:ascii="Times New Roman" w:hAnsi="Times New Roman"/>
              </w:rPr>
              <w:t>With this, UNDP seeks to nurture the brightest young minds in Libya; incubating the ideas of ambitious home-grown entrepreneurs; and attracting international talent and investment that can help us lead the way in fields such as renewable energy, climate change, hea</w:t>
            </w:r>
            <w:r w:rsidR="00D03AD3" w:rsidRPr="009F476B">
              <w:rPr>
                <w:rFonts w:ascii="Times New Roman" w:hAnsi="Times New Roman"/>
              </w:rPr>
              <w:t xml:space="preserve">lthcare and financial services. </w:t>
            </w:r>
          </w:p>
          <w:p w14:paraId="5483AF8B" w14:textId="77777777" w:rsidR="004B4BD8" w:rsidRPr="009F476B" w:rsidRDefault="004B4BD8" w:rsidP="00E3399B">
            <w:pPr>
              <w:pStyle w:val="BodyText2"/>
              <w:spacing w:line="276" w:lineRule="auto"/>
              <w:jc w:val="both"/>
              <w:rPr>
                <w:rFonts w:ascii="Times New Roman" w:hAnsi="Times New Roman"/>
              </w:rPr>
            </w:pPr>
          </w:p>
          <w:p w14:paraId="5AF24FF2" w14:textId="1EFBA4C4" w:rsidR="00D75E51" w:rsidRDefault="00D75E51" w:rsidP="00E3399B">
            <w:pPr>
              <w:pStyle w:val="BodyText2"/>
              <w:spacing w:line="276" w:lineRule="auto"/>
              <w:jc w:val="both"/>
              <w:rPr>
                <w:rFonts w:ascii="Times New Roman" w:hAnsi="Times New Roman"/>
              </w:rPr>
            </w:pPr>
            <w:r w:rsidRPr="009F476B">
              <w:rPr>
                <w:rFonts w:ascii="Times New Roman" w:hAnsi="Times New Roman"/>
              </w:rPr>
              <w:t>UNDP</w:t>
            </w:r>
            <w:r w:rsidR="009847F2">
              <w:rPr>
                <w:rFonts w:ascii="Times New Roman" w:hAnsi="Times New Roman"/>
              </w:rPr>
              <w:t>’s</w:t>
            </w:r>
            <w:r w:rsidRPr="009F476B">
              <w:rPr>
                <w:rFonts w:ascii="Times New Roman" w:hAnsi="Times New Roman"/>
              </w:rPr>
              <w:t xml:space="preserve"> contribution </w:t>
            </w:r>
            <w:r w:rsidR="009847F2">
              <w:rPr>
                <w:rFonts w:ascii="Times New Roman" w:hAnsi="Times New Roman"/>
              </w:rPr>
              <w:t xml:space="preserve">to </w:t>
            </w:r>
            <w:r w:rsidRPr="009F476B">
              <w:rPr>
                <w:rFonts w:ascii="Times New Roman" w:hAnsi="Times New Roman"/>
              </w:rPr>
              <w:t xml:space="preserve">this outcome </w:t>
            </w:r>
            <w:r w:rsidR="00321C13">
              <w:rPr>
                <w:rFonts w:ascii="Times New Roman" w:hAnsi="Times New Roman"/>
              </w:rPr>
              <w:t xml:space="preserve">targets </w:t>
            </w:r>
            <w:r w:rsidRPr="009F476B">
              <w:rPr>
                <w:rFonts w:ascii="Times New Roman" w:hAnsi="Times New Roman"/>
              </w:rPr>
              <w:t xml:space="preserve">migrants, IDPs, refuges, </w:t>
            </w:r>
            <w:r w:rsidR="00321C13">
              <w:rPr>
                <w:rFonts w:ascii="Times New Roman" w:hAnsi="Times New Roman"/>
              </w:rPr>
              <w:t xml:space="preserve">and </w:t>
            </w:r>
            <w:r w:rsidRPr="009F476B">
              <w:rPr>
                <w:rFonts w:ascii="Times New Roman" w:hAnsi="Times New Roman"/>
              </w:rPr>
              <w:t xml:space="preserve">vulnerable </w:t>
            </w:r>
            <w:r w:rsidR="00321C13">
              <w:rPr>
                <w:rFonts w:ascii="Times New Roman" w:hAnsi="Times New Roman"/>
              </w:rPr>
              <w:t xml:space="preserve">groups in </w:t>
            </w:r>
            <w:r w:rsidRPr="009F476B">
              <w:rPr>
                <w:rFonts w:ascii="Times New Roman" w:hAnsi="Times New Roman"/>
              </w:rPr>
              <w:t xml:space="preserve">the targeted localities. </w:t>
            </w:r>
            <w:r w:rsidR="00321C13">
              <w:rPr>
                <w:rFonts w:ascii="Times New Roman" w:hAnsi="Times New Roman"/>
              </w:rPr>
              <w:t>Its e</w:t>
            </w:r>
            <w:r w:rsidRPr="009F476B">
              <w:rPr>
                <w:rFonts w:ascii="Times New Roman" w:hAnsi="Times New Roman"/>
              </w:rPr>
              <w:t xml:space="preserve">conomic opportunities component will also focus explicitly on </w:t>
            </w:r>
            <w:r w:rsidR="009847F2">
              <w:rPr>
                <w:rFonts w:ascii="Times New Roman" w:hAnsi="Times New Roman"/>
              </w:rPr>
              <w:t>youth</w:t>
            </w:r>
            <w:r w:rsidRPr="009F476B">
              <w:rPr>
                <w:rFonts w:ascii="Times New Roman" w:hAnsi="Times New Roman"/>
              </w:rPr>
              <w:t>.</w:t>
            </w:r>
            <w:r w:rsidR="004B4BD8" w:rsidRPr="009F476B">
              <w:rPr>
                <w:rFonts w:ascii="Times New Roman" w:hAnsi="Times New Roman"/>
              </w:rPr>
              <w:t xml:space="preserve"> </w:t>
            </w:r>
            <w:r w:rsidRPr="009F476B">
              <w:rPr>
                <w:rFonts w:ascii="Times New Roman" w:hAnsi="Times New Roman"/>
              </w:rPr>
              <w:t xml:space="preserve">UNDP seeks to contribute to CPD indicator 4 </w:t>
            </w:r>
            <w:r w:rsidR="00321C13">
              <w:rPr>
                <w:rFonts w:ascii="Times New Roman" w:hAnsi="Times New Roman"/>
              </w:rPr>
              <w:t>“</w:t>
            </w:r>
            <w:r w:rsidRPr="009F476B">
              <w:rPr>
                <w:rFonts w:ascii="Times New Roman" w:hAnsi="Times New Roman"/>
              </w:rPr>
              <w:t>conflict-affected community members and marginalized groups provided with income-generation opportunities</w:t>
            </w:r>
            <w:r w:rsidR="00321C13">
              <w:rPr>
                <w:rFonts w:ascii="Times New Roman" w:hAnsi="Times New Roman"/>
              </w:rPr>
              <w:t>”</w:t>
            </w:r>
            <w:r w:rsidRPr="009F476B">
              <w:rPr>
                <w:rFonts w:ascii="Times New Roman" w:hAnsi="Times New Roman"/>
              </w:rPr>
              <w:t xml:space="preserve">; </w:t>
            </w:r>
            <w:r w:rsidR="00321C13">
              <w:rPr>
                <w:rFonts w:ascii="Times New Roman" w:hAnsi="Times New Roman"/>
              </w:rPr>
              <w:t xml:space="preserve">and </w:t>
            </w:r>
            <w:r w:rsidRPr="009F476B">
              <w:rPr>
                <w:rFonts w:ascii="Times New Roman" w:hAnsi="Times New Roman"/>
              </w:rPr>
              <w:t xml:space="preserve">to SP indicator 1.1 </w:t>
            </w:r>
            <w:r w:rsidR="00321C13">
              <w:rPr>
                <w:rFonts w:ascii="Times New Roman" w:hAnsi="Times New Roman"/>
              </w:rPr>
              <w:t>“N</w:t>
            </w:r>
            <w:r w:rsidRPr="009F476B">
              <w:rPr>
                <w:rFonts w:ascii="Times New Roman" w:hAnsi="Times New Roman"/>
              </w:rPr>
              <w:t>ational and subnational systems and institutions enabled to achieve structural transformation of productive capacities that</w:t>
            </w:r>
            <w:r w:rsidR="00321C13">
              <w:rPr>
                <w:rFonts w:ascii="Times New Roman" w:hAnsi="Times New Roman"/>
              </w:rPr>
              <w:t xml:space="preserve"> are sustainable and employment</w:t>
            </w:r>
            <w:r w:rsidRPr="009F476B">
              <w:rPr>
                <w:rFonts w:ascii="Times New Roman" w:hAnsi="Times New Roman"/>
              </w:rPr>
              <w:t>-</w:t>
            </w:r>
            <w:r w:rsidR="00321C13">
              <w:rPr>
                <w:rFonts w:ascii="Times New Roman" w:hAnsi="Times New Roman"/>
              </w:rPr>
              <w:t xml:space="preserve"> and livelihoods-</w:t>
            </w:r>
            <w:r w:rsidRPr="009F476B">
              <w:rPr>
                <w:rFonts w:ascii="Times New Roman" w:hAnsi="Times New Roman"/>
              </w:rPr>
              <w:t>intensive</w:t>
            </w:r>
            <w:r w:rsidR="00321C13">
              <w:rPr>
                <w:rFonts w:ascii="Times New Roman" w:hAnsi="Times New Roman"/>
              </w:rPr>
              <w:t>”</w:t>
            </w:r>
            <w:r w:rsidRPr="009F476B">
              <w:rPr>
                <w:rFonts w:ascii="Times New Roman" w:hAnsi="Times New Roman"/>
              </w:rPr>
              <w:t>.</w:t>
            </w:r>
          </w:p>
          <w:p w14:paraId="1CF1D8B3" w14:textId="77777777" w:rsidR="002C578B" w:rsidRPr="009F476B" w:rsidRDefault="002C578B" w:rsidP="00E3399B">
            <w:pPr>
              <w:pStyle w:val="BodyText2"/>
              <w:spacing w:line="276" w:lineRule="auto"/>
              <w:jc w:val="both"/>
              <w:rPr>
                <w:rFonts w:ascii="Times New Roman" w:hAnsi="Times New Roman"/>
              </w:rPr>
            </w:pP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4677"/>
              <w:gridCol w:w="6359"/>
            </w:tblGrid>
            <w:tr w:rsidR="00F16FDA" w:rsidRPr="009F476B" w14:paraId="5BF69060" w14:textId="77777777" w:rsidTr="002C578B">
              <w:tc>
                <w:tcPr>
                  <w:tcW w:w="3970" w:type="dxa"/>
                </w:tcPr>
                <w:p w14:paraId="05130015" w14:textId="77777777" w:rsidR="00F16FDA" w:rsidRPr="009F476B" w:rsidRDefault="00F16FDA" w:rsidP="00F16FDA">
                  <w:pPr>
                    <w:pStyle w:val="BodyText2"/>
                    <w:spacing w:line="276" w:lineRule="auto"/>
                    <w:jc w:val="both"/>
                    <w:rPr>
                      <w:rFonts w:ascii="Times New Roman" w:hAnsi="Times New Roman"/>
                      <w:b/>
                    </w:rPr>
                  </w:pPr>
                  <w:r w:rsidRPr="009F476B">
                    <w:rPr>
                      <w:rFonts w:ascii="Times New Roman" w:hAnsi="Times New Roman"/>
                      <w:b/>
                    </w:rPr>
                    <w:t>Outcomes</w:t>
                  </w:r>
                </w:p>
              </w:tc>
              <w:tc>
                <w:tcPr>
                  <w:tcW w:w="4677" w:type="dxa"/>
                  <w:shd w:val="clear" w:color="auto" w:fill="auto"/>
                </w:tcPr>
                <w:p w14:paraId="44F6C9D2" w14:textId="77777777" w:rsidR="00F16FDA" w:rsidRPr="009F476B" w:rsidRDefault="00F16FDA" w:rsidP="00F16FDA">
                  <w:pPr>
                    <w:pStyle w:val="BodyText2"/>
                    <w:spacing w:line="276" w:lineRule="auto"/>
                    <w:jc w:val="both"/>
                    <w:rPr>
                      <w:rFonts w:ascii="Times New Roman" w:hAnsi="Times New Roman"/>
                      <w:b/>
                    </w:rPr>
                  </w:pPr>
                  <w:r w:rsidRPr="009F476B">
                    <w:rPr>
                      <w:rFonts w:ascii="Times New Roman" w:hAnsi="Times New Roman"/>
                      <w:b/>
                    </w:rPr>
                    <w:t>Key Indicators of outcome (1-4 per outcome)</w:t>
                  </w:r>
                </w:p>
              </w:tc>
              <w:tc>
                <w:tcPr>
                  <w:tcW w:w="6359" w:type="dxa"/>
                </w:tcPr>
                <w:p w14:paraId="4AA94CDD" w14:textId="77777777" w:rsidR="00F16FDA" w:rsidRPr="009F476B" w:rsidRDefault="00F16FDA" w:rsidP="00F16FDA">
                  <w:pPr>
                    <w:pStyle w:val="BodyText2"/>
                    <w:spacing w:line="276" w:lineRule="auto"/>
                    <w:jc w:val="both"/>
                    <w:rPr>
                      <w:rFonts w:ascii="Times New Roman" w:hAnsi="Times New Roman"/>
                      <w:b/>
                    </w:rPr>
                  </w:pPr>
                  <w:r w:rsidRPr="009F476B">
                    <w:rPr>
                      <w:rFonts w:ascii="Times New Roman" w:hAnsi="Times New Roman"/>
                      <w:b/>
                    </w:rPr>
                    <w:t>Progress made against key indicators</w:t>
                  </w:r>
                </w:p>
              </w:tc>
            </w:tr>
          </w:tbl>
          <w:p w14:paraId="1D0DA7C4" w14:textId="77777777" w:rsidR="00184F02" w:rsidRPr="009F476B" w:rsidRDefault="00184F02" w:rsidP="00E3399B">
            <w:pPr>
              <w:pStyle w:val="BodyText2"/>
              <w:spacing w:line="276" w:lineRule="auto"/>
              <w:jc w:val="both"/>
              <w:rPr>
                <w:rFonts w:ascii="Times New Roman" w:hAnsi="Times New Roman"/>
                <w:u w:val="single"/>
              </w:rPr>
            </w:pPr>
          </w:p>
        </w:tc>
      </w:tr>
      <w:tr w:rsidR="00F16FDA" w:rsidRPr="009F476B" w14:paraId="72D8BC6A" w14:textId="77777777" w:rsidTr="002E79B0">
        <w:tc>
          <w:tcPr>
            <w:tcW w:w="3918" w:type="dxa"/>
            <w:gridSpan w:val="2"/>
            <w:shd w:val="clear" w:color="auto" w:fill="95B3D7"/>
          </w:tcPr>
          <w:p w14:paraId="372F7616" w14:textId="77777777" w:rsidR="00F16FDA" w:rsidRPr="009F476B" w:rsidRDefault="00F16FDA" w:rsidP="00E3399B">
            <w:pPr>
              <w:widowControl/>
              <w:autoSpaceDE w:val="0"/>
              <w:autoSpaceDN w:val="0"/>
              <w:adjustRightInd w:val="0"/>
              <w:spacing w:line="276" w:lineRule="auto"/>
              <w:jc w:val="both"/>
              <w:rPr>
                <w:b/>
                <w:bCs/>
                <w:sz w:val="20"/>
                <w:lang w:val="en-GB" w:eastAsia="en-GB"/>
              </w:rPr>
            </w:pPr>
            <w:r w:rsidRPr="009F476B">
              <w:rPr>
                <w:sz w:val="20"/>
              </w:rPr>
              <w:lastRenderedPageBreak/>
              <w:t xml:space="preserve">5 </w:t>
            </w:r>
            <w:r w:rsidRPr="009F476B">
              <w:rPr>
                <w:b/>
                <w:bCs/>
                <w:sz w:val="20"/>
                <w:lang w:val="en-GB" w:eastAsia="en-GB"/>
              </w:rPr>
              <w:t>Outcome 5. National environment management systems addressing</w:t>
            </w:r>
          </w:p>
          <w:p w14:paraId="32D20C60" w14:textId="77777777" w:rsidR="00F16FDA" w:rsidRPr="009F476B" w:rsidRDefault="00F16FDA" w:rsidP="00E3399B">
            <w:pPr>
              <w:widowControl/>
              <w:autoSpaceDE w:val="0"/>
              <w:autoSpaceDN w:val="0"/>
              <w:adjustRightInd w:val="0"/>
              <w:spacing w:line="276" w:lineRule="auto"/>
              <w:jc w:val="both"/>
              <w:rPr>
                <w:b/>
                <w:bCs/>
                <w:sz w:val="20"/>
                <w:lang w:val="en-GB" w:eastAsia="en-GB"/>
              </w:rPr>
            </w:pPr>
            <w:r w:rsidRPr="009F476B">
              <w:rPr>
                <w:b/>
                <w:bCs/>
                <w:sz w:val="20"/>
                <w:lang w:val="en-GB" w:eastAsia="en-GB"/>
              </w:rPr>
              <w:t>desertification, biodiversity conservation, water management, pollution and</w:t>
            </w:r>
          </w:p>
          <w:p w14:paraId="3F31854F" w14:textId="77777777" w:rsidR="00F16FDA" w:rsidRPr="009F476B" w:rsidRDefault="00F16FDA" w:rsidP="00E3399B">
            <w:pPr>
              <w:widowControl/>
              <w:autoSpaceDE w:val="0"/>
              <w:autoSpaceDN w:val="0"/>
              <w:adjustRightInd w:val="0"/>
              <w:spacing w:line="276" w:lineRule="auto"/>
              <w:jc w:val="both"/>
              <w:rPr>
                <w:b/>
                <w:sz w:val="20"/>
              </w:rPr>
            </w:pPr>
            <w:r w:rsidRPr="009F476B">
              <w:rPr>
                <w:b/>
                <w:bCs/>
                <w:sz w:val="20"/>
                <w:lang w:val="en-GB" w:eastAsia="en-GB"/>
              </w:rPr>
              <w:t>climate change strengthened.</w:t>
            </w:r>
          </w:p>
          <w:p w14:paraId="69D3F7A5" w14:textId="77777777" w:rsidR="00F16FDA" w:rsidRPr="009F476B" w:rsidRDefault="00F16FDA" w:rsidP="00E3399B">
            <w:pPr>
              <w:pStyle w:val="BodyText2"/>
              <w:spacing w:line="276" w:lineRule="auto"/>
              <w:jc w:val="both"/>
              <w:rPr>
                <w:rFonts w:ascii="Times New Roman" w:hAnsi="Times New Roman"/>
                <w:b/>
              </w:rPr>
            </w:pPr>
          </w:p>
        </w:tc>
        <w:tc>
          <w:tcPr>
            <w:tcW w:w="4632" w:type="dxa"/>
            <w:shd w:val="clear" w:color="auto" w:fill="auto"/>
          </w:tcPr>
          <w:p w14:paraId="03D06DE1" w14:textId="77777777" w:rsidR="00F16FDA" w:rsidRPr="009F476B" w:rsidRDefault="00F16FDA" w:rsidP="00E3399B">
            <w:pPr>
              <w:pStyle w:val="BodyText2"/>
              <w:spacing w:line="276" w:lineRule="auto"/>
              <w:jc w:val="both"/>
              <w:rPr>
                <w:rFonts w:ascii="Times New Roman" w:hAnsi="Times New Roman"/>
              </w:rPr>
            </w:pPr>
          </w:p>
          <w:p w14:paraId="6E140AA8" w14:textId="77777777" w:rsidR="00F16FDA" w:rsidRPr="009F476B" w:rsidRDefault="00F16FDA" w:rsidP="00E3399B">
            <w:pPr>
              <w:widowControl/>
              <w:numPr>
                <w:ilvl w:val="0"/>
                <w:numId w:val="26"/>
              </w:numPr>
              <w:autoSpaceDE w:val="0"/>
              <w:autoSpaceDN w:val="0"/>
              <w:adjustRightInd w:val="0"/>
              <w:spacing w:line="276" w:lineRule="auto"/>
              <w:ind w:left="360"/>
              <w:jc w:val="both"/>
              <w:rPr>
                <w:sz w:val="20"/>
                <w:lang w:val="en-GB" w:eastAsia="en-GB"/>
              </w:rPr>
            </w:pPr>
            <w:r w:rsidRPr="009F476B">
              <w:rPr>
                <w:sz w:val="20"/>
                <w:lang w:val="en-GB" w:eastAsia="en-GB"/>
              </w:rPr>
              <w:t xml:space="preserve">Number of policy instruments adopted for addressing environmental issues, including climate change; </w:t>
            </w:r>
          </w:p>
          <w:p w14:paraId="11E9B889" w14:textId="77777777" w:rsidR="00F16FDA" w:rsidRPr="009F476B" w:rsidRDefault="00F16FDA" w:rsidP="00E3399B">
            <w:pPr>
              <w:widowControl/>
              <w:autoSpaceDE w:val="0"/>
              <w:autoSpaceDN w:val="0"/>
              <w:adjustRightInd w:val="0"/>
              <w:spacing w:line="276" w:lineRule="auto"/>
              <w:jc w:val="both"/>
              <w:rPr>
                <w:sz w:val="20"/>
                <w:lang w:val="en-GB" w:eastAsia="en-GB"/>
              </w:rPr>
            </w:pPr>
          </w:p>
          <w:p w14:paraId="4E5909A7" w14:textId="77777777" w:rsidR="00F16FDA" w:rsidRPr="009F476B" w:rsidRDefault="00F16FDA" w:rsidP="00E3399B">
            <w:pPr>
              <w:widowControl/>
              <w:numPr>
                <w:ilvl w:val="0"/>
                <w:numId w:val="26"/>
              </w:numPr>
              <w:autoSpaceDE w:val="0"/>
              <w:autoSpaceDN w:val="0"/>
              <w:adjustRightInd w:val="0"/>
              <w:spacing w:line="276" w:lineRule="auto"/>
              <w:ind w:left="360"/>
              <w:jc w:val="both"/>
              <w:rPr>
                <w:sz w:val="20"/>
                <w:lang w:val="en-GB" w:eastAsia="en-GB"/>
              </w:rPr>
            </w:pPr>
            <w:r w:rsidRPr="009F476B">
              <w:rPr>
                <w:sz w:val="20"/>
                <w:lang w:val="en-GB" w:eastAsia="en-GB"/>
              </w:rPr>
              <w:t>Number of national institutions provided with adequate knowledge and systems for environmental management.</w:t>
            </w:r>
          </w:p>
          <w:p w14:paraId="48D43A1D" w14:textId="77777777" w:rsidR="00F16FDA" w:rsidRPr="009F476B" w:rsidRDefault="00F16FDA" w:rsidP="00E3399B">
            <w:pPr>
              <w:widowControl/>
              <w:autoSpaceDE w:val="0"/>
              <w:autoSpaceDN w:val="0"/>
              <w:adjustRightInd w:val="0"/>
              <w:spacing w:line="276" w:lineRule="auto"/>
              <w:jc w:val="both"/>
              <w:rPr>
                <w:b/>
                <w:bCs/>
                <w:sz w:val="20"/>
                <w:lang w:val="en-GB" w:eastAsia="en-GB"/>
              </w:rPr>
            </w:pPr>
          </w:p>
          <w:p w14:paraId="10C63A56" w14:textId="77777777" w:rsidR="00F16FDA" w:rsidRPr="009F476B" w:rsidRDefault="00F16FDA" w:rsidP="00E3399B">
            <w:pPr>
              <w:pStyle w:val="BodyText2"/>
              <w:spacing w:line="276" w:lineRule="auto"/>
              <w:jc w:val="both"/>
              <w:rPr>
                <w:rFonts w:ascii="Times New Roman" w:hAnsi="Times New Roman"/>
              </w:rPr>
            </w:pPr>
            <w:r w:rsidRPr="009F476B">
              <w:rPr>
                <w:rFonts w:ascii="Times New Roman" w:hAnsi="Times New Roman"/>
                <w:lang w:val="en-GB" w:eastAsia="en-GB"/>
              </w:rPr>
              <w:t>.</w:t>
            </w:r>
          </w:p>
        </w:tc>
        <w:tc>
          <w:tcPr>
            <w:tcW w:w="5490" w:type="dxa"/>
            <w:shd w:val="clear" w:color="auto" w:fill="auto"/>
          </w:tcPr>
          <w:p w14:paraId="1FB8B9E1" w14:textId="77777777" w:rsidR="00F16FDA" w:rsidRPr="009F476B" w:rsidRDefault="00F16FDA" w:rsidP="00E3399B">
            <w:pPr>
              <w:widowControl/>
              <w:numPr>
                <w:ilvl w:val="0"/>
                <w:numId w:val="27"/>
              </w:numPr>
              <w:autoSpaceDE w:val="0"/>
              <w:autoSpaceDN w:val="0"/>
              <w:adjustRightInd w:val="0"/>
              <w:spacing w:line="276" w:lineRule="auto"/>
              <w:ind w:left="360"/>
              <w:jc w:val="both"/>
              <w:rPr>
                <w:sz w:val="20"/>
              </w:rPr>
            </w:pPr>
            <w:r w:rsidRPr="009F476B">
              <w:rPr>
                <w:sz w:val="20"/>
                <w:lang w:val="en-GB" w:eastAsia="en-GB"/>
              </w:rPr>
              <w:t>No national environmental policy instruments developed</w:t>
            </w:r>
          </w:p>
          <w:p w14:paraId="0CBFAEE7" w14:textId="77777777" w:rsidR="00F16FDA" w:rsidRPr="009F476B" w:rsidRDefault="00F16FDA" w:rsidP="00E3399B">
            <w:pPr>
              <w:widowControl/>
              <w:autoSpaceDE w:val="0"/>
              <w:autoSpaceDN w:val="0"/>
              <w:adjustRightInd w:val="0"/>
              <w:spacing w:line="276" w:lineRule="auto"/>
              <w:ind w:left="360"/>
              <w:jc w:val="both"/>
              <w:rPr>
                <w:sz w:val="20"/>
              </w:rPr>
            </w:pPr>
          </w:p>
          <w:p w14:paraId="30A5964E" w14:textId="77777777" w:rsidR="00F16FDA" w:rsidRPr="009F476B" w:rsidRDefault="00F16FDA" w:rsidP="00E3399B">
            <w:pPr>
              <w:widowControl/>
              <w:autoSpaceDE w:val="0"/>
              <w:autoSpaceDN w:val="0"/>
              <w:adjustRightInd w:val="0"/>
              <w:spacing w:line="276" w:lineRule="auto"/>
              <w:ind w:left="360"/>
              <w:jc w:val="both"/>
              <w:rPr>
                <w:sz w:val="20"/>
              </w:rPr>
            </w:pPr>
          </w:p>
          <w:p w14:paraId="5B8405A0" w14:textId="77777777" w:rsidR="00F16FDA" w:rsidRPr="009F476B" w:rsidRDefault="00F16FDA" w:rsidP="00E3399B">
            <w:pPr>
              <w:widowControl/>
              <w:numPr>
                <w:ilvl w:val="0"/>
                <w:numId w:val="27"/>
              </w:numPr>
              <w:autoSpaceDE w:val="0"/>
              <w:autoSpaceDN w:val="0"/>
              <w:adjustRightInd w:val="0"/>
              <w:spacing w:line="276" w:lineRule="auto"/>
              <w:ind w:left="360"/>
              <w:jc w:val="both"/>
              <w:rPr>
                <w:sz w:val="20"/>
              </w:rPr>
            </w:pPr>
            <w:r w:rsidRPr="009F476B">
              <w:rPr>
                <w:sz w:val="20"/>
                <w:lang w:val="en-GB" w:eastAsia="en-GB"/>
              </w:rPr>
              <w:t xml:space="preserve">capacity building actions were included in some core organizations such as the ministry of planning and the ministry of interior. </w:t>
            </w:r>
          </w:p>
        </w:tc>
      </w:tr>
      <w:tr w:rsidR="00412FDA" w:rsidRPr="009F476B" w14:paraId="0E88BC07" w14:textId="77777777" w:rsidTr="00E20FCD">
        <w:tc>
          <w:tcPr>
            <w:tcW w:w="14040" w:type="dxa"/>
            <w:gridSpan w:val="4"/>
          </w:tcPr>
          <w:p w14:paraId="7FC120EB" w14:textId="77777777" w:rsidR="00412FDA" w:rsidRPr="009F476B" w:rsidRDefault="00412FDA" w:rsidP="00E3399B">
            <w:pPr>
              <w:pStyle w:val="BodyText2"/>
              <w:spacing w:line="276" w:lineRule="auto"/>
              <w:jc w:val="both"/>
              <w:rPr>
                <w:rFonts w:ascii="Times New Roman" w:hAnsi="Times New Roman"/>
                <w:b/>
              </w:rPr>
            </w:pPr>
            <w:r w:rsidRPr="009F476B">
              <w:rPr>
                <w:rFonts w:ascii="Times New Roman" w:hAnsi="Times New Roman"/>
                <w:b/>
              </w:rPr>
              <w:t>UNDP Contribution:</w:t>
            </w:r>
          </w:p>
          <w:p w14:paraId="2F18E5A9" w14:textId="77777777" w:rsidR="00E71289" w:rsidRPr="009F476B" w:rsidRDefault="000A4610" w:rsidP="00E3399B">
            <w:pPr>
              <w:widowControl/>
              <w:autoSpaceDE w:val="0"/>
              <w:autoSpaceDN w:val="0"/>
              <w:adjustRightInd w:val="0"/>
              <w:spacing w:line="276" w:lineRule="auto"/>
              <w:jc w:val="both"/>
              <w:rPr>
                <w:sz w:val="20"/>
                <w:lang w:val="en-GB" w:eastAsia="en-GB"/>
              </w:rPr>
            </w:pPr>
            <w:r w:rsidRPr="009F476B">
              <w:rPr>
                <w:sz w:val="20"/>
                <w:lang w:val="en-GB" w:eastAsia="en-GB"/>
              </w:rPr>
              <w:t xml:space="preserve">UNDP </w:t>
            </w:r>
            <w:r w:rsidR="00E71289" w:rsidRPr="009F476B">
              <w:rPr>
                <w:sz w:val="20"/>
                <w:lang w:val="en-GB" w:eastAsia="en-GB"/>
              </w:rPr>
              <w:t xml:space="preserve">Institutional strengthening on pollution, water management, biodiversity conservation and climate Change </w:t>
            </w:r>
          </w:p>
          <w:p w14:paraId="692F5BD5" w14:textId="77777777" w:rsidR="00127E4D" w:rsidRPr="009F476B" w:rsidRDefault="00127E4D" w:rsidP="00E3399B">
            <w:pPr>
              <w:widowControl/>
              <w:autoSpaceDE w:val="0"/>
              <w:autoSpaceDN w:val="0"/>
              <w:adjustRightInd w:val="0"/>
              <w:spacing w:line="276" w:lineRule="auto"/>
              <w:jc w:val="both"/>
              <w:rPr>
                <w:sz w:val="20"/>
                <w:highlight w:val="yellow"/>
                <w:u w:val="single"/>
              </w:rPr>
            </w:pPr>
          </w:p>
          <w:p w14:paraId="58E2F99B" w14:textId="77777777" w:rsidR="0084329E" w:rsidRPr="009F476B" w:rsidRDefault="00412FDA" w:rsidP="00E3399B">
            <w:pPr>
              <w:widowControl/>
              <w:autoSpaceDE w:val="0"/>
              <w:autoSpaceDN w:val="0"/>
              <w:adjustRightInd w:val="0"/>
              <w:spacing w:line="276" w:lineRule="auto"/>
              <w:jc w:val="both"/>
              <w:rPr>
                <w:sz w:val="20"/>
                <w:u w:val="single"/>
              </w:rPr>
            </w:pPr>
            <w:r w:rsidRPr="009F476B">
              <w:rPr>
                <w:sz w:val="20"/>
                <w:u w:val="single"/>
              </w:rPr>
              <w:t>CP Outputs</w:t>
            </w:r>
          </w:p>
          <w:p w14:paraId="168E997C" w14:textId="77777777" w:rsidR="0084329E" w:rsidRPr="009F476B" w:rsidRDefault="0084329E" w:rsidP="00E3399B">
            <w:pPr>
              <w:widowControl/>
              <w:autoSpaceDE w:val="0"/>
              <w:autoSpaceDN w:val="0"/>
              <w:adjustRightInd w:val="0"/>
              <w:spacing w:line="276" w:lineRule="auto"/>
              <w:jc w:val="both"/>
              <w:rPr>
                <w:sz w:val="20"/>
                <w:u w:val="single"/>
              </w:rPr>
            </w:pPr>
          </w:p>
          <w:p w14:paraId="77A2EC48" w14:textId="77777777" w:rsidR="0084329E" w:rsidRPr="009F476B" w:rsidRDefault="0084329E" w:rsidP="00E3399B">
            <w:pPr>
              <w:widowControl/>
              <w:autoSpaceDE w:val="0"/>
              <w:autoSpaceDN w:val="0"/>
              <w:adjustRightInd w:val="0"/>
              <w:spacing w:line="276" w:lineRule="auto"/>
              <w:jc w:val="both"/>
              <w:rPr>
                <w:sz w:val="20"/>
                <w:u w:val="single"/>
              </w:rPr>
            </w:pPr>
            <w:r w:rsidRPr="009F476B">
              <w:rPr>
                <w:b/>
                <w:bCs/>
                <w:sz w:val="20"/>
                <w:lang w:val="en-GB" w:eastAsia="en-GB"/>
              </w:rPr>
              <w:t xml:space="preserve">Output 1 </w:t>
            </w:r>
            <w:r w:rsidRPr="009F476B">
              <w:rPr>
                <w:sz w:val="20"/>
                <w:lang w:val="en-GB" w:eastAsia="en-GB"/>
              </w:rPr>
              <w:t xml:space="preserve">Policy framework developed for addressing environmental issues, including climate change. </w:t>
            </w:r>
          </w:p>
          <w:p w14:paraId="404F75E0" w14:textId="77777777" w:rsidR="00184F02" w:rsidRPr="009F476B" w:rsidRDefault="0084329E" w:rsidP="00E3399B">
            <w:pPr>
              <w:widowControl/>
              <w:autoSpaceDE w:val="0"/>
              <w:autoSpaceDN w:val="0"/>
              <w:adjustRightInd w:val="0"/>
              <w:spacing w:line="276" w:lineRule="auto"/>
              <w:jc w:val="both"/>
              <w:rPr>
                <w:sz w:val="20"/>
                <w:u w:val="single"/>
              </w:rPr>
            </w:pPr>
            <w:r w:rsidRPr="009F476B">
              <w:rPr>
                <w:b/>
                <w:bCs/>
                <w:sz w:val="20"/>
                <w:lang w:val="en-GB" w:eastAsia="en-GB"/>
              </w:rPr>
              <w:t xml:space="preserve">Output 2 </w:t>
            </w:r>
            <w:r w:rsidRPr="00321C13">
              <w:rPr>
                <w:bCs/>
                <w:sz w:val="20"/>
                <w:lang w:val="en-GB" w:eastAsia="en-GB"/>
              </w:rPr>
              <w:t>Technical</w:t>
            </w:r>
            <w:r w:rsidRPr="009F476B">
              <w:rPr>
                <w:sz w:val="20"/>
                <w:lang w:val="en-GB" w:eastAsia="en-GB"/>
              </w:rPr>
              <w:t xml:space="preserve"> and operational capacity of key environmental authorities developed for implementing environmental management policies and strategies.</w:t>
            </w:r>
          </w:p>
          <w:p w14:paraId="4369E59F" w14:textId="77777777" w:rsidR="00127E4D" w:rsidRPr="009F476B" w:rsidRDefault="00127E4D" w:rsidP="00E3399B">
            <w:pPr>
              <w:widowControl/>
              <w:autoSpaceDE w:val="0"/>
              <w:autoSpaceDN w:val="0"/>
              <w:adjustRightInd w:val="0"/>
              <w:spacing w:line="276" w:lineRule="auto"/>
              <w:jc w:val="both"/>
              <w:rPr>
                <w:sz w:val="20"/>
                <w:u w:val="single"/>
              </w:rPr>
            </w:pPr>
          </w:p>
          <w:p w14:paraId="509AD708" w14:textId="77777777" w:rsidR="00412FDA" w:rsidRPr="009F476B" w:rsidRDefault="00412FDA" w:rsidP="00E3399B">
            <w:pPr>
              <w:pStyle w:val="BodyText2"/>
              <w:spacing w:line="276" w:lineRule="auto"/>
              <w:jc w:val="both"/>
              <w:rPr>
                <w:rFonts w:ascii="Times New Roman" w:hAnsi="Times New Roman"/>
                <w:u w:val="single"/>
              </w:rPr>
            </w:pPr>
            <w:r w:rsidRPr="009F476B">
              <w:rPr>
                <w:rFonts w:ascii="Times New Roman" w:hAnsi="Times New Roman"/>
                <w:u w:val="single"/>
              </w:rPr>
              <w:t>Progress and Achievements</w:t>
            </w:r>
          </w:p>
          <w:p w14:paraId="5F3838AD" w14:textId="77777777" w:rsidR="00184F02" w:rsidRPr="009F476B" w:rsidRDefault="00184F02" w:rsidP="00E3399B">
            <w:pPr>
              <w:pStyle w:val="BodyText2"/>
              <w:spacing w:line="276" w:lineRule="auto"/>
              <w:jc w:val="both"/>
              <w:rPr>
                <w:rFonts w:ascii="Times New Roman" w:hAnsi="Times New Roman"/>
              </w:rPr>
            </w:pPr>
          </w:p>
          <w:p w14:paraId="0AE33ED6" w14:textId="0905C2E0" w:rsidR="00657DAB" w:rsidRPr="009F476B" w:rsidRDefault="00321C13" w:rsidP="00E3399B">
            <w:pPr>
              <w:pStyle w:val="BodyText2"/>
              <w:spacing w:line="276" w:lineRule="auto"/>
              <w:jc w:val="both"/>
              <w:rPr>
                <w:rFonts w:ascii="Times New Roman" w:hAnsi="Times New Roman"/>
              </w:rPr>
            </w:pPr>
            <w:r>
              <w:rPr>
                <w:rFonts w:ascii="Times New Roman" w:hAnsi="Times New Roman"/>
              </w:rPr>
              <w:t>UNDP</w:t>
            </w:r>
            <w:r w:rsidR="00657DAB" w:rsidRPr="009F476B">
              <w:rPr>
                <w:rFonts w:ascii="Times New Roman" w:hAnsi="Times New Roman"/>
              </w:rPr>
              <w:t xml:space="preserve"> intended to provide technical support to </w:t>
            </w:r>
            <w:r>
              <w:rPr>
                <w:rFonts w:ascii="Times New Roman" w:hAnsi="Times New Roman"/>
              </w:rPr>
              <w:t xml:space="preserve">the </w:t>
            </w:r>
            <w:r w:rsidR="00657DAB" w:rsidRPr="009F476B">
              <w:rPr>
                <w:rFonts w:ascii="Times New Roman" w:hAnsi="Times New Roman"/>
              </w:rPr>
              <w:t>Environment Government Authority</w:t>
            </w:r>
            <w:r>
              <w:rPr>
                <w:rFonts w:ascii="Times New Roman" w:hAnsi="Times New Roman"/>
              </w:rPr>
              <w:t>. T</w:t>
            </w:r>
            <w:r w:rsidR="00657DAB" w:rsidRPr="009F476B">
              <w:rPr>
                <w:rFonts w:ascii="Times New Roman" w:hAnsi="Times New Roman"/>
              </w:rPr>
              <w:t>he programme intended to assist the</w:t>
            </w:r>
            <w:r w:rsidR="009847F2">
              <w:rPr>
                <w:rFonts w:ascii="Times New Roman" w:hAnsi="Times New Roman"/>
              </w:rPr>
              <w:t xml:space="preserve"> GNA</w:t>
            </w:r>
            <w:r w:rsidR="00657DAB" w:rsidRPr="009F476B">
              <w:rPr>
                <w:rFonts w:ascii="Times New Roman" w:hAnsi="Times New Roman"/>
              </w:rPr>
              <w:t xml:space="preserve"> in </w:t>
            </w:r>
            <w:r>
              <w:rPr>
                <w:rFonts w:ascii="Times New Roman" w:hAnsi="Times New Roman"/>
              </w:rPr>
              <w:t xml:space="preserve">strengthening </w:t>
            </w:r>
            <w:r w:rsidR="00657DAB" w:rsidRPr="009F476B">
              <w:rPr>
                <w:rFonts w:ascii="Times New Roman" w:hAnsi="Times New Roman"/>
              </w:rPr>
              <w:t xml:space="preserve">the </w:t>
            </w:r>
            <w:r>
              <w:rPr>
                <w:rFonts w:ascii="Times New Roman" w:hAnsi="Times New Roman"/>
              </w:rPr>
              <w:t>E</w:t>
            </w:r>
            <w:r w:rsidR="00657DAB" w:rsidRPr="009F476B">
              <w:rPr>
                <w:rFonts w:ascii="Times New Roman" w:hAnsi="Times New Roman"/>
              </w:rPr>
              <w:t xml:space="preserve">nvironmental </w:t>
            </w:r>
            <w:r>
              <w:rPr>
                <w:rFonts w:ascii="Times New Roman" w:hAnsi="Times New Roman"/>
              </w:rPr>
              <w:t>A</w:t>
            </w:r>
            <w:r w:rsidR="00657DAB" w:rsidRPr="009F476B">
              <w:rPr>
                <w:rFonts w:ascii="Times New Roman" w:hAnsi="Times New Roman"/>
              </w:rPr>
              <w:t>uthority at the technical and management level to enhance the capacity of the government by developing EGA’s internal capacity for environmental analysis and testing</w:t>
            </w:r>
            <w:r>
              <w:rPr>
                <w:rFonts w:ascii="Times New Roman" w:hAnsi="Times New Roman"/>
              </w:rPr>
              <w:t xml:space="preserve">. </w:t>
            </w:r>
            <w:r>
              <w:rPr>
                <w:rFonts w:ascii="Times New Roman" w:hAnsi="Times New Roman"/>
              </w:rPr>
              <w:lastRenderedPageBreak/>
              <w:t xml:space="preserve">Through this it would </w:t>
            </w:r>
            <w:r w:rsidR="00657DAB" w:rsidRPr="009F476B">
              <w:rPr>
                <w:rFonts w:ascii="Times New Roman" w:hAnsi="Times New Roman"/>
              </w:rPr>
              <w:t xml:space="preserve">strengthen EGA’s capacity in collecting, analyzing, and monitoring </w:t>
            </w:r>
            <w:r>
              <w:rPr>
                <w:rFonts w:ascii="Times New Roman" w:hAnsi="Times New Roman"/>
              </w:rPr>
              <w:t xml:space="preserve">environmental information </w:t>
            </w:r>
            <w:r w:rsidR="00657DAB" w:rsidRPr="009F476B">
              <w:rPr>
                <w:rFonts w:ascii="Times New Roman" w:hAnsi="Times New Roman"/>
              </w:rPr>
              <w:t xml:space="preserve">through the effective use of advanced laboratories. </w:t>
            </w:r>
            <w:r>
              <w:rPr>
                <w:rFonts w:ascii="Times New Roman" w:hAnsi="Times New Roman"/>
              </w:rPr>
              <w:t>For a</w:t>
            </w:r>
            <w:r w:rsidR="00657DAB" w:rsidRPr="009F476B">
              <w:rPr>
                <w:rFonts w:ascii="Times New Roman" w:hAnsi="Times New Roman"/>
              </w:rPr>
              <w:t>ll these efforts to make greater contribution to the environment</w:t>
            </w:r>
            <w:r>
              <w:rPr>
                <w:rFonts w:ascii="Times New Roman" w:hAnsi="Times New Roman"/>
              </w:rPr>
              <w:t>, they</w:t>
            </w:r>
            <w:r w:rsidR="00657DAB" w:rsidRPr="009F476B">
              <w:rPr>
                <w:rFonts w:ascii="Times New Roman" w:hAnsi="Times New Roman"/>
              </w:rPr>
              <w:t xml:space="preserve"> require a reliable cap</w:t>
            </w:r>
            <w:r>
              <w:rPr>
                <w:rFonts w:ascii="Times New Roman" w:hAnsi="Times New Roman"/>
              </w:rPr>
              <w:t>acity, institutional and personne</w:t>
            </w:r>
            <w:r w:rsidR="00657DAB" w:rsidRPr="009F476B">
              <w:rPr>
                <w:rFonts w:ascii="Times New Roman" w:hAnsi="Times New Roman"/>
              </w:rPr>
              <w:t>l</w:t>
            </w:r>
            <w:r>
              <w:rPr>
                <w:rFonts w:ascii="Times New Roman" w:hAnsi="Times New Roman"/>
              </w:rPr>
              <w:t>,</w:t>
            </w:r>
            <w:r w:rsidR="00657DAB" w:rsidRPr="009F476B">
              <w:rPr>
                <w:rFonts w:ascii="Times New Roman" w:hAnsi="Times New Roman"/>
              </w:rPr>
              <w:t xml:space="preserve"> to perform a comprehensive analysis </w:t>
            </w:r>
            <w:r w:rsidR="00316DD1" w:rsidRPr="009F476B">
              <w:rPr>
                <w:rFonts w:ascii="Times New Roman" w:hAnsi="Times New Roman"/>
              </w:rPr>
              <w:t>to</w:t>
            </w:r>
            <w:r w:rsidR="00657DAB" w:rsidRPr="009F476B">
              <w:rPr>
                <w:rFonts w:ascii="Times New Roman" w:hAnsi="Times New Roman"/>
              </w:rPr>
              <w:t xml:space="preserve"> consolidate </w:t>
            </w:r>
            <w:r>
              <w:rPr>
                <w:rFonts w:ascii="Times New Roman" w:hAnsi="Times New Roman"/>
              </w:rPr>
              <w:t>a</w:t>
            </w:r>
            <w:r w:rsidR="00CC3C4D">
              <w:rPr>
                <w:rFonts w:ascii="Times New Roman" w:hAnsi="Times New Roman"/>
              </w:rPr>
              <w:t>n evidence-based</w:t>
            </w:r>
            <w:r>
              <w:rPr>
                <w:rFonts w:ascii="Times New Roman" w:hAnsi="Times New Roman"/>
              </w:rPr>
              <w:t xml:space="preserve"> </w:t>
            </w:r>
            <w:r w:rsidR="00657DAB" w:rsidRPr="009F476B">
              <w:rPr>
                <w:rFonts w:ascii="Times New Roman" w:hAnsi="Times New Roman"/>
              </w:rPr>
              <w:t xml:space="preserve">national programme for environment action.  UNDP was trying through this project to identify the areas of intervention to tackle the country constrains and limitations. </w:t>
            </w:r>
            <w:r w:rsidR="00CC3C4D">
              <w:rPr>
                <w:rFonts w:ascii="Times New Roman" w:hAnsi="Times New Roman"/>
              </w:rPr>
              <w:t xml:space="preserve">However, </w:t>
            </w:r>
            <w:r w:rsidR="00657DAB" w:rsidRPr="009F476B">
              <w:rPr>
                <w:rFonts w:ascii="Times New Roman" w:hAnsi="Times New Roman"/>
              </w:rPr>
              <w:t xml:space="preserve">the political division </w:t>
            </w:r>
            <w:r w:rsidR="00CC3C4D">
              <w:rPr>
                <w:rFonts w:ascii="Times New Roman" w:hAnsi="Times New Roman"/>
              </w:rPr>
              <w:t xml:space="preserve">and hostile </w:t>
            </w:r>
            <w:r w:rsidR="00657DAB" w:rsidRPr="009F476B">
              <w:rPr>
                <w:rFonts w:ascii="Times New Roman" w:hAnsi="Times New Roman"/>
              </w:rPr>
              <w:t xml:space="preserve">security situation </w:t>
            </w:r>
            <w:r w:rsidR="00CC3C4D">
              <w:rPr>
                <w:rFonts w:ascii="Times New Roman" w:hAnsi="Times New Roman"/>
              </w:rPr>
              <w:t xml:space="preserve">prevented the achievement of </w:t>
            </w:r>
            <w:r w:rsidR="00657DAB" w:rsidRPr="009F476B">
              <w:rPr>
                <w:rFonts w:ascii="Times New Roman" w:hAnsi="Times New Roman"/>
              </w:rPr>
              <w:t>intended results</w:t>
            </w:r>
            <w:r w:rsidR="00CC3C4D">
              <w:rPr>
                <w:rFonts w:ascii="Times New Roman" w:hAnsi="Times New Roman"/>
              </w:rPr>
              <w:t>.</w:t>
            </w:r>
            <w:r w:rsidR="00657DAB" w:rsidRPr="009F476B">
              <w:rPr>
                <w:rFonts w:ascii="Times New Roman" w:hAnsi="Times New Roman"/>
              </w:rPr>
              <w:t xml:space="preserve"> </w:t>
            </w:r>
          </w:p>
          <w:p w14:paraId="4AEE4021" w14:textId="77777777" w:rsidR="001F3C27" w:rsidRPr="009F476B" w:rsidRDefault="001F3C27" w:rsidP="00E3399B">
            <w:pPr>
              <w:pStyle w:val="BodyText2"/>
              <w:spacing w:line="276" w:lineRule="auto"/>
              <w:jc w:val="both"/>
              <w:rPr>
                <w:rFonts w:ascii="Times New Roman" w:hAnsi="Times New Roman"/>
                <w:u w:val="single"/>
              </w:rPr>
            </w:pPr>
          </w:p>
          <w:p w14:paraId="311F0828" w14:textId="77777777" w:rsidR="00657DAB" w:rsidRPr="009F476B" w:rsidRDefault="001F3C27" w:rsidP="00CC3C4D">
            <w:pPr>
              <w:pStyle w:val="BodyText2"/>
              <w:spacing w:line="276" w:lineRule="auto"/>
              <w:jc w:val="both"/>
              <w:rPr>
                <w:rFonts w:ascii="Times New Roman" w:hAnsi="Times New Roman"/>
                <w:u w:val="single"/>
              </w:rPr>
            </w:pPr>
            <w:r w:rsidRPr="009F476B">
              <w:rPr>
                <w:rFonts w:ascii="Times New Roman" w:hAnsi="Times New Roman"/>
              </w:rPr>
              <w:t xml:space="preserve">There is no </w:t>
            </w:r>
            <w:r w:rsidR="00CC3C4D">
              <w:rPr>
                <w:rFonts w:ascii="Times New Roman" w:hAnsi="Times New Roman"/>
              </w:rPr>
              <w:t xml:space="preserve">immediate </w:t>
            </w:r>
            <w:r w:rsidRPr="009F476B">
              <w:rPr>
                <w:rFonts w:ascii="Times New Roman" w:hAnsi="Times New Roman"/>
              </w:rPr>
              <w:t xml:space="preserve">plan for </w:t>
            </w:r>
            <w:r w:rsidR="00CC3C4D">
              <w:rPr>
                <w:rFonts w:ascii="Times New Roman" w:hAnsi="Times New Roman"/>
              </w:rPr>
              <w:t>UNDP to revive the Environment portfolio</w:t>
            </w:r>
            <w:r w:rsidRPr="009F476B">
              <w:rPr>
                <w:rFonts w:ascii="Times New Roman" w:hAnsi="Times New Roman"/>
              </w:rPr>
              <w:t xml:space="preserve"> </w:t>
            </w:r>
            <w:r w:rsidR="00CC3C4D">
              <w:rPr>
                <w:rFonts w:ascii="Times New Roman" w:hAnsi="Times New Roman"/>
              </w:rPr>
              <w:t xml:space="preserve">until </w:t>
            </w:r>
            <w:r w:rsidRPr="009F476B">
              <w:rPr>
                <w:rFonts w:ascii="Times New Roman" w:hAnsi="Times New Roman"/>
              </w:rPr>
              <w:t xml:space="preserve">the situation in Libya improves. In this </w:t>
            </w:r>
            <w:r w:rsidR="008E1B9D" w:rsidRPr="009F476B">
              <w:rPr>
                <w:rFonts w:ascii="Times New Roman" w:hAnsi="Times New Roman"/>
              </w:rPr>
              <w:t>case, the</w:t>
            </w:r>
            <w:r w:rsidRPr="009F476B">
              <w:rPr>
                <w:rFonts w:ascii="Times New Roman" w:hAnsi="Times New Roman"/>
              </w:rPr>
              <w:t xml:space="preserve"> targeting of women for inclusion in the program and mainstreaming gender will be prioritized as part of</w:t>
            </w:r>
            <w:r w:rsidR="00CC3C4D">
              <w:rPr>
                <w:rFonts w:ascii="Times New Roman" w:hAnsi="Times New Roman"/>
              </w:rPr>
              <w:t xml:space="preserve"> environmental programming</w:t>
            </w:r>
            <w:r w:rsidR="004B4BD8" w:rsidRPr="009F476B">
              <w:rPr>
                <w:rFonts w:ascii="Times New Roman" w:hAnsi="Times New Roman"/>
              </w:rPr>
              <w:t>.</w:t>
            </w:r>
          </w:p>
        </w:tc>
      </w:tr>
    </w:tbl>
    <w:p w14:paraId="2EA215B0" w14:textId="77777777" w:rsidR="00412FDA" w:rsidRPr="009F476B" w:rsidRDefault="00412FDA" w:rsidP="00E3399B">
      <w:pPr>
        <w:spacing w:line="276" w:lineRule="auto"/>
        <w:jc w:val="both"/>
        <w:rPr>
          <w:sz w:val="20"/>
        </w:rPr>
      </w:pPr>
    </w:p>
    <w:p w14:paraId="1B26BCCF" w14:textId="77777777" w:rsidR="00E37E7A" w:rsidRPr="009F476B" w:rsidRDefault="00EA7740" w:rsidP="00E3399B">
      <w:pPr>
        <w:pStyle w:val="BodyText2"/>
        <w:spacing w:line="276" w:lineRule="auto"/>
        <w:jc w:val="both"/>
        <w:rPr>
          <w:rFonts w:ascii="Times New Roman" w:hAnsi="Times New Roman"/>
          <w:b/>
          <w:bCs/>
          <w:u w:val="single"/>
        </w:rPr>
      </w:pPr>
      <w:r w:rsidRPr="009F476B">
        <w:rPr>
          <w:rFonts w:ascii="Times New Roman" w:hAnsi="Times New Roman"/>
          <w:b/>
          <w:bCs/>
          <w:u w:val="single"/>
        </w:rPr>
        <w:t xml:space="preserve">III. </w:t>
      </w:r>
      <w:r w:rsidR="00673710" w:rsidRPr="009F476B">
        <w:rPr>
          <w:rFonts w:ascii="Times New Roman" w:hAnsi="Times New Roman"/>
          <w:b/>
          <w:bCs/>
          <w:u w:val="single"/>
        </w:rPr>
        <w:t xml:space="preserve">Country Programme </w:t>
      </w:r>
      <w:r w:rsidR="00E37E7A" w:rsidRPr="009F476B">
        <w:rPr>
          <w:rFonts w:ascii="Times New Roman" w:hAnsi="Times New Roman"/>
          <w:b/>
          <w:bCs/>
          <w:u w:val="single"/>
        </w:rPr>
        <w:t>Resources</w:t>
      </w:r>
    </w:p>
    <w:p w14:paraId="382609B2" w14:textId="77777777" w:rsidR="00645B0B" w:rsidRPr="009F476B" w:rsidRDefault="00645B0B" w:rsidP="00E3399B">
      <w:pPr>
        <w:pStyle w:val="BodyText2"/>
        <w:spacing w:line="276" w:lineRule="auto"/>
        <w:jc w:val="both"/>
        <w:rPr>
          <w:rFonts w:ascii="Times New Roman" w:hAnsi="Times New Roman"/>
        </w:rPr>
      </w:pPr>
    </w:p>
    <w:p w14:paraId="1D47440B" w14:textId="77777777" w:rsidR="000061F9" w:rsidRPr="000061F9" w:rsidRDefault="000061F9" w:rsidP="000061F9">
      <w:pPr>
        <w:widowControl/>
        <w:spacing w:line="230" w:lineRule="atLeast"/>
        <w:jc w:val="both"/>
        <w:rPr>
          <w:rFonts w:ascii="Arial" w:hAnsi="Arial" w:cs="Arial"/>
          <w:color w:val="000000"/>
          <w:sz w:val="20"/>
        </w:rPr>
      </w:pPr>
      <w:r w:rsidRPr="000061F9">
        <w:rPr>
          <w:color w:val="000000"/>
          <w:sz w:val="20"/>
        </w:rPr>
        <w:t> </w:t>
      </w:r>
    </w:p>
    <w:tbl>
      <w:tblPr>
        <w:tblW w:w="0" w:type="auto"/>
        <w:tblCellMar>
          <w:left w:w="0" w:type="dxa"/>
          <w:right w:w="0" w:type="dxa"/>
        </w:tblCellMar>
        <w:tblLook w:val="04A0" w:firstRow="1" w:lastRow="0" w:firstColumn="1" w:lastColumn="0" w:noHBand="0" w:noVBand="1"/>
      </w:tblPr>
      <w:tblGrid>
        <w:gridCol w:w="6094"/>
        <w:gridCol w:w="1867"/>
        <w:gridCol w:w="2047"/>
        <w:gridCol w:w="1960"/>
        <w:gridCol w:w="1972"/>
      </w:tblGrid>
      <w:tr w:rsidR="000061F9" w:rsidRPr="000061F9" w14:paraId="3ED6C091" w14:textId="77777777" w:rsidTr="00A9415F">
        <w:tc>
          <w:tcPr>
            <w:tcW w:w="6228"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520A28AC" w14:textId="77777777" w:rsidR="000061F9" w:rsidRPr="000061F9" w:rsidRDefault="000061F9" w:rsidP="000061F9">
            <w:pPr>
              <w:widowControl/>
              <w:spacing w:line="230" w:lineRule="atLeast"/>
              <w:jc w:val="center"/>
              <w:rPr>
                <w:rFonts w:ascii="Arial" w:hAnsi="Arial" w:cs="Arial"/>
                <w:sz w:val="20"/>
                <w:lang w:val="it-IT"/>
              </w:rPr>
            </w:pPr>
            <w:r w:rsidRPr="000061F9">
              <w:rPr>
                <w:b/>
                <w:bCs/>
                <w:color w:val="FFFFFF"/>
                <w:sz w:val="20"/>
              </w:rPr>
              <w:t>Focus Area 2012-2018</w:t>
            </w:r>
          </w:p>
        </w:tc>
        <w:tc>
          <w:tcPr>
            <w:tcW w:w="5940" w:type="dxa"/>
            <w:gridSpan w:val="3"/>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6AC71DAE" w14:textId="77777777" w:rsidR="000061F9" w:rsidRPr="000061F9" w:rsidRDefault="000061F9" w:rsidP="000061F9">
            <w:pPr>
              <w:widowControl/>
              <w:spacing w:line="230" w:lineRule="atLeast"/>
              <w:jc w:val="center"/>
              <w:rPr>
                <w:rFonts w:ascii="Arial" w:hAnsi="Arial" w:cs="Arial"/>
                <w:sz w:val="20"/>
                <w:lang w:val="it-IT"/>
              </w:rPr>
            </w:pPr>
            <w:r w:rsidRPr="000061F9">
              <w:rPr>
                <w:b/>
                <w:bCs/>
                <w:color w:val="FFFFFF"/>
                <w:sz w:val="20"/>
              </w:rPr>
              <w:t>Programme Expenditure ($)</w:t>
            </w:r>
          </w:p>
        </w:tc>
        <w:tc>
          <w:tcPr>
            <w:tcW w:w="2008"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73CA9C30" w14:textId="77777777" w:rsidR="000061F9" w:rsidRPr="000061F9" w:rsidRDefault="000061F9" w:rsidP="000061F9">
            <w:pPr>
              <w:widowControl/>
              <w:spacing w:line="230" w:lineRule="atLeast"/>
              <w:jc w:val="center"/>
              <w:rPr>
                <w:rFonts w:ascii="Arial" w:hAnsi="Arial" w:cs="Arial"/>
                <w:sz w:val="20"/>
                <w:lang w:val="it-IT"/>
              </w:rPr>
            </w:pPr>
            <w:r w:rsidRPr="000061F9">
              <w:rPr>
                <w:b/>
                <w:bCs/>
                <w:color w:val="FFFFFF"/>
                <w:sz w:val="20"/>
              </w:rPr>
              <w:t>% of Total</w:t>
            </w:r>
          </w:p>
        </w:tc>
      </w:tr>
      <w:tr w:rsidR="000061F9" w:rsidRPr="000061F9" w14:paraId="760AF43C" w14:textId="77777777" w:rsidTr="00A9415F">
        <w:tc>
          <w:tcPr>
            <w:tcW w:w="6228"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4FA66081" w14:textId="77777777" w:rsidR="000061F9" w:rsidRPr="000061F9" w:rsidRDefault="000061F9" w:rsidP="000061F9">
            <w:pPr>
              <w:widowControl/>
              <w:spacing w:line="230" w:lineRule="atLeast"/>
              <w:rPr>
                <w:rFonts w:ascii="Arial" w:hAnsi="Arial" w:cs="Arial"/>
                <w:sz w:val="20"/>
                <w:lang w:val="it-IT"/>
              </w:rPr>
            </w:pPr>
            <w:r w:rsidRPr="000061F9">
              <w:rPr>
                <w:sz w:val="20"/>
              </w:rPr>
              <w:t> </w:t>
            </w:r>
          </w:p>
        </w:tc>
        <w:tc>
          <w:tcPr>
            <w:tcW w:w="189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CD108EF" w14:textId="77777777" w:rsidR="000061F9" w:rsidRPr="000061F9" w:rsidRDefault="000061F9" w:rsidP="000061F9">
            <w:pPr>
              <w:widowControl/>
              <w:spacing w:line="230" w:lineRule="atLeast"/>
              <w:jc w:val="center"/>
              <w:rPr>
                <w:rFonts w:ascii="Arial" w:hAnsi="Arial" w:cs="Arial"/>
                <w:sz w:val="20"/>
                <w:lang w:val="it-IT"/>
              </w:rPr>
            </w:pPr>
            <w:r w:rsidRPr="000061F9">
              <w:rPr>
                <w:sz w:val="20"/>
              </w:rPr>
              <w:t>Regular (TRAC)</w:t>
            </w:r>
          </w:p>
        </w:tc>
        <w:tc>
          <w:tcPr>
            <w:tcW w:w="207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A508B05" w14:textId="77777777" w:rsidR="000061F9" w:rsidRPr="000061F9" w:rsidRDefault="000061F9" w:rsidP="000061F9">
            <w:pPr>
              <w:widowControl/>
              <w:spacing w:line="230" w:lineRule="atLeast"/>
              <w:jc w:val="center"/>
              <w:rPr>
                <w:rFonts w:ascii="Arial" w:hAnsi="Arial" w:cs="Arial"/>
                <w:sz w:val="20"/>
                <w:lang w:val="it-IT"/>
              </w:rPr>
            </w:pPr>
            <w:r w:rsidRPr="000061F9">
              <w:rPr>
                <w:sz w:val="20"/>
              </w:rPr>
              <w:t>Other</w:t>
            </w:r>
          </w:p>
        </w:tc>
        <w:tc>
          <w:tcPr>
            <w:tcW w:w="198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EF2229F" w14:textId="77777777" w:rsidR="000061F9" w:rsidRPr="000061F9" w:rsidRDefault="000061F9" w:rsidP="000061F9">
            <w:pPr>
              <w:widowControl/>
              <w:spacing w:line="230" w:lineRule="atLeast"/>
              <w:jc w:val="center"/>
              <w:rPr>
                <w:rFonts w:ascii="Arial" w:hAnsi="Arial" w:cs="Arial"/>
                <w:sz w:val="20"/>
                <w:lang w:val="it-IT"/>
              </w:rPr>
            </w:pPr>
            <w:r w:rsidRPr="000061F9">
              <w:rPr>
                <w:sz w:val="20"/>
              </w:rPr>
              <w:t>Total</w:t>
            </w:r>
          </w:p>
        </w:tc>
        <w:tc>
          <w:tcPr>
            <w:tcW w:w="200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6A270580" w14:textId="77777777" w:rsidR="000061F9" w:rsidRPr="000061F9" w:rsidRDefault="000061F9" w:rsidP="000061F9">
            <w:pPr>
              <w:widowControl/>
              <w:spacing w:line="230" w:lineRule="atLeast"/>
              <w:jc w:val="center"/>
              <w:rPr>
                <w:rFonts w:ascii="Arial" w:hAnsi="Arial" w:cs="Arial"/>
                <w:sz w:val="20"/>
                <w:lang w:val="it-IT"/>
              </w:rPr>
            </w:pPr>
            <w:r w:rsidRPr="000061F9">
              <w:rPr>
                <w:sz w:val="20"/>
              </w:rPr>
              <w:t> </w:t>
            </w:r>
          </w:p>
        </w:tc>
      </w:tr>
      <w:tr w:rsidR="000061F9" w:rsidRPr="000061F9" w14:paraId="132AEDA9" w14:textId="77777777" w:rsidTr="00A9415F">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8A1DA" w14:textId="77777777" w:rsidR="000061F9" w:rsidRPr="000061F9" w:rsidRDefault="000061F9" w:rsidP="000061F9">
            <w:pPr>
              <w:widowControl/>
              <w:spacing w:line="230" w:lineRule="atLeast"/>
              <w:rPr>
                <w:rFonts w:ascii="Arial" w:hAnsi="Arial" w:cs="Arial"/>
                <w:sz w:val="20"/>
                <w:lang w:val="it-IT"/>
              </w:rPr>
            </w:pPr>
            <w:r w:rsidRPr="000061F9">
              <w:rPr>
                <w:sz w:val="20"/>
              </w:rPr>
              <w:t>Poverty and MDGs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675EC02"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3,248,621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4EBCAF6"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52,919,531</w:t>
            </w:r>
          </w:p>
          <w:p w14:paraId="14D62F17" w14:textId="77777777" w:rsidR="000061F9" w:rsidRPr="000061F9" w:rsidRDefault="000061F9" w:rsidP="000061F9">
            <w:pPr>
              <w:widowControl/>
              <w:spacing w:line="230" w:lineRule="atLeast"/>
              <w:jc w:val="center"/>
              <w:rPr>
                <w:rFonts w:ascii="Calibri" w:hAnsi="Calibri" w:cs="Calibri"/>
                <w:sz w:val="20"/>
                <w:lang w:val="it-IT"/>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D9323C"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56,168,152</w:t>
            </w:r>
          </w:p>
          <w:p w14:paraId="6269206E" w14:textId="77777777" w:rsidR="000061F9" w:rsidRPr="000061F9" w:rsidRDefault="000061F9" w:rsidP="000061F9">
            <w:pPr>
              <w:widowControl/>
              <w:spacing w:line="253" w:lineRule="atLeast"/>
              <w:jc w:val="center"/>
              <w:rPr>
                <w:rFonts w:ascii="Calibri" w:hAnsi="Calibri" w:cs="Calibri"/>
                <w:sz w:val="20"/>
                <w:lang w:val="it-IT"/>
              </w:rPr>
            </w:pP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760E06E1" w14:textId="77777777" w:rsidR="000061F9" w:rsidRPr="000061F9" w:rsidRDefault="000061F9" w:rsidP="000061F9">
            <w:pPr>
              <w:widowControl/>
              <w:spacing w:line="230" w:lineRule="atLeast"/>
              <w:jc w:val="center"/>
              <w:rPr>
                <w:rFonts w:ascii="Calibri" w:hAnsi="Calibri" w:cs="Calibri"/>
                <w:sz w:val="20"/>
                <w:lang w:val="it-IT"/>
              </w:rPr>
            </w:pPr>
            <w:r w:rsidRPr="000061F9">
              <w:rPr>
                <w:rFonts w:ascii="Calibri" w:hAnsi="Calibri" w:cs="Calibri"/>
                <w:sz w:val="20"/>
              </w:rPr>
              <w:t>39,33 %</w:t>
            </w:r>
          </w:p>
        </w:tc>
      </w:tr>
      <w:tr w:rsidR="000061F9" w:rsidRPr="000061F9" w14:paraId="71A42B4D" w14:textId="77777777" w:rsidTr="00A9415F">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C330D" w14:textId="77777777" w:rsidR="000061F9" w:rsidRPr="000061F9" w:rsidRDefault="000061F9" w:rsidP="000061F9">
            <w:pPr>
              <w:widowControl/>
              <w:spacing w:line="230" w:lineRule="atLeast"/>
              <w:rPr>
                <w:rFonts w:ascii="Arial" w:hAnsi="Arial" w:cs="Arial"/>
                <w:sz w:val="20"/>
                <w:lang w:val="it-IT"/>
              </w:rPr>
            </w:pPr>
            <w:r w:rsidRPr="000061F9">
              <w:rPr>
                <w:sz w:val="20"/>
              </w:rPr>
              <w:t>Democratic Governance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06F5E94"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637,402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B8C1A20"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36,260,688</w:t>
            </w:r>
          </w:p>
          <w:p w14:paraId="08D3069C" w14:textId="77777777" w:rsidR="000061F9" w:rsidRPr="000061F9" w:rsidRDefault="000061F9" w:rsidP="000061F9">
            <w:pPr>
              <w:widowControl/>
              <w:spacing w:line="230" w:lineRule="atLeast"/>
              <w:jc w:val="center"/>
              <w:rPr>
                <w:rFonts w:ascii="Calibri" w:hAnsi="Calibri" w:cs="Calibri"/>
                <w:sz w:val="20"/>
                <w:lang w:val="it-IT"/>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2B13F01"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36,898,090</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04CAC2EA" w14:textId="77777777" w:rsidR="000061F9" w:rsidRPr="000061F9" w:rsidRDefault="000061F9" w:rsidP="000061F9">
            <w:pPr>
              <w:widowControl/>
              <w:spacing w:line="230" w:lineRule="atLeast"/>
              <w:jc w:val="center"/>
              <w:rPr>
                <w:rFonts w:ascii="Calibri" w:hAnsi="Calibri" w:cs="Calibri"/>
                <w:sz w:val="20"/>
                <w:lang w:val="it-IT"/>
              </w:rPr>
            </w:pPr>
            <w:r w:rsidRPr="000061F9">
              <w:rPr>
                <w:rFonts w:ascii="Calibri" w:hAnsi="Calibri" w:cs="Calibri"/>
                <w:sz w:val="20"/>
              </w:rPr>
              <w:t>25,84 %</w:t>
            </w:r>
          </w:p>
        </w:tc>
      </w:tr>
      <w:tr w:rsidR="000061F9" w:rsidRPr="000061F9" w14:paraId="768F698D" w14:textId="77777777" w:rsidTr="00A9415F">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E0DD4" w14:textId="77777777" w:rsidR="000061F9" w:rsidRPr="000061F9" w:rsidRDefault="000061F9" w:rsidP="000061F9">
            <w:pPr>
              <w:widowControl/>
              <w:spacing w:line="230" w:lineRule="atLeast"/>
              <w:rPr>
                <w:rFonts w:ascii="Arial" w:hAnsi="Arial" w:cs="Arial"/>
                <w:sz w:val="20"/>
                <w:lang w:val="it-IT"/>
              </w:rPr>
            </w:pPr>
            <w:r w:rsidRPr="000061F9">
              <w:rPr>
                <w:sz w:val="20"/>
              </w:rPr>
              <w:t>Crisis Prevention and Recovery</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6054460"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725,769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31CDFDA"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48,732,049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5C4AB40"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49,457,818</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44EA9629" w14:textId="77777777" w:rsidR="000061F9" w:rsidRPr="000061F9" w:rsidRDefault="000061F9" w:rsidP="000061F9">
            <w:pPr>
              <w:widowControl/>
              <w:spacing w:line="230" w:lineRule="atLeast"/>
              <w:jc w:val="center"/>
              <w:rPr>
                <w:rFonts w:ascii="Calibri" w:hAnsi="Calibri" w:cs="Calibri"/>
                <w:sz w:val="20"/>
                <w:lang w:val="it-IT"/>
              </w:rPr>
            </w:pPr>
            <w:r w:rsidRPr="000061F9">
              <w:rPr>
                <w:rFonts w:ascii="Calibri" w:hAnsi="Calibri" w:cs="Calibri"/>
                <w:sz w:val="20"/>
              </w:rPr>
              <w:t>34,63 %</w:t>
            </w:r>
          </w:p>
        </w:tc>
      </w:tr>
      <w:tr w:rsidR="000061F9" w:rsidRPr="000061F9" w14:paraId="00D33786" w14:textId="77777777" w:rsidTr="00A9415F">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12B13" w14:textId="77777777" w:rsidR="000061F9" w:rsidRPr="000061F9" w:rsidRDefault="000061F9" w:rsidP="000061F9">
            <w:pPr>
              <w:widowControl/>
              <w:spacing w:line="230" w:lineRule="atLeast"/>
              <w:rPr>
                <w:rFonts w:ascii="Arial" w:hAnsi="Arial" w:cs="Arial"/>
                <w:sz w:val="20"/>
                <w:lang w:val="it-IT"/>
              </w:rPr>
            </w:pPr>
            <w:r w:rsidRPr="000061F9">
              <w:rPr>
                <w:sz w:val="20"/>
              </w:rPr>
              <w:t>Environment and Sustainable Development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16E649F" w14:textId="77777777" w:rsidR="000061F9" w:rsidRPr="000061F9" w:rsidRDefault="000061F9" w:rsidP="000061F9">
            <w:pPr>
              <w:widowControl/>
              <w:spacing w:line="230" w:lineRule="atLeast"/>
              <w:rPr>
                <w:rFonts w:ascii="Calibri" w:hAnsi="Calibri" w:cs="Calibri"/>
                <w:sz w:val="20"/>
                <w:lang w:val="it-IT"/>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317172F" w14:textId="77777777" w:rsidR="000061F9" w:rsidRPr="000061F9" w:rsidRDefault="000061F9" w:rsidP="000061F9">
            <w:pPr>
              <w:widowControl/>
              <w:rPr>
                <w:rFonts w:ascii="Calibri" w:hAnsi="Calibri" w:cs="Calibri"/>
                <w:color w:val="000000"/>
                <w:sz w:val="20"/>
                <w:lang w:val="it-IT"/>
              </w:rPr>
            </w:pPr>
            <w:r w:rsidRPr="000061F9">
              <w:rPr>
                <w:rFonts w:ascii="Calibri" w:hAnsi="Calibri" w:cs="Calibri"/>
                <w:color w:val="000000"/>
                <w:sz w:val="20"/>
                <w:lang w:val="it-IT" w:eastAsia="it-IT"/>
              </w:rPr>
              <w:t xml:space="preserve">           275,940</w:t>
            </w:r>
          </w:p>
          <w:p w14:paraId="77E11D5E" w14:textId="77777777" w:rsidR="000061F9" w:rsidRPr="000061F9" w:rsidRDefault="000061F9" w:rsidP="000061F9">
            <w:pPr>
              <w:widowControl/>
              <w:spacing w:line="253" w:lineRule="atLeast"/>
              <w:jc w:val="center"/>
              <w:rPr>
                <w:rFonts w:ascii="Calibri" w:hAnsi="Calibri" w:cs="Calibri"/>
                <w:sz w:val="20"/>
                <w:lang w:val="it-IT"/>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30A14D" w14:textId="77777777" w:rsidR="000061F9" w:rsidRPr="000061F9" w:rsidRDefault="000061F9" w:rsidP="000061F9">
            <w:pPr>
              <w:widowControl/>
              <w:jc w:val="center"/>
              <w:rPr>
                <w:rFonts w:ascii="Calibri" w:hAnsi="Calibri" w:cs="Calibri"/>
                <w:color w:val="000000"/>
                <w:sz w:val="20"/>
                <w:lang w:val="it-IT"/>
              </w:rPr>
            </w:pPr>
            <w:r w:rsidRPr="000061F9">
              <w:rPr>
                <w:rFonts w:ascii="Calibri" w:hAnsi="Calibri" w:cs="Calibri"/>
                <w:color w:val="000000"/>
                <w:sz w:val="20"/>
                <w:lang w:val="it-IT" w:eastAsia="it-IT"/>
              </w:rPr>
              <w:t>275,940</w:t>
            </w:r>
          </w:p>
          <w:p w14:paraId="6EA8CE14" w14:textId="77777777" w:rsidR="000061F9" w:rsidRPr="000061F9" w:rsidRDefault="000061F9" w:rsidP="000061F9">
            <w:pPr>
              <w:widowControl/>
              <w:spacing w:line="253" w:lineRule="atLeast"/>
              <w:jc w:val="center"/>
              <w:rPr>
                <w:rFonts w:ascii="Calibri" w:hAnsi="Calibri" w:cs="Calibri"/>
                <w:sz w:val="20"/>
                <w:lang w:val="it-IT"/>
              </w:rPr>
            </w:pP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5CF6BD90" w14:textId="77777777" w:rsidR="000061F9" w:rsidRPr="000061F9" w:rsidRDefault="000061F9" w:rsidP="000061F9">
            <w:pPr>
              <w:widowControl/>
              <w:spacing w:line="230" w:lineRule="atLeast"/>
              <w:jc w:val="center"/>
              <w:rPr>
                <w:rFonts w:ascii="Calibri" w:hAnsi="Calibri" w:cs="Calibri"/>
                <w:sz w:val="20"/>
                <w:lang w:val="it-IT"/>
              </w:rPr>
            </w:pPr>
            <w:r w:rsidRPr="000061F9">
              <w:rPr>
                <w:rFonts w:ascii="Calibri" w:hAnsi="Calibri" w:cs="Calibri"/>
                <w:sz w:val="20"/>
              </w:rPr>
              <w:t>0,20 %</w:t>
            </w:r>
          </w:p>
        </w:tc>
      </w:tr>
      <w:tr w:rsidR="000061F9" w:rsidRPr="000061F9" w14:paraId="786996B1" w14:textId="77777777" w:rsidTr="00A9415F">
        <w:tc>
          <w:tcPr>
            <w:tcW w:w="6228"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4205CCF9" w14:textId="77777777" w:rsidR="000061F9" w:rsidRPr="000061F9" w:rsidRDefault="000061F9" w:rsidP="000061F9">
            <w:pPr>
              <w:widowControl/>
              <w:spacing w:line="230" w:lineRule="atLeast"/>
              <w:jc w:val="center"/>
              <w:rPr>
                <w:rFonts w:ascii="Arial" w:hAnsi="Arial" w:cs="Arial"/>
                <w:sz w:val="20"/>
                <w:lang w:val="it-IT"/>
              </w:rPr>
            </w:pPr>
            <w:r w:rsidRPr="000061F9">
              <w:rPr>
                <w:sz w:val="20"/>
              </w:rPr>
              <w:t>Total</w:t>
            </w:r>
          </w:p>
        </w:tc>
        <w:tc>
          <w:tcPr>
            <w:tcW w:w="189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3953642" w14:textId="77777777" w:rsidR="000061F9" w:rsidRPr="000061F9" w:rsidRDefault="000061F9" w:rsidP="000061F9">
            <w:pPr>
              <w:widowControl/>
              <w:spacing w:line="253" w:lineRule="atLeast"/>
              <w:jc w:val="center"/>
              <w:rPr>
                <w:rFonts w:ascii="Calibri" w:hAnsi="Calibri" w:cs="Calibri"/>
                <w:sz w:val="22"/>
                <w:szCs w:val="22"/>
                <w:lang w:val="it-IT"/>
              </w:rPr>
            </w:pPr>
            <w:r w:rsidRPr="000061F9">
              <w:rPr>
                <w:rFonts w:ascii="Calibri" w:hAnsi="Calibri" w:cs="Calibri"/>
                <w:sz w:val="20"/>
                <w:lang w:val="it-IT"/>
              </w:rPr>
              <w:t>4,611,792</w:t>
            </w:r>
          </w:p>
        </w:tc>
        <w:tc>
          <w:tcPr>
            <w:tcW w:w="207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3E4F8A6C"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138,188,208</w:t>
            </w:r>
          </w:p>
        </w:tc>
        <w:tc>
          <w:tcPr>
            <w:tcW w:w="198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0C7E223C" w14:textId="77777777" w:rsidR="000061F9" w:rsidRPr="000061F9" w:rsidRDefault="000061F9" w:rsidP="000061F9">
            <w:pPr>
              <w:widowControl/>
              <w:spacing w:line="253" w:lineRule="atLeast"/>
              <w:jc w:val="center"/>
              <w:rPr>
                <w:rFonts w:ascii="Calibri" w:hAnsi="Calibri" w:cs="Calibri"/>
                <w:sz w:val="20"/>
                <w:lang w:val="it-IT"/>
              </w:rPr>
            </w:pPr>
            <w:r w:rsidRPr="000061F9">
              <w:rPr>
                <w:rFonts w:ascii="Calibri" w:hAnsi="Calibri" w:cs="Calibri"/>
                <w:sz w:val="20"/>
                <w:lang w:val="it-IT"/>
              </w:rPr>
              <w:t>142,800.000</w:t>
            </w:r>
          </w:p>
        </w:tc>
        <w:tc>
          <w:tcPr>
            <w:tcW w:w="200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DF418D5" w14:textId="77777777" w:rsidR="000061F9" w:rsidRPr="000061F9" w:rsidRDefault="000061F9" w:rsidP="000061F9">
            <w:pPr>
              <w:widowControl/>
              <w:spacing w:line="230" w:lineRule="atLeast"/>
              <w:jc w:val="center"/>
              <w:rPr>
                <w:rFonts w:ascii="Arial" w:hAnsi="Arial" w:cs="Arial"/>
                <w:sz w:val="20"/>
              </w:rPr>
            </w:pPr>
            <w:r w:rsidRPr="000061F9">
              <w:rPr>
                <w:sz w:val="20"/>
              </w:rPr>
              <w:t>100</w:t>
            </w:r>
          </w:p>
        </w:tc>
      </w:tr>
    </w:tbl>
    <w:p w14:paraId="05C6F30C" w14:textId="77777777" w:rsidR="000061F9" w:rsidRPr="000061F9" w:rsidRDefault="000061F9" w:rsidP="000061F9">
      <w:pPr>
        <w:widowControl/>
        <w:spacing w:line="230" w:lineRule="atLeast"/>
        <w:jc w:val="both"/>
        <w:rPr>
          <w:color w:val="000000"/>
          <w:sz w:val="20"/>
        </w:rPr>
      </w:pPr>
      <w:r w:rsidRPr="000061F9">
        <w:rPr>
          <w:color w:val="000000"/>
          <w:sz w:val="20"/>
        </w:rPr>
        <w:t> </w:t>
      </w:r>
    </w:p>
    <w:p w14:paraId="3C66D8D2" w14:textId="77777777" w:rsidR="000061F9" w:rsidRPr="000061F9" w:rsidRDefault="000061F9" w:rsidP="000061F9">
      <w:pPr>
        <w:widowControl/>
        <w:rPr>
          <w:rFonts w:cs="Calibri"/>
          <w:b/>
          <w:color w:val="000000"/>
          <w:szCs w:val="24"/>
          <w:lang w:val="en-GB" w:eastAsia="it-IT"/>
        </w:rPr>
      </w:pPr>
      <w:r w:rsidRPr="000061F9">
        <w:rPr>
          <w:b/>
          <w:bCs/>
          <w:color w:val="000000"/>
          <w:szCs w:val="24"/>
          <w:lang w:val="en-GB" w:eastAsia="it-IT"/>
        </w:rPr>
        <w:t>Grand Total Projected CPD: 142.80 Million USD (Programme Delivery + Management Delivery).</w:t>
      </w:r>
    </w:p>
    <w:p w14:paraId="5098B260" w14:textId="77777777" w:rsidR="000061F9" w:rsidRPr="000061F9" w:rsidRDefault="000061F9" w:rsidP="000061F9">
      <w:pPr>
        <w:widowControl/>
        <w:spacing w:line="230" w:lineRule="atLeast"/>
        <w:jc w:val="both"/>
        <w:rPr>
          <w:rFonts w:ascii="Arial" w:hAnsi="Arial" w:cs="Arial"/>
          <w:color w:val="000000"/>
          <w:sz w:val="20"/>
          <w:lang w:val="en-GB"/>
        </w:rPr>
      </w:pPr>
    </w:p>
    <w:p w14:paraId="0CFFEEA9" w14:textId="77777777" w:rsidR="000061F9" w:rsidRPr="000061F9" w:rsidRDefault="000061F9" w:rsidP="000061F9">
      <w:pPr>
        <w:widowControl/>
        <w:spacing w:line="230" w:lineRule="atLeast"/>
        <w:rPr>
          <w:rFonts w:ascii="Arial" w:hAnsi="Arial" w:cs="Arial"/>
          <w:color w:val="000000"/>
          <w:sz w:val="20"/>
        </w:rPr>
      </w:pPr>
      <w:r w:rsidRPr="000061F9">
        <w:rPr>
          <w:color w:val="000000"/>
          <w:sz w:val="20"/>
        </w:rPr>
        <w:t> </w:t>
      </w:r>
    </w:p>
    <w:tbl>
      <w:tblPr>
        <w:tblW w:w="0" w:type="auto"/>
        <w:tblCellMar>
          <w:left w:w="0" w:type="dxa"/>
          <w:right w:w="0" w:type="dxa"/>
        </w:tblCellMar>
        <w:tblLook w:val="04A0" w:firstRow="1" w:lastRow="0" w:firstColumn="1" w:lastColumn="0" w:noHBand="0" w:noVBand="1"/>
      </w:tblPr>
      <w:tblGrid>
        <w:gridCol w:w="13940"/>
      </w:tblGrid>
      <w:tr w:rsidR="000061F9" w:rsidRPr="000061F9" w14:paraId="56C6A5F7" w14:textId="77777777" w:rsidTr="00A9415F">
        <w:tc>
          <w:tcPr>
            <w:tcW w:w="14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737E71" w14:textId="77777777" w:rsidR="000061F9" w:rsidRPr="000061F9" w:rsidRDefault="000061F9" w:rsidP="000061F9">
            <w:pPr>
              <w:widowControl/>
              <w:spacing w:line="230" w:lineRule="atLeast"/>
              <w:rPr>
                <w:rFonts w:ascii="Arial" w:hAnsi="Arial" w:cs="Arial"/>
                <w:sz w:val="20"/>
              </w:rPr>
            </w:pPr>
            <w:r w:rsidRPr="000061F9">
              <w:rPr>
                <w:b/>
                <w:bCs/>
                <w:sz w:val="20"/>
              </w:rPr>
              <w:t>Data sources: (please indicate the main sources from which data were obtained for this report.)</w:t>
            </w:r>
          </w:p>
        </w:tc>
      </w:tr>
      <w:tr w:rsidR="000061F9" w:rsidRPr="000061F9" w14:paraId="03EFD07E" w14:textId="77777777" w:rsidTr="00A9415F">
        <w:tc>
          <w:tcPr>
            <w:tcW w:w="14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9EAAC" w14:textId="77777777" w:rsidR="000061F9" w:rsidRPr="000061F9" w:rsidRDefault="000061F9" w:rsidP="000061F9">
            <w:pPr>
              <w:widowControl/>
              <w:spacing w:line="230" w:lineRule="atLeast"/>
              <w:rPr>
                <w:rFonts w:ascii="Arial" w:hAnsi="Arial" w:cs="Arial"/>
                <w:sz w:val="20"/>
              </w:rPr>
            </w:pPr>
            <w:r w:rsidRPr="000061F9">
              <w:rPr>
                <w:b/>
                <w:bCs/>
                <w:sz w:val="20"/>
              </w:rPr>
              <w:t> </w:t>
            </w:r>
          </w:p>
          <w:p w14:paraId="4C0C7837" w14:textId="77777777" w:rsidR="000061F9" w:rsidRPr="000061F9" w:rsidRDefault="000061F9" w:rsidP="000061F9">
            <w:pPr>
              <w:widowControl/>
              <w:spacing w:line="230" w:lineRule="atLeast"/>
              <w:rPr>
                <w:rFonts w:ascii="Arial" w:hAnsi="Arial" w:cs="Arial"/>
                <w:sz w:val="20"/>
              </w:rPr>
            </w:pPr>
            <w:r w:rsidRPr="000061F9">
              <w:rPr>
                <w:b/>
                <w:bCs/>
                <w:sz w:val="20"/>
              </w:rPr>
              <w:t xml:space="preserve">From ExecSnapshot from Intranet </w:t>
            </w:r>
          </w:p>
          <w:p w14:paraId="156CA482" w14:textId="77777777" w:rsidR="000061F9" w:rsidRPr="000061F9" w:rsidRDefault="000061F9" w:rsidP="000061F9">
            <w:pPr>
              <w:widowControl/>
              <w:spacing w:line="230" w:lineRule="atLeast"/>
              <w:rPr>
                <w:rFonts w:ascii="Arial" w:hAnsi="Arial" w:cs="Arial"/>
                <w:sz w:val="20"/>
              </w:rPr>
            </w:pPr>
            <w:r w:rsidRPr="000061F9">
              <w:rPr>
                <w:b/>
                <w:bCs/>
                <w:sz w:val="20"/>
              </w:rPr>
              <w:t> </w:t>
            </w:r>
          </w:p>
        </w:tc>
      </w:tr>
    </w:tbl>
    <w:p w14:paraId="221E2D45" w14:textId="77777777" w:rsidR="000061F9" w:rsidRPr="000061F9" w:rsidRDefault="000061F9" w:rsidP="000061F9">
      <w:pPr>
        <w:widowControl/>
        <w:spacing w:line="230" w:lineRule="atLeast"/>
        <w:rPr>
          <w:rFonts w:ascii="Arial" w:hAnsi="Arial" w:cs="Arial"/>
          <w:color w:val="000000"/>
          <w:sz w:val="20"/>
        </w:rPr>
      </w:pPr>
      <w:r w:rsidRPr="000061F9">
        <w:rPr>
          <w:color w:val="000000"/>
          <w:sz w:val="20"/>
        </w:rPr>
        <w:t> </w:t>
      </w:r>
    </w:p>
    <w:p w14:paraId="72C862F1" w14:textId="0937443F" w:rsidR="00635929" w:rsidRPr="009F476B" w:rsidRDefault="000061F9" w:rsidP="00E3399B">
      <w:pPr>
        <w:pStyle w:val="BodyText2"/>
        <w:spacing w:line="276" w:lineRule="auto"/>
        <w:rPr>
          <w:rFonts w:ascii="Times New Roman" w:hAnsi="Times New Roman"/>
        </w:rPr>
      </w:pPr>
      <w:r w:rsidRPr="000061F9">
        <w:rPr>
          <w:rFonts w:ascii="Calibri" w:hAnsi="Calibri" w:cs="Calibri"/>
          <w:color w:val="000000"/>
          <w:sz w:val="22"/>
          <w:szCs w:val="22"/>
        </w:rPr>
        <w:t> </w:t>
      </w:r>
    </w:p>
    <w:sectPr w:rsidR="00635929" w:rsidRPr="009F476B"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7E04" w14:textId="77777777" w:rsidR="00E82FED" w:rsidRDefault="00E82FED">
      <w:r>
        <w:separator/>
      </w:r>
    </w:p>
  </w:endnote>
  <w:endnote w:type="continuationSeparator" w:id="0">
    <w:p w14:paraId="77510B4E" w14:textId="77777777" w:rsidR="00E82FED" w:rsidRDefault="00E8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2212" w14:textId="77777777" w:rsidR="00A210CD" w:rsidRDefault="00A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4158" w14:textId="77777777" w:rsidR="00E82FED" w:rsidRDefault="00E82FED">
      <w:r>
        <w:separator/>
      </w:r>
    </w:p>
  </w:footnote>
  <w:footnote w:type="continuationSeparator" w:id="0">
    <w:p w14:paraId="3905C9A8" w14:textId="77777777" w:rsidR="00E82FED" w:rsidRDefault="00E82FED">
      <w:r>
        <w:continuationSeparator/>
      </w:r>
    </w:p>
  </w:footnote>
  <w:footnote w:id="1">
    <w:p w14:paraId="785F89D3" w14:textId="77777777" w:rsidR="001F3524" w:rsidRPr="00A34FF1" w:rsidRDefault="001F3524" w:rsidP="00A34F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7804D9"/>
    <w:multiLevelType w:val="hybridMultilevel"/>
    <w:tmpl w:val="A29A07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038392"/>
    <w:multiLevelType w:val="hybridMultilevel"/>
    <w:tmpl w:val="7C0F4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4DA289"/>
    <w:multiLevelType w:val="hybridMultilevel"/>
    <w:tmpl w:val="60A717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2F08AE"/>
    <w:multiLevelType w:val="hybridMultilevel"/>
    <w:tmpl w:val="8165D6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2765E0"/>
    <w:multiLevelType w:val="hybridMultilevel"/>
    <w:tmpl w:val="BB4A89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2E688F"/>
    <w:multiLevelType w:val="hybridMultilevel"/>
    <w:tmpl w:val="02CA15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B328E2"/>
    <w:multiLevelType w:val="hybridMultilevel"/>
    <w:tmpl w:val="5134C6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9B61A3"/>
    <w:multiLevelType w:val="hybridMultilevel"/>
    <w:tmpl w:val="F1C259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B3820A6"/>
    <w:multiLevelType w:val="hybridMultilevel"/>
    <w:tmpl w:val="939C6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64693D"/>
    <w:multiLevelType w:val="hybridMultilevel"/>
    <w:tmpl w:val="468E0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B88000"/>
    <w:multiLevelType w:val="hybridMultilevel"/>
    <w:tmpl w:val="3D136E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56EB27"/>
    <w:multiLevelType w:val="hybridMultilevel"/>
    <w:tmpl w:val="A2289D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30385C"/>
    <w:multiLevelType w:val="hybridMultilevel"/>
    <w:tmpl w:val="7CFD26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ED57FE"/>
    <w:multiLevelType w:val="hybridMultilevel"/>
    <w:tmpl w:val="C2F000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745730"/>
    <w:multiLevelType w:val="hybridMultilevel"/>
    <w:tmpl w:val="117633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6874C7"/>
    <w:multiLevelType w:val="hybridMultilevel"/>
    <w:tmpl w:val="81ECA8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CD62F35"/>
    <w:multiLevelType w:val="hybridMultilevel"/>
    <w:tmpl w:val="F49F3D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6" w15:restartNumberingAfterBreak="0">
    <w:nsid w:val="3F4F7452"/>
    <w:multiLevelType w:val="hybridMultilevel"/>
    <w:tmpl w:val="918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97358"/>
    <w:multiLevelType w:val="hybridMultilevel"/>
    <w:tmpl w:val="7A6610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925731"/>
    <w:multiLevelType w:val="multilevel"/>
    <w:tmpl w:val="6B949778"/>
    <w:lvl w:ilvl="0">
      <w:start w:val="1"/>
      <w:numFmt w:val="decimal"/>
      <w:lvlText w:val="%1"/>
      <w:lvlJc w:val="left"/>
      <w:pPr>
        <w:ind w:left="360" w:hanging="360"/>
      </w:pPr>
      <w:rPr>
        <w:rFonts w:ascii="Times New Roman" w:hAnsi="Times New Roman" w:cs="Times New Roman" w:hint="default"/>
        <w:color w:val="000000"/>
      </w:rPr>
    </w:lvl>
    <w:lvl w:ilvl="1">
      <w:start w:val="5"/>
      <w:numFmt w:val="decimal"/>
      <w:lvlText w:val="%1.%2"/>
      <w:lvlJc w:val="left"/>
      <w:pPr>
        <w:ind w:left="420" w:hanging="360"/>
      </w:pPr>
      <w:rPr>
        <w:rFonts w:ascii="Times New Roman" w:hAnsi="Times New Roman" w:cs="Times New Roman" w:hint="default"/>
        <w:color w:val="000000"/>
      </w:rPr>
    </w:lvl>
    <w:lvl w:ilvl="2">
      <w:start w:val="1"/>
      <w:numFmt w:val="decimal"/>
      <w:lvlText w:val="%1.%2.%3"/>
      <w:lvlJc w:val="left"/>
      <w:pPr>
        <w:ind w:left="840" w:hanging="720"/>
      </w:pPr>
      <w:rPr>
        <w:rFonts w:ascii="Times New Roman" w:hAnsi="Times New Roman" w:cs="Times New Roman" w:hint="default"/>
        <w:color w:val="000000"/>
      </w:rPr>
    </w:lvl>
    <w:lvl w:ilvl="3">
      <w:start w:val="1"/>
      <w:numFmt w:val="decimal"/>
      <w:lvlText w:val="%1.%2.%3.%4"/>
      <w:lvlJc w:val="left"/>
      <w:pPr>
        <w:ind w:left="900" w:hanging="720"/>
      </w:pPr>
      <w:rPr>
        <w:rFonts w:ascii="Times New Roman" w:hAnsi="Times New Roman" w:cs="Times New Roman" w:hint="default"/>
        <w:color w:val="000000"/>
      </w:rPr>
    </w:lvl>
    <w:lvl w:ilvl="4">
      <w:start w:val="1"/>
      <w:numFmt w:val="decimal"/>
      <w:lvlText w:val="%1.%2.%3.%4.%5"/>
      <w:lvlJc w:val="left"/>
      <w:pPr>
        <w:ind w:left="1320" w:hanging="1080"/>
      </w:pPr>
      <w:rPr>
        <w:rFonts w:ascii="Times New Roman" w:hAnsi="Times New Roman" w:cs="Times New Roman" w:hint="default"/>
        <w:color w:val="000000"/>
      </w:rPr>
    </w:lvl>
    <w:lvl w:ilvl="5">
      <w:start w:val="1"/>
      <w:numFmt w:val="decimal"/>
      <w:lvlText w:val="%1.%2.%3.%4.%5.%6"/>
      <w:lvlJc w:val="left"/>
      <w:pPr>
        <w:ind w:left="1380" w:hanging="1080"/>
      </w:pPr>
      <w:rPr>
        <w:rFonts w:ascii="Times New Roman" w:hAnsi="Times New Roman" w:cs="Times New Roman" w:hint="default"/>
        <w:color w:val="000000"/>
      </w:rPr>
    </w:lvl>
    <w:lvl w:ilvl="6">
      <w:start w:val="1"/>
      <w:numFmt w:val="decimal"/>
      <w:lvlText w:val="%1.%2.%3.%4.%5.%6.%7"/>
      <w:lvlJc w:val="left"/>
      <w:pPr>
        <w:ind w:left="1800" w:hanging="1440"/>
      </w:pPr>
      <w:rPr>
        <w:rFonts w:ascii="Times New Roman" w:hAnsi="Times New Roman" w:cs="Times New Roman" w:hint="default"/>
        <w:color w:val="000000"/>
      </w:rPr>
    </w:lvl>
    <w:lvl w:ilvl="7">
      <w:start w:val="1"/>
      <w:numFmt w:val="decimal"/>
      <w:lvlText w:val="%1.%2.%3.%4.%5.%6.%7.%8"/>
      <w:lvlJc w:val="left"/>
      <w:pPr>
        <w:ind w:left="1860" w:hanging="1440"/>
      </w:pPr>
      <w:rPr>
        <w:rFonts w:ascii="Times New Roman" w:hAnsi="Times New Roman" w:cs="Times New Roman" w:hint="default"/>
        <w:color w:val="000000"/>
      </w:rPr>
    </w:lvl>
    <w:lvl w:ilvl="8">
      <w:start w:val="1"/>
      <w:numFmt w:val="decimal"/>
      <w:lvlText w:val="%1.%2.%3.%4.%5.%6.%7.%8.%9"/>
      <w:lvlJc w:val="left"/>
      <w:pPr>
        <w:ind w:left="2280" w:hanging="1800"/>
      </w:pPr>
      <w:rPr>
        <w:rFonts w:ascii="Times New Roman" w:hAnsi="Times New Roman" w:cs="Times New Roman" w:hint="default"/>
        <w:color w:val="000000"/>
      </w:rPr>
    </w:lvl>
  </w:abstractNum>
  <w:abstractNum w:abstractNumId="30" w15:restartNumberingAfterBreak="0">
    <w:nsid w:val="47B82A4F"/>
    <w:multiLevelType w:val="multilevel"/>
    <w:tmpl w:val="1F88F8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F730F4"/>
    <w:multiLevelType w:val="hybridMultilevel"/>
    <w:tmpl w:val="7B4E00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3094800"/>
    <w:multiLevelType w:val="hybridMultilevel"/>
    <w:tmpl w:val="B512FF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A8D4EA"/>
    <w:multiLevelType w:val="hybridMultilevel"/>
    <w:tmpl w:val="3521D4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3A422E"/>
    <w:multiLevelType w:val="multilevel"/>
    <w:tmpl w:val="618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1F3F8"/>
    <w:multiLevelType w:val="hybridMultilevel"/>
    <w:tmpl w:val="3D2A2D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3794986"/>
    <w:multiLevelType w:val="hybridMultilevel"/>
    <w:tmpl w:val="FB049E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39A283E"/>
    <w:multiLevelType w:val="hybridMultilevel"/>
    <w:tmpl w:val="A2064234"/>
    <w:lvl w:ilvl="0" w:tplc="A3B256DC">
      <w:start w:val="15"/>
      <w:numFmt w:val="decimal"/>
      <w:lvlText w:val="%1"/>
      <w:lvlJc w:val="left"/>
      <w:pPr>
        <w:ind w:left="786" w:hanging="360"/>
      </w:pPr>
      <w:rPr>
        <w:rFonts w:ascii="Times New Roman" w:hAnsi="Times New Roman" w:cs="Times New Roman"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CDE2B29"/>
    <w:multiLevelType w:val="hybridMultilevel"/>
    <w:tmpl w:val="E8B6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E99B4E"/>
    <w:multiLevelType w:val="hybridMultilevel"/>
    <w:tmpl w:val="543111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7"/>
  </w:num>
  <w:num w:numId="3">
    <w:abstractNumId w:val="20"/>
  </w:num>
  <w:num w:numId="4">
    <w:abstractNumId w:val="15"/>
  </w:num>
  <w:num w:numId="5">
    <w:abstractNumId w:val="35"/>
  </w:num>
  <w:num w:numId="6">
    <w:abstractNumId w:val="37"/>
  </w:num>
  <w:num w:numId="7">
    <w:abstractNumId w:val="11"/>
  </w:num>
  <w:num w:numId="8">
    <w:abstractNumId w:val="36"/>
  </w:num>
  <w:num w:numId="9">
    <w:abstractNumId w:val="16"/>
  </w:num>
  <w:num w:numId="10">
    <w:abstractNumId w:val="23"/>
  </w:num>
  <w:num w:numId="11">
    <w:abstractNumId w:val="44"/>
  </w:num>
  <w:num w:numId="12">
    <w:abstractNumId w:val="27"/>
  </w:num>
  <w:num w:numId="13">
    <w:abstractNumId w:val="31"/>
  </w:num>
  <w:num w:numId="14">
    <w:abstractNumId w:val="21"/>
  </w:num>
  <w:num w:numId="15">
    <w:abstractNumId w:val="5"/>
  </w:num>
  <w:num w:numId="16">
    <w:abstractNumId w:val="39"/>
  </w:num>
  <w:num w:numId="17">
    <w:abstractNumId w:val="38"/>
  </w:num>
  <w:num w:numId="18">
    <w:abstractNumId w:val="9"/>
  </w:num>
  <w:num w:numId="19">
    <w:abstractNumId w:val="18"/>
  </w:num>
  <w:num w:numId="20">
    <w:abstractNumId w:val="28"/>
  </w:num>
  <w:num w:numId="21">
    <w:abstractNumId w:val="32"/>
  </w:num>
  <w:num w:numId="22">
    <w:abstractNumId w:val="12"/>
  </w:num>
  <w:num w:numId="23">
    <w:abstractNumId w:val="19"/>
  </w:num>
  <w:num w:numId="24">
    <w:abstractNumId w:val="22"/>
  </w:num>
  <w:num w:numId="25">
    <w:abstractNumId w:val="33"/>
  </w:num>
  <w:num w:numId="26">
    <w:abstractNumId w:val="10"/>
  </w:num>
  <w:num w:numId="27">
    <w:abstractNumId w:val="8"/>
  </w:num>
  <w:num w:numId="28">
    <w:abstractNumId w:val="41"/>
  </w:num>
  <w:num w:numId="29">
    <w:abstractNumId w:val="13"/>
  </w:num>
  <w:num w:numId="30">
    <w:abstractNumId w:val="14"/>
  </w:num>
  <w:num w:numId="31">
    <w:abstractNumId w:val="0"/>
  </w:num>
  <w:num w:numId="32">
    <w:abstractNumId w:val="2"/>
  </w:num>
  <w:num w:numId="33">
    <w:abstractNumId w:val="3"/>
  </w:num>
  <w:num w:numId="34">
    <w:abstractNumId w:val="34"/>
  </w:num>
  <w:num w:numId="35">
    <w:abstractNumId w:val="24"/>
  </w:num>
  <w:num w:numId="36">
    <w:abstractNumId w:val="4"/>
  </w:num>
  <w:num w:numId="37">
    <w:abstractNumId w:val="1"/>
  </w:num>
  <w:num w:numId="38">
    <w:abstractNumId w:val="6"/>
  </w:num>
  <w:num w:numId="39">
    <w:abstractNumId w:val="42"/>
  </w:num>
  <w:num w:numId="40">
    <w:abstractNumId w:val="17"/>
  </w:num>
  <w:num w:numId="41">
    <w:abstractNumId w:val="46"/>
  </w:num>
  <w:num w:numId="42">
    <w:abstractNumId w:val="40"/>
  </w:num>
  <w:num w:numId="43">
    <w:abstractNumId w:val="45"/>
  </w:num>
  <w:num w:numId="44">
    <w:abstractNumId w:val="29"/>
  </w:num>
  <w:num w:numId="45">
    <w:abstractNumId w:val="43"/>
  </w:num>
  <w:num w:numId="46">
    <w:abstractNumId w:val="2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8"/>
    <w:rsid w:val="000042D7"/>
    <w:rsid w:val="000061F9"/>
    <w:rsid w:val="00007461"/>
    <w:rsid w:val="000079CC"/>
    <w:rsid w:val="00011A63"/>
    <w:rsid w:val="00012B8F"/>
    <w:rsid w:val="00027DFB"/>
    <w:rsid w:val="00044A97"/>
    <w:rsid w:val="000502AD"/>
    <w:rsid w:val="00061653"/>
    <w:rsid w:val="0007015C"/>
    <w:rsid w:val="000823AC"/>
    <w:rsid w:val="00095186"/>
    <w:rsid w:val="0009670A"/>
    <w:rsid w:val="00097B9F"/>
    <w:rsid w:val="000A049E"/>
    <w:rsid w:val="000A4610"/>
    <w:rsid w:val="000C09B4"/>
    <w:rsid w:val="000C4457"/>
    <w:rsid w:val="000C5507"/>
    <w:rsid w:val="000C7B58"/>
    <w:rsid w:val="000D6DE5"/>
    <w:rsid w:val="000F0F92"/>
    <w:rsid w:val="000F3EDA"/>
    <w:rsid w:val="000F4E53"/>
    <w:rsid w:val="000F77FD"/>
    <w:rsid w:val="00104310"/>
    <w:rsid w:val="00122311"/>
    <w:rsid w:val="00127E4D"/>
    <w:rsid w:val="00131542"/>
    <w:rsid w:val="00140DFD"/>
    <w:rsid w:val="00153D2C"/>
    <w:rsid w:val="0015409F"/>
    <w:rsid w:val="00155F3D"/>
    <w:rsid w:val="00157815"/>
    <w:rsid w:val="001639F4"/>
    <w:rsid w:val="001663A4"/>
    <w:rsid w:val="00167DA9"/>
    <w:rsid w:val="001721B5"/>
    <w:rsid w:val="0017583F"/>
    <w:rsid w:val="00176076"/>
    <w:rsid w:val="00180BEE"/>
    <w:rsid w:val="00184F02"/>
    <w:rsid w:val="001956C7"/>
    <w:rsid w:val="001A4D75"/>
    <w:rsid w:val="001A6A5D"/>
    <w:rsid w:val="001B6F51"/>
    <w:rsid w:val="001B721D"/>
    <w:rsid w:val="001F3499"/>
    <w:rsid w:val="001F3524"/>
    <w:rsid w:val="001F3C27"/>
    <w:rsid w:val="00223FAF"/>
    <w:rsid w:val="00230A0E"/>
    <w:rsid w:val="002315A5"/>
    <w:rsid w:val="00232518"/>
    <w:rsid w:val="00232597"/>
    <w:rsid w:val="002547CF"/>
    <w:rsid w:val="0025592A"/>
    <w:rsid w:val="002602E0"/>
    <w:rsid w:val="0026321D"/>
    <w:rsid w:val="0027255C"/>
    <w:rsid w:val="00297003"/>
    <w:rsid w:val="002A0A2C"/>
    <w:rsid w:val="002C16BB"/>
    <w:rsid w:val="002C1A29"/>
    <w:rsid w:val="002C4B80"/>
    <w:rsid w:val="002C578B"/>
    <w:rsid w:val="002E79B0"/>
    <w:rsid w:val="002F7E65"/>
    <w:rsid w:val="00301F36"/>
    <w:rsid w:val="00311FA3"/>
    <w:rsid w:val="00313599"/>
    <w:rsid w:val="00316DD1"/>
    <w:rsid w:val="0032175A"/>
    <w:rsid w:val="00321C13"/>
    <w:rsid w:val="00322DEA"/>
    <w:rsid w:val="0033016B"/>
    <w:rsid w:val="00346615"/>
    <w:rsid w:val="00354CB5"/>
    <w:rsid w:val="00357B0E"/>
    <w:rsid w:val="00363EC5"/>
    <w:rsid w:val="0036481D"/>
    <w:rsid w:val="00366AD1"/>
    <w:rsid w:val="0037523B"/>
    <w:rsid w:val="003830AA"/>
    <w:rsid w:val="00383B5D"/>
    <w:rsid w:val="00394C0C"/>
    <w:rsid w:val="003B037A"/>
    <w:rsid w:val="003B422F"/>
    <w:rsid w:val="003B43E6"/>
    <w:rsid w:val="003D223A"/>
    <w:rsid w:val="003D5E23"/>
    <w:rsid w:val="003D653B"/>
    <w:rsid w:val="003E07FE"/>
    <w:rsid w:val="004004FC"/>
    <w:rsid w:val="00401B1A"/>
    <w:rsid w:val="00412FDA"/>
    <w:rsid w:val="00417008"/>
    <w:rsid w:val="00420B6D"/>
    <w:rsid w:val="00424E4F"/>
    <w:rsid w:val="004263CF"/>
    <w:rsid w:val="004429E1"/>
    <w:rsid w:val="00447385"/>
    <w:rsid w:val="004613E1"/>
    <w:rsid w:val="00461D62"/>
    <w:rsid w:val="00470F8B"/>
    <w:rsid w:val="004A240D"/>
    <w:rsid w:val="004B1BCA"/>
    <w:rsid w:val="004B322B"/>
    <w:rsid w:val="004B3911"/>
    <w:rsid w:val="004B400D"/>
    <w:rsid w:val="004B4BD8"/>
    <w:rsid w:val="004C4FD7"/>
    <w:rsid w:val="004C595C"/>
    <w:rsid w:val="004C5DD1"/>
    <w:rsid w:val="004D3DBE"/>
    <w:rsid w:val="004D4A97"/>
    <w:rsid w:val="004E499B"/>
    <w:rsid w:val="004F0A23"/>
    <w:rsid w:val="0051351D"/>
    <w:rsid w:val="00516AC8"/>
    <w:rsid w:val="00517955"/>
    <w:rsid w:val="00526BF0"/>
    <w:rsid w:val="00530FDE"/>
    <w:rsid w:val="005409EA"/>
    <w:rsid w:val="005474ED"/>
    <w:rsid w:val="005747C3"/>
    <w:rsid w:val="005819E5"/>
    <w:rsid w:val="00581D96"/>
    <w:rsid w:val="00593791"/>
    <w:rsid w:val="00593B97"/>
    <w:rsid w:val="00594AF2"/>
    <w:rsid w:val="00595DA9"/>
    <w:rsid w:val="005A3C82"/>
    <w:rsid w:val="005A7B65"/>
    <w:rsid w:val="005C0DE4"/>
    <w:rsid w:val="005C6168"/>
    <w:rsid w:val="005C7E7C"/>
    <w:rsid w:val="005D093C"/>
    <w:rsid w:val="005E0C05"/>
    <w:rsid w:val="005F2E08"/>
    <w:rsid w:val="005F6261"/>
    <w:rsid w:val="005F688A"/>
    <w:rsid w:val="00604678"/>
    <w:rsid w:val="00612159"/>
    <w:rsid w:val="0061705D"/>
    <w:rsid w:val="00621AA8"/>
    <w:rsid w:val="00635929"/>
    <w:rsid w:val="006415ED"/>
    <w:rsid w:val="00645B0B"/>
    <w:rsid w:val="0064746F"/>
    <w:rsid w:val="0065574E"/>
    <w:rsid w:val="00656B3A"/>
    <w:rsid w:val="00657DAB"/>
    <w:rsid w:val="00673710"/>
    <w:rsid w:val="00674B1A"/>
    <w:rsid w:val="006900FE"/>
    <w:rsid w:val="006913C9"/>
    <w:rsid w:val="006913D5"/>
    <w:rsid w:val="0069200C"/>
    <w:rsid w:val="006A708A"/>
    <w:rsid w:val="006C07C6"/>
    <w:rsid w:val="006D2F57"/>
    <w:rsid w:val="00700521"/>
    <w:rsid w:val="00705CD8"/>
    <w:rsid w:val="007141C4"/>
    <w:rsid w:val="007152F7"/>
    <w:rsid w:val="00747169"/>
    <w:rsid w:val="00755265"/>
    <w:rsid w:val="0075698E"/>
    <w:rsid w:val="007578FA"/>
    <w:rsid w:val="00760125"/>
    <w:rsid w:val="00760E32"/>
    <w:rsid w:val="00764E41"/>
    <w:rsid w:val="00771515"/>
    <w:rsid w:val="00776056"/>
    <w:rsid w:val="00784209"/>
    <w:rsid w:val="00790C12"/>
    <w:rsid w:val="0079730D"/>
    <w:rsid w:val="007C1B15"/>
    <w:rsid w:val="007E1663"/>
    <w:rsid w:val="008018C5"/>
    <w:rsid w:val="00810545"/>
    <w:rsid w:val="00813F1E"/>
    <w:rsid w:val="0081403B"/>
    <w:rsid w:val="00825FEF"/>
    <w:rsid w:val="00836890"/>
    <w:rsid w:val="00837C4B"/>
    <w:rsid w:val="00842737"/>
    <w:rsid w:val="00843006"/>
    <w:rsid w:val="0084329E"/>
    <w:rsid w:val="008440D9"/>
    <w:rsid w:val="00845340"/>
    <w:rsid w:val="00855CD2"/>
    <w:rsid w:val="00867AAC"/>
    <w:rsid w:val="008707AE"/>
    <w:rsid w:val="00877478"/>
    <w:rsid w:val="00882ECA"/>
    <w:rsid w:val="008A26FE"/>
    <w:rsid w:val="008B06DD"/>
    <w:rsid w:val="008B6FE8"/>
    <w:rsid w:val="008D4556"/>
    <w:rsid w:val="008D791F"/>
    <w:rsid w:val="008E1B9D"/>
    <w:rsid w:val="008F0A97"/>
    <w:rsid w:val="00916F8E"/>
    <w:rsid w:val="00917E35"/>
    <w:rsid w:val="00920A99"/>
    <w:rsid w:val="00920DBC"/>
    <w:rsid w:val="00923AF3"/>
    <w:rsid w:val="009274AB"/>
    <w:rsid w:val="009353D7"/>
    <w:rsid w:val="00935D8A"/>
    <w:rsid w:val="00942B3B"/>
    <w:rsid w:val="00944615"/>
    <w:rsid w:val="0097197E"/>
    <w:rsid w:val="00975566"/>
    <w:rsid w:val="009847F2"/>
    <w:rsid w:val="00990CED"/>
    <w:rsid w:val="009B76A1"/>
    <w:rsid w:val="009D39A6"/>
    <w:rsid w:val="009E7526"/>
    <w:rsid w:val="009F186A"/>
    <w:rsid w:val="009F21FD"/>
    <w:rsid w:val="009F4072"/>
    <w:rsid w:val="009F476B"/>
    <w:rsid w:val="00A0001A"/>
    <w:rsid w:val="00A01CBD"/>
    <w:rsid w:val="00A033D3"/>
    <w:rsid w:val="00A153B9"/>
    <w:rsid w:val="00A1786A"/>
    <w:rsid w:val="00A210CD"/>
    <w:rsid w:val="00A30EBB"/>
    <w:rsid w:val="00A30FB8"/>
    <w:rsid w:val="00A34FF1"/>
    <w:rsid w:val="00A368FE"/>
    <w:rsid w:val="00A40130"/>
    <w:rsid w:val="00A40E63"/>
    <w:rsid w:val="00A44F24"/>
    <w:rsid w:val="00A45528"/>
    <w:rsid w:val="00A57912"/>
    <w:rsid w:val="00A604B2"/>
    <w:rsid w:val="00A74149"/>
    <w:rsid w:val="00A74577"/>
    <w:rsid w:val="00A748D0"/>
    <w:rsid w:val="00A85E34"/>
    <w:rsid w:val="00AF52A8"/>
    <w:rsid w:val="00B00E5C"/>
    <w:rsid w:val="00B053BE"/>
    <w:rsid w:val="00B06FEC"/>
    <w:rsid w:val="00B12277"/>
    <w:rsid w:val="00B2050D"/>
    <w:rsid w:val="00B25B8C"/>
    <w:rsid w:val="00B32ADA"/>
    <w:rsid w:val="00B417FC"/>
    <w:rsid w:val="00B45ADB"/>
    <w:rsid w:val="00B47571"/>
    <w:rsid w:val="00B54FF0"/>
    <w:rsid w:val="00B64ACA"/>
    <w:rsid w:val="00B9499D"/>
    <w:rsid w:val="00B9508C"/>
    <w:rsid w:val="00BA0D3B"/>
    <w:rsid w:val="00BC38E0"/>
    <w:rsid w:val="00BC5E37"/>
    <w:rsid w:val="00BE1027"/>
    <w:rsid w:val="00BE2925"/>
    <w:rsid w:val="00C12D2B"/>
    <w:rsid w:val="00C25C39"/>
    <w:rsid w:val="00C43F9A"/>
    <w:rsid w:val="00C455A1"/>
    <w:rsid w:val="00C538C9"/>
    <w:rsid w:val="00C54E2D"/>
    <w:rsid w:val="00C5607C"/>
    <w:rsid w:val="00C61DB1"/>
    <w:rsid w:val="00C66DE1"/>
    <w:rsid w:val="00C74B74"/>
    <w:rsid w:val="00C86489"/>
    <w:rsid w:val="00C97E31"/>
    <w:rsid w:val="00CA4AB3"/>
    <w:rsid w:val="00CA4EE3"/>
    <w:rsid w:val="00CA59FB"/>
    <w:rsid w:val="00CB647D"/>
    <w:rsid w:val="00CB6586"/>
    <w:rsid w:val="00CC3C4D"/>
    <w:rsid w:val="00D03AD3"/>
    <w:rsid w:val="00D255EE"/>
    <w:rsid w:val="00D30BE3"/>
    <w:rsid w:val="00D37CE3"/>
    <w:rsid w:val="00D51245"/>
    <w:rsid w:val="00D5464A"/>
    <w:rsid w:val="00D71AC0"/>
    <w:rsid w:val="00D723C0"/>
    <w:rsid w:val="00D73F1D"/>
    <w:rsid w:val="00D75E51"/>
    <w:rsid w:val="00D80A4F"/>
    <w:rsid w:val="00D9192E"/>
    <w:rsid w:val="00D9486E"/>
    <w:rsid w:val="00DC0289"/>
    <w:rsid w:val="00DC4D86"/>
    <w:rsid w:val="00DC7354"/>
    <w:rsid w:val="00DD4368"/>
    <w:rsid w:val="00DE0D60"/>
    <w:rsid w:val="00DF0357"/>
    <w:rsid w:val="00DF2BB7"/>
    <w:rsid w:val="00E0658E"/>
    <w:rsid w:val="00E06A4E"/>
    <w:rsid w:val="00E1547F"/>
    <w:rsid w:val="00E20FCD"/>
    <w:rsid w:val="00E25997"/>
    <w:rsid w:val="00E27D85"/>
    <w:rsid w:val="00E32ACA"/>
    <w:rsid w:val="00E3399B"/>
    <w:rsid w:val="00E37E7A"/>
    <w:rsid w:val="00E44520"/>
    <w:rsid w:val="00E516C0"/>
    <w:rsid w:val="00E5492E"/>
    <w:rsid w:val="00E71289"/>
    <w:rsid w:val="00E770DC"/>
    <w:rsid w:val="00E82FED"/>
    <w:rsid w:val="00E84649"/>
    <w:rsid w:val="00E8531A"/>
    <w:rsid w:val="00EA7740"/>
    <w:rsid w:val="00EC6475"/>
    <w:rsid w:val="00EC7BBC"/>
    <w:rsid w:val="00ED692E"/>
    <w:rsid w:val="00EE1D60"/>
    <w:rsid w:val="00EE239F"/>
    <w:rsid w:val="00EE6B71"/>
    <w:rsid w:val="00F01FDE"/>
    <w:rsid w:val="00F12C4B"/>
    <w:rsid w:val="00F136CE"/>
    <w:rsid w:val="00F13FC5"/>
    <w:rsid w:val="00F16195"/>
    <w:rsid w:val="00F16FDA"/>
    <w:rsid w:val="00F25D16"/>
    <w:rsid w:val="00F31949"/>
    <w:rsid w:val="00F37FA7"/>
    <w:rsid w:val="00F45449"/>
    <w:rsid w:val="00F45D91"/>
    <w:rsid w:val="00F574B6"/>
    <w:rsid w:val="00F826EC"/>
    <w:rsid w:val="00F837DB"/>
    <w:rsid w:val="00F83CDE"/>
    <w:rsid w:val="00F84FD4"/>
    <w:rsid w:val="00FB2C4C"/>
    <w:rsid w:val="00FB3DB2"/>
    <w:rsid w:val="00FC06EB"/>
    <w:rsid w:val="00FC658A"/>
    <w:rsid w:val="00FD4B2E"/>
    <w:rsid w:val="00FE3711"/>
    <w:rsid w:val="00FE4D3C"/>
    <w:rsid w:val="00FF3D8B"/>
    <w:rsid w:val="00FF4796"/>
    <w:rsid w:val="00FF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E2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209"/>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4613E1"/>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rsid w:val="001F3524"/>
    <w:rPr>
      <w:vertAlign w:val="superscript"/>
    </w:rPr>
  </w:style>
  <w:style w:type="paragraph" w:styleId="ListParagraph">
    <w:name w:val="List Paragraph"/>
    <w:basedOn w:val="Normal"/>
    <w:uiPriority w:val="34"/>
    <w:qFormat/>
    <w:rsid w:val="0036481D"/>
    <w:pPr>
      <w:ind w:left="720"/>
    </w:pPr>
  </w:style>
  <w:style w:type="paragraph" w:styleId="NormalWeb">
    <w:name w:val="Normal (Web)"/>
    <w:basedOn w:val="Normal"/>
    <w:uiPriority w:val="99"/>
    <w:semiHidden/>
    <w:unhideWhenUsed/>
    <w:rsid w:val="000F0F92"/>
    <w:pPr>
      <w:widowControl/>
      <w:spacing w:before="100" w:beforeAutospacing="1" w:after="100" w:afterAutospacing="1"/>
    </w:pPr>
    <w:rPr>
      <w:szCs w:val="24"/>
      <w:lang w:val="en-GB" w:eastAsia="en-GB"/>
    </w:rPr>
  </w:style>
  <w:style w:type="paragraph" w:customStyle="1" w:styleId="Default">
    <w:name w:val="Default"/>
    <w:rsid w:val="00D73F1D"/>
    <w:pPr>
      <w:autoSpaceDE w:val="0"/>
      <w:autoSpaceDN w:val="0"/>
      <w:adjustRightInd w:val="0"/>
    </w:pPr>
    <w:rPr>
      <w:rFonts w:ascii="Calibri" w:hAnsi="Calibri" w:cs="Calibri"/>
      <w:color w:val="000000"/>
      <w:sz w:val="24"/>
      <w:szCs w:val="24"/>
      <w:lang w:val="en-GB" w:eastAsia="en-GB"/>
    </w:rPr>
  </w:style>
  <w:style w:type="character" w:customStyle="1" w:styleId="Heading2Char">
    <w:name w:val="Heading 2 Char"/>
    <w:link w:val="Heading2"/>
    <w:semiHidden/>
    <w:rsid w:val="004613E1"/>
    <w:rPr>
      <w:rFonts w:ascii="Calibri Light" w:eastAsia="Times New Roman" w:hAnsi="Calibri Light" w:cs="Times New Roman"/>
      <w:b/>
      <w:bCs/>
      <w:i/>
      <w:iCs/>
      <w:sz w:val="28"/>
      <w:szCs w:val="28"/>
      <w:lang w:val="en-US" w:eastAsia="en-US"/>
    </w:rPr>
  </w:style>
  <w:style w:type="paragraph" w:customStyle="1" w:styleId="Pa0">
    <w:name w:val="Pa0"/>
    <w:basedOn w:val="Default"/>
    <w:next w:val="Default"/>
    <w:uiPriority w:val="99"/>
    <w:rsid w:val="001F3499"/>
    <w:pPr>
      <w:spacing w:line="161" w:lineRule="atLeast"/>
    </w:pPr>
    <w:rPr>
      <w:rFonts w:ascii="Open Sans" w:hAnsi="Open Sans" w:cs="Times New Roman"/>
      <w:color w:val="auto"/>
    </w:rPr>
  </w:style>
  <w:style w:type="paragraph" w:customStyle="1" w:styleId="Pa4">
    <w:name w:val="Pa4"/>
    <w:basedOn w:val="Default"/>
    <w:next w:val="Default"/>
    <w:uiPriority w:val="99"/>
    <w:rsid w:val="001F3499"/>
    <w:pPr>
      <w:spacing w:line="161" w:lineRule="atLeast"/>
    </w:pPr>
    <w:rPr>
      <w:rFonts w:ascii="Open Sans" w:hAnsi="Open Sans" w:cs="Times New Roman"/>
      <w:color w:val="auto"/>
    </w:rPr>
  </w:style>
  <w:style w:type="character" w:customStyle="1" w:styleId="A3">
    <w:name w:val="A3"/>
    <w:uiPriority w:val="99"/>
    <w:rsid w:val="001F3499"/>
    <w:rPr>
      <w:rFonts w:cs="Open Sans"/>
      <w:color w:val="000000"/>
      <w:sz w:val="20"/>
      <w:szCs w:val="20"/>
    </w:rPr>
  </w:style>
  <w:style w:type="paragraph" w:customStyle="1" w:styleId="Pa8">
    <w:name w:val="Pa8"/>
    <w:basedOn w:val="Default"/>
    <w:next w:val="Default"/>
    <w:uiPriority w:val="99"/>
    <w:rsid w:val="001F3499"/>
    <w:pPr>
      <w:spacing w:line="161" w:lineRule="atLeast"/>
    </w:pPr>
    <w:rPr>
      <w:rFonts w:ascii="Open Sans" w:hAnsi="Open Sans" w:cs="Times New Roman"/>
      <w:color w:val="auto"/>
    </w:rPr>
  </w:style>
  <w:style w:type="character" w:customStyle="1" w:styleId="A8">
    <w:name w:val="A8"/>
    <w:uiPriority w:val="99"/>
    <w:rsid w:val="001F3499"/>
    <w:rPr>
      <w:rFonts w:cs="Open Sans"/>
      <w:color w:val="000000"/>
      <w:sz w:val="12"/>
      <w:szCs w:val="12"/>
    </w:rPr>
  </w:style>
  <w:style w:type="character" w:styleId="CommentReference">
    <w:name w:val="annotation reference"/>
    <w:semiHidden/>
    <w:unhideWhenUsed/>
    <w:rsid w:val="00F45449"/>
    <w:rPr>
      <w:sz w:val="16"/>
      <w:szCs w:val="16"/>
    </w:rPr>
  </w:style>
  <w:style w:type="paragraph" w:styleId="CommentText">
    <w:name w:val="annotation text"/>
    <w:basedOn w:val="Normal"/>
    <w:link w:val="CommentTextChar"/>
    <w:semiHidden/>
    <w:unhideWhenUsed/>
    <w:rsid w:val="00F45449"/>
    <w:rPr>
      <w:sz w:val="20"/>
    </w:rPr>
  </w:style>
  <w:style w:type="character" w:customStyle="1" w:styleId="CommentTextChar">
    <w:name w:val="Comment Text Char"/>
    <w:link w:val="CommentText"/>
    <w:semiHidden/>
    <w:rsid w:val="00F45449"/>
    <w:rPr>
      <w:lang w:val="en-US" w:eastAsia="en-US"/>
    </w:rPr>
  </w:style>
  <w:style w:type="paragraph" w:styleId="CommentSubject">
    <w:name w:val="annotation subject"/>
    <w:basedOn w:val="CommentText"/>
    <w:next w:val="CommentText"/>
    <w:link w:val="CommentSubjectChar"/>
    <w:semiHidden/>
    <w:unhideWhenUsed/>
    <w:rsid w:val="00F45449"/>
    <w:rPr>
      <w:b/>
      <w:bCs/>
    </w:rPr>
  </w:style>
  <w:style w:type="character" w:customStyle="1" w:styleId="CommentSubjectChar">
    <w:name w:val="Comment Subject Char"/>
    <w:link w:val="CommentSubject"/>
    <w:semiHidden/>
    <w:rsid w:val="00F45449"/>
    <w:rPr>
      <w:b/>
      <w:bCs/>
      <w:lang w:val="en-US" w:eastAsia="en-US"/>
    </w:rPr>
  </w:style>
  <w:style w:type="paragraph" w:styleId="BalloonText">
    <w:name w:val="Balloon Text"/>
    <w:basedOn w:val="Normal"/>
    <w:link w:val="BalloonTextChar"/>
    <w:rsid w:val="00F45449"/>
    <w:rPr>
      <w:rFonts w:ascii="Tahoma" w:hAnsi="Tahoma" w:cs="Tahoma"/>
      <w:sz w:val="16"/>
      <w:szCs w:val="16"/>
    </w:rPr>
  </w:style>
  <w:style w:type="character" w:customStyle="1" w:styleId="BalloonTextChar">
    <w:name w:val="Balloon Text Char"/>
    <w:link w:val="BalloonText"/>
    <w:rsid w:val="00F45449"/>
    <w:rPr>
      <w:rFonts w:ascii="Tahoma" w:hAnsi="Tahoma" w:cs="Tahoma"/>
      <w:sz w:val="16"/>
      <w:szCs w:val="16"/>
      <w:lang w:val="en-US" w:eastAsia="en-US"/>
    </w:rPr>
  </w:style>
  <w:style w:type="character" w:customStyle="1" w:styleId="BodyText2Char">
    <w:name w:val="Body Text 2 Char"/>
    <w:link w:val="BodyText2"/>
    <w:rsid w:val="0078420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09744">
      <w:bodyDiv w:val="1"/>
      <w:marLeft w:val="0"/>
      <w:marRight w:val="0"/>
      <w:marTop w:val="0"/>
      <w:marBottom w:val="0"/>
      <w:divBdr>
        <w:top w:val="none" w:sz="0" w:space="0" w:color="auto"/>
        <w:left w:val="none" w:sz="0" w:space="0" w:color="auto"/>
        <w:bottom w:val="none" w:sz="0" w:space="0" w:color="auto"/>
        <w:right w:val="none" w:sz="0" w:space="0" w:color="auto"/>
      </w:divBdr>
      <w:divsChild>
        <w:div w:id="435835798">
          <w:marLeft w:val="0"/>
          <w:marRight w:val="0"/>
          <w:marTop w:val="0"/>
          <w:marBottom w:val="0"/>
          <w:divBdr>
            <w:top w:val="none" w:sz="0" w:space="0" w:color="auto"/>
            <w:left w:val="none" w:sz="0" w:space="0" w:color="auto"/>
            <w:bottom w:val="none" w:sz="0" w:space="0" w:color="auto"/>
            <w:right w:val="none" w:sz="0" w:space="0" w:color="auto"/>
          </w:divBdr>
          <w:divsChild>
            <w:div w:id="898709568">
              <w:marLeft w:val="0"/>
              <w:marRight w:val="0"/>
              <w:marTop w:val="0"/>
              <w:marBottom w:val="0"/>
              <w:divBdr>
                <w:top w:val="none" w:sz="0" w:space="0" w:color="auto"/>
                <w:left w:val="none" w:sz="0" w:space="0" w:color="auto"/>
                <w:bottom w:val="none" w:sz="0" w:space="0" w:color="auto"/>
                <w:right w:val="none" w:sz="0" w:space="0" w:color="auto"/>
              </w:divBdr>
            </w:div>
            <w:div w:id="1786995864">
              <w:marLeft w:val="0"/>
              <w:marRight w:val="0"/>
              <w:marTop w:val="0"/>
              <w:marBottom w:val="0"/>
              <w:divBdr>
                <w:top w:val="none" w:sz="0" w:space="0" w:color="auto"/>
                <w:left w:val="none" w:sz="0" w:space="0" w:color="auto"/>
                <w:bottom w:val="none" w:sz="0" w:space="0" w:color="auto"/>
                <w:right w:val="none" w:sz="0" w:space="0" w:color="auto"/>
              </w:divBdr>
              <w:divsChild>
                <w:div w:id="14328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1612">
          <w:marLeft w:val="0"/>
          <w:marRight w:val="0"/>
          <w:marTop w:val="0"/>
          <w:marBottom w:val="150"/>
          <w:divBdr>
            <w:top w:val="none" w:sz="0" w:space="0" w:color="auto"/>
            <w:left w:val="none" w:sz="0" w:space="0" w:color="auto"/>
            <w:bottom w:val="none" w:sz="0" w:space="0" w:color="auto"/>
            <w:right w:val="none" w:sz="0" w:space="0" w:color="auto"/>
          </w:divBdr>
          <w:divsChild>
            <w:div w:id="933443206">
              <w:marLeft w:val="0"/>
              <w:marRight w:val="0"/>
              <w:marTop w:val="0"/>
              <w:marBottom w:val="0"/>
              <w:divBdr>
                <w:top w:val="none" w:sz="0" w:space="0" w:color="auto"/>
                <w:left w:val="none" w:sz="0" w:space="0" w:color="auto"/>
                <w:bottom w:val="none" w:sz="0" w:space="0" w:color="auto"/>
                <w:right w:val="none" w:sz="0" w:space="0" w:color="auto"/>
              </w:divBdr>
              <w:divsChild>
                <w:div w:id="809329112">
                  <w:marLeft w:val="0"/>
                  <w:marRight w:val="0"/>
                  <w:marTop w:val="0"/>
                  <w:marBottom w:val="0"/>
                  <w:divBdr>
                    <w:top w:val="none" w:sz="0" w:space="0" w:color="auto"/>
                    <w:left w:val="none" w:sz="0" w:space="0" w:color="auto"/>
                    <w:bottom w:val="none" w:sz="0" w:space="0" w:color="auto"/>
                    <w:right w:val="none" w:sz="0" w:space="0" w:color="auto"/>
                  </w:divBdr>
                  <w:divsChild>
                    <w:div w:id="312565851">
                      <w:marLeft w:val="0"/>
                      <w:marRight w:val="15"/>
                      <w:marTop w:val="0"/>
                      <w:marBottom w:val="0"/>
                      <w:divBdr>
                        <w:top w:val="none" w:sz="0" w:space="0" w:color="auto"/>
                        <w:left w:val="none" w:sz="0" w:space="0" w:color="auto"/>
                        <w:bottom w:val="none" w:sz="0" w:space="0" w:color="auto"/>
                        <w:right w:val="none" w:sz="0" w:space="0" w:color="auto"/>
                      </w:divBdr>
                    </w:div>
                    <w:div w:id="557976861">
                      <w:marLeft w:val="0"/>
                      <w:marRight w:val="15"/>
                      <w:marTop w:val="0"/>
                      <w:marBottom w:val="0"/>
                      <w:divBdr>
                        <w:top w:val="none" w:sz="0" w:space="0" w:color="auto"/>
                        <w:left w:val="none" w:sz="0" w:space="0" w:color="auto"/>
                        <w:bottom w:val="none" w:sz="0" w:space="0" w:color="auto"/>
                        <w:right w:val="none" w:sz="0" w:space="0" w:color="auto"/>
                      </w:divBdr>
                    </w:div>
                    <w:div w:id="653223253">
                      <w:marLeft w:val="0"/>
                      <w:marRight w:val="15"/>
                      <w:marTop w:val="0"/>
                      <w:marBottom w:val="0"/>
                      <w:divBdr>
                        <w:top w:val="none" w:sz="0" w:space="0" w:color="auto"/>
                        <w:left w:val="none" w:sz="0" w:space="0" w:color="auto"/>
                        <w:bottom w:val="none" w:sz="0" w:space="0" w:color="auto"/>
                        <w:right w:val="none" w:sz="0" w:space="0" w:color="auto"/>
                      </w:divBdr>
                    </w:div>
                    <w:div w:id="1776097863">
                      <w:marLeft w:val="0"/>
                      <w:marRight w:val="15"/>
                      <w:marTop w:val="0"/>
                      <w:marBottom w:val="0"/>
                      <w:divBdr>
                        <w:top w:val="none" w:sz="0" w:space="0" w:color="auto"/>
                        <w:left w:val="none" w:sz="0" w:space="0" w:color="auto"/>
                        <w:bottom w:val="none" w:sz="0" w:space="0" w:color="auto"/>
                        <w:right w:val="none" w:sz="0" w:space="0" w:color="auto"/>
                      </w:divBdr>
                    </w:div>
                    <w:div w:id="212245287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06301">
      <w:bodyDiv w:val="1"/>
      <w:marLeft w:val="0"/>
      <w:marRight w:val="0"/>
      <w:marTop w:val="0"/>
      <w:marBottom w:val="0"/>
      <w:divBdr>
        <w:top w:val="none" w:sz="0" w:space="0" w:color="auto"/>
        <w:left w:val="none" w:sz="0" w:space="0" w:color="auto"/>
        <w:bottom w:val="none" w:sz="0" w:space="0" w:color="auto"/>
        <w:right w:val="none" w:sz="0" w:space="0" w:color="auto"/>
      </w:divBdr>
    </w:div>
    <w:div w:id="1541556726">
      <w:bodyDiv w:val="1"/>
      <w:marLeft w:val="0"/>
      <w:marRight w:val="0"/>
      <w:marTop w:val="0"/>
      <w:marBottom w:val="0"/>
      <w:divBdr>
        <w:top w:val="none" w:sz="0" w:space="0" w:color="auto"/>
        <w:left w:val="none" w:sz="0" w:space="0" w:color="auto"/>
        <w:bottom w:val="none" w:sz="0" w:space="0" w:color="auto"/>
        <w:right w:val="none" w:sz="0" w:space="0" w:color="auto"/>
      </w:divBdr>
    </w:div>
    <w:div w:id="1616325936">
      <w:bodyDiv w:val="1"/>
      <w:marLeft w:val="0"/>
      <w:marRight w:val="0"/>
      <w:marTop w:val="0"/>
      <w:marBottom w:val="0"/>
      <w:divBdr>
        <w:top w:val="none" w:sz="0" w:space="0" w:color="auto"/>
        <w:left w:val="none" w:sz="0" w:space="0" w:color="auto"/>
        <w:bottom w:val="none" w:sz="0" w:space="0" w:color="auto"/>
        <w:right w:val="none" w:sz="0" w:space="0" w:color="auto"/>
      </w:divBdr>
      <w:divsChild>
        <w:div w:id="630938512">
          <w:marLeft w:val="0"/>
          <w:marRight w:val="0"/>
          <w:marTop w:val="0"/>
          <w:marBottom w:val="150"/>
          <w:divBdr>
            <w:top w:val="none" w:sz="0" w:space="0" w:color="auto"/>
            <w:left w:val="none" w:sz="0" w:space="0" w:color="auto"/>
            <w:bottom w:val="none" w:sz="0" w:space="0" w:color="auto"/>
            <w:right w:val="none" w:sz="0" w:space="0" w:color="auto"/>
          </w:divBdr>
          <w:divsChild>
            <w:div w:id="956832657">
              <w:marLeft w:val="0"/>
              <w:marRight w:val="0"/>
              <w:marTop w:val="0"/>
              <w:marBottom w:val="0"/>
              <w:divBdr>
                <w:top w:val="none" w:sz="0" w:space="0" w:color="auto"/>
                <w:left w:val="none" w:sz="0" w:space="0" w:color="auto"/>
                <w:bottom w:val="none" w:sz="0" w:space="0" w:color="auto"/>
                <w:right w:val="none" w:sz="0" w:space="0" w:color="auto"/>
              </w:divBdr>
              <w:divsChild>
                <w:div w:id="1964998316">
                  <w:marLeft w:val="0"/>
                  <w:marRight w:val="0"/>
                  <w:marTop w:val="0"/>
                  <w:marBottom w:val="0"/>
                  <w:divBdr>
                    <w:top w:val="none" w:sz="0" w:space="0" w:color="auto"/>
                    <w:left w:val="none" w:sz="0" w:space="0" w:color="auto"/>
                    <w:bottom w:val="none" w:sz="0" w:space="0" w:color="auto"/>
                    <w:right w:val="none" w:sz="0" w:space="0" w:color="auto"/>
                  </w:divBdr>
                  <w:divsChild>
                    <w:div w:id="1072582221">
                      <w:marLeft w:val="0"/>
                      <w:marRight w:val="15"/>
                      <w:marTop w:val="0"/>
                      <w:marBottom w:val="0"/>
                      <w:divBdr>
                        <w:top w:val="none" w:sz="0" w:space="0" w:color="auto"/>
                        <w:left w:val="none" w:sz="0" w:space="0" w:color="auto"/>
                        <w:bottom w:val="none" w:sz="0" w:space="0" w:color="auto"/>
                        <w:right w:val="none" w:sz="0" w:space="0" w:color="auto"/>
                      </w:divBdr>
                    </w:div>
                    <w:div w:id="1112171579">
                      <w:marLeft w:val="0"/>
                      <w:marRight w:val="15"/>
                      <w:marTop w:val="0"/>
                      <w:marBottom w:val="0"/>
                      <w:divBdr>
                        <w:top w:val="none" w:sz="0" w:space="0" w:color="auto"/>
                        <w:left w:val="none" w:sz="0" w:space="0" w:color="auto"/>
                        <w:bottom w:val="none" w:sz="0" w:space="0" w:color="auto"/>
                        <w:right w:val="none" w:sz="0" w:space="0" w:color="auto"/>
                      </w:divBdr>
                    </w:div>
                    <w:div w:id="1372681266">
                      <w:marLeft w:val="0"/>
                      <w:marRight w:val="15"/>
                      <w:marTop w:val="0"/>
                      <w:marBottom w:val="0"/>
                      <w:divBdr>
                        <w:top w:val="none" w:sz="0" w:space="0" w:color="auto"/>
                        <w:left w:val="none" w:sz="0" w:space="0" w:color="auto"/>
                        <w:bottom w:val="none" w:sz="0" w:space="0" w:color="auto"/>
                        <w:right w:val="none" w:sz="0" w:space="0" w:color="auto"/>
                      </w:divBdr>
                    </w:div>
                    <w:div w:id="1687438292">
                      <w:marLeft w:val="0"/>
                      <w:marRight w:val="15"/>
                      <w:marTop w:val="0"/>
                      <w:marBottom w:val="0"/>
                      <w:divBdr>
                        <w:top w:val="none" w:sz="0" w:space="0" w:color="auto"/>
                        <w:left w:val="none" w:sz="0" w:space="0" w:color="auto"/>
                        <w:bottom w:val="none" w:sz="0" w:space="0" w:color="auto"/>
                        <w:right w:val="none" w:sz="0" w:space="0" w:color="auto"/>
                      </w:divBdr>
                    </w:div>
                    <w:div w:id="17031697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67312487">
          <w:marLeft w:val="0"/>
          <w:marRight w:val="0"/>
          <w:marTop w:val="0"/>
          <w:marBottom w:val="0"/>
          <w:divBdr>
            <w:top w:val="none" w:sz="0" w:space="0" w:color="auto"/>
            <w:left w:val="none" w:sz="0" w:space="0" w:color="auto"/>
            <w:bottom w:val="none" w:sz="0" w:space="0" w:color="auto"/>
            <w:right w:val="none" w:sz="0" w:space="0" w:color="auto"/>
          </w:divBdr>
          <w:divsChild>
            <w:div w:id="727411734">
              <w:marLeft w:val="0"/>
              <w:marRight w:val="0"/>
              <w:marTop w:val="0"/>
              <w:marBottom w:val="0"/>
              <w:divBdr>
                <w:top w:val="none" w:sz="0" w:space="0" w:color="auto"/>
                <w:left w:val="none" w:sz="0" w:space="0" w:color="auto"/>
                <w:bottom w:val="none" w:sz="0" w:space="0" w:color="auto"/>
                <w:right w:val="none" w:sz="0" w:space="0" w:color="auto"/>
              </w:divBdr>
              <w:divsChild>
                <w:div w:id="1487014150">
                  <w:marLeft w:val="0"/>
                  <w:marRight w:val="0"/>
                  <w:marTop w:val="0"/>
                  <w:marBottom w:val="0"/>
                  <w:divBdr>
                    <w:top w:val="none" w:sz="0" w:space="0" w:color="auto"/>
                    <w:left w:val="none" w:sz="0" w:space="0" w:color="auto"/>
                    <w:bottom w:val="none" w:sz="0" w:space="0" w:color="auto"/>
                    <w:right w:val="none" w:sz="0" w:space="0" w:color="auto"/>
                  </w:divBdr>
                </w:div>
              </w:divsChild>
            </w:div>
            <w:div w:id="10138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1D80-7647-4E40-996C-003CB7A1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4569</Words>
  <Characters>27693</Characters>
  <Application>Microsoft Office Word</Application>
  <DocSecurity>0</DocSecurity>
  <Lines>522</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2018-05-22T21:40:00Z</dcterms:created>
  <dcterms:modified xsi:type="dcterms:W3CDTF">2018-05-22T21:40:00Z</dcterms:modified>
</cp:coreProperties>
</file>