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4" w14:textId="77777777" w:rsidR="00785474" w:rsidRPr="00FB3A50" w:rsidRDefault="00785474" w:rsidP="00E87E01">
      <w:pPr>
        <w:jc w:val="both"/>
        <w:rPr>
          <w:sz w:val="2"/>
          <w:szCs w:val="2"/>
        </w:rPr>
        <w:sectPr w:rsidR="00785474" w:rsidRPr="00FB3A50"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3DC959AF" w14:textId="77777777" w:rsidR="009A7136" w:rsidRPr="00AF0164" w:rsidRDefault="009A7136" w:rsidP="009A7136">
      <w:pPr>
        <w:tabs>
          <w:tab w:val="left" w:pos="8789"/>
        </w:tabs>
        <w:ind w:right="288"/>
        <w:rPr>
          <w:b/>
          <w:color w:val="000000"/>
        </w:rPr>
      </w:pPr>
      <w:r w:rsidRPr="00AF0164">
        <w:rPr>
          <w:b/>
          <w:color w:val="000000"/>
        </w:rPr>
        <w:t>Second regular session 2021</w:t>
      </w:r>
    </w:p>
    <w:p w14:paraId="708267E3" w14:textId="0480C430" w:rsidR="009A7136" w:rsidRPr="00AF0164" w:rsidRDefault="009A7136" w:rsidP="009A7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AF0164">
        <w:rPr>
          <w:color w:val="000000"/>
        </w:rPr>
        <w:t xml:space="preserve">30 August </w:t>
      </w:r>
      <w:r w:rsidR="00AF0164">
        <w:rPr>
          <w:color w:val="000000"/>
        </w:rPr>
        <w:t xml:space="preserve">to </w:t>
      </w:r>
      <w:r w:rsidRPr="00AF0164">
        <w:rPr>
          <w:color w:val="000000"/>
        </w:rPr>
        <w:t>2 September 2021, New York</w:t>
      </w:r>
    </w:p>
    <w:p w14:paraId="55D85D15" w14:textId="180DEE51" w:rsidR="009A7136" w:rsidRPr="00AF0164" w:rsidRDefault="009A7136" w:rsidP="009A7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AF0164">
        <w:rPr>
          <w:color w:val="000000"/>
        </w:rPr>
        <w:t xml:space="preserve">Item </w:t>
      </w:r>
      <w:r w:rsidR="000B304C">
        <w:rPr>
          <w:color w:val="000000"/>
        </w:rPr>
        <w:t>5</w:t>
      </w:r>
      <w:r w:rsidRPr="00AF0164">
        <w:rPr>
          <w:color w:val="000000"/>
        </w:rPr>
        <w:t xml:space="preserve"> of the provisional agenda</w:t>
      </w:r>
    </w:p>
    <w:p w14:paraId="6877E4F0" w14:textId="77777777" w:rsidR="009A7136" w:rsidRPr="00AF0164" w:rsidRDefault="009A7136" w:rsidP="009A7136">
      <w:pPr>
        <w:ind w:right="1260"/>
        <w:rPr>
          <w:b/>
          <w:color w:val="000000"/>
        </w:rPr>
      </w:pPr>
      <w:r w:rsidRPr="00AF0164">
        <w:rPr>
          <w:b/>
          <w:color w:val="000000"/>
        </w:rPr>
        <w:t>Country programmes and related matters</w:t>
      </w:r>
    </w:p>
    <w:p w14:paraId="5A96C41F" w14:textId="77777777" w:rsidR="009A7136" w:rsidRPr="00AF0164" w:rsidRDefault="009A7136" w:rsidP="009A7136">
      <w:pPr>
        <w:jc w:val="both"/>
        <w:rPr>
          <w:b/>
        </w:rPr>
      </w:pPr>
    </w:p>
    <w:p w14:paraId="64EEB98B" w14:textId="77777777" w:rsidR="009A7136" w:rsidRPr="00AF0164" w:rsidRDefault="009A7136" w:rsidP="009A7136">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550F2FF" w14:textId="7608B10B" w:rsidR="009A7136" w:rsidRPr="00AF0164" w:rsidRDefault="009A7136" w:rsidP="00FB3A5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1350" w:right="328"/>
        <w:outlineLvl w:val="0"/>
        <w:rPr>
          <w:color w:val="000000"/>
          <w:kern w:val="14"/>
          <w:sz w:val="28"/>
          <w:lang w:eastAsia="fr-FR"/>
        </w:rPr>
      </w:pPr>
      <w:r w:rsidRPr="00AF0164">
        <w:rPr>
          <w:b/>
          <w:sz w:val="28"/>
          <w:szCs w:val="28"/>
        </w:rPr>
        <w:t>Draft country programme document for Cameroon (2022-2026)</w:t>
      </w:r>
      <w:r w:rsidRPr="00AF0164">
        <w:rPr>
          <w:b/>
          <w:sz w:val="28"/>
          <w:szCs w:val="28"/>
        </w:rPr>
        <w:br/>
      </w:r>
    </w:p>
    <w:p w14:paraId="7D86F0E2" w14:textId="77777777" w:rsidR="009A7136" w:rsidRPr="00AF0164" w:rsidRDefault="009A7136" w:rsidP="009A713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AF0164">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A7136" w:rsidRPr="00AF0164" w14:paraId="72AF06D9" w14:textId="77777777" w:rsidTr="002524AB">
        <w:tc>
          <w:tcPr>
            <w:tcW w:w="1060" w:type="dxa"/>
            <w:shd w:val="clear" w:color="auto" w:fill="auto"/>
          </w:tcPr>
          <w:p w14:paraId="3CD3FC8C" w14:textId="77777777" w:rsidR="009A7136" w:rsidRPr="00AF0164" w:rsidRDefault="009A7136" w:rsidP="002524AB">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2B8C56CF" w14:textId="77777777" w:rsidR="009A7136" w:rsidRPr="00AF0164" w:rsidRDefault="009A7136" w:rsidP="002524AB">
            <w:pPr>
              <w:tabs>
                <w:tab w:val="left" w:pos="1620"/>
              </w:tabs>
              <w:suppressAutoHyphens/>
              <w:spacing w:after="120"/>
              <w:rPr>
                <w:i/>
                <w:color w:val="000000"/>
                <w:spacing w:val="4"/>
                <w:w w:val="103"/>
                <w:kern w:val="14"/>
                <w:sz w:val="14"/>
                <w:lang w:eastAsia="fr-FR"/>
              </w:rPr>
            </w:pPr>
          </w:p>
        </w:tc>
        <w:tc>
          <w:tcPr>
            <w:tcW w:w="362" w:type="dxa"/>
            <w:shd w:val="clear" w:color="auto" w:fill="auto"/>
          </w:tcPr>
          <w:p w14:paraId="41EB15C5" w14:textId="77777777" w:rsidR="009A7136" w:rsidRPr="00AF0164" w:rsidRDefault="009A7136" w:rsidP="002524AB">
            <w:pPr>
              <w:tabs>
                <w:tab w:val="left" w:pos="1620"/>
              </w:tabs>
              <w:suppressAutoHyphens/>
              <w:spacing w:after="120"/>
              <w:jc w:val="right"/>
              <w:rPr>
                <w:i/>
                <w:color w:val="000000"/>
                <w:spacing w:val="4"/>
                <w:w w:val="103"/>
                <w:kern w:val="14"/>
                <w:sz w:val="14"/>
                <w:lang w:eastAsia="fr-FR"/>
              </w:rPr>
            </w:pPr>
            <w:r w:rsidRPr="00AF0164">
              <w:rPr>
                <w:i/>
                <w:iCs/>
                <w:color w:val="000000"/>
                <w:kern w:val="14"/>
                <w:sz w:val="14"/>
                <w:lang w:eastAsia="fr-FR"/>
              </w:rPr>
              <w:t>Page</w:t>
            </w:r>
          </w:p>
        </w:tc>
      </w:tr>
      <w:tr w:rsidR="009A7136" w:rsidRPr="00AF0164" w14:paraId="6565D57C" w14:textId="77777777" w:rsidTr="002524AB">
        <w:tc>
          <w:tcPr>
            <w:tcW w:w="9540" w:type="dxa"/>
            <w:gridSpan w:val="3"/>
            <w:shd w:val="clear" w:color="auto" w:fill="auto"/>
          </w:tcPr>
          <w:p w14:paraId="3FA69C55" w14:textId="0B628545" w:rsidR="009A7136" w:rsidRPr="00AF0164" w:rsidRDefault="009A7136" w:rsidP="009A7136">
            <w:pPr>
              <w:numPr>
                <w:ilvl w:val="0"/>
                <w:numId w:val="3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AF0164">
              <w:rPr>
                <w:color w:val="000000"/>
                <w:kern w:val="14"/>
                <w:lang w:eastAsia="fr-FR"/>
              </w:rPr>
              <w:tab/>
              <w:t>UNDP within the United Nations Sustainable Development Cooperation Framework</w:t>
            </w:r>
            <w:r w:rsidRPr="00AF0164">
              <w:rPr>
                <w:color w:val="000000"/>
                <w:sz w:val="24"/>
                <w:szCs w:val="24"/>
                <w:lang w:eastAsia="fr-FR"/>
              </w:rPr>
              <w:tab/>
            </w:r>
          </w:p>
        </w:tc>
        <w:tc>
          <w:tcPr>
            <w:tcW w:w="362" w:type="dxa"/>
            <w:vMerge w:val="restart"/>
            <w:shd w:val="clear" w:color="auto" w:fill="auto"/>
            <w:vAlign w:val="bottom"/>
          </w:tcPr>
          <w:p w14:paraId="75C83920"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r w:rsidRPr="00AF0164">
              <w:rPr>
                <w:color w:val="000000"/>
                <w:kern w:val="14"/>
                <w:lang w:eastAsia="fr-FR"/>
              </w:rPr>
              <w:t>2</w:t>
            </w:r>
          </w:p>
          <w:p w14:paraId="1D446F12"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r w:rsidRPr="00AF0164">
              <w:rPr>
                <w:color w:val="000000"/>
                <w:kern w:val="14"/>
                <w:lang w:eastAsia="fr-FR"/>
              </w:rPr>
              <w:t>4</w:t>
            </w:r>
          </w:p>
        </w:tc>
      </w:tr>
      <w:tr w:rsidR="009A7136" w:rsidRPr="00AF0164" w14:paraId="5D4805BA" w14:textId="77777777" w:rsidTr="002524AB">
        <w:tc>
          <w:tcPr>
            <w:tcW w:w="9540" w:type="dxa"/>
            <w:gridSpan w:val="3"/>
            <w:shd w:val="clear" w:color="auto" w:fill="auto"/>
          </w:tcPr>
          <w:p w14:paraId="0EBBEEFC" w14:textId="77777777" w:rsidR="009A7136" w:rsidRPr="00AF0164" w:rsidRDefault="009A7136" w:rsidP="009A7136">
            <w:pPr>
              <w:numPr>
                <w:ilvl w:val="0"/>
                <w:numId w:val="3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AF0164">
              <w:rPr>
                <w:color w:val="000000"/>
                <w:kern w:val="14"/>
                <w:lang w:eastAsia="fr-FR"/>
              </w:rPr>
              <w:tab/>
              <w:t>Programme priorities and partnerships</w:t>
            </w:r>
            <w:r w:rsidRPr="00AF0164">
              <w:rPr>
                <w:color w:val="000000"/>
                <w:lang w:eastAsia="fr-FR"/>
              </w:rPr>
              <w:t>………………………………………………….</w:t>
            </w:r>
            <w:r w:rsidRPr="00AF0164">
              <w:rPr>
                <w:color w:val="000000"/>
                <w:lang w:eastAsia="fr-FR"/>
              </w:rPr>
              <w:tab/>
              <w:t>……….…</w:t>
            </w:r>
          </w:p>
        </w:tc>
        <w:tc>
          <w:tcPr>
            <w:tcW w:w="362" w:type="dxa"/>
            <w:vMerge/>
            <w:shd w:val="clear" w:color="auto" w:fill="auto"/>
            <w:vAlign w:val="bottom"/>
          </w:tcPr>
          <w:p w14:paraId="5ACBF377"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p>
        </w:tc>
      </w:tr>
      <w:tr w:rsidR="009A7136" w:rsidRPr="00AF0164" w14:paraId="20A54584" w14:textId="77777777" w:rsidTr="002524AB">
        <w:tc>
          <w:tcPr>
            <w:tcW w:w="9540" w:type="dxa"/>
            <w:gridSpan w:val="3"/>
            <w:shd w:val="clear" w:color="auto" w:fill="auto"/>
          </w:tcPr>
          <w:p w14:paraId="2F10A72F" w14:textId="77777777" w:rsidR="009A7136" w:rsidRPr="00AF0164" w:rsidRDefault="009A7136" w:rsidP="009A7136">
            <w:pPr>
              <w:numPr>
                <w:ilvl w:val="0"/>
                <w:numId w:val="3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AF0164">
              <w:rPr>
                <w:color w:val="000000"/>
                <w:kern w:val="14"/>
                <w:lang w:eastAsia="fr-FR"/>
              </w:rPr>
              <w:tab/>
              <w:t xml:space="preserve">Programme and risk management </w:t>
            </w:r>
            <w:r w:rsidRPr="00AF0164">
              <w:rPr>
                <w:color w:val="000000"/>
                <w:lang w:eastAsia="fr-FR"/>
              </w:rPr>
              <w:t>……………………………………………….…………………</w:t>
            </w:r>
          </w:p>
        </w:tc>
        <w:tc>
          <w:tcPr>
            <w:tcW w:w="362" w:type="dxa"/>
            <w:vMerge w:val="restart"/>
            <w:shd w:val="clear" w:color="auto" w:fill="auto"/>
            <w:vAlign w:val="bottom"/>
          </w:tcPr>
          <w:p w14:paraId="2CEA7E28" w14:textId="629BD4B3" w:rsidR="009A7136" w:rsidRPr="00AF0164" w:rsidRDefault="000B304C" w:rsidP="002524A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3AF69455" w14:textId="7FD7A7FF" w:rsidR="009A7136" w:rsidRPr="00AF0164" w:rsidRDefault="000B304C" w:rsidP="002524A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9A7136" w:rsidRPr="00AF0164" w14:paraId="689317F5" w14:textId="77777777" w:rsidTr="002524AB">
        <w:tc>
          <w:tcPr>
            <w:tcW w:w="9540" w:type="dxa"/>
            <w:gridSpan w:val="3"/>
            <w:shd w:val="clear" w:color="auto" w:fill="auto"/>
          </w:tcPr>
          <w:p w14:paraId="7F689B1C" w14:textId="77777777" w:rsidR="009A7136" w:rsidRPr="00AF0164" w:rsidRDefault="009A7136" w:rsidP="009A7136">
            <w:pPr>
              <w:numPr>
                <w:ilvl w:val="0"/>
                <w:numId w:val="3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AF0164">
              <w:rPr>
                <w:color w:val="000000"/>
                <w:kern w:val="14"/>
                <w:lang w:eastAsia="fr-FR"/>
              </w:rPr>
              <w:tab/>
              <w:t>Monitoring and evaluation</w:t>
            </w:r>
            <w:r w:rsidRPr="00AF0164">
              <w:rPr>
                <w:color w:val="000000"/>
                <w:sz w:val="24"/>
                <w:szCs w:val="24"/>
                <w:lang w:eastAsia="fr-FR"/>
              </w:rPr>
              <w:tab/>
            </w:r>
            <w:r w:rsidRPr="00AF0164">
              <w:rPr>
                <w:color w:val="000000"/>
                <w:lang w:eastAsia="fr-FR"/>
              </w:rPr>
              <w:t>…………………………………………………….……………………</w:t>
            </w:r>
          </w:p>
        </w:tc>
        <w:tc>
          <w:tcPr>
            <w:tcW w:w="362" w:type="dxa"/>
            <w:vMerge/>
            <w:shd w:val="clear" w:color="auto" w:fill="auto"/>
            <w:vAlign w:val="bottom"/>
          </w:tcPr>
          <w:p w14:paraId="6B139048"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p>
        </w:tc>
      </w:tr>
      <w:tr w:rsidR="009A7136" w:rsidRPr="00AF0164" w14:paraId="5C3502F3" w14:textId="77777777" w:rsidTr="002524AB">
        <w:tc>
          <w:tcPr>
            <w:tcW w:w="9369" w:type="dxa"/>
            <w:gridSpan w:val="2"/>
            <w:shd w:val="clear" w:color="auto" w:fill="auto"/>
          </w:tcPr>
          <w:p w14:paraId="3C49D6FC" w14:textId="77777777" w:rsidR="00256E19" w:rsidRDefault="00256E19" w:rsidP="00256E1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ind w:right="329"/>
              <w:outlineLvl w:val="0"/>
              <w:rPr>
                <w:color w:val="000000"/>
                <w:kern w:val="14"/>
                <w:sz w:val="28"/>
                <w:lang w:eastAsia="fr-FR"/>
              </w:rPr>
            </w:pPr>
          </w:p>
          <w:p w14:paraId="6E0B114E" w14:textId="723D7F4E" w:rsidR="009A7136" w:rsidRPr="006F1353" w:rsidRDefault="009A7136" w:rsidP="006F135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6F1353">
              <w:rPr>
                <w:color w:val="000000"/>
                <w:kern w:val="14"/>
                <w:sz w:val="28"/>
                <w:lang w:eastAsia="fr-FR"/>
              </w:rPr>
              <w:t>Annex</w:t>
            </w:r>
          </w:p>
        </w:tc>
        <w:tc>
          <w:tcPr>
            <w:tcW w:w="533" w:type="dxa"/>
            <w:gridSpan w:val="2"/>
            <w:shd w:val="clear" w:color="auto" w:fill="auto"/>
            <w:vAlign w:val="bottom"/>
          </w:tcPr>
          <w:p w14:paraId="39A3CE7A"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p>
        </w:tc>
      </w:tr>
      <w:tr w:rsidR="009A7136" w:rsidRPr="00AF0164" w14:paraId="55CE39AC" w14:textId="77777777" w:rsidTr="002524AB">
        <w:tc>
          <w:tcPr>
            <w:tcW w:w="9369" w:type="dxa"/>
            <w:gridSpan w:val="2"/>
            <w:shd w:val="clear" w:color="auto" w:fill="auto"/>
          </w:tcPr>
          <w:p w14:paraId="78BEFBF1" w14:textId="4590C7DA" w:rsidR="009A7136" w:rsidRPr="00AF0164" w:rsidRDefault="009A7136" w:rsidP="002524A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AF0164">
              <w:rPr>
                <w:color w:val="000000"/>
                <w:kern w:val="14"/>
                <w:lang w:eastAsia="fr-FR"/>
              </w:rPr>
              <w:t>Results and resources framework for Cameroon (2022-2026)</w:t>
            </w:r>
            <w:r w:rsidRPr="00AF0164">
              <w:rPr>
                <w:color w:val="000000"/>
                <w:sz w:val="24"/>
                <w:szCs w:val="24"/>
                <w:lang w:eastAsia="fr-FR"/>
              </w:rPr>
              <w:tab/>
            </w:r>
          </w:p>
        </w:tc>
        <w:tc>
          <w:tcPr>
            <w:tcW w:w="533" w:type="dxa"/>
            <w:gridSpan w:val="2"/>
            <w:shd w:val="clear" w:color="auto" w:fill="auto"/>
            <w:vAlign w:val="bottom"/>
          </w:tcPr>
          <w:p w14:paraId="51D43A52" w14:textId="18CE1625" w:rsidR="009A7136" w:rsidRPr="00AF0164" w:rsidRDefault="000B304C" w:rsidP="002524A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bl>
    <w:p w14:paraId="455BFF55" w14:textId="77777777" w:rsidR="002E7C2A" w:rsidRPr="00AF0164" w:rsidRDefault="002E7C2A">
      <w:pPr>
        <w:rPr>
          <w:b/>
          <w:bCs/>
          <w:sz w:val="24"/>
          <w:szCs w:val="24"/>
        </w:rPr>
      </w:pPr>
      <w:r w:rsidRPr="00AF0164">
        <w:rPr>
          <w:b/>
          <w:bCs/>
          <w:sz w:val="24"/>
          <w:szCs w:val="24"/>
        </w:rPr>
        <w:br w:type="page"/>
      </w:r>
    </w:p>
    <w:p w14:paraId="29935AE4" w14:textId="69E10F03" w:rsidR="00237420" w:rsidRPr="00AF0164" w:rsidRDefault="00EC0088" w:rsidP="00237420">
      <w:pPr>
        <w:pStyle w:val="ListParagraph"/>
        <w:numPr>
          <w:ilvl w:val="0"/>
          <w:numId w:val="33"/>
        </w:numPr>
        <w:spacing w:after="200"/>
        <w:ind w:left="1080" w:right="1080" w:hanging="270"/>
        <w:rPr>
          <w:b/>
          <w:bCs/>
          <w:sz w:val="24"/>
          <w:szCs w:val="24"/>
        </w:rPr>
      </w:pPr>
      <w:r w:rsidRPr="00AF0164">
        <w:rPr>
          <w:b/>
          <w:bCs/>
          <w:sz w:val="24"/>
          <w:szCs w:val="24"/>
        </w:rPr>
        <w:lastRenderedPageBreak/>
        <w:t>UNDP</w:t>
      </w:r>
      <w:r w:rsidR="00237420" w:rsidRPr="00AF0164">
        <w:rPr>
          <w:sz w:val="24"/>
          <w:szCs w:val="24"/>
        </w:rPr>
        <w:t xml:space="preserve"> </w:t>
      </w:r>
      <w:r w:rsidR="00237420" w:rsidRPr="00AF0164">
        <w:rPr>
          <w:b/>
          <w:bCs/>
          <w:sz w:val="24"/>
          <w:szCs w:val="24"/>
        </w:rPr>
        <w:t>within the United Nations Sustainable Development Cooperation Framework</w:t>
      </w:r>
    </w:p>
    <w:p w14:paraId="765E01DC" w14:textId="459641BF" w:rsidR="000532F9" w:rsidRPr="00AF0164" w:rsidRDefault="000532F9" w:rsidP="009220DB">
      <w:pPr>
        <w:pStyle w:val="ListParagraph"/>
        <w:numPr>
          <w:ilvl w:val="0"/>
          <w:numId w:val="30"/>
        </w:numPr>
        <w:spacing w:after="120"/>
        <w:ind w:left="1080" w:right="1080" w:firstLine="0"/>
        <w:jc w:val="both"/>
        <w:rPr>
          <w:color w:val="0E101A"/>
        </w:rPr>
      </w:pPr>
      <w:r w:rsidRPr="00AF0164">
        <w:rPr>
          <w:color w:val="0E101A"/>
        </w:rPr>
        <w:t xml:space="preserve">Cameroon is a lower-middle-income country with a population above 25 million inhabitants and a </w:t>
      </w:r>
      <w:r w:rsidR="00AF0164">
        <w:rPr>
          <w:color w:val="0E101A"/>
        </w:rPr>
        <w:t>h</w:t>
      </w:r>
      <w:r w:rsidRPr="00AF0164">
        <w:rPr>
          <w:color w:val="0E101A"/>
        </w:rPr>
        <w:t xml:space="preserve">uman </w:t>
      </w:r>
      <w:r w:rsidR="00AF0164">
        <w:rPr>
          <w:color w:val="0E101A"/>
        </w:rPr>
        <w:t>d</w:t>
      </w:r>
      <w:r w:rsidRPr="00AF0164">
        <w:rPr>
          <w:color w:val="0E101A"/>
        </w:rPr>
        <w:t xml:space="preserve">evelopment </w:t>
      </w:r>
      <w:r w:rsidR="00AF0164">
        <w:rPr>
          <w:color w:val="0E101A"/>
        </w:rPr>
        <w:t>i</w:t>
      </w:r>
      <w:r w:rsidRPr="00AF0164">
        <w:rPr>
          <w:color w:val="0E101A"/>
        </w:rPr>
        <w:t>ndex (HDI) of 0.563</w:t>
      </w:r>
      <w:r w:rsidR="00AF0164">
        <w:rPr>
          <w:color w:val="0E101A"/>
        </w:rPr>
        <w:t>,</w:t>
      </w:r>
      <w:r w:rsidR="00E34E91" w:rsidRPr="00AF0164">
        <w:rPr>
          <w:rStyle w:val="FootnoteReference"/>
          <w:color w:val="0E101A"/>
        </w:rPr>
        <w:footnoteReference w:id="2"/>
      </w:r>
      <w:r w:rsidRPr="00AF0164">
        <w:rPr>
          <w:color w:val="0E101A"/>
        </w:rPr>
        <w:t xml:space="preserve"> ranking 153</w:t>
      </w:r>
      <w:r w:rsidR="00C76964" w:rsidRPr="00AF0164">
        <w:rPr>
          <w:color w:val="0E101A"/>
        </w:rPr>
        <w:t xml:space="preserve"> </w:t>
      </w:r>
      <w:r w:rsidRPr="00AF0164">
        <w:rPr>
          <w:color w:val="0E101A"/>
        </w:rPr>
        <w:t xml:space="preserve">out of 188 countries. </w:t>
      </w:r>
      <w:r w:rsidR="00C15636" w:rsidRPr="00AF0164">
        <w:rPr>
          <w:color w:val="0E101A"/>
        </w:rPr>
        <w:t>During the</w:t>
      </w:r>
      <w:r w:rsidRPr="00AF0164">
        <w:rPr>
          <w:color w:val="0E101A"/>
        </w:rPr>
        <w:t xml:space="preserve"> </w:t>
      </w:r>
      <w:r w:rsidR="00C15636" w:rsidRPr="00AF0164">
        <w:rPr>
          <w:color w:val="0E101A"/>
        </w:rPr>
        <w:t xml:space="preserve">second phase of operationalization of </w:t>
      </w:r>
      <w:r w:rsidRPr="00AF0164">
        <w:rPr>
          <w:color w:val="0E101A"/>
        </w:rPr>
        <w:t xml:space="preserve">the </w:t>
      </w:r>
      <w:r w:rsidR="00AF0164">
        <w:rPr>
          <w:color w:val="0E101A"/>
        </w:rPr>
        <w:t xml:space="preserve">national </w:t>
      </w:r>
      <w:r w:rsidRPr="00AF0164">
        <w:rPr>
          <w:color w:val="0E101A"/>
        </w:rPr>
        <w:t>2035 Vision, Cameroon adopted the National Development Strategy</w:t>
      </w:r>
      <w:r w:rsidR="00AF0164">
        <w:rPr>
          <w:color w:val="0E101A"/>
        </w:rPr>
        <w:t xml:space="preserve">, </w:t>
      </w:r>
      <w:r w:rsidRPr="00AF0164">
        <w:rPr>
          <w:color w:val="0E101A"/>
        </w:rPr>
        <w:t>2020-2030 (NDS30), whose objective is to enable the country</w:t>
      </w:r>
      <w:r w:rsidR="00C15636" w:rsidRPr="00AF0164">
        <w:rPr>
          <w:color w:val="0E101A"/>
        </w:rPr>
        <w:t xml:space="preserve">’s </w:t>
      </w:r>
      <w:r w:rsidRPr="00AF0164">
        <w:rPr>
          <w:color w:val="0E101A"/>
        </w:rPr>
        <w:t xml:space="preserve">transition to a high-income industrialized nation </w:t>
      </w:r>
      <w:r w:rsidR="00AF0164">
        <w:rPr>
          <w:color w:val="0E101A"/>
        </w:rPr>
        <w:t xml:space="preserve">by </w:t>
      </w:r>
      <w:r w:rsidRPr="00AF0164">
        <w:rPr>
          <w:color w:val="0E101A"/>
        </w:rPr>
        <w:t>reducing poverty, promoting strong economic growth, and consolidating democracy. The United Nations Sustainable Development Cooperation Framework (UNSDCF)</w:t>
      </w:r>
      <w:r w:rsidR="00AF0164">
        <w:rPr>
          <w:color w:val="0E101A"/>
        </w:rPr>
        <w:t xml:space="preserve">, </w:t>
      </w:r>
      <w:r w:rsidRPr="00AF0164">
        <w:rPr>
          <w:color w:val="0E101A"/>
        </w:rPr>
        <w:t xml:space="preserve">2022-2026, developed </w:t>
      </w:r>
      <w:r w:rsidR="00AF0164">
        <w:rPr>
          <w:color w:val="0E101A"/>
        </w:rPr>
        <w:t xml:space="preserve">against </w:t>
      </w:r>
      <w:r w:rsidRPr="00AF0164">
        <w:rPr>
          <w:color w:val="0E101A"/>
        </w:rPr>
        <w:t>the backdrop of the COVID-19 pandemic, aims to contribute to achiev</w:t>
      </w:r>
      <w:r w:rsidR="00C647A8">
        <w:rPr>
          <w:color w:val="0E101A"/>
        </w:rPr>
        <w:t>ing</w:t>
      </w:r>
      <w:r w:rsidRPr="00AF0164">
        <w:rPr>
          <w:color w:val="0E101A"/>
        </w:rPr>
        <w:t xml:space="preserve"> national priorities through four strategic priority areas: (</w:t>
      </w:r>
      <w:r w:rsidR="00AF0164">
        <w:rPr>
          <w:color w:val="0E101A"/>
        </w:rPr>
        <w:t>a</w:t>
      </w:r>
      <w:r w:rsidRPr="00AF0164">
        <w:rPr>
          <w:color w:val="0E101A"/>
        </w:rPr>
        <w:t xml:space="preserve">) </w:t>
      </w:r>
      <w:r w:rsidR="00AF0164">
        <w:rPr>
          <w:color w:val="0E101A"/>
        </w:rPr>
        <w:t>i</w:t>
      </w:r>
      <w:r w:rsidRPr="00AF0164">
        <w:rPr>
          <w:color w:val="0E101A"/>
        </w:rPr>
        <w:t>nclusive and sustainable growth through structural transformation of the economy and creation of decent jobs</w:t>
      </w:r>
      <w:r w:rsidR="00AF0164">
        <w:rPr>
          <w:color w:val="0E101A"/>
        </w:rPr>
        <w:t>;</w:t>
      </w:r>
      <w:r w:rsidRPr="00AF0164">
        <w:rPr>
          <w:color w:val="0E101A"/>
        </w:rPr>
        <w:t xml:space="preserve"> (</w:t>
      </w:r>
      <w:r w:rsidR="00AF0164">
        <w:rPr>
          <w:color w:val="0E101A"/>
        </w:rPr>
        <w:t>b</w:t>
      </w:r>
      <w:r w:rsidRPr="00AF0164">
        <w:rPr>
          <w:color w:val="0E101A"/>
        </w:rPr>
        <w:t>)</w:t>
      </w:r>
      <w:r w:rsidR="00C647A8">
        <w:rPr>
          <w:color w:val="0E101A"/>
        </w:rPr>
        <w:t> </w:t>
      </w:r>
      <w:r w:rsidR="00AF0164">
        <w:rPr>
          <w:color w:val="0E101A"/>
        </w:rPr>
        <w:t>q</w:t>
      </w:r>
      <w:r w:rsidRPr="00AF0164">
        <w:rPr>
          <w:color w:val="0E101A"/>
        </w:rPr>
        <w:t>uality, inclusive and equitable human and social development</w:t>
      </w:r>
      <w:r w:rsidR="00AF0164">
        <w:rPr>
          <w:color w:val="0E101A"/>
        </w:rPr>
        <w:t>;</w:t>
      </w:r>
      <w:r w:rsidRPr="00AF0164">
        <w:rPr>
          <w:color w:val="0E101A"/>
        </w:rPr>
        <w:t xml:space="preserve"> (</w:t>
      </w:r>
      <w:r w:rsidR="00AF0164">
        <w:rPr>
          <w:color w:val="0E101A"/>
        </w:rPr>
        <w:t>c</w:t>
      </w:r>
      <w:r w:rsidRPr="00AF0164">
        <w:rPr>
          <w:color w:val="0E101A"/>
        </w:rPr>
        <w:t xml:space="preserve">) </w:t>
      </w:r>
      <w:r w:rsidR="00AF0164">
        <w:rPr>
          <w:color w:val="0E101A"/>
        </w:rPr>
        <w:t>i</w:t>
      </w:r>
      <w:r w:rsidRPr="00AF0164">
        <w:rPr>
          <w:color w:val="0E101A"/>
        </w:rPr>
        <w:t>nstitutional support and citizen participation</w:t>
      </w:r>
      <w:r w:rsidR="00AF0164">
        <w:rPr>
          <w:color w:val="0E101A"/>
        </w:rPr>
        <w:t>;</w:t>
      </w:r>
      <w:r w:rsidRPr="00AF0164">
        <w:rPr>
          <w:color w:val="0E101A"/>
        </w:rPr>
        <w:t xml:space="preserve"> and (</w:t>
      </w:r>
      <w:r w:rsidR="00AF0164">
        <w:rPr>
          <w:color w:val="0E101A"/>
        </w:rPr>
        <w:t>d</w:t>
      </w:r>
      <w:r w:rsidRPr="00AF0164">
        <w:rPr>
          <w:color w:val="0E101A"/>
        </w:rPr>
        <w:t xml:space="preserve">) </w:t>
      </w:r>
      <w:r w:rsidR="00AF0164">
        <w:rPr>
          <w:color w:val="0E101A"/>
        </w:rPr>
        <w:t>e</w:t>
      </w:r>
      <w:r w:rsidRPr="00AF0164">
        <w:rPr>
          <w:color w:val="0E101A"/>
        </w:rPr>
        <w:t>nvironmental sustainability and climate and disaster</w:t>
      </w:r>
      <w:r w:rsidR="00AF0164">
        <w:rPr>
          <w:color w:val="0E101A"/>
        </w:rPr>
        <w:t xml:space="preserve"> </w:t>
      </w:r>
      <w:r w:rsidRPr="00AF0164">
        <w:rPr>
          <w:color w:val="0E101A"/>
        </w:rPr>
        <w:t xml:space="preserve">risk management. </w:t>
      </w:r>
      <w:r w:rsidR="00AF0164">
        <w:rPr>
          <w:color w:val="0E101A"/>
        </w:rPr>
        <w:t xml:space="preserve">The </w:t>
      </w:r>
      <w:r w:rsidRPr="00AF0164">
        <w:rPr>
          <w:color w:val="0E101A"/>
        </w:rPr>
        <w:t xml:space="preserve">UNDP programmatic offer is aligned with </w:t>
      </w:r>
      <w:r w:rsidR="00AF0164">
        <w:rPr>
          <w:color w:val="0E101A"/>
        </w:rPr>
        <w:t xml:space="preserve">the </w:t>
      </w:r>
      <w:r w:rsidRPr="00AF0164">
        <w:rPr>
          <w:color w:val="0E101A"/>
        </w:rPr>
        <w:t>UNSDCF and informed by its comparative advantages in structural transformation, inclusive governance, peacebuilding, climate chang</w:t>
      </w:r>
      <w:r w:rsidR="00AF0164">
        <w:rPr>
          <w:color w:val="0E101A"/>
        </w:rPr>
        <w:t>e</w:t>
      </w:r>
      <w:r w:rsidRPr="00AF0164">
        <w:rPr>
          <w:color w:val="0E101A"/>
        </w:rPr>
        <w:t xml:space="preserve"> </w:t>
      </w:r>
      <w:r w:rsidR="00774896" w:rsidRPr="00AF0164">
        <w:rPr>
          <w:color w:val="0E101A"/>
        </w:rPr>
        <w:t xml:space="preserve">and </w:t>
      </w:r>
      <w:r w:rsidRPr="00AF0164">
        <w:rPr>
          <w:color w:val="0E101A"/>
        </w:rPr>
        <w:t xml:space="preserve">socioeconomic development. The </w:t>
      </w:r>
      <w:r w:rsidR="00AF0164">
        <w:rPr>
          <w:color w:val="0E101A"/>
        </w:rPr>
        <w:t>country programme document (</w:t>
      </w:r>
      <w:r w:rsidRPr="00AF0164">
        <w:rPr>
          <w:color w:val="0E101A"/>
        </w:rPr>
        <w:t>CPD</w:t>
      </w:r>
      <w:r w:rsidR="00AF0164">
        <w:rPr>
          <w:color w:val="0E101A"/>
        </w:rPr>
        <w:t>)</w:t>
      </w:r>
      <w:r w:rsidRPr="00AF0164">
        <w:rPr>
          <w:color w:val="0E101A"/>
        </w:rPr>
        <w:t xml:space="preserve"> consider</w:t>
      </w:r>
      <w:r w:rsidR="00AF0164">
        <w:rPr>
          <w:color w:val="0E101A"/>
        </w:rPr>
        <w:t>s</w:t>
      </w:r>
      <w:r w:rsidRPr="00AF0164">
        <w:rPr>
          <w:color w:val="0E101A"/>
        </w:rPr>
        <w:t xml:space="preserve"> the </w:t>
      </w:r>
      <w:r w:rsidR="00AF0164">
        <w:rPr>
          <w:color w:val="0E101A"/>
        </w:rPr>
        <w:t>i</w:t>
      </w:r>
      <w:r w:rsidRPr="00AF0164">
        <w:rPr>
          <w:color w:val="0E101A"/>
        </w:rPr>
        <w:t xml:space="preserve">ndependent </w:t>
      </w:r>
      <w:r w:rsidR="00AF0164">
        <w:rPr>
          <w:color w:val="0E101A"/>
        </w:rPr>
        <w:t>c</w:t>
      </w:r>
      <w:r w:rsidRPr="00AF0164">
        <w:rPr>
          <w:color w:val="0E101A"/>
        </w:rPr>
        <w:t xml:space="preserve">ountry </w:t>
      </w:r>
      <w:r w:rsidR="00AF0164">
        <w:rPr>
          <w:color w:val="0E101A"/>
        </w:rPr>
        <w:t>p</w:t>
      </w:r>
      <w:r w:rsidRPr="00AF0164">
        <w:rPr>
          <w:color w:val="0E101A"/>
        </w:rPr>
        <w:t xml:space="preserve">rogramme </w:t>
      </w:r>
      <w:r w:rsidR="00AF0164">
        <w:rPr>
          <w:color w:val="0E101A"/>
        </w:rPr>
        <w:t>r</w:t>
      </w:r>
      <w:r w:rsidRPr="00AF0164">
        <w:rPr>
          <w:color w:val="0E101A"/>
        </w:rPr>
        <w:t xml:space="preserve">eview (ICPR) recommendations and the 2019 </w:t>
      </w:r>
      <w:r w:rsidR="00AF0164">
        <w:rPr>
          <w:color w:val="0E101A"/>
        </w:rPr>
        <w:t>n</w:t>
      </w:r>
      <w:r w:rsidRPr="00AF0164">
        <w:rPr>
          <w:color w:val="0E101A"/>
        </w:rPr>
        <w:t xml:space="preserve">ational SDG </w:t>
      </w:r>
      <w:r w:rsidR="00AF0164">
        <w:rPr>
          <w:color w:val="0E101A"/>
        </w:rPr>
        <w:t>r</w:t>
      </w:r>
      <w:r w:rsidRPr="00AF0164">
        <w:rPr>
          <w:color w:val="0E101A"/>
        </w:rPr>
        <w:t>eports. UNDP will contribute to the achievement of UNSDCF priorities by addressing four interlinked challenges.</w:t>
      </w:r>
    </w:p>
    <w:p w14:paraId="2FEFF984" w14:textId="55CA72BE" w:rsidR="00F372B1" w:rsidRPr="00AF0164" w:rsidRDefault="00B31FE3" w:rsidP="009220DB">
      <w:pPr>
        <w:pStyle w:val="ListParagraph"/>
        <w:numPr>
          <w:ilvl w:val="0"/>
          <w:numId w:val="30"/>
        </w:numPr>
        <w:spacing w:after="120"/>
        <w:ind w:left="1080" w:right="1080" w:firstLine="0"/>
        <w:jc w:val="both"/>
        <w:rPr>
          <w:rFonts w:eastAsia="Calibri"/>
        </w:rPr>
      </w:pPr>
      <w:bookmarkStart w:id="0" w:name="_Hlk69372006"/>
      <w:r w:rsidRPr="00FB3A50">
        <w:rPr>
          <w:i/>
          <w:iCs/>
        </w:rPr>
        <w:t>Slow</w:t>
      </w:r>
      <w:r w:rsidR="00EC0088" w:rsidRPr="00FB3A50">
        <w:rPr>
          <w:i/>
          <w:iCs/>
        </w:rPr>
        <w:t xml:space="preserve"> transformation of </w:t>
      </w:r>
      <w:r w:rsidRPr="00FB3A50">
        <w:rPr>
          <w:i/>
          <w:iCs/>
        </w:rPr>
        <w:t xml:space="preserve">the </w:t>
      </w:r>
      <w:r w:rsidR="00EC0088" w:rsidRPr="00FB3A50">
        <w:rPr>
          <w:i/>
          <w:iCs/>
        </w:rPr>
        <w:t>economy and non-inclusive growth</w:t>
      </w:r>
      <w:bookmarkEnd w:id="0"/>
      <w:r w:rsidR="00AF0164" w:rsidRPr="00FB3A50">
        <w:t>.</w:t>
      </w:r>
      <w:r w:rsidRPr="00AF0164">
        <w:t xml:space="preserve"> </w:t>
      </w:r>
      <w:r w:rsidR="00A81B6E" w:rsidRPr="00AF0164">
        <w:rPr>
          <w:rFonts w:eastAsia="Calibri"/>
        </w:rPr>
        <w:t>In the last few decades, t</w:t>
      </w:r>
      <w:r w:rsidR="00F372B1" w:rsidRPr="00AF0164">
        <w:rPr>
          <w:rFonts w:eastAsia="Calibri"/>
        </w:rPr>
        <w:t xml:space="preserve">he effect of economic growth on employment was weak. While </w:t>
      </w:r>
      <w:r w:rsidR="0067338C">
        <w:rPr>
          <w:rFonts w:eastAsia="Calibri"/>
        </w:rPr>
        <w:t>national gross domestic product (</w:t>
      </w:r>
      <w:r w:rsidR="00F372B1" w:rsidRPr="00AF0164">
        <w:rPr>
          <w:rFonts w:eastAsia="Calibri"/>
        </w:rPr>
        <w:t>GDP</w:t>
      </w:r>
      <w:r w:rsidR="0067338C">
        <w:rPr>
          <w:rFonts w:eastAsia="Calibri"/>
        </w:rPr>
        <w:t>)</w:t>
      </w:r>
      <w:r w:rsidR="00F372B1" w:rsidRPr="00AF0164">
        <w:rPr>
          <w:rFonts w:eastAsia="Calibri"/>
        </w:rPr>
        <w:t xml:space="preserve"> experienced inter and intra-sectors growth, the changes were not led by productivity gains, especially in the agricultural sector. The production system is dominated by the tertiary sector with a low technological base, representing 57</w:t>
      </w:r>
      <w:r w:rsidR="00E34E91" w:rsidRPr="00AF0164">
        <w:rPr>
          <w:rFonts w:eastAsia="Calibri"/>
        </w:rPr>
        <w:t xml:space="preserve"> </w:t>
      </w:r>
      <w:r w:rsidR="000A701E">
        <w:rPr>
          <w:rFonts w:eastAsia="Calibri"/>
        </w:rPr>
        <w:t>per cent</w:t>
      </w:r>
      <w:r w:rsidR="0067338C">
        <w:rPr>
          <w:rFonts w:eastAsia="Calibri"/>
        </w:rPr>
        <w:t xml:space="preserve"> </w:t>
      </w:r>
      <w:r w:rsidR="0067338C" w:rsidRPr="00AF0164">
        <w:rPr>
          <w:rFonts w:eastAsia="Calibri"/>
        </w:rPr>
        <w:t>of the economy</w:t>
      </w:r>
      <w:r w:rsidR="0067338C">
        <w:rPr>
          <w:rFonts w:eastAsia="Calibri"/>
        </w:rPr>
        <w:t>.</w:t>
      </w:r>
      <w:r w:rsidR="0067338C" w:rsidRPr="00AF0164">
        <w:rPr>
          <w:rStyle w:val="FootnoteReference"/>
          <w:rFonts w:eastAsia="Calibri"/>
        </w:rPr>
        <w:t xml:space="preserve"> </w:t>
      </w:r>
      <w:r w:rsidR="00E34E91" w:rsidRPr="00AF0164">
        <w:rPr>
          <w:rStyle w:val="FootnoteReference"/>
          <w:rFonts w:eastAsia="Calibri"/>
        </w:rPr>
        <w:footnoteReference w:id="3"/>
      </w:r>
      <w:r w:rsidR="00F372B1" w:rsidRPr="00AF0164">
        <w:rPr>
          <w:rFonts w:eastAsia="Calibri"/>
        </w:rPr>
        <w:t> </w:t>
      </w:r>
      <w:r w:rsidR="0067338C">
        <w:rPr>
          <w:rFonts w:eastAsia="Calibri"/>
        </w:rPr>
        <w:t>E</w:t>
      </w:r>
      <w:r w:rsidR="00F372B1" w:rsidRPr="00AF0164">
        <w:rPr>
          <w:rFonts w:eastAsia="Calibri"/>
        </w:rPr>
        <w:t>ffort</w:t>
      </w:r>
      <w:r w:rsidR="0067338C">
        <w:rPr>
          <w:rFonts w:eastAsia="Calibri"/>
        </w:rPr>
        <w:t>s</w:t>
      </w:r>
      <w:r w:rsidR="00F372B1" w:rsidRPr="00AF0164">
        <w:rPr>
          <w:rFonts w:eastAsia="Calibri"/>
        </w:rPr>
        <w:t xml:space="preserve"> to diversify ha</w:t>
      </w:r>
      <w:r w:rsidR="0067338C">
        <w:rPr>
          <w:rFonts w:eastAsia="Calibri"/>
        </w:rPr>
        <w:t>ve</w:t>
      </w:r>
      <w:r w:rsidR="00F372B1" w:rsidRPr="00AF0164">
        <w:rPr>
          <w:rFonts w:eastAsia="Calibri"/>
        </w:rPr>
        <w:t xml:space="preserve"> not yet led to a substantial increase in export earnings. Between 2010 and 2019, average annual economic growth was 4.5</w:t>
      </w:r>
      <w:r w:rsidR="0067338C">
        <w:rPr>
          <w:rFonts w:eastAsia="Calibri"/>
        </w:rPr>
        <w:t xml:space="preserve"> </w:t>
      </w:r>
      <w:r w:rsidR="000A701E">
        <w:rPr>
          <w:rFonts w:eastAsia="Calibri"/>
        </w:rPr>
        <w:t>per cent</w:t>
      </w:r>
      <w:r w:rsidR="00F372B1" w:rsidRPr="00AF0164">
        <w:rPr>
          <w:rFonts w:eastAsia="Calibri"/>
        </w:rPr>
        <w:t xml:space="preserve">. Still, this growth was not sufficiently inclusive, as demonstrated by the high multidimensional poverty index of 0.243 and income inequality index of 35.9 </w:t>
      </w:r>
      <w:r w:rsidR="000A701E">
        <w:rPr>
          <w:rFonts w:eastAsia="Calibri"/>
        </w:rPr>
        <w:t>per cent</w:t>
      </w:r>
      <w:r w:rsidR="0067338C">
        <w:rPr>
          <w:rFonts w:eastAsia="Calibri"/>
        </w:rPr>
        <w:t xml:space="preserve"> </w:t>
      </w:r>
      <w:r w:rsidR="00F372B1" w:rsidRPr="00AF0164">
        <w:rPr>
          <w:rFonts w:eastAsia="Calibri"/>
        </w:rPr>
        <w:t>during the same period. The COVID-19 pandemic exacerbated poverty and inequality, resulting in a negative growth rate in 2020 of -2.8</w:t>
      </w:r>
      <w:r w:rsidR="002F03C8">
        <w:rPr>
          <w:rFonts w:eastAsia="Calibri"/>
        </w:rPr>
        <w:t xml:space="preserve"> </w:t>
      </w:r>
      <w:r w:rsidR="000A701E">
        <w:rPr>
          <w:rFonts w:eastAsia="Calibri"/>
        </w:rPr>
        <w:t>per cent</w:t>
      </w:r>
      <w:r w:rsidR="00F372B1" w:rsidRPr="00AF0164">
        <w:rPr>
          <w:rFonts w:eastAsia="Calibri"/>
        </w:rPr>
        <w:t xml:space="preserve">, reduction </w:t>
      </w:r>
      <w:r w:rsidR="0067338C">
        <w:rPr>
          <w:rFonts w:eastAsia="Calibri"/>
        </w:rPr>
        <w:t xml:space="preserve">in living </w:t>
      </w:r>
      <w:r w:rsidR="00F372B1" w:rsidRPr="00AF0164">
        <w:rPr>
          <w:rFonts w:eastAsia="Calibri"/>
        </w:rPr>
        <w:t>standard</w:t>
      </w:r>
      <w:r w:rsidR="0067338C">
        <w:rPr>
          <w:rFonts w:eastAsia="Calibri"/>
        </w:rPr>
        <w:t>s</w:t>
      </w:r>
      <w:r w:rsidR="00F372B1" w:rsidRPr="00AF0164">
        <w:rPr>
          <w:rFonts w:eastAsia="Calibri"/>
        </w:rPr>
        <w:t xml:space="preserve"> for 62</w:t>
      </w:r>
      <w:r w:rsidR="002F03C8">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of households, and a</w:t>
      </w:r>
      <w:r w:rsidR="0067338C">
        <w:rPr>
          <w:rFonts w:eastAsia="Calibri"/>
        </w:rPr>
        <w:t xml:space="preserve">n income </w:t>
      </w:r>
      <w:r w:rsidR="00F372B1" w:rsidRPr="00AF0164">
        <w:rPr>
          <w:rFonts w:eastAsia="Calibri"/>
        </w:rPr>
        <w:t>drop for 65</w:t>
      </w:r>
      <w:r w:rsidR="002F03C8">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of households. In addition, 58.2</w:t>
      </w:r>
      <w:r w:rsidR="00356B55">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of enterprises laid-off workers, among which 62.2</w:t>
      </w:r>
      <w:r w:rsidR="00356B55">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 xml:space="preserve">were </w:t>
      </w:r>
      <w:r w:rsidR="00A2448A">
        <w:rPr>
          <w:rFonts w:eastAsia="Calibri"/>
        </w:rPr>
        <w:t xml:space="preserve">micro, </w:t>
      </w:r>
      <w:r w:rsidR="0067338C">
        <w:rPr>
          <w:rFonts w:eastAsia="Calibri"/>
        </w:rPr>
        <w:t>small and medium enterprises (</w:t>
      </w:r>
      <w:r w:rsidR="00A2448A">
        <w:rPr>
          <w:rFonts w:eastAsia="Calibri"/>
        </w:rPr>
        <w:t>M</w:t>
      </w:r>
      <w:r w:rsidR="00F372B1" w:rsidRPr="00AF0164">
        <w:rPr>
          <w:rFonts w:eastAsia="Calibri"/>
        </w:rPr>
        <w:t>SMEs</w:t>
      </w:r>
      <w:r w:rsidR="0067338C">
        <w:rPr>
          <w:rFonts w:eastAsia="Calibri"/>
        </w:rPr>
        <w:t>).</w:t>
      </w:r>
      <w:r w:rsidR="00E34E91" w:rsidRPr="00AF0164">
        <w:rPr>
          <w:rStyle w:val="FootnoteReference"/>
          <w:rFonts w:eastAsia="Calibri"/>
        </w:rPr>
        <w:footnoteReference w:id="4"/>
      </w:r>
    </w:p>
    <w:p w14:paraId="5CDCF560" w14:textId="583F90BF" w:rsidR="005C39FD" w:rsidRPr="00AF0164" w:rsidRDefault="00EC0088" w:rsidP="009220DB">
      <w:pPr>
        <w:pStyle w:val="ListParagraph"/>
        <w:numPr>
          <w:ilvl w:val="0"/>
          <w:numId w:val="30"/>
        </w:numPr>
        <w:spacing w:after="120"/>
        <w:ind w:left="1080" w:right="1080" w:firstLine="0"/>
        <w:jc w:val="both"/>
        <w:rPr>
          <w:color w:val="0E101A"/>
        </w:rPr>
      </w:pPr>
      <w:r w:rsidRPr="00FB3A50">
        <w:rPr>
          <w:i/>
          <w:iCs/>
        </w:rPr>
        <w:t>Multifaceted conflicts and slow decentralization process</w:t>
      </w:r>
      <w:r w:rsidR="00F90CAB" w:rsidRPr="00FB3A50">
        <w:rPr>
          <w:color w:val="0E101A"/>
        </w:rPr>
        <w:t>.</w:t>
      </w:r>
      <w:r w:rsidR="005C39FD" w:rsidRPr="00AF0164">
        <w:rPr>
          <w:color w:val="0E101A"/>
        </w:rPr>
        <w:t xml:space="preserve"> Cameroon experiences volatile situation</w:t>
      </w:r>
      <w:r w:rsidR="00F90CAB">
        <w:rPr>
          <w:color w:val="0E101A"/>
        </w:rPr>
        <w:t>s</w:t>
      </w:r>
      <w:r w:rsidR="005C39FD" w:rsidRPr="00AF0164">
        <w:rPr>
          <w:color w:val="0E101A"/>
        </w:rPr>
        <w:t xml:space="preserve"> due to violent extremism by Boko Haram in the </w:t>
      </w:r>
      <w:r w:rsidR="00C647A8">
        <w:rPr>
          <w:color w:val="0E101A"/>
        </w:rPr>
        <w:t>f</w:t>
      </w:r>
      <w:r w:rsidR="005C39FD" w:rsidRPr="00AF0164">
        <w:rPr>
          <w:color w:val="0E101A"/>
        </w:rPr>
        <w:t>ar</w:t>
      </w:r>
      <w:r w:rsidR="00F014FA">
        <w:rPr>
          <w:color w:val="0E101A"/>
        </w:rPr>
        <w:t>-</w:t>
      </w:r>
      <w:r w:rsidR="00C647A8">
        <w:rPr>
          <w:color w:val="0E101A"/>
        </w:rPr>
        <w:t>n</w:t>
      </w:r>
      <w:r w:rsidR="005C39FD" w:rsidRPr="00AF0164">
        <w:rPr>
          <w:color w:val="0E101A"/>
        </w:rPr>
        <w:t xml:space="preserve">orth and the socio-political crisis in the </w:t>
      </w:r>
      <w:r w:rsidR="00F90CAB">
        <w:rPr>
          <w:color w:val="0E101A"/>
        </w:rPr>
        <w:t>n</w:t>
      </w:r>
      <w:r w:rsidR="005C39FD" w:rsidRPr="00AF0164">
        <w:rPr>
          <w:color w:val="0E101A"/>
        </w:rPr>
        <w:t>orth-</w:t>
      </w:r>
      <w:r w:rsidR="00F90CAB">
        <w:rPr>
          <w:color w:val="0E101A"/>
        </w:rPr>
        <w:t>w</w:t>
      </w:r>
      <w:r w:rsidR="005C39FD" w:rsidRPr="00AF0164">
        <w:rPr>
          <w:color w:val="0E101A"/>
        </w:rPr>
        <w:t xml:space="preserve">est and </w:t>
      </w:r>
      <w:r w:rsidR="00F90CAB">
        <w:rPr>
          <w:color w:val="0E101A"/>
        </w:rPr>
        <w:t>s</w:t>
      </w:r>
      <w:r w:rsidR="005C39FD" w:rsidRPr="00AF0164">
        <w:rPr>
          <w:color w:val="0E101A"/>
        </w:rPr>
        <w:t>outh-</w:t>
      </w:r>
      <w:r w:rsidR="00F90CAB">
        <w:rPr>
          <w:color w:val="0E101A"/>
        </w:rPr>
        <w:t>w</w:t>
      </w:r>
      <w:r w:rsidR="005C39FD" w:rsidRPr="00AF0164">
        <w:rPr>
          <w:color w:val="0E101A"/>
        </w:rPr>
        <w:t>est regions. By March 2021, these conflicts resulted in 711,056</w:t>
      </w:r>
      <w:r w:rsidR="004140DD" w:rsidRPr="00AF0164">
        <w:rPr>
          <w:rStyle w:val="FootnoteReference"/>
          <w:color w:val="0E101A"/>
        </w:rPr>
        <w:footnoteReference w:id="5"/>
      </w:r>
      <w:r w:rsidR="005C39FD" w:rsidRPr="00AF0164">
        <w:rPr>
          <w:color w:val="0E101A"/>
        </w:rPr>
        <w:t> </w:t>
      </w:r>
      <w:r w:rsidR="00F90CAB">
        <w:rPr>
          <w:color w:val="0E101A"/>
        </w:rPr>
        <w:t>internally displaced persons (</w:t>
      </w:r>
      <w:r w:rsidR="005C39FD" w:rsidRPr="00AF0164">
        <w:rPr>
          <w:color w:val="0E101A"/>
        </w:rPr>
        <w:t>IDPs</w:t>
      </w:r>
      <w:r w:rsidR="00F90CAB">
        <w:rPr>
          <w:color w:val="0E101A"/>
        </w:rPr>
        <w:t>)</w:t>
      </w:r>
      <w:r w:rsidR="005C39FD" w:rsidRPr="00AF0164">
        <w:rPr>
          <w:color w:val="0E101A"/>
        </w:rPr>
        <w:t xml:space="preserve"> in the </w:t>
      </w:r>
      <w:r w:rsidR="00211A38">
        <w:rPr>
          <w:color w:val="0E101A"/>
        </w:rPr>
        <w:t>w</w:t>
      </w:r>
      <w:r w:rsidR="005C39FD" w:rsidRPr="00AF0164">
        <w:rPr>
          <w:color w:val="0E101A"/>
        </w:rPr>
        <w:t xml:space="preserve">est, </w:t>
      </w:r>
      <w:r w:rsidR="00211A38">
        <w:rPr>
          <w:color w:val="0E101A"/>
        </w:rPr>
        <w:t>c</w:t>
      </w:r>
      <w:r w:rsidR="005C39FD" w:rsidRPr="00AF0164">
        <w:rPr>
          <w:color w:val="0E101A"/>
        </w:rPr>
        <w:t xml:space="preserve">entre and </w:t>
      </w:r>
      <w:r w:rsidR="00211A38">
        <w:rPr>
          <w:color w:val="0E101A"/>
        </w:rPr>
        <w:t>l</w:t>
      </w:r>
      <w:r w:rsidR="005C39FD" w:rsidRPr="00AF0164">
        <w:rPr>
          <w:color w:val="0E101A"/>
        </w:rPr>
        <w:t xml:space="preserve">ittoral regions and the influx of over 440,000 refugees from the Central African Republic and Nigeria to the </w:t>
      </w:r>
      <w:r w:rsidR="00211A38">
        <w:rPr>
          <w:color w:val="0E101A"/>
        </w:rPr>
        <w:t>n</w:t>
      </w:r>
      <w:r w:rsidR="005C39FD" w:rsidRPr="00AF0164">
        <w:rPr>
          <w:color w:val="0E101A"/>
        </w:rPr>
        <w:t xml:space="preserve">orthern and </w:t>
      </w:r>
      <w:r w:rsidR="00211A38">
        <w:rPr>
          <w:color w:val="0E101A"/>
        </w:rPr>
        <w:t>e</w:t>
      </w:r>
      <w:r w:rsidR="005C39FD" w:rsidRPr="00AF0164">
        <w:rPr>
          <w:color w:val="0E101A"/>
        </w:rPr>
        <w:t xml:space="preserve">astern regions. To respond to the internal social and security challenges, </w:t>
      </w:r>
      <w:r w:rsidR="00211A38">
        <w:rPr>
          <w:color w:val="0E101A"/>
        </w:rPr>
        <w:t xml:space="preserve">in 2019 </w:t>
      </w:r>
      <w:r w:rsidR="005C39FD" w:rsidRPr="00AF0164">
        <w:rPr>
          <w:color w:val="0E101A"/>
        </w:rPr>
        <w:t xml:space="preserve">the Government organized a national dialogue that recommended granting special status to </w:t>
      </w:r>
      <w:r w:rsidR="007846C3">
        <w:rPr>
          <w:color w:val="0E101A"/>
        </w:rPr>
        <w:t>n</w:t>
      </w:r>
      <w:r w:rsidR="005C39FD" w:rsidRPr="00AF0164">
        <w:rPr>
          <w:color w:val="0E101A"/>
        </w:rPr>
        <w:t>orth-</w:t>
      </w:r>
      <w:r w:rsidR="007846C3">
        <w:rPr>
          <w:color w:val="0E101A"/>
        </w:rPr>
        <w:t>w</w:t>
      </w:r>
      <w:r w:rsidR="005C39FD" w:rsidRPr="00AF0164">
        <w:rPr>
          <w:color w:val="0E101A"/>
        </w:rPr>
        <w:t xml:space="preserve">est and </w:t>
      </w:r>
      <w:r w:rsidR="007846C3">
        <w:rPr>
          <w:color w:val="0E101A"/>
        </w:rPr>
        <w:t>s</w:t>
      </w:r>
      <w:r w:rsidR="005C39FD" w:rsidRPr="00AF0164">
        <w:rPr>
          <w:color w:val="0E101A"/>
        </w:rPr>
        <w:t>outh-</w:t>
      </w:r>
      <w:r w:rsidR="007846C3">
        <w:rPr>
          <w:color w:val="0E101A"/>
        </w:rPr>
        <w:t>w</w:t>
      </w:r>
      <w:r w:rsidR="005C39FD" w:rsidRPr="00AF0164">
        <w:rPr>
          <w:color w:val="0E101A"/>
        </w:rPr>
        <w:t xml:space="preserve">est regions and forming regional councils to deepen decentralization and drive local development. Despite these efforts, basic service delivery and overall decentralization </w:t>
      </w:r>
      <w:r w:rsidR="006A49E6" w:rsidRPr="00AF0164">
        <w:rPr>
          <w:color w:val="0E101A"/>
        </w:rPr>
        <w:t>ha</w:t>
      </w:r>
      <w:r w:rsidR="007846C3">
        <w:rPr>
          <w:color w:val="0E101A"/>
        </w:rPr>
        <w:t>ve</w:t>
      </w:r>
      <w:r w:rsidR="006A49E6" w:rsidRPr="00AF0164">
        <w:rPr>
          <w:color w:val="0E101A"/>
        </w:rPr>
        <w:t xml:space="preserve"> been</w:t>
      </w:r>
      <w:r w:rsidR="005C39FD" w:rsidRPr="00AF0164">
        <w:rPr>
          <w:color w:val="0E101A"/>
        </w:rPr>
        <w:t xml:space="preserve"> slow because of the limited transfer of resources</w:t>
      </w:r>
      <w:r w:rsidR="00774896" w:rsidRPr="00AF0164">
        <w:rPr>
          <w:color w:val="0E101A"/>
        </w:rPr>
        <w:t xml:space="preserve"> and expertise</w:t>
      </w:r>
      <w:r w:rsidR="005C39FD" w:rsidRPr="00AF0164">
        <w:rPr>
          <w:color w:val="0E101A"/>
        </w:rPr>
        <w:t xml:space="preserve"> to local administrative units called </w:t>
      </w:r>
      <w:r w:rsidR="007846C3">
        <w:rPr>
          <w:color w:val="0E101A"/>
        </w:rPr>
        <w:t>d</w:t>
      </w:r>
      <w:r w:rsidR="005C39FD" w:rsidRPr="00AF0164">
        <w:rPr>
          <w:color w:val="0E101A"/>
        </w:rPr>
        <w:t xml:space="preserve">ecentralized </w:t>
      </w:r>
      <w:r w:rsidR="007846C3">
        <w:rPr>
          <w:color w:val="0E101A"/>
        </w:rPr>
        <w:t>t</w:t>
      </w:r>
      <w:r w:rsidR="005C39FD" w:rsidRPr="00AF0164">
        <w:rPr>
          <w:color w:val="0E101A"/>
        </w:rPr>
        <w:t xml:space="preserve">erritorial </w:t>
      </w:r>
      <w:r w:rsidR="007846C3">
        <w:rPr>
          <w:color w:val="0E101A"/>
        </w:rPr>
        <w:t>c</w:t>
      </w:r>
      <w:r w:rsidR="005C39FD" w:rsidRPr="00AF0164">
        <w:rPr>
          <w:color w:val="0E101A"/>
        </w:rPr>
        <w:t>ollectiv</w:t>
      </w:r>
      <w:r w:rsidR="00221B1C">
        <w:rPr>
          <w:color w:val="0E101A"/>
        </w:rPr>
        <w:t>iti</w:t>
      </w:r>
      <w:r w:rsidR="005C39FD" w:rsidRPr="00AF0164">
        <w:rPr>
          <w:color w:val="0E101A"/>
        </w:rPr>
        <w:t>es (DTCs).</w:t>
      </w:r>
    </w:p>
    <w:p w14:paraId="408B8C5C" w14:textId="648DE722" w:rsidR="00923FD0" w:rsidRPr="008C3B54" w:rsidRDefault="00EC0088" w:rsidP="009220DB">
      <w:pPr>
        <w:pStyle w:val="ListParagraph"/>
        <w:numPr>
          <w:ilvl w:val="0"/>
          <w:numId w:val="30"/>
        </w:numPr>
        <w:shd w:val="clear" w:color="auto" w:fill="FFFFFF"/>
        <w:spacing w:after="120"/>
        <w:ind w:left="1080" w:right="1080" w:firstLine="0"/>
        <w:jc w:val="both"/>
      </w:pPr>
      <w:r w:rsidRPr="00FB3A50">
        <w:rPr>
          <w:i/>
        </w:rPr>
        <w:t>Unsustainable exploitation of natural resources</w:t>
      </w:r>
      <w:r w:rsidRPr="008C3B54">
        <w:t xml:space="preserve">, </w:t>
      </w:r>
      <w:r w:rsidRPr="00FB3A50">
        <w:rPr>
          <w:i/>
          <w:iCs/>
        </w:rPr>
        <w:t>weak national climate policy and</w:t>
      </w:r>
      <w:r w:rsidR="003579DC" w:rsidRPr="00FB3A50">
        <w:rPr>
          <w:i/>
          <w:iCs/>
        </w:rPr>
        <w:t xml:space="preserve"> limited preparedness for disaster risk</w:t>
      </w:r>
      <w:r w:rsidR="007846C3">
        <w:t>.</w:t>
      </w:r>
      <w:r w:rsidRPr="00AF0164">
        <w:t xml:space="preserve"> </w:t>
      </w:r>
      <w:r w:rsidR="00923FD0" w:rsidRPr="00AF0164">
        <w:rPr>
          <w:color w:val="000000"/>
        </w:rPr>
        <w:t xml:space="preserve">Cameroon recorded </w:t>
      </w:r>
      <w:r w:rsidR="007846C3">
        <w:rPr>
          <w:color w:val="000000"/>
        </w:rPr>
        <w:t xml:space="preserve">a </w:t>
      </w:r>
      <w:r w:rsidR="00923FD0" w:rsidRPr="00AF0164">
        <w:rPr>
          <w:color w:val="000000"/>
        </w:rPr>
        <w:t xml:space="preserve">deforestation rate of 0.6 </w:t>
      </w:r>
      <w:r w:rsidR="000A701E">
        <w:rPr>
          <w:color w:val="000000"/>
        </w:rPr>
        <w:t>per cent</w:t>
      </w:r>
      <w:r w:rsidR="007846C3">
        <w:rPr>
          <w:color w:val="000000"/>
        </w:rPr>
        <w:t xml:space="preserve"> </w:t>
      </w:r>
      <w:r w:rsidR="00923FD0" w:rsidRPr="00AF0164">
        <w:rPr>
          <w:color w:val="000000"/>
        </w:rPr>
        <w:t>(about 20,000</w:t>
      </w:r>
      <w:r w:rsidR="007846C3">
        <w:rPr>
          <w:color w:val="000000"/>
        </w:rPr>
        <w:t> </w:t>
      </w:r>
      <w:r w:rsidR="00923FD0" w:rsidRPr="00AF0164">
        <w:rPr>
          <w:color w:val="000000"/>
        </w:rPr>
        <w:t xml:space="preserve">hectares/year) due </w:t>
      </w:r>
      <w:r w:rsidR="007846C3">
        <w:rPr>
          <w:color w:val="000000"/>
        </w:rPr>
        <w:t xml:space="preserve">mainly </w:t>
      </w:r>
      <w:r w:rsidR="00923FD0" w:rsidRPr="00AF0164">
        <w:rPr>
          <w:color w:val="000000"/>
        </w:rPr>
        <w:t>to unsustainable exploitation of natural resources</w:t>
      </w:r>
      <w:r w:rsidR="007846C3">
        <w:rPr>
          <w:color w:val="000000"/>
        </w:rPr>
        <w:t xml:space="preserve"> and </w:t>
      </w:r>
      <w:r w:rsidR="00923FD0" w:rsidRPr="00AF0164">
        <w:rPr>
          <w:color w:val="000000"/>
        </w:rPr>
        <w:t>non-exhaustive application of forestry regulations, particular</w:t>
      </w:r>
      <w:r w:rsidR="007846C3">
        <w:rPr>
          <w:color w:val="000000"/>
        </w:rPr>
        <w:t>ly</w:t>
      </w:r>
      <w:r w:rsidR="00923FD0" w:rsidRPr="00AF0164">
        <w:rPr>
          <w:color w:val="000000"/>
        </w:rPr>
        <w:t xml:space="preserve"> certification of sustainability to timber exported by Cameroon.</w:t>
      </w:r>
      <w:r w:rsidR="008C2970" w:rsidRPr="00AF0164">
        <w:rPr>
          <w:color w:val="000000"/>
        </w:rPr>
        <w:t xml:space="preserve"> </w:t>
      </w:r>
      <w:r w:rsidR="00923FD0" w:rsidRPr="00AF0164">
        <w:rPr>
          <w:color w:val="000000"/>
        </w:rPr>
        <w:t xml:space="preserve"> The high level of deforestation has contributed to an increase in the adverse effects of climate change, land degradation and loss of biodiversity. The Government has set a </w:t>
      </w:r>
      <w:r w:rsidR="00923FD0" w:rsidRPr="00AF0164">
        <w:rPr>
          <w:color w:val="000000"/>
        </w:rPr>
        <w:lastRenderedPageBreak/>
        <w:t>regeneration target of 2,500 ha/year in forest areas</w:t>
      </w:r>
      <w:r w:rsidR="007846C3">
        <w:rPr>
          <w:color w:val="000000"/>
        </w:rPr>
        <w:t xml:space="preserve"> or </w:t>
      </w:r>
      <w:r w:rsidR="00923FD0" w:rsidRPr="00AF0164">
        <w:rPr>
          <w:color w:val="000000"/>
        </w:rPr>
        <w:t>50,000 ha in 20</w:t>
      </w:r>
      <w:r w:rsidR="007846C3">
        <w:rPr>
          <w:color w:val="000000"/>
        </w:rPr>
        <w:t> </w:t>
      </w:r>
      <w:r w:rsidR="00923FD0" w:rsidRPr="00AF0164">
        <w:rPr>
          <w:color w:val="000000"/>
        </w:rPr>
        <w:t>years</w:t>
      </w:r>
      <w:r w:rsidR="007846C3">
        <w:rPr>
          <w:color w:val="000000"/>
        </w:rPr>
        <w:t>.</w:t>
      </w:r>
      <w:r w:rsidR="008C2970" w:rsidRPr="00AF0164">
        <w:rPr>
          <w:rStyle w:val="FootnoteReference"/>
          <w:color w:val="000000"/>
        </w:rPr>
        <w:footnoteReference w:id="6"/>
      </w:r>
      <w:r w:rsidR="00923FD0" w:rsidRPr="00AF0164">
        <w:rPr>
          <w:color w:val="000000"/>
        </w:rPr>
        <w:t> Bridging the significant gap between rate of deforestation and regeneration require</w:t>
      </w:r>
      <w:r w:rsidR="00C647A8">
        <w:rPr>
          <w:color w:val="000000"/>
        </w:rPr>
        <w:t>s</w:t>
      </w:r>
      <w:r w:rsidR="00923FD0" w:rsidRPr="00AF0164">
        <w:rPr>
          <w:color w:val="000000"/>
        </w:rPr>
        <w:t xml:space="preserve"> </w:t>
      </w:r>
      <w:r w:rsidR="003577EF">
        <w:rPr>
          <w:color w:val="000000"/>
        </w:rPr>
        <w:t xml:space="preserve">a </w:t>
      </w:r>
      <w:r w:rsidR="00923FD0" w:rsidRPr="00AF0164">
        <w:rPr>
          <w:color w:val="000000"/>
        </w:rPr>
        <w:t xml:space="preserve">comprehensive strategy and investments. Over the last </w:t>
      </w:r>
      <w:r w:rsidR="006A49E6" w:rsidRPr="00AF0164">
        <w:rPr>
          <w:color w:val="000000"/>
        </w:rPr>
        <w:t>five</w:t>
      </w:r>
      <w:r w:rsidR="00923FD0" w:rsidRPr="00AF0164">
        <w:rPr>
          <w:color w:val="000000"/>
        </w:rPr>
        <w:t xml:space="preserve"> years, the resurgence of extreme weather conditions resulted in severe and unpredictable droughts and floods causing </w:t>
      </w:r>
      <w:r w:rsidR="00C647A8">
        <w:rPr>
          <w:color w:val="000000"/>
        </w:rPr>
        <w:t xml:space="preserve">land </w:t>
      </w:r>
      <w:r w:rsidR="00923FD0" w:rsidRPr="00AF0164">
        <w:rPr>
          <w:color w:val="000000"/>
        </w:rPr>
        <w:t xml:space="preserve">degradation </w:t>
      </w:r>
      <w:r w:rsidR="006A49E6" w:rsidRPr="00AF0164">
        <w:rPr>
          <w:color w:val="000000"/>
        </w:rPr>
        <w:t>and</w:t>
      </w:r>
      <w:r w:rsidR="00923FD0" w:rsidRPr="00AF0164">
        <w:rPr>
          <w:color w:val="000000"/>
        </w:rPr>
        <w:t xml:space="preserve"> displacement of populations. The Government has not been able to mobilize substantial resources to implement the Paris Agreement and the Sendai Agreement on Disaster Risk </w:t>
      </w:r>
      <w:r w:rsidR="006429C4">
        <w:rPr>
          <w:color w:val="000000"/>
        </w:rPr>
        <w:t>Reduction</w:t>
      </w:r>
      <w:r w:rsidR="006429C4" w:rsidRPr="00AF0164">
        <w:rPr>
          <w:color w:val="000000"/>
        </w:rPr>
        <w:t xml:space="preserve"> </w:t>
      </w:r>
      <w:r w:rsidR="00923FD0" w:rsidRPr="00AF0164">
        <w:rPr>
          <w:color w:val="000000"/>
        </w:rPr>
        <w:t>due to the absence of a national climate policy.</w:t>
      </w:r>
    </w:p>
    <w:p w14:paraId="515077A8" w14:textId="11A22210" w:rsidR="006C581A" w:rsidRPr="00AF0164" w:rsidRDefault="00B712C7" w:rsidP="009220DB">
      <w:pPr>
        <w:pStyle w:val="ListParagraph"/>
        <w:numPr>
          <w:ilvl w:val="0"/>
          <w:numId w:val="30"/>
        </w:numPr>
        <w:spacing w:after="120"/>
        <w:ind w:left="1080" w:right="1080" w:firstLine="0"/>
        <w:jc w:val="both"/>
        <w:rPr>
          <w:color w:val="0E101A"/>
        </w:rPr>
      </w:pPr>
      <w:bookmarkStart w:id="1" w:name="_Hlk69372227"/>
      <w:bookmarkStart w:id="2" w:name="_Hlk69377870"/>
      <w:r w:rsidRPr="00FB3A50">
        <w:rPr>
          <w:i/>
          <w:iCs/>
        </w:rPr>
        <w:t>Persistent inequalities</w:t>
      </w:r>
      <w:bookmarkEnd w:id="1"/>
      <w:r w:rsidR="00D41CF6" w:rsidRPr="00FB3A50">
        <w:t>.</w:t>
      </w:r>
      <w:r w:rsidRPr="00AF0164">
        <w:rPr>
          <w:b/>
          <w:bCs/>
          <w:i/>
          <w:iCs/>
        </w:rPr>
        <w:t xml:space="preserve"> </w:t>
      </w:r>
      <w:bookmarkEnd w:id="2"/>
      <w:r w:rsidR="006C581A" w:rsidRPr="00AF0164">
        <w:rPr>
          <w:color w:val="0E101A"/>
        </w:rPr>
        <w:t xml:space="preserve">The national picture conceals deep inequalities among income groups and regions. In 2014, the highest income quintile accounted for 49.3 </w:t>
      </w:r>
      <w:r w:rsidR="000A701E">
        <w:rPr>
          <w:color w:val="0E101A"/>
        </w:rPr>
        <w:t>per cent</w:t>
      </w:r>
      <w:r w:rsidR="00D41CF6">
        <w:rPr>
          <w:color w:val="0E101A"/>
        </w:rPr>
        <w:t xml:space="preserve"> </w:t>
      </w:r>
      <w:r w:rsidR="006C581A" w:rsidRPr="00AF0164">
        <w:rPr>
          <w:color w:val="0E101A"/>
        </w:rPr>
        <w:t xml:space="preserve">of consumption compared to only 4.9 </w:t>
      </w:r>
      <w:r w:rsidR="000A701E">
        <w:rPr>
          <w:color w:val="0E101A"/>
        </w:rPr>
        <w:t>per cent</w:t>
      </w:r>
      <w:r w:rsidR="00D41CF6">
        <w:rPr>
          <w:color w:val="0E101A"/>
        </w:rPr>
        <w:t xml:space="preserve"> </w:t>
      </w:r>
      <w:r w:rsidR="006C581A" w:rsidRPr="00AF0164">
        <w:rPr>
          <w:color w:val="0E101A"/>
        </w:rPr>
        <w:t xml:space="preserve">for the poorest quintile. Poverty is more prevalent in rural areas where two-thirds of the population live, increasing from 52.1 </w:t>
      </w:r>
      <w:r w:rsidR="000A701E">
        <w:rPr>
          <w:color w:val="0E101A"/>
        </w:rPr>
        <w:t>per cent</w:t>
      </w:r>
      <w:r w:rsidR="00D41CF6">
        <w:rPr>
          <w:color w:val="0E101A"/>
        </w:rPr>
        <w:t xml:space="preserve"> </w:t>
      </w:r>
      <w:r w:rsidR="006C581A" w:rsidRPr="00AF0164">
        <w:rPr>
          <w:color w:val="0E101A"/>
        </w:rPr>
        <w:t xml:space="preserve">in 2001 to 56.8 </w:t>
      </w:r>
      <w:r w:rsidR="000A701E">
        <w:rPr>
          <w:color w:val="0E101A"/>
        </w:rPr>
        <w:t>per cent</w:t>
      </w:r>
      <w:r w:rsidR="00D41CF6">
        <w:rPr>
          <w:color w:val="0E101A"/>
        </w:rPr>
        <w:t xml:space="preserve"> </w:t>
      </w:r>
      <w:r w:rsidR="006C581A" w:rsidRPr="00AF0164">
        <w:rPr>
          <w:color w:val="0E101A"/>
        </w:rPr>
        <w:t xml:space="preserve">in 2014. </w:t>
      </w:r>
      <w:r w:rsidR="0006626C" w:rsidRPr="00AF0164">
        <w:rPr>
          <w:color w:val="0E101A"/>
        </w:rPr>
        <w:t xml:space="preserve"> </w:t>
      </w:r>
      <w:r w:rsidR="006C581A" w:rsidRPr="00AF0164">
        <w:rPr>
          <w:color w:val="0E101A"/>
        </w:rPr>
        <w:t>During the same period, the urban poverty rate declined from 17.9 to 8.9</w:t>
      </w:r>
      <w:r w:rsidR="00D41CF6">
        <w:rPr>
          <w:color w:val="0E101A"/>
        </w:rPr>
        <w:t xml:space="preserve"> </w:t>
      </w:r>
      <w:r w:rsidR="000A701E">
        <w:rPr>
          <w:color w:val="0E101A"/>
        </w:rPr>
        <w:t>per cent</w:t>
      </w:r>
      <w:r w:rsidR="006C581A" w:rsidRPr="00AF0164">
        <w:rPr>
          <w:color w:val="0E101A"/>
        </w:rPr>
        <w:t xml:space="preserve">. Inequality has a strong gender dimension, with </w:t>
      </w:r>
      <w:r w:rsidR="00D41CF6">
        <w:rPr>
          <w:color w:val="0E101A"/>
        </w:rPr>
        <w:t xml:space="preserve">the </w:t>
      </w:r>
      <w:r w:rsidR="006C581A" w:rsidRPr="00AF0164">
        <w:rPr>
          <w:color w:val="0E101A"/>
        </w:rPr>
        <w:t xml:space="preserve">national gender inequality index </w:t>
      </w:r>
      <w:r w:rsidR="00D41CF6">
        <w:rPr>
          <w:color w:val="0E101A"/>
        </w:rPr>
        <w:t xml:space="preserve">at </w:t>
      </w:r>
      <w:r w:rsidR="006C581A" w:rsidRPr="00AF0164">
        <w:rPr>
          <w:color w:val="0E101A"/>
        </w:rPr>
        <w:t>0.879 and women 1.6 times more likely to be unemployed</w:t>
      </w:r>
      <w:r w:rsidR="00D41CF6">
        <w:rPr>
          <w:color w:val="0E101A"/>
        </w:rPr>
        <w:t>.</w:t>
      </w:r>
      <w:r w:rsidR="00A0784B" w:rsidRPr="00AF0164">
        <w:rPr>
          <w:rStyle w:val="FootnoteReference"/>
          <w:color w:val="0E101A"/>
        </w:rPr>
        <w:footnoteReference w:id="7"/>
      </w:r>
      <w:r w:rsidR="006C581A" w:rsidRPr="00AF0164">
        <w:rPr>
          <w:color w:val="0E101A"/>
        </w:rPr>
        <w:t xml:space="preserve"> In addition, only 21.6 </w:t>
      </w:r>
      <w:r w:rsidR="000A701E">
        <w:rPr>
          <w:color w:val="0E101A"/>
        </w:rPr>
        <w:t>per cent</w:t>
      </w:r>
      <w:r w:rsidR="00D41CF6">
        <w:rPr>
          <w:color w:val="0E101A"/>
        </w:rPr>
        <w:t xml:space="preserve"> </w:t>
      </w:r>
      <w:r w:rsidR="006C581A" w:rsidRPr="00AF0164">
        <w:rPr>
          <w:color w:val="0E101A"/>
        </w:rPr>
        <w:t>of women have land title</w:t>
      </w:r>
      <w:r w:rsidR="00D41CF6">
        <w:rPr>
          <w:color w:val="0E101A"/>
        </w:rPr>
        <w:t>s</w:t>
      </w:r>
      <w:r w:rsidR="006C581A" w:rsidRPr="00AF0164">
        <w:rPr>
          <w:color w:val="0E101A"/>
        </w:rPr>
        <w:t>, further</w:t>
      </w:r>
      <w:r w:rsidR="00C647A8">
        <w:rPr>
          <w:color w:val="0E101A"/>
        </w:rPr>
        <w:t>ing</w:t>
      </w:r>
      <w:r w:rsidR="006C581A" w:rsidRPr="00AF0164">
        <w:rPr>
          <w:color w:val="0E101A"/>
        </w:rPr>
        <w:t xml:space="preserve"> limit</w:t>
      </w:r>
      <w:r w:rsidR="00C647A8">
        <w:rPr>
          <w:color w:val="0E101A"/>
        </w:rPr>
        <w:t>ing</w:t>
      </w:r>
      <w:r w:rsidR="006C581A" w:rsidRPr="00AF0164">
        <w:rPr>
          <w:color w:val="0E101A"/>
        </w:rPr>
        <w:t xml:space="preserve"> their access to productive assets and financial services</w:t>
      </w:r>
      <w:r w:rsidR="00D41CF6">
        <w:rPr>
          <w:color w:val="0E101A"/>
        </w:rPr>
        <w:t>.</w:t>
      </w:r>
      <w:r w:rsidR="00A0784B" w:rsidRPr="00AF0164">
        <w:rPr>
          <w:rStyle w:val="FootnoteReference"/>
          <w:color w:val="0E101A"/>
        </w:rPr>
        <w:footnoteReference w:id="8"/>
      </w:r>
      <w:r w:rsidR="006C581A" w:rsidRPr="00AF0164">
        <w:rPr>
          <w:color w:val="0E101A"/>
        </w:rPr>
        <w:t xml:space="preserve"> Youth underemployment stands at 77 </w:t>
      </w:r>
      <w:r w:rsidR="000A701E">
        <w:rPr>
          <w:color w:val="0E101A"/>
        </w:rPr>
        <w:t>per cent</w:t>
      </w:r>
      <w:r w:rsidR="00D41CF6">
        <w:rPr>
          <w:color w:val="0E101A"/>
        </w:rPr>
        <w:t xml:space="preserve"> </w:t>
      </w:r>
      <w:r w:rsidR="006C581A" w:rsidRPr="00AF0164">
        <w:rPr>
          <w:color w:val="0E101A"/>
        </w:rPr>
        <w:t xml:space="preserve">(86.9 </w:t>
      </w:r>
      <w:r w:rsidR="000A701E">
        <w:rPr>
          <w:color w:val="0E101A"/>
        </w:rPr>
        <w:t>per cent</w:t>
      </w:r>
      <w:r w:rsidR="00D41CF6">
        <w:rPr>
          <w:color w:val="0E101A"/>
        </w:rPr>
        <w:t xml:space="preserve"> </w:t>
      </w:r>
      <w:r w:rsidR="006C581A" w:rsidRPr="00AF0164">
        <w:rPr>
          <w:color w:val="0E101A"/>
        </w:rPr>
        <w:t>for women and 67.6</w:t>
      </w:r>
      <w:r w:rsidR="00D41CF6">
        <w:rPr>
          <w:color w:val="0E101A"/>
        </w:rPr>
        <w:t xml:space="preserve"> </w:t>
      </w:r>
      <w:r w:rsidR="000A701E">
        <w:rPr>
          <w:color w:val="0E101A"/>
        </w:rPr>
        <w:t>per cent</w:t>
      </w:r>
      <w:r w:rsidR="006C581A" w:rsidRPr="00AF0164">
        <w:rPr>
          <w:color w:val="0E101A"/>
        </w:rPr>
        <w:t xml:space="preserve"> for men) due to unequal access to productive assets. </w:t>
      </w:r>
      <w:r w:rsidR="00D41CF6">
        <w:rPr>
          <w:color w:val="0E101A"/>
        </w:rPr>
        <w:t xml:space="preserve">Disability </w:t>
      </w:r>
      <w:r w:rsidR="006C581A" w:rsidRPr="00AF0164">
        <w:rPr>
          <w:color w:val="0E101A"/>
        </w:rPr>
        <w:t>prevalence is about 10.5</w:t>
      </w:r>
      <w:r w:rsidR="00D41CF6">
        <w:rPr>
          <w:color w:val="0E101A"/>
        </w:rPr>
        <w:t xml:space="preserve"> </w:t>
      </w:r>
      <w:r w:rsidR="000A701E">
        <w:rPr>
          <w:color w:val="0E101A"/>
        </w:rPr>
        <w:t>per cent</w:t>
      </w:r>
      <w:r w:rsidR="00D41CF6">
        <w:rPr>
          <w:color w:val="0E101A"/>
        </w:rPr>
        <w:t>;</w:t>
      </w:r>
      <w:r w:rsidR="00A0784B" w:rsidRPr="00AF0164">
        <w:rPr>
          <w:rStyle w:val="FootnoteReference"/>
          <w:color w:val="0E101A"/>
        </w:rPr>
        <w:footnoteReference w:id="9"/>
      </w:r>
      <w:r w:rsidR="006C581A" w:rsidRPr="00AF0164">
        <w:rPr>
          <w:color w:val="0E101A"/>
        </w:rPr>
        <w:t xml:space="preserve"> women with disabilities face double discrimination.</w:t>
      </w:r>
    </w:p>
    <w:p w14:paraId="129B1894" w14:textId="64F4AD39" w:rsidR="007F6BCD" w:rsidRPr="00AF0164" w:rsidRDefault="007F6BCD" w:rsidP="009220DB">
      <w:pPr>
        <w:pStyle w:val="ListParagraph"/>
        <w:numPr>
          <w:ilvl w:val="0"/>
          <w:numId w:val="30"/>
        </w:numPr>
        <w:spacing w:after="120"/>
        <w:ind w:left="1080" w:right="1080" w:firstLine="0"/>
        <w:jc w:val="both"/>
        <w:rPr>
          <w:color w:val="000000" w:themeColor="text1"/>
        </w:rPr>
      </w:pPr>
      <w:r w:rsidRPr="00AF0164">
        <w:rPr>
          <w:color w:val="000000" w:themeColor="text1"/>
        </w:rPr>
        <w:t xml:space="preserve">Cameroon has immense potential to overcome </w:t>
      </w:r>
      <w:r w:rsidR="000B726A">
        <w:rPr>
          <w:color w:val="000000" w:themeColor="text1"/>
        </w:rPr>
        <w:t xml:space="preserve">its </w:t>
      </w:r>
      <w:r w:rsidRPr="00AF0164">
        <w:rPr>
          <w:color w:val="000000" w:themeColor="text1"/>
        </w:rPr>
        <w:t xml:space="preserve">socioeconomic challenges. </w:t>
      </w:r>
      <w:r w:rsidR="000B726A">
        <w:rPr>
          <w:color w:val="000000" w:themeColor="text1"/>
        </w:rPr>
        <w:t>Y</w:t>
      </w:r>
      <w:r w:rsidRPr="00AF0164">
        <w:rPr>
          <w:color w:val="000000" w:themeColor="text1"/>
        </w:rPr>
        <w:t xml:space="preserve">outh account for nearly 78 </w:t>
      </w:r>
      <w:r w:rsidR="000A701E">
        <w:rPr>
          <w:color w:val="000000" w:themeColor="text1"/>
        </w:rPr>
        <w:t>per cent</w:t>
      </w:r>
      <w:r w:rsidR="000B726A">
        <w:rPr>
          <w:color w:val="000000" w:themeColor="text1"/>
        </w:rPr>
        <w:t xml:space="preserve"> </w:t>
      </w:r>
      <w:r w:rsidRPr="00AF0164">
        <w:rPr>
          <w:color w:val="000000" w:themeColor="text1"/>
        </w:rPr>
        <w:t xml:space="preserve">of the population. Agriculture plays a pivotal role in the economy, contributing to 15 </w:t>
      </w:r>
      <w:r w:rsidR="000A701E">
        <w:rPr>
          <w:color w:val="000000" w:themeColor="text1"/>
        </w:rPr>
        <w:t>per cent</w:t>
      </w:r>
      <w:r w:rsidR="000B726A">
        <w:rPr>
          <w:color w:val="000000" w:themeColor="text1"/>
        </w:rPr>
        <w:t xml:space="preserve"> </w:t>
      </w:r>
      <w:r w:rsidRPr="00AF0164">
        <w:rPr>
          <w:color w:val="000000" w:themeColor="text1"/>
        </w:rPr>
        <w:t xml:space="preserve">of GDP and employing 43 </w:t>
      </w:r>
      <w:r w:rsidR="000A701E">
        <w:rPr>
          <w:color w:val="000000" w:themeColor="text1"/>
        </w:rPr>
        <w:t>per cent</w:t>
      </w:r>
      <w:r w:rsidR="000B726A">
        <w:rPr>
          <w:color w:val="000000" w:themeColor="text1"/>
        </w:rPr>
        <w:t xml:space="preserve"> </w:t>
      </w:r>
      <w:r w:rsidRPr="00AF0164">
        <w:rPr>
          <w:color w:val="000000" w:themeColor="text1"/>
        </w:rPr>
        <w:t>of the population. Despite the sector</w:t>
      </w:r>
      <w:r w:rsidR="000B726A">
        <w:rPr>
          <w:color w:val="000000" w:themeColor="text1"/>
        </w:rPr>
        <w:t>’s</w:t>
      </w:r>
      <w:r w:rsidRPr="00AF0164">
        <w:rPr>
          <w:color w:val="000000" w:themeColor="text1"/>
        </w:rPr>
        <w:t xml:space="preserve"> importance, </w:t>
      </w:r>
      <w:r w:rsidR="000B726A">
        <w:rPr>
          <w:color w:val="000000" w:themeColor="text1"/>
        </w:rPr>
        <w:t xml:space="preserve">the country’s </w:t>
      </w:r>
      <w:r w:rsidRPr="00AF0164">
        <w:rPr>
          <w:color w:val="000000" w:themeColor="text1"/>
        </w:rPr>
        <w:t xml:space="preserve">economy suffers from low productivity, especially in the agriculture sector due to the limited downstream value chain and underdeveloped market. </w:t>
      </w:r>
      <w:bookmarkStart w:id="3" w:name="_Hlk73130830"/>
      <w:r w:rsidRPr="00AF0164">
        <w:rPr>
          <w:color w:val="000000" w:themeColor="text1"/>
        </w:rPr>
        <w:t xml:space="preserve">The decentralization programme </w:t>
      </w:r>
      <w:r w:rsidR="00C41D3E" w:rsidRPr="00AF0164">
        <w:rPr>
          <w:color w:val="000000" w:themeColor="text1"/>
        </w:rPr>
        <w:t xml:space="preserve">launched </w:t>
      </w:r>
      <w:r w:rsidRPr="00AF0164">
        <w:rPr>
          <w:color w:val="000000" w:themeColor="text1"/>
        </w:rPr>
        <w:t xml:space="preserve">in 2021 will create an enabling environment to accelerate local development by building capacities of youth and other local actors, promoting skills and resource transfers, and mainstreaming environmental issues and </w:t>
      </w:r>
      <w:r w:rsidR="000B726A">
        <w:rPr>
          <w:color w:val="000000" w:themeColor="text1"/>
        </w:rPr>
        <w:t>the Sustainable Development Goals (</w:t>
      </w:r>
      <w:r w:rsidRPr="00AF0164">
        <w:rPr>
          <w:color w:val="000000" w:themeColor="text1"/>
        </w:rPr>
        <w:t>SDGs</w:t>
      </w:r>
      <w:r w:rsidR="000B726A">
        <w:rPr>
          <w:color w:val="000000" w:themeColor="text1"/>
        </w:rPr>
        <w:t>)</w:t>
      </w:r>
      <w:r w:rsidRPr="00AF0164">
        <w:rPr>
          <w:color w:val="000000" w:themeColor="text1"/>
        </w:rPr>
        <w:t xml:space="preserve"> in local development plans. </w:t>
      </w:r>
    </w:p>
    <w:bookmarkEnd w:id="3"/>
    <w:p w14:paraId="2F7C495A" w14:textId="19A65407" w:rsidR="00030679" w:rsidRPr="00AF0164" w:rsidRDefault="00745357" w:rsidP="009220DB">
      <w:pPr>
        <w:pStyle w:val="ListParagraph"/>
        <w:numPr>
          <w:ilvl w:val="0"/>
          <w:numId w:val="30"/>
        </w:numPr>
        <w:spacing w:after="120"/>
        <w:ind w:left="1080" w:right="1080" w:firstLine="0"/>
        <w:jc w:val="both"/>
      </w:pPr>
      <w:r w:rsidRPr="00AF0164">
        <w:t xml:space="preserve">The </w:t>
      </w:r>
      <w:r w:rsidR="002B690D" w:rsidRPr="00AF0164">
        <w:t>ICPR</w:t>
      </w:r>
      <w:r w:rsidRPr="00AF0164">
        <w:t xml:space="preserve"> highlighted that the Government considers UNDP a trusted partner to support </w:t>
      </w:r>
      <w:r w:rsidR="000B726A">
        <w:t xml:space="preserve">elaboration of its </w:t>
      </w:r>
      <w:r w:rsidRPr="00AF0164">
        <w:t xml:space="preserve">development policies and strategies. UNDP will build on this position and its integrator role to identify development solutions and address challenges related to poverty and inequality, structural transformation, governance, peacebuilding, climate and disaster risk prevention and management. UNDP played a </w:t>
      </w:r>
      <w:r w:rsidR="000B726A">
        <w:t xml:space="preserve">key </w:t>
      </w:r>
      <w:r w:rsidRPr="00AF0164">
        <w:t xml:space="preserve">convening role during </w:t>
      </w:r>
      <w:r w:rsidR="000B726A">
        <w:t xml:space="preserve">the </w:t>
      </w:r>
      <w:r w:rsidRPr="00AF0164">
        <w:t>ND</w:t>
      </w:r>
      <w:r w:rsidR="000B726A">
        <w:t>S</w:t>
      </w:r>
      <w:r w:rsidRPr="00AF0164">
        <w:t xml:space="preserve">30 preparation process and was one of the main </w:t>
      </w:r>
      <w:r w:rsidR="000B726A" w:rsidRPr="00AF0164">
        <w:t xml:space="preserve">Government </w:t>
      </w:r>
      <w:r w:rsidRPr="00AF0164">
        <w:t>partners in the national response to COVID-19. The ICPR noted that UNDP contributed to restoring State presence in conflict-affected localities</w:t>
      </w:r>
      <w:r w:rsidR="000B726A">
        <w:t xml:space="preserve"> and </w:t>
      </w:r>
      <w:r w:rsidRPr="00AF0164">
        <w:t xml:space="preserve">helped develop public policies and strategies to </w:t>
      </w:r>
      <w:r w:rsidR="000B726A">
        <w:t xml:space="preserve">address </w:t>
      </w:r>
      <w:r w:rsidRPr="00AF0164">
        <w:t>violent extremism</w:t>
      </w:r>
      <w:r w:rsidR="000B726A">
        <w:t xml:space="preserve">, </w:t>
      </w:r>
      <w:r w:rsidRPr="00AF0164">
        <w:t>peacebuilding, civil status and biodiversity conservation.</w:t>
      </w:r>
      <w:r w:rsidR="000B726A">
        <w:t xml:space="preserve"> </w:t>
      </w:r>
    </w:p>
    <w:p w14:paraId="6C11C20C" w14:textId="3D8ABB1A" w:rsidR="006C581A" w:rsidRDefault="006C581A" w:rsidP="00237420">
      <w:pPr>
        <w:pStyle w:val="ListParagraph"/>
        <w:numPr>
          <w:ilvl w:val="0"/>
          <w:numId w:val="30"/>
        </w:numPr>
        <w:spacing w:after="200"/>
        <w:ind w:left="1080" w:right="1080" w:firstLine="0"/>
        <w:jc w:val="both"/>
        <w:rPr>
          <w:color w:val="0E101A"/>
        </w:rPr>
      </w:pPr>
      <w:r w:rsidRPr="00AF0164">
        <w:rPr>
          <w:color w:val="0E101A"/>
        </w:rPr>
        <w:t xml:space="preserve">UNDP will deploy its experience </w:t>
      </w:r>
      <w:r w:rsidR="00C647A8">
        <w:rPr>
          <w:color w:val="0E101A"/>
        </w:rPr>
        <w:t xml:space="preserve">in </w:t>
      </w:r>
      <w:r w:rsidRPr="00AF0164">
        <w:rPr>
          <w:color w:val="0E101A"/>
        </w:rPr>
        <w:t xml:space="preserve">devising innovative solutions to address </w:t>
      </w:r>
      <w:r w:rsidR="000B726A">
        <w:rPr>
          <w:color w:val="0E101A"/>
        </w:rPr>
        <w:t xml:space="preserve">the country’s </w:t>
      </w:r>
      <w:r w:rsidRPr="00AF0164">
        <w:rPr>
          <w:color w:val="0E101A"/>
        </w:rPr>
        <w:t>complex development challenges</w:t>
      </w:r>
      <w:r w:rsidR="000B726A">
        <w:rPr>
          <w:color w:val="0E101A"/>
        </w:rPr>
        <w:t xml:space="preserve"> by:</w:t>
      </w:r>
      <w:r w:rsidRPr="00AF0164">
        <w:rPr>
          <w:color w:val="0E101A"/>
        </w:rPr>
        <w:t xml:space="preserve"> (</w:t>
      </w:r>
      <w:r w:rsidR="000B726A">
        <w:rPr>
          <w:color w:val="0E101A"/>
        </w:rPr>
        <w:t>a</w:t>
      </w:r>
      <w:r w:rsidRPr="00AF0164">
        <w:rPr>
          <w:color w:val="0E101A"/>
        </w:rPr>
        <w:t xml:space="preserve">) </w:t>
      </w:r>
      <w:r w:rsidR="000B726A">
        <w:rPr>
          <w:color w:val="0E101A"/>
        </w:rPr>
        <w:t xml:space="preserve">fostering </w:t>
      </w:r>
      <w:r w:rsidRPr="00AF0164">
        <w:rPr>
          <w:color w:val="0E101A"/>
        </w:rPr>
        <w:t>an integrated U</w:t>
      </w:r>
      <w:r w:rsidR="000B726A">
        <w:rPr>
          <w:color w:val="0E101A"/>
        </w:rPr>
        <w:t xml:space="preserve">nited </w:t>
      </w:r>
      <w:r w:rsidRPr="00AF0164">
        <w:rPr>
          <w:color w:val="0E101A"/>
        </w:rPr>
        <w:t>N</w:t>
      </w:r>
      <w:r w:rsidR="000B726A">
        <w:rPr>
          <w:color w:val="0E101A"/>
        </w:rPr>
        <w:t>ations</w:t>
      </w:r>
      <w:r w:rsidR="008A00AC">
        <w:rPr>
          <w:color w:val="0E101A"/>
        </w:rPr>
        <w:t xml:space="preserve"> </w:t>
      </w:r>
      <w:r w:rsidRPr="00AF0164">
        <w:rPr>
          <w:color w:val="0E101A"/>
        </w:rPr>
        <w:t xml:space="preserve">inter-agency cross-sectoral approach, </w:t>
      </w:r>
      <w:r w:rsidR="000B726A">
        <w:rPr>
          <w:color w:val="0E101A"/>
        </w:rPr>
        <w:t xml:space="preserve">focused </w:t>
      </w:r>
      <w:r w:rsidRPr="00AF0164">
        <w:rPr>
          <w:color w:val="0E101A"/>
        </w:rPr>
        <w:t xml:space="preserve">on joint </w:t>
      </w:r>
      <w:r w:rsidR="009F7997">
        <w:rPr>
          <w:color w:val="0E101A"/>
        </w:rPr>
        <w:t>U</w:t>
      </w:r>
      <w:r w:rsidR="000A701E">
        <w:rPr>
          <w:color w:val="0E101A"/>
        </w:rPr>
        <w:t xml:space="preserve">nited </w:t>
      </w:r>
      <w:r w:rsidR="009F7997">
        <w:rPr>
          <w:color w:val="0E101A"/>
        </w:rPr>
        <w:t>N</w:t>
      </w:r>
      <w:r w:rsidR="000A701E">
        <w:rPr>
          <w:color w:val="0E101A"/>
        </w:rPr>
        <w:t>ations</w:t>
      </w:r>
      <w:r w:rsidRPr="00AF0164">
        <w:rPr>
          <w:color w:val="0E101A"/>
        </w:rPr>
        <w:t xml:space="preserve"> activities </w:t>
      </w:r>
      <w:r w:rsidR="000B726A">
        <w:rPr>
          <w:color w:val="0E101A"/>
        </w:rPr>
        <w:t xml:space="preserve">for </w:t>
      </w:r>
      <w:r w:rsidRPr="00AF0164">
        <w:rPr>
          <w:color w:val="0E101A"/>
        </w:rPr>
        <w:t>evaluation</w:t>
      </w:r>
      <w:r w:rsidR="000B726A">
        <w:rPr>
          <w:color w:val="0E101A"/>
        </w:rPr>
        <w:t>s</w:t>
      </w:r>
      <w:r w:rsidRPr="00AF0164">
        <w:rPr>
          <w:color w:val="0E101A"/>
        </w:rPr>
        <w:t xml:space="preserve"> and </w:t>
      </w:r>
      <w:r w:rsidR="00C647A8">
        <w:rPr>
          <w:color w:val="0E101A"/>
        </w:rPr>
        <w:t xml:space="preserve">SDG </w:t>
      </w:r>
      <w:r w:rsidRPr="00AF0164">
        <w:rPr>
          <w:color w:val="0E101A"/>
        </w:rPr>
        <w:t>achievement; (</w:t>
      </w:r>
      <w:r w:rsidR="000B726A">
        <w:rPr>
          <w:color w:val="0E101A"/>
        </w:rPr>
        <w:t>b</w:t>
      </w:r>
      <w:r w:rsidRPr="00AF0164">
        <w:rPr>
          <w:color w:val="0E101A"/>
        </w:rPr>
        <w:t>)</w:t>
      </w:r>
      <w:r w:rsidR="00C647A8">
        <w:rPr>
          <w:color w:val="0E101A"/>
        </w:rPr>
        <w:t> </w:t>
      </w:r>
      <w:r w:rsidRPr="00AF0164">
        <w:rPr>
          <w:color w:val="0E101A"/>
        </w:rPr>
        <w:t>acting as a connector and mobilizing its wide networks for SDG acceleration; (</w:t>
      </w:r>
      <w:r w:rsidR="000B726A">
        <w:rPr>
          <w:color w:val="0E101A"/>
        </w:rPr>
        <w:t>c</w:t>
      </w:r>
      <w:r w:rsidRPr="00AF0164">
        <w:rPr>
          <w:color w:val="0E101A"/>
        </w:rPr>
        <w:t>)</w:t>
      </w:r>
      <w:r w:rsidR="000B726A">
        <w:rPr>
          <w:color w:val="0E101A"/>
        </w:rPr>
        <w:t> </w:t>
      </w:r>
      <w:r w:rsidRPr="00AF0164">
        <w:rPr>
          <w:color w:val="0E101A"/>
        </w:rPr>
        <w:t>leveraging innovation work through</w:t>
      </w:r>
      <w:r w:rsidR="000B726A">
        <w:rPr>
          <w:color w:val="0E101A"/>
        </w:rPr>
        <w:t xml:space="preserve"> its accelerator labs</w:t>
      </w:r>
      <w:r w:rsidRPr="00AF0164">
        <w:rPr>
          <w:color w:val="0E101A"/>
        </w:rPr>
        <w:t>; and (</w:t>
      </w:r>
      <w:r w:rsidR="000B726A">
        <w:rPr>
          <w:color w:val="0E101A"/>
        </w:rPr>
        <w:t>d</w:t>
      </w:r>
      <w:r w:rsidRPr="00AF0164">
        <w:rPr>
          <w:color w:val="0E101A"/>
        </w:rPr>
        <w:t xml:space="preserve">) offering platforms for monitoring and evaluation of NDS30 and SDG acceleration. UNDP will build on its COVID-19 response </w:t>
      </w:r>
      <w:r w:rsidR="000B726A">
        <w:rPr>
          <w:color w:val="0E101A"/>
        </w:rPr>
        <w:t xml:space="preserve">experience to mobilize </w:t>
      </w:r>
      <w:r w:rsidRPr="00AF0164">
        <w:rPr>
          <w:color w:val="0E101A"/>
        </w:rPr>
        <w:t>resource</w:t>
      </w:r>
      <w:r w:rsidR="000B726A">
        <w:rPr>
          <w:color w:val="0E101A"/>
        </w:rPr>
        <w:t>s</w:t>
      </w:r>
      <w:r w:rsidRPr="00AF0164">
        <w:rPr>
          <w:color w:val="0E101A"/>
        </w:rPr>
        <w:t xml:space="preserve">, </w:t>
      </w:r>
      <w:r w:rsidR="000B726A">
        <w:rPr>
          <w:color w:val="0E101A"/>
        </w:rPr>
        <w:t xml:space="preserve">strengthen the </w:t>
      </w:r>
      <w:r w:rsidRPr="00AF0164">
        <w:rPr>
          <w:color w:val="0E101A"/>
        </w:rPr>
        <w:t xml:space="preserve">health </w:t>
      </w:r>
      <w:r w:rsidR="000B726A">
        <w:rPr>
          <w:color w:val="0E101A"/>
        </w:rPr>
        <w:t xml:space="preserve">care </w:t>
      </w:r>
      <w:r w:rsidRPr="00AF0164">
        <w:rPr>
          <w:color w:val="0E101A"/>
        </w:rPr>
        <w:t>system (</w:t>
      </w:r>
      <w:r w:rsidR="00440F35" w:rsidRPr="00AF0164">
        <w:rPr>
          <w:color w:val="0E101A"/>
        </w:rPr>
        <w:t>including</w:t>
      </w:r>
      <w:r w:rsidRPr="00AF0164">
        <w:rPr>
          <w:color w:val="0E101A"/>
        </w:rPr>
        <w:t xml:space="preserve"> COVID-19 vaccination deployment strategy), and </w:t>
      </w:r>
      <w:r w:rsidR="00E467EB" w:rsidRPr="00AF0164">
        <w:rPr>
          <w:color w:val="0E101A"/>
        </w:rPr>
        <w:t xml:space="preserve">support </w:t>
      </w:r>
      <w:r w:rsidRPr="00AF0164">
        <w:rPr>
          <w:color w:val="0E101A"/>
        </w:rPr>
        <w:t>MSMEs</w:t>
      </w:r>
      <w:r w:rsidR="000B726A">
        <w:rPr>
          <w:color w:val="0E101A"/>
        </w:rPr>
        <w:t xml:space="preserve">, which </w:t>
      </w:r>
      <w:r w:rsidRPr="00AF0164">
        <w:rPr>
          <w:color w:val="0E101A"/>
        </w:rPr>
        <w:t xml:space="preserve">account for 90 </w:t>
      </w:r>
      <w:r w:rsidR="000A701E">
        <w:rPr>
          <w:color w:val="0E101A"/>
        </w:rPr>
        <w:t>per cent</w:t>
      </w:r>
      <w:r w:rsidR="000B726A">
        <w:rPr>
          <w:color w:val="0E101A"/>
        </w:rPr>
        <w:t xml:space="preserve"> </w:t>
      </w:r>
      <w:r w:rsidRPr="00AF0164">
        <w:rPr>
          <w:color w:val="0E101A"/>
        </w:rPr>
        <w:t>of overall employment in Cameroon. </w:t>
      </w:r>
    </w:p>
    <w:p w14:paraId="4241DC58" w14:textId="73AEE685" w:rsidR="00C7340E" w:rsidRDefault="00C7340E" w:rsidP="00C7340E">
      <w:pPr>
        <w:pStyle w:val="ListParagraph"/>
        <w:spacing w:after="200"/>
        <w:ind w:left="1080" w:right="1080"/>
        <w:jc w:val="both"/>
        <w:rPr>
          <w:color w:val="0E101A"/>
        </w:rPr>
      </w:pPr>
    </w:p>
    <w:p w14:paraId="17CE7242" w14:textId="77534CE6" w:rsidR="00C7340E" w:rsidRDefault="00C7340E" w:rsidP="00C7340E">
      <w:pPr>
        <w:pStyle w:val="ListParagraph"/>
        <w:spacing w:after="200"/>
        <w:ind w:left="1080" w:right="1080"/>
        <w:jc w:val="both"/>
        <w:rPr>
          <w:color w:val="0E101A"/>
        </w:rPr>
      </w:pPr>
    </w:p>
    <w:p w14:paraId="641F7822" w14:textId="77777777" w:rsidR="00EC0088" w:rsidRPr="00AF0164" w:rsidRDefault="00EC0088" w:rsidP="00237420">
      <w:pPr>
        <w:pStyle w:val="ListParagraph"/>
        <w:numPr>
          <w:ilvl w:val="0"/>
          <w:numId w:val="33"/>
        </w:numPr>
        <w:spacing w:after="200"/>
        <w:ind w:left="1080" w:right="1080" w:hanging="360"/>
        <w:jc w:val="both"/>
        <w:rPr>
          <w:b/>
          <w:bCs/>
          <w:sz w:val="24"/>
          <w:szCs w:val="24"/>
        </w:rPr>
      </w:pPr>
      <w:r w:rsidRPr="00AF0164">
        <w:rPr>
          <w:b/>
          <w:bCs/>
          <w:sz w:val="24"/>
          <w:szCs w:val="24"/>
        </w:rPr>
        <w:lastRenderedPageBreak/>
        <w:t xml:space="preserve">Programme </w:t>
      </w:r>
      <w:r w:rsidR="00237420" w:rsidRPr="00AF0164">
        <w:rPr>
          <w:b/>
          <w:bCs/>
          <w:sz w:val="24"/>
          <w:szCs w:val="24"/>
        </w:rPr>
        <w:t>p</w:t>
      </w:r>
      <w:r w:rsidRPr="00AF0164">
        <w:rPr>
          <w:b/>
          <w:bCs/>
          <w:sz w:val="24"/>
          <w:szCs w:val="24"/>
        </w:rPr>
        <w:t xml:space="preserve">riorities and </w:t>
      </w:r>
      <w:r w:rsidR="00237420" w:rsidRPr="00AF0164">
        <w:rPr>
          <w:b/>
          <w:bCs/>
          <w:sz w:val="24"/>
          <w:szCs w:val="24"/>
        </w:rPr>
        <w:t>p</w:t>
      </w:r>
      <w:r w:rsidRPr="00AF0164">
        <w:rPr>
          <w:b/>
          <w:bCs/>
          <w:sz w:val="24"/>
          <w:szCs w:val="24"/>
        </w:rPr>
        <w:t>artnerships</w:t>
      </w:r>
    </w:p>
    <w:p w14:paraId="233A45C5" w14:textId="2E88E372" w:rsidR="00320DD1" w:rsidRPr="00AF0164" w:rsidRDefault="00320DD1" w:rsidP="009220DB">
      <w:pPr>
        <w:pStyle w:val="ListParagraph"/>
        <w:numPr>
          <w:ilvl w:val="0"/>
          <w:numId w:val="30"/>
        </w:numPr>
        <w:spacing w:after="120"/>
        <w:ind w:left="1080" w:right="1080" w:firstLine="0"/>
        <w:jc w:val="both"/>
        <w:rPr>
          <w:color w:val="0E101A"/>
        </w:rPr>
      </w:pPr>
      <w:r w:rsidRPr="00AF0164">
        <w:rPr>
          <w:color w:val="0E101A"/>
        </w:rPr>
        <w:t xml:space="preserve">Building on ICPR recommendations and aligned with </w:t>
      </w:r>
      <w:r w:rsidR="003328AC">
        <w:rPr>
          <w:color w:val="0E101A"/>
        </w:rPr>
        <w:t xml:space="preserve">the </w:t>
      </w:r>
      <w:r w:rsidRPr="00AF0164">
        <w:rPr>
          <w:color w:val="0E101A"/>
        </w:rPr>
        <w:t xml:space="preserve">NDS30, UNSDCF and UNDP </w:t>
      </w:r>
      <w:r w:rsidR="003328AC">
        <w:rPr>
          <w:color w:val="0E101A"/>
        </w:rPr>
        <w:t>r</w:t>
      </w:r>
      <w:r w:rsidRPr="00AF0164">
        <w:rPr>
          <w:color w:val="0E101A"/>
        </w:rPr>
        <w:t xml:space="preserve">enewed </w:t>
      </w:r>
      <w:r w:rsidR="003328AC">
        <w:rPr>
          <w:color w:val="0E101A"/>
        </w:rPr>
        <w:t>s</w:t>
      </w:r>
      <w:r w:rsidRPr="00AF0164">
        <w:rPr>
          <w:color w:val="0E101A"/>
        </w:rPr>
        <w:t xml:space="preserve">trategic </w:t>
      </w:r>
      <w:r w:rsidR="003328AC">
        <w:rPr>
          <w:color w:val="0E101A"/>
        </w:rPr>
        <w:t>o</w:t>
      </w:r>
      <w:r w:rsidRPr="00AF0164">
        <w:rPr>
          <w:color w:val="0E101A"/>
        </w:rPr>
        <w:t xml:space="preserve">ffer in Africa, the programme will focus on supporting Cameroon to accelerate </w:t>
      </w:r>
      <w:r w:rsidR="003328AC">
        <w:rPr>
          <w:color w:val="0E101A"/>
        </w:rPr>
        <w:t xml:space="preserve">SDG </w:t>
      </w:r>
      <w:r w:rsidRPr="00AF0164">
        <w:rPr>
          <w:color w:val="0E101A"/>
        </w:rPr>
        <w:t>achievement through three integrated strategic pillars: (</w:t>
      </w:r>
      <w:r w:rsidR="003328AC">
        <w:rPr>
          <w:color w:val="0E101A"/>
        </w:rPr>
        <w:t>a</w:t>
      </w:r>
      <w:r w:rsidRPr="00AF0164">
        <w:rPr>
          <w:color w:val="0E101A"/>
        </w:rPr>
        <w:t xml:space="preserve">) </w:t>
      </w:r>
      <w:r w:rsidR="003328AC">
        <w:rPr>
          <w:color w:val="0E101A"/>
        </w:rPr>
        <w:t>t</w:t>
      </w:r>
      <w:r w:rsidRPr="00AF0164">
        <w:rPr>
          <w:color w:val="0E101A"/>
        </w:rPr>
        <w:t>ransformative, inclusive and sustainable growth</w:t>
      </w:r>
      <w:r w:rsidR="003328AC">
        <w:rPr>
          <w:color w:val="0E101A"/>
        </w:rPr>
        <w:t>;</w:t>
      </w:r>
      <w:r w:rsidRPr="00AF0164">
        <w:rPr>
          <w:color w:val="0E101A"/>
        </w:rPr>
        <w:t xml:space="preserve"> (</w:t>
      </w:r>
      <w:r w:rsidR="003328AC">
        <w:rPr>
          <w:color w:val="0E101A"/>
        </w:rPr>
        <w:t>b</w:t>
      </w:r>
      <w:r w:rsidRPr="00AF0164">
        <w:rPr>
          <w:color w:val="0E101A"/>
        </w:rPr>
        <w:t xml:space="preserve">) </w:t>
      </w:r>
      <w:r w:rsidR="003328AC">
        <w:rPr>
          <w:color w:val="0E101A"/>
        </w:rPr>
        <w:t>i</w:t>
      </w:r>
      <w:r w:rsidRPr="00AF0164">
        <w:rPr>
          <w:color w:val="0E101A"/>
        </w:rPr>
        <w:t>nclusive governance and peacebuilding</w:t>
      </w:r>
      <w:r w:rsidR="003328AC">
        <w:rPr>
          <w:color w:val="0E101A"/>
        </w:rPr>
        <w:t>;</w:t>
      </w:r>
      <w:r w:rsidRPr="00AF0164">
        <w:rPr>
          <w:color w:val="0E101A"/>
        </w:rPr>
        <w:t xml:space="preserve"> </w:t>
      </w:r>
      <w:r w:rsidR="003328AC">
        <w:rPr>
          <w:color w:val="0E101A"/>
        </w:rPr>
        <w:t xml:space="preserve">and </w:t>
      </w:r>
      <w:r w:rsidRPr="00AF0164">
        <w:rPr>
          <w:color w:val="0E101A"/>
        </w:rPr>
        <w:t>(</w:t>
      </w:r>
      <w:r w:rsidR="003328AC">
        <w:rPr>
          <w:color w:val="0E101A"/>
        </w:rPr>
        <w:t>c</w:t>
      </w:r>
      <w:r w:rsidRPr="00AF0164">
        <w:rPr>
          <w:color w:val="0E101A"/>
        </w:rPr>
        <w:t xml:space="preserve">) </w:t>
      </w:r>
      <w:r w:rsidR="003328AC">
        <w:rPr>
          <w:color w:val="0E101A"/>
        </w:rPr>
        <w:t>e</w:t>
      </w:r>
      <w:r w:rsidRPr="00AF0164">
        <w:rPr>
          <w:color w:val="0E101A"/>
        </w:rPr>
        <w:t xml:space="preserve">nvironmental sustainability, climate risk and disaster management. The interventions in the </w:t>
      </w:r>
      <w:r w:rsidR="003328AC">
        <w:rPr>
          <w:color w:val="0E101A"/>
        </w:rPr>
        <w:t>e</w:t>
      </w:r>
      <w:r w:rsidRPr="00AF0164">
        <w:rPr>
          <w:color w:val="0E101A"/>
        </w:rPr>
        <w:t xml:space="preserve">ast, </w:t>
      </w:r>
      <w:r w:rsidR="003328AC">
        <w:rPr>
          <w:color w:val="0E101A"/>
        </w:rPr>
        <w:t>n</w:t>
      </w:r>
      <w:r w:rsidRPr="00AF0164">
        <w:rPr>
          <w:color w:val="0E101A"/>
        </w:rPr>
        <w:t>orth-</w:t>
      </w:r>
      <w:r w:rsidR="003328AC">
        <w:rPr>
          <w:color w:val="0E101A"/>
        </w:rPr>
        <w:t>w</w:t>
      </w:r>
      <w:r w:rsidRPr="00AF0164">
        <w:rPr>
          <w:color w:val="0E101A"/>
        </w:rPr>
        <w:t xml:space="preserve">est, </w:t>
      </w:r>
      <w:r w:rsidR="003328AC">
        <w:rPr>
          <w:color w:val="0E101A"/>
        </w:rPr>
        <w:t>s</w:t>
      </w:r>
      <w:r w:rsidRPr="00AF0164">
        <w:rPr>
          <w:color w:val="0E101A"/>
        </w:rPr>
        <w:t>outh-</w:t>
      </w:r>
      <w:r w:rsidR="003328AC">
        <w:rPr>
          <w:color w:val="0E101A"/>
        </w:rPr>
        <w:t>w</w:t>
      </w:r>
      <w:r w:rsidRPr="00AF0164">
        <w:rPr>
          <w:color w:val="0E101A"/>
        </w:rPr>
        <w:t xml:space="preserve">est and the three northern regions will target youth, </w:t>
      </w:r>
      <w:r w:rsidR="003328AC">
        <w:rPr>
          <w:color w:val="0E101A"/>
        </w:rPr>
        <w:t>w</w:t>
      </w:r>
      <w:r w:rsidRPr="00AF0164">
        <w:rPr>
          <w:color w:val="0E101A"/>
        </w:rPr>
        <w:t>omen, IDPs, people in rural areas and those living with disabilities. UNDP will deliver the three pillars in an integrated approach. The first pillar on transformation, inclusion and sustainable growth includes building a broad</w:t>
      </w:r>
      <w:r w:rsidR="003328AC">
        <w:rPr>
          <w:color w:val="0E101A"/>
        </w:rPr>
        <w:t>-</w:t>
      </w:r>
      <w:r w:rsidRPr="00AF0164">
        <w:rPr>
          <w:color w:val="0E101A"/>
        </w:rPr>
        <w:t>based climate-resilient green economy that contribute</w:t>
      </w:r>
      <w:r w:rsidR="00C647A8">
        <w:rPr>
          <w:color w:val="0E101A"/>
        </w:rPr>
        <w:t>s</w:t>
      </w:r>
      <w:r w:rsidRPr="00AF0164">
        <w:rPr>
          <w:color w:val="0E101A"/>
        </w:rPr>
        <w:t xml:space="preserve"> to environmental sustainability and building resilience of vulnerable groups. The second pillar, governance and peacebuilding (especially the component on decentralization and accountability), is a key strategic driver to accelerate structural transformation of </w:t>
      </w:r>
      <w:r w:rsidR="003328AC">
        <w:rPr>
          <w:color w:val="0E101A"/>
        </w:rPr>
        <w:t xml:space="preserve">the </w:t>
      </w:r>
      <w:r w:rsidRPr="00AF0164">
        <w:rPr>
          <w:color w:val="0E101A"/>
        </w:rPr>
        <w:t>economy, foster local development, strengthen social cohesion, and provide effective response to climate change. </w:t>
      </w:r>
    </w:p>
    <w:p w14:paraId="2D9187B4" w14:textId="548A4CB4" w:rsidR="00EC0088" w:rsidRPr="00AF0164" w:rsidRDefault="008F1DFE" w:rsidP="009220DB">
      <w:pPr>
        <w:pStyle w:val="ListParagraph"/>
        <w:numPr>
          <w:ilvl w:val="0"/>
          <w:numId w:val="30"/>
        </w:numPr>
        <w:spacing w:after="120"/>
        <w:ind w:left="1080" w:right="1080" w:firstLine="0"/>
        <w:jc w:val="both"/>
      </w:pPr>
      <w:r w:rsidRPr="00AF0164">
        <w:t>The programme's theory of change envisions that by 2026, </w:t>
      </w:r>
      <w:r w:rsidRPr="00FB3A50">
        <w:rPr>
          <w:i/>
          <w:iCs/>
          <w:color w:val="0E101A"/>
        </w:rPr>
        <w:t>if</w:t>
      </w:r>
      <w:r w:rsidRPr="00AF0164">
        <w:t> </w:t>
      </w:r>
      <w:r w:rsidR="003328AC">
        <w:t xml:space="preserve">the </w:t>
      </w:r>
      <w:r w:rsidRPr="00AF0164">
        <w:t xml:space="preserve">decentralization process is accelerated, the economy is diversified </w:t>
      </w:r>
      <w:r w:rsidR="003328AC">
        <w:t>(</w:t>
      </w:r>
      <w:r w:rsidRPr="00AF0164">
        <w:t>leading to structural transformation</w:t>
      </w:r>
      <w:r w:rsidR="003328AC">
        <w:t>)</w:t>
      </w:r>
      <w:r w:rsidR="00104A63" w:rsidRPr="00AF0164">
        <w:t>,</w:t>
      </w:r>
      <w:r w:rsidRPr="00AF0164">
        <w:t xml:space="preserve"> mechanisms for inclusive dialogue are strengthened, social cohesion and peacebuilding </w:t>
      </w:r>
      <w:r w:rsidR="003328AC">
        <w:t xml:space="preserve">are </w:t>
      </w:r>
      <w:r w:rsidRPr="00AF0164">
        <w:t>strengthened, socioeconomic recovery</w:t>
      </w:r>
      <w:r w:rsidR="003328AC">
        <w:t xml:space="preserve"> (</w:t>
      </w:r>
      <w:r w:rsidRPr="00AF0164">
        <w:t>especially in conflict-affected areas</w:t>
      </w:r>
      <w:r w:rsidR="003328AC">
        <w:t>)</w:t>
      </w:r>
      <w:r w:rsidRPr="00AF0164">
        <w:t xml:space="preserve"> is accelerated</w:t>
      </w:r>
      <w:r w:rsidR="003328AC">
        <w:t>,</w:t>
      </w:r>
      <w:r w:rsidRPr="00AF0164">
        <w:t xml:space="preserve"> and </w:t>
      </w:r>
      <w:r w:rsidR="003328AC">
        <w:t xml:space="preserve">the environment is </w:t>
      </w:r>
      <w:r w:rsidRPr="00AF0164">
        <w:t>sustainabl</w:t>
      </w:r>
      <w:r w:rsidR="003328AC">
        <w:t>y</w:t>
      </w:r>
      <w:r w:rsidRPr="00AF0164">
        <w:t xml:space="preserve"> </w:t>
      </w:r>
      <w:r w:rsidR="003328AC">
        <w:t>managed;</w:t>
      </w:r>
      <w:r w:rsidRPr="00AF0164">
        <w:t> </w:t>
      </w:r>
      <w:r w:rsidRPr="00FB3A50">
        <w:rPr>
          <w:i/>
          <w:iCs/>
        </w:rPr>
        <w:t xml:space="preserve">provided </w:t>
      </w:r>
      <w:r w:rsidRPr="00AF0164">
        <w:t xml:space="preserve">there is strong collaboration with </w:t>
      </w:r>
      <w:r w:rsidR="000A701E">
        <w:t>United Nations</w:t>
      </w:r>
      <w:r w:rsidRPr="00AF0164">
        <w:t xml:space="preserve"> </w:t>
      </w:r>
      <w:r w:rsidR="00D13F72">
        <w:t>agencies</w:t>
      </w:r>
      <w:r w:rsidRPr="00AF0164">
        <w:t xml:space="preserve">, full </w:t>
      </w:r>
      <w:r w:rsidR="003328AC" w:rsidRPr="00AF0164">
        <w:t>government and local communit</w:t>
      </w:r>
      <w:r w:rsidR="003328AC">
        <w:t>y</w:t>
      </w:r>
      <w:r w:rsidR="003328AC" w:rsidRPr="00AF0164">
        <w:t xml:space="preserve"> </w:t>
      </w:r>
      <w:r w:rsidRPr="00AF0164">
        <w:t xml:space="preserve">participation and ownership, engagement of CSOs and the private sector, progress on </w:t>
      </w:r>
      <w:r w:rsidR="003328AC">
        <w:t xml:space="preserve">government </w:t>
      </w:r>
      <w:r w:rsidRPr="00AF0164">
        <w:t xml:space="preserve">structural and institutional reforms, adequate resources, and </w:t>
      </w:r>
      <w:r w:rsidR="003328AC">
        <w:t xml:space="preserve">a </w:t>
      </w:r>
      <w:r w:rsidRPr="00AF0164">
        <w:t>safe and secure environment to implement the programme; </w:t>
      </w:r>
      <w:r w:rsidRPr="00FB3A50">
        <w:rPr>
          <w:i/>
          <w:iCs/>
          <w:color w:val="0E101A"/>
        </w:rPr>
        <w:t>then</w:t>
      </w:r>
      <w:r w:rsidRPr="00AF0164">
        <w:t> youth, women and vulnerable people will have decent job</w:t>
      </w:r>
      <w:r w:rsidR="003328AC">
        <w:t xml:space="preserve">s, be </w:t>
      </w:r>
      <w:r w:rsidRPr="00AF0164">
        <w:t>empowered to participate in decision-making processes and be more resilient to climate shocks and disasters.</w:t>
      </w:r>
    </w:p>
    <w:p w14:paraId="5334CA73" w14:textId="0C77546D" w:rsidR="00EC0088" w:rsidRPr="00AF0164" w:rsidRDefault="008F1DFE" w:rsidP="009220DB">
      <w:pPr>
        <w:pStyle w:val="ListParagraph"/>
        <w:numPr>
          <w:ilvl w:val="0"/>
          <w:numId w:val="30"/>
        </w:numPr>
        <w:spacing w:after="120"/>
        <w:ind w:left="1080" w:right="1080" w:firstLine="0"/>
        <w:jc w:val="both"/>
      </w:pPr>
      <w:r w:rsidRPr="00AF0164">
        <w:t>UNDP will contribute to achiev</w:t>
      </w:r>
      <w:r w:rsidR="003328AC">
        <w:t>ing</w:t>
      </w:r>
      <w:r w:rsidRPr="00AF0164">
        <w:t xml:space="preserve"> three of the five SDG accelerators identified by the Government:</w:t>
      </w:r>
      <w:r w:rsidR="003328AC">
        <w:t xml:space="preserve"> </w:t>
      </w:r>
      <w:r w:rsidRPr="00AF0164">
        <w:t>(</w:t>
      </w:r>
      <w:r w:rsidR="003328AC">
        <w:t>a</w:t>
      </w:r>
      <w:r w:rsidRPr="00AF0164">
        <w:t xml:space="preserve">) </w:t>
      </w:r>
      <w:r w:rsidR="003328AC">
        <w:t>s</w:t>
      </w:r>
      <w:r w:rsidRPr="00AF0164">
        <w:t>trengthening institutional processes through better governance; (</w:t>
      </w:r>
      <w:r w:rsidR="003328AC">
        <w:t>b</w:t>
      </w:r>
      <w:r w:rsidRPr="00AF0164">
        <w:t xml:space="preserve">) </w:t>
      </w:r>
      <w:r w:rsidR="003328AC">
        <w:t>s</w:t>
      </w:r>
      <w:r w:rsidRPr="00AF0164">
        <w:t>trengthening gender equality in education and employment; and (</w:t>
      </w:r>
      <w:r w:rsidR="003328AC">
        <w:t>c</w:t>
      </w:r>
      <w:r w:rsidRPr="00AF0164">
        <w:t xml:space="preserve">) </w:t>
      </w:r>
      <w:r w:rsidR="003328AC">
        <w:t>improving i</w:t>
      </w:r>
      <w:r w:rsidRPr="00AF0164">
        <w:t>nfrastructure development, especially small-scale renewable energy. In the process, UNDP will consolidate its strategic positioning for policy and strategy support and capitalize on gains from the national response to COVID-19</w:t>
      </w:r>
      <w:r w:rsidR="00A506CC" w:rsidRPr="00AF0164">
        <w:t xml:space="preserve">, as a component of the socioeconomic transformation. </w:t>
      </w:r>
      <w:r w:rsidRPr="00AF0164">
        <w:t xml:space="preserve">UNDP support to the Government will align </w:t>
      </w:r>
      <w:r w:rsidR="00DC1E8A">
        <w:t xml:space="preserve">with </w:t>
      </w:r>
      <w:r w:rsidRPr="00AF0164">
        <w:t>national priorities articulated in various plans</w:t>
      </w:r>
      <w:r w:rsidR="00A60741" w:rsidRPr="00AF0164">
        <w:rPr>
          <w:rStyle w:val="FootnoteReference"/>
        </w:rPr>
        <w:footnoteReference w:id="10"/>
      </w:r>
      <w:r w:rsidR="009257F0" w:rsidRPr="00AF0164">
        <w:t xml:space="preserve"> and</w:t>
      </w:r>
      <w:r w:rsidRPr="00AF0164">
        <w:t xml:space="preserve"> includ</w:t>
      </w:r>
      <w:r w:rsidR="009257F0" w:rsidRPr="00AF0164">
        <w:t>es</w:t>
      </w:r>
      <w:r w:rsidR="003328AC">
        <w:t>:</w:t>
      </w:r>
      <w:r w:rsidRPr="00AF0164">
        <w:t xml:space="preserve"> (</w:t>
      </w:r>
      <w:r w:rsidR="003328AC">
        <w:t>a</w:t>
      </w:r>
      <w:r w:rsidRPr="00AF0164">
        <w:t>)</w:t>
      </w:r>
      <w:r w:rsidR="000A701E">
        <w:t> </w:t>
      </w:r>
      <w:r w:rsidRPr="00AF0164">
        <w:t xml:space="preserve">mobilizing resources for </w:t>
      </w:r>
      <w:r w:rsidR="003328AC">
        <w:t xml:space="preserve">the </w:t>
      </w:r>
      <w:r w:rsidRPr="00AF0164">
        <w:t xml:space="preserve">SDGs through the </w:t>
      </w:r>
      <w:r w:rsidR="003328AC">
        <w:t>i</w:t>
      </w:r>
      <w:r w:rsidRPr="00AF0164">
        <w:t xml:space="preserve">ntegrated </w:t>
      </w:r>
      <w:r w:rsidR="003328AC">
        <w:t>n</w:t>
      </w:r>
      <w:r w:rsidRPr="00AF0164">
        <w:t xml:space="preserve">ational </w:t>
      </w:r>
      <w:r w:rsidR="003328AC">
        <w:t>f</w:t>
      </w:r>
      <w:r w:rsidRPr="00AF0164">
        <w:t xml:space="preserve">inancing </w:t>
      </w:r>
      <w:r w:rsidR="003328AC">
        <w:t>f</w:t>
      </w:r>
      <w:r w:rsidRPr="00AF0164">
        <w:t>ramework (INFF); (</w:t>
      </w:r>
      <w:r w:rsidR="003328AC">
        <w:t>b</w:t>
      </w:r>
      <w:r w:rsidRPr="00AF0164">
        <w:t>)</w:t>
      </w:r>
      <w:r w:rsidR="000A701E">
        <w:t> </w:t>
      </w:r>
      <w:r w:rsidRPr="00AF0164">
        <w:t>promoting new integrated development solutions; and (</w:t>
      </w:r>
      <w:r w:rsidR="003328AC">
        <w:t>c</w:t>
      </w:r>
      <w:r w:rsidRPr="00AF0164">
        <w:t>)</w:t>
      </w:r>
      <w:r w:rsidR="003328AC">
        <w:t> </w:t>
      </w:r>
      <w:r w:rsidRPr="00AF0164">
        <w:t>supporting knowledge and technology transfer through South-South and triangular cooperation. UNDP will continue to support the Government in mobilizing vertical funds and strengthen</w:t>
      </w:r>
      <w:r w:rsidR="003328AC">
        <w:t>ing</w:t>
      </w:r>
      <w:r w:rsidRPr="00AF0164">
        <w:t xml:space="preserve"> partnerships with </w:t>
      </w:r>
      <w:r w:rsidR="00A204D5">
        <w:t xml:space="preserve">international </w:t>
      </w:r>
      <w:r w:rsidRPr="00AF0164">
        <w:t xml:space="preserve">financial institutions for economic resilience </w:t>
      </w:r>
      <w:r w:rsidR="003328AC">
        <w:t xml:space="preserve">and </w:t>
      </w:r>
      <w:r w:rsidRPr="00AF0164">
        <w:t>COVID-19 response. Furthermore, UNDP will partner with bilateral cooperation agencies such as German Corporation (GIZ) on decentralization and the private sector on innovation. </w:t>
      </w:r>
    </w:p>
    <w:p w14:paraId="2B477C43" w14:textId="288FE4B0" w:rsidR="00EC0088" w:rsidRPr="00FB3A50" w:rsidRDefault="00EC0088" w:rsidP="009220DB">
      <w:pPr>
        <w:spacing w:after="120"/>
        <w:ind w:left="1080" w:right="1080"/>
        <w:jc w:val="both"/>
        <w:rPr>
          <w:b/>
          <w:bCs/>
        </w:rPr>
      </w:pPr>
      <w:r w:rsidRPr="00FB3A50">
        <w:rPr>
          <w:b/>
          <w:bCs/>
        </w:rPr>
        <w:t xml:space="preserve">Transformative, Inclusive, and sustainable growth </w:t>
      </w:r>
    </w:p>
    <w:p w14:paraId="4FBB6E55" w14:textId="58EE9E75" w:rsidR="00EC0088" w:rsidRPr="00AF0164" w:rsidRDefault="00A4371B" w:rsidP="009220DB">
      <w:pPr>
        <w:pStyle w:val="ListParagraph"/>
        <w:numPr>
          <w:ilvl w:val="0"/>
          <w:numId w:val="30"/>
        </w:numPr>
        <w:spacing w:after="120"/>
        <w:ind w:left="1080" w:right="1080" w:firstLine="0"/>
        <w:jc w:val="both"/>
      </w:pPr>
      <w:r w:rsidRPr="00AF0164">
        <w:t xml:space="preserve">UNDP will support the Government in reducing monetary and multidimensional inequalities and underemployment, particularly among women, </w:t>
      </w:r>
      <w:r w:rsidR="006B5026" w:rsidRPr="00AF0164">
        <w:t>youth</w:t>
      </w:r>
      <w:r w:rsidRPr="00AF0164">
        <w:t xml:space="preserve"> and vulnerable groups. UNDP will support the transformation from cash to digital government-to-person (G2P) payments using mobile money systems. This has the potential to be replicated and scaled up to a social transfer payment system. UNDP will act at the strategic level to promote structural reforms and at the operational level to reach beneficiaries. The approach will prioritize innovation, capacity building in the digital and green economy, and knowledge management. UNDP </w:t>
      </w:r>
      <w:r w:rsidR="00B774D0" w:rsidRPr="00AF0164">
        <w:t>will support</w:t>
      </w:r>
      <w:r w:rsidRPr="00AF0164">
        <w:t xml:space="preserve"> SMEs and </w:t>
      </w:r>
      <w:r w:rsidR="003328AC">
        <w:t>small and medium industries (</w:t>
      </w:r>
      <w:r w:rsidRPr="00AF0164">
        <w:t>SMIs</w:t>
      </w:r>
      <w:r w:rsidR="003328AC">
        <w:t>)</w:t>
      </w:r>
      <w:r w:rsidRPr="00AF0164">
        <w:t xml:space="preserve"> that contribute to expanding local industries and create jobs. To do this, UNDP will rely on </w:t>
      </w:r>
      <w:r w:rsidR="003328AC">
        <w:t>g</w:t>
      </w:r>
      <w:r w:rsidRPr="00AF0164">
        <w:t>overnment support structures, incubators, the private sector, and universities to ensure the sustainability of interventions.</w:t>
      </w:r>
      <w:r w:rsidR="003C7E76" w:rsidRPr="00AF0164">
        <w:t xml:space="preserve"> </w:t>
      </w:r>
      <w:r w:rsidRPr="00AF0164">
        <w:t xml:space="preserve">It will also strengthen collaboration with </w:t>
      </w:r>
      <w:r w:rsidR="003328AC">
        <w:t>the International Labour Organization (</w:t>
      </w:r>
      <w:r w:rsidRPr="00AF0164">
        <w:t>ILO</w:t>
      </w:r>
      <w:r w:rsidR="003328AC">
        <w:t>)</w:t>
      </w:r>
      <w:r w:rsidR="00A92DA9">
        <w:t xml:space="preserve"> </w:t>
      </w:r>
      <w:r w:rsidRPr="00AF0164">
        <w:t xml:space="preserve">and </w:t>
      </w:r>
      <w:r w:rsidR="003328AC">
        <w:t xml:space="preserve">the United Nations Entity for Gender Equality and the Empowerment of </w:t>
      </w:r>
      <w:r w:rsidR="003328AC">
        <w:lastRenderedPageBreak/>
        <w:t>Women (</w:t>
      </w:r>
      <w:r w:rsidRPr="00AF0164">
        <w:t>UN</w:t>
      </w:r>
      <w:r w:rsidR="003328AC">
        <w:t>-</w:t>
      </w:r>
      <w:r w:rsidRPr="00AF0164">
        <w:t>Women</w:t>
      </w:r>
      <w:r w:rsidR="003328AC">
        <w:t>)</w:t>
      </w:r>
      <w:r w:rsidRPr="00AF0164">
        <w:t xml:space="preserve">. </w:t>
      </w:r>
      <w:r w:rsidR="009257F0" w:rsidRPr="00AF0164">
        <w:t>Furthermore</w:t>
      </w:r>
      <w:r w:rsidRPr="00AF0164">
        <w:t>, UNDP will prioritize people affected by COVID-19 and locations hosting IDPs.</w:t>
      </w:r>
    </w:p>
    <w:p w14:paraId="462377F8" w14:textId="57454E6D" w:rsidR="00EC0088" w:rsidRPr="00AF0164" w:rsidRDefault="003C7E76" w:rsidP="009220DB">
      <w:pPr>
        <w:pStyle w:val="ListParagraph"/>
        <w:numPr>
          <w:ilvl w:val="0"/>
          <w:numId w:val="30"/>
        </w:numPr>
        <w:spacing w:after="120"/>
        <w:ind w:left="1080" w:right="1080" w:firstLine="0"/>
        <w:jc w:val="both"/>
      </w:pPr>
      <w:r w:rsidRPr="00AF0164">
        <w:t xml:space="preserve">UNDP will promote entrepreneurship and strengthen inclusive access to finance for women, youth and vulnerable groups. Interventions will focus on developing value chains with high employment potential identified in </w:t>
      </w:r>
      <w:r w:rsidR="005157CD">
        <w:t xml:space="preserve">the </w:t>
      </w:r>
      <w:r w:rsidRPr="00AF0164">
        <w:t>NDS30, including promoting inclusive finance through</w:t>
      </w:r>
      <w:r w:rsidR="005157CD">
        <w:t xml:space="preserve"> improving </w:t>
      </w:r>
      <w:r w:rsidRPr="00AF0164">
        <w:t xml:space="preserve">financial products and services adapted to the needs of different target groups. UNDP will support the technological transformation of SME/SMIs through partnerships with </w:t>
      </w:r>
      <w:r w:rsidR="005157CD">
        <w:t>the United Nations Capital Development Fund (</w:t>
      </w:r>
      <w:r w:rsidRPr="00AF0164">
        <w:t>UNCDF</w:t>
      </w:r>
      <w:r w:rsidR="005157CD">
        <w:t>)</w:t>
      </w:r>
      <w:r w:rsidRPr="00AF0164">
        <w:t xml:space="preserve">, </w:t>
      </w:r>
      <w:r w:rsidR="005157CD">
        <w:t>the United Nations Food and Agriculture Organization (</w:t>
      </w:r>
      <w:r w:rsidRPr="00AF0164">
        <w:t>FAO</w:t>
      </w:r>
      <w:r w:rsidR="005157CD">
        <w:t>)</w:t>
      </w:r>
      <w:r w:rsidRPr="00AF0164">
        <w:t xml:space="preserve">, </w:t>
      </w:r>
      <w:r w:rsidR="005157CD">
        <w:t xml:space="preserve">the </w:t>
      </w:r>
      <w:r w:rsidRPr="00AF0164">
        <w:t>I</w:t>
      </w:r>
      <w:r w:rsidR="005B46AC">
        <w:t>s</w:t>
      </w:r>
      <w:r w:rsidRPr="00AF0164">
        <w:t>DB</w:t>
      </w:r>
      <w:r w:rsidR="000A701E">
        <w:t>,</w:t>
      </w:r>
      <w:r w:rsidRPr="00AF0164">
        <w:t xml:space="preserve"> and </w:t>
      </w:r>
      <w:r w:rsidR="005157CD">
        <w:t xml:space="preserve">it </w:t>
      </w:r>
      <w:r w:rsidRPr="00AF0164">
        <w:t>will build on ongoing initiatives such as Youth</w:t>
      </w:r>
      <w:r w:rsidR="00623647">
        <w:t xml:space="preserve"> </w:t>
      </w:r>
      <w:r w:rsidRPr="00AF0164">
        <w:t xml:space="preserve">Connekt and </w:t>
      </w:r>
      <w:r w:rsidR="005157CD">
        <w:t>the accelerator labs</w:t>
      </w:r>
      <w:r w:rsidRPr="00AF0164">
        <w:t xml:space="preserve">. Within the framework of the decentralization policy, UNDP will strengthen the capacity of </w:t>
      </w:r>
      <w:r w:rsidR="005157CD">
        <w:t>m</w:t>
      </w:r>
      <w:r w:rsidRPr="00AF0164">
        <w:t xml:space="preserve">unicipal </w:t>
      </w:r>
      <w:r w:rsidR="005157CD">
        <w:t>e</w:t>
      </w:r>
      <w:r w:rsidRPr="00AF0164">
        <w:t xml:space="preserve">mployment </w:t>
      </w:r>
      <w:r w:rsidR="005157CD">
        <w:t>o</w:t>
      </w:r>
      <w:r w:rsidRPr="00AF0164">
        <w:t>ffices (MEOs) and improve access to market information by supporting the deployment of the Cameroon Market Information System (CAMIS).</w:t>
      </w:r>
    </w:p>
    <w:p w14:paraId="33DCEFDD" w14:textId="591D29C8" w:rsidR="000F2B18" w:rsidRPr="00AF0164" w:rsidRDefault="000C7DA8" w:rsidP="009220DB">
      <w:pPr>
        <w:pStyle w:val="ListParagraph"/>
        <w:numPr>
          <w:ilvl w:val="0"/>
          <w:numId w:val="30"/>
        </w:numPr>
        <w:spacing w:after="120"/>
        <w:ind w:left="1080" w:right="1080" w:firstLine="0"/>
        <w:jc w:val="both"/>
      </w:pPr>
      <w:r w:rsidRPr="00AF0164">
        <w:t xml:space="preserve">The programme will strengthen the capacities of national institutions and SMEs </w:t>
      </w:r>
      <w:r w:rsidR="001E2CCD">
        <w:t xml:space="preserve">to </w:t>
      </w:r>
      <w:r w:rsidR="001E2CCD" w:rsidRPr="00AF0164">
        <w:t xml:space="preserve">become competitive </w:t>
      </w:r>
      <w:r w:rsidR="0055116C">
        <w:t xml:space="preserve">and contribute to </w:t>
      </w:r>
      <w:r w:rsidR="0055116C" w:rsidRPr="0055116C">
        <w:t xml:space="preserve">economic diversification </w:t>
      </w:r>
      <w:r w:rsidRPr="00AF0164">
        <w:t xml:space="preserve">for better subregional and continental integration within the framework of the </w:t>
      </w:r>
      <w:r w:rsidR="004A5A94" w:rsidRPr="00AF0164">
        <w:t>Africa Continental Free Trade Area (</w:t>
      </w:r>
      <w:r w:rsidRPr="00AF0164">
        <w:t>AfCFTA</w:t>
      </w:r>
      <w:r w:rsidR="004A5A94" w:rsidRPr="00AF0164">
        <w:t>)</w:t>
      </w:r>
      <w:r w:rsidRPr="00AF0164">
        <w:t xml:space="preserve">. UNDP will collaborate with </w:t>
      </w:r>
      <w:r w:rsidR="0058119F">
        <w:t>the United Nations Economic Commission for Africa (</w:t>
      </w:r>
      <w:r w:rsidRPr="00AF0164">
        <w:t>UNECA</w:t>
      </w:r>
      <w:r w:rsidR="0058119F">
        <w:t>)</w:t>
      </w:r>
      <w:r w:rsidRPr="00AF0164">
        <w:t xml:space="preserve"> to develop interconnection</w:t>
      </w:r>
      <w:r w:rsidR="0058119F">
        <w:t>s</w:t>
      </w:r>
      <w:r w:rsidRPr="00AF0164">
        <w:t xml:space="preserve"> between CAMIS and other national price information systems in the subregion.</w:t>
      </w:r>
    </w:p>
    <w:p w14:paraId="3DEABA7E" w14:textId="77777777" w:rsidR="000F2B18" w:rsidRPr="00FB3A50" w:rsidRDefault="000F2B18" w:rsidP="009220DB">
      <w:pPr>
        <w:spacing w:after="120"/>
        <w:ind w:left="1080" w:right="1080"/>
        <w:jc w:val="both"/>
        <w:rPr>
          <w:b/>
          <w:bCs/>
        </w:rPr>
      </w:pPr>
      <w:r w:rsidRPr="00FB3A50">
        <w:rPr>
          <w:b/>
          <w:bCs/>
        </w:rPr>
        <w:t>Inclusive governance and peacebuilding</w:t>
      </w:r>
    </w:p>
    <w:p w14:paraId="09A6A64A" w14:textId="18DE8404" w:rsidR="000F2B18" w:rsidRPr="00AF0164" w:rsidRDefault="00B04CA6" w:rsidP="009220DB">
      <w:pPr>
        <w:pStyle w:val="ListParagraph"/>
        <w:numPr>
          <w:ilvl w:val="0"/>
          <w:numId w:val="30"/>
        </w:numPr>
        <w:spacing w:after="120"/>
        <w:ind w:left="1080" w:right="1080" w:firstLine="0"/>
        <w:jc w:val="both"/>
      </w:pPr>
      <w:r w:rsidRPr="00AF0164">
        <w:t>Creating conditions for harmonious</w:t>
      </w:r>
      <w:r w:rsidR="00A16079">
        <w:t xml:space="preserve">, </w:t>
      </w:r>
      <w:r w:rsidRPr="00AF0164">
        <w:t>more inclusive development is essential for transformation. UNDP will contribute by strengthening the capacities of national institutions mandated to lead decentralization, such as the Ministry of Decentrali</w:t>
      </w:r>
      <w:r w:rsidR="00A16079">
        <w:t>z</w:t>
      </w:r>
      <w:r w:rsidRPr="00AF0164">
        <w:t>ation and Local Development (MINDDEVEL)</w:t>
      </w:r>
      <w:r w:rsidR="00D27753" w:rsidRPr="00AF0164">
        <w:t xml:space="preserve"> and</w:t>
      </w:r>
      <w:r w:rsidRPr="00AF0164">
        <w:t xml:space="preserve"> </w:t>
      </w:r>
      <w:r w:rsidR="00A16079">
        <w:t xml:space="preserve">the </w:t>
      </w:r>
      <w:r w:rsidRPr="00AF0164">
        <w:t xml:space="preserve">National Decentralization Council (NDC) and DTCs. UNDP will partner with the World Bank, AfDB, GIZ and </w:t>
      </w:r>
      <w:r w:rsidR="00A16079">
        <w:t xml:space="preserve">the </w:t>
      </w:r>
      <w:r w:rsidRPr="00AF0164">
        <w:t xml:space="preserve">French Development Agency (AFD) to support the Government </w:t>
      </w:r>
      <w:r w:rsidR="00A16079">
        <w:t xml:space="preserve">with </w:t>
      </w:r>
      <w:r w:rsidRPr="00AF0164">
        <w:t>resource mobilization, inclusive</w:t>
      </w:r>
      <w:r w:rsidR="00D27753" w:rsidRPr="00AF0164">
        <w:t xml:space="preserve"> and</w:t>
      </w:r>
      <w:r w:rsidRPr="00AF0164">
        <w:t xml:space="preserve"> participatory budgeting, and e-governance (dematerialization of services). UNDP will also partner with the National School of Local Administration (NASLA) to strengthen the capacities of DTCs.</w:t>
      </w:r>
    </w:p>
    <w:p w14:paraId="0A50285E" w14:textId="276B62F0" w:rsidR="00B04CA6" w:rsidRPr="00AF0164" w:rsidRDefault="00B04CA6" w:rsidP="009220DB">
      <w:pPr>
        <w:numPr>
          <w:ilvl w:val="0"/>
          <w:numId w:val="30"/>
        </w:numPr>
        <w:spacing w:after="120"/>
        <w:ind w:left="1080" w:right="1080" w:firstLine="0"/>
        <w:jc w:val="both"/>
        <w:rPr>
          <w:color w:val="0E101A"/>
        </w:rPr>
      </w:pPr>
      <w:r w:rsidRPr="00AF0164">
        <w:rPr>
          <w:color w:val="0E101A"/>
        </w:rPr>
        <w:t xml:space="preserve">UNDP will strengthen effective and inclusive decision-making processes focusing on youth, women and vulnerable </w:t>
      </w:r>
      <w:r w:rsidR="009257F0" w:rsidRPr="00AF0164">
        <w:rPr>
          <w:color w:val="0E101A"/>
        </w:rPr>
        <w:t>groups</w:t>
      </w:r>
      <w:r w:rsidRPr="00AF0164">
        <w:rPr>
          <w:color w:val="0E101A"/>
        </w:rPr>
        <w:t xml:space="preserve"> </w:t>
      </w:r>
      <w:r w:rsidR="00A16079">
        <w:rPr>
          <w:color w:val="0E101A"/>
        </w:rPr>
        <w:t xml:space="preserve">by </w:t>
      </w:r>
      <w:r w:rsidRPr="00AF0164">
        <w:rPr>
          <w:color w:val="0E101A"/>
        </w:rPr>
        <w:t xml:space="preserve">supporting initiatives </w:t>
      </w:r>
      <w:r w:rsidR="00A16079">
        <w:rPr>
          <w:color w:val="0E101A"/>
        </w:rPr>
        <w:t xml:space="preserve">for </w:t>
      </w:r>
      <w:r w:rsidRPr="00AF0164">
        <w:rPr>
          <w:color w:val="0E101A"/>
        </w:rPr>
        <w:t xml:space="preserve">citizen participation, human rights and the rule of law. The programme will establish multi-stakeholder consultation platforms </w:t>
      </w:r>
      <w:r w:rsidR="00A16079">
        <w:rPr>
          <w:color w:val="0E101A"/>
        </w:rPr>
        <w:t xml:space="preserve">for the </w:t>
      </w:r>
      <w:r w:rsidRPr="00AF0164">
        <w:rPr>
          <w:color w:val="0E101A"/>
        </w:rPr>
        <w:t xml:space="preserve">NDS30 and </w:t>
      </w:r>
      <w:r w:rsidR="00A16079">
        <w:rPr>
          <w:color w:val="0E101A"/>
        </w:rPr>
        <w:t xml:space="preserve">the </w:t>
      </w:r>
      <w:r w:rsidRPr="00AF0164">
        <w:rPr>
          <w:color w:val="0E101A"/>
        </w:rPr>
        <w:t xml:space="preserve">SDGs within the </w:t>
      </w:r>
      <w:r w:rsidR="00A16079">
        <w:rPr>
          <w:color w:val="0E101A"/>
        </w:rPr>
        <w:t>INFF</w:t>
      </w:r>
      <w:r w:rsidR="000A701E">
        <w:rPr>
          <w:color w:val="0E101A"/>
        </w:rPr>
        <w:t>s</w:t>
      </w:r>
      <w:r w:rsidRPr="00AF0164">
        <w:rPr>
          <w:color w:val="0E101A"/>
        </w:rPr>
        <w:t>. Moreover, UNDP will strengthen the capacity of local governments and citizens to anticipate and respond to endogenous and exogenous shocks, make efficient use of resources/skills transfers, and strengthen the legal and institutional environment for citizens</w:t>
      </w:r>
      <w:r w:rsidR="00A16079">
        <w:rPr>
          <w:color w:val="0E101A"/>
        </w:rPr>
        <w:t>’</w:t>
      </w:r>
      <w:r w:rsidRPr="00AF0164">
        <w:rPr>
          <w:color w:val="0E101A"/>
        </w:rPr>
        <w:t xml:space="preserve"> participation</w:t>
      </w:r>
      <w:r w:rsidR="00E731B5" w:rsidRPr="00AF0164">
        <w:rPr>
          <w:color w:val="0E101A"/>
        </w:rPr>
        <w:t xml:space="preserve"> and </w:t>
      </w:r>
      <w:r w:rsidRPr="00AF0164">
        <w:rPr>
          <w:color w:val="0E101A"/>
        </w:rPr>
        <w:t>enjoyment of rights. </w:t>
      </w:r>
    </w:p>
    <w:p w14:paraId="3D0F17E3" w14:textId="2534DA0E" w:rsidR="00227390" w:rsidRDefault="000F2B18" w:rsidP="00DE5C60">
      <w:pPr>
        <w:pStyle w:val="ListParagraph"/>
        <w:numPr>
          <w:ilvl w:val="0"/>
          <w:numId w:val="30"/>
        </w:numPr>
        <w:spacing w:after="120"/>
        <w:ind w:left="1077" w:right="1077" w:firstLine="0"/>
        <w:jc w:val="both"/>
      </w:pPr>
      <w:r w:rsidRPr="00F229C2">
        <w:rPr>
          <w:color w:val="0E101A"/>
        </w:rPr>
        <w:t xml:space="preserve">UNDP will accompany the Government in </w:t>
      </w:r>
      <w:r w:rsidR="00A16079" w:rsidRPr="00F229C2">
        <w:rPr>
          <w:color w:val="0E101A"/>
        </w:rPr>
        <w:t>p</w:t>
      </w:r>
      <w:r w:rsidRPr="00F229C2">
        <w:rPr>
          <w:color w:val="0E101A"/>
        </w:rPr>
        <w:t>eacebuilding, strengthening social cohesion and preventing violent extremis</w:t>
      </w:r>
      <w:r w:rsidR="00411603" w:rsidRPr="00F229C2">
        <w:rPr>
          <w:color w:val="0E101A"/>
        </w:rPr>
        <w:t xml:space="preserve">m in collaboration with the </w:t>
      </w:r>
      <w:r w:rsidR="000A701E">
        <w:rPr>
          <w:color w:val="0E101A"/>
        </w:rPr>
        <w:t>United Nations</w:t>
      </w:r>
      <w:r w:rsidR="00411603" w:rsidRPr="00F229C2">
        <w:rPr>
          <w:color w:val="0E101A"/>
        </w:rPr>
        <w:t xml:space="preserve"> system </w:t>
      </w:r>
      <w:r w:rsidR="004854F3" w:rsidRPr="00F229C2">
        <w:rPr>
          <w:color w:val="0E101A"/>
        </w:rPr>
        <w:t>(</w:t>
      </w:r>
      <w:r w:rsidR="00993B7E" w:rsidRPr="00F229C2">
        <w:rPr>
          <w:color w:val="0E101A"/>
        </w:rPr>
        <w:t>UNFPA</w:t>
      </w:r>
      <w:r w:rsidR="00411603" w:rsidRPr="00F229C2">
        <w:rPr>
          <w:color w:val="0E101A"/>
        </w:rPr>
        <w:t>, UNESCO and UN</w:t>
      </w:r>
      <w:r w:rsidR="00A16079" w:rsidRPr="00F229C2">
        <w:rPr>
          <w:color w:val="0E101A"/>
        </w:rPr>
        <w:t>-</w:t>
      </w:r>
      <w:r w:rsidR="00411603" w:rsidRPr="00F229C2">
        <w:rPr>
          <w:color w:val="0E101A"/>
        </w:rPr>
        <w:t>Women</w:t>
      </w:r>
      <w:r w:rsidR="00B15EE9" w:rsidRPr="00F229C2">
        <w:rPr>
          <w:color w:val="0E101A"/>
        </w:rPr>
        <w:t>)</w:t>
      </w:r>
      <w:r w:rsidR="00411603" w:rsidRPr="00F229C2">
        <w:rPr>
          <w:color w:val="0E101A"/>
        </w:rPr>
        <w:t xml:space="preserve">. </w:t>
      </w:r>
      <w:r w:rsidRPr="00F229C2">
        <w:rPr>
          <w:color w:val="0E101A"/>
        </w:rPr>
        <w:t xml:space="preserve"> To address</w:t>
      </w:r>
      <w:r w:rsidRPr="00DE5C60">
        <w:rPr>
          <w:color w:val="0E101A"/>
        </w:rPr>
        <w:t xml:space="preserve"> effects of fragility in the </w:t>
      </w:r>
      <w:r w:rsidR="00A16079" w:rsidRPr="00DE5C60">
        <w:rPr>
          <w:color w:val="0E101A"/>
        </w:rPr>
        <w:t>f</w:t>
      </w:r>
      <w:r w:rsidRPr="00DE5C60">
        <w:rPr>
          <w:color w:val="0E101A"/>
        </w:rPr>
        <w:t>ar</w:t>
      </w:r>
      <w:r w:rsidR="00D5130A" w:rsidRPr="00DE5C60">
        <w:rPr>
          <w:color w:val="0E101A"/>
        </w:rPr>
        <w:t>-</w:t>
      </w:r>
      <w:r w:rsidR="00A16079" w:rsidRPr="00DE5C60">
        <w:rPr>
          <w:color w:val="0E101A"/>
        </w:rPr>
        <w:t>n</w:t>
      </w:r>
      <w:r w:rsidRPr="00DE5C60">
        <w:rPr>
          <w:color w:val="0E101A"/>
        </w:rPr>
        <w:t xml:space="preserve">orth, </w:t>
      </w:r>
      <w:r w:rsidR="00A16079" w:rsidRPr="00DE5C60">
        <w:rPr>
          <w:color w:val="0E101A"/>
        </w:rPr>
        <w:t>n</w:t>
      </w:r>
      <w:r w:rsidRPr="00DE5C60">
        <w:rPr>
          <w:color w:val="0E101A"/>
        </w:rPr>
        <w:t>orth-</w:t>
      </w:r>
      <w:r w:rsidR="00A16079" w:rsidRPr="00DE5C60">
        <w:rPr>
          <w:color w:val="0E101A"/>
        </w:rPr>
        <w:t>w</w:t>
      </w:r>
      <w:r w:rsidRPr="00DE5C60">
        <w:rPr>
          <w:color w:val="0E101A"/>
        </w:rPr>
        <w:t xml:space="preserve">est and </w:t>
      </w:r>
      <w:r w:rsidR="00A16079" w:rsidRPr="00DE5C60">
        <w:rPr>
          <w:color w:val="0E101A"/>
        </w:rPr>
        <w:t>s</w:t>
      </w:r>
      <w:r w:rsidRPr="00DE5C60">
        <w:rPr>
          <w:color w:val="0E101A"/>
        </w:rPr>
        <w:t>outh-</w:t>
      </w:r>
      <w:r w:rsidR="00A16079" w:rsidRPr="00DE5C60">
        <w:rPr>
          <w:color w:val="0E101A"/>
        </w:rPr>
        <w:t>w</w:t>
      </w:r>
      <w:r w:rsidRPr="00DE5C60">
        <w:rPr>
          <w:color w:val="0E101A"/>
        </w:rPr>
        <w:t xml:space="preserve">est regions, UNDP will implement stabilization and recovery </w:t>
      </w:r>
      <w:r w:rsidR="00411603" w:rsidRPr="00DE5C60">
        <w:rPr>
          <w:color w:val="0E101A"/>
        </w:rPr>
        <w:t xml:space="preserve">initiatives </w:t>
      </w:r>
      <w:r w:rsidRPr="00DE5C60">
        <w:rPr>
          <w:color w:val="0E101A"/>
        </w:rPr>
        <w:t xml:space="preserve">to strengthen social cohesion, </w:t>
      </w:r>
      <w:r w:rsidR="00411603" w:rsidRPr="00DE5C60">
        <w:rPr>
          <w:color w:val="0E101A"/>
        </w:rPr>
        <w:t xml:space="preserve">rehabilitate </w:t>
      </w:r>
      <w:r w:rsidRPr="00DE5C60">
        <w:rPr>
          <w:color w:val="0E101A"/>
        </w:rPr>
        <w:t xml:space="preserve">basic social services, and </w:t>
      </w:r>
      <w:r w:rsidR="00411603" w:rsidRPr="00DE5C60">
        <w:rPr>
          <w:color w:val="0E101A"/>
        </w:rPr>
        <w:t xml:space="preserve">revitalize the </w:t>
      </w:r>
      <w:r w:rsidRPr="00DE5C60">
        <w:rPr>
          <w:color w:val="0E101A"/>
        </w:rPr>
        <w:t xml:space="preserve">local economy </w:t>
      </w:r>
      <w:r w:rsidR="00737642" w:rsidRPr="00DE5C60">
        <w:rPr>
          <w:color w:val="0E101A"/>
        </w:rPr>
        <w:t>i</w:t>
      </w:r>
      <w:r w:rsidR="00EA5B92" w:rsidRPr="00DE5C60">
        <w:rPr>
          <w:color w:val="0E101A"/>
        </w:rPr>
        <w:t xml:space="preserve">n collaboration with </w:t>
      </w:r>
      <w:r w:rsidR="004131B9" w:rsidRPr="00DE5C60">
        <w:rPr>
          <w:color w:val="0E101A"/>
        </w:rPr>
        <w:t>Japan, Germany, France and United Kingdom</w:t>
      </w:r>
      <w:r w:rsidR="00737642" w:rsidRPr="00DE5C60">
        <w:rPr>
          <w:color w:val="0E101A"/>
        </w:rPr>
        <w:t>.</w:t>
      </w:r>
      <w:r w:rsidR="004131B9" w:rsidRPr="00DE5C60">
        <w:rPr>
          <w:color w:val="0E101A"/>
        </w:rPr>
        <w:t xml:space="preserve"> </w:t>
      </w:r>
      <w:r w:rsidRPr="00DE5C60">
        <w:rPr>
          <w:color w:val="0E101A"/>
        </w:rPr>
        <w:t xml:space="preserve">UNDP will deliver </w:t>
      </w:r>
      <w:r w:rsidR="008F76B3" w:rsidRPr="00DE5C60">
        <w:rPr>
          <w:color w:val="0E101A"/>
        </w:rPr>
        <w:t xml:space="preserve">the </w:t>
      </w:r>
      <w:r w:rsidR="00411603" w:rsidRPr="00DE5C60">
        <w:rPr>
          <w:color w:val="0E101A"/>
        </w:rPr>
        <w:t>initiatives following key</w:t>
      </w:r>
      <w:r w:rsidRPr="00DE5C60">
        <w:rPr>
          <w:color w:val="0E101A"/>
        </w:rPr>
        <w:t xml:space="preserve"> principles</w:t>
      </w:r>
      <w:r w:rsidR="00692F49" w:rsidRPr="00DE5C60">
        <w:rPr>
          <w:color w:val="0E101A"/>
        </w:rPr>
        <w:t xml:space="preserve">, </w:t>
      </w:r>
      <w:r w:rsidR="00411603" w:rsidRPr="00DE5C60">
        <w:rPr>
          <w:color w:val="0E101A"/>
        </w:rPr>
        <w:t>including</w:t>
      </w:r>
      <w:r w:rsidRPr="00DE5C60">
        <w:rPr>
          <w:color w:val="0E101A"/>
        </w:rPr>
        <w:t xml:space="preserve"> </w:t>
      </w:r>
      <w:r w:rsidR="00692F49" w:rsidRPr="00DE5C60">
        <w:rPr>
          <w:color w:val="0E101A"/>
        </w:rPr>
        <w:t xml:space="preserve">the </w:t>
      </w:r>
      <w:r w:rsidRPr="00DE5C60">
        <w:rPr>
          <w:color w:val="0E101A"/>
        </w:rPr>
        <w:t>human rights-based approach, a people-c</w:t>
      </w:r>
      <w:r w:rsidR="00692F49" w:rsidRPr="00DE5C60">
        <w:rPr>
          <w:color w:val="0E101A"/>
        </w:rPr>
        <w:t>e</w:t>
      </w:r>
      <w:r w:rsidRPr="00DE5C60">
        <w:rPr>
          <w:color w:val="0E101A"/>
        </w:rPr>
        <w:t xml:space="preserve">ntred approach based on vulnerability, local ownership, </w:t>
      </w:r>
      <w:r w:rsidR="00692F49" w:rsidRPr="00DE5C60">
        <w:rPr>
          <w:color w:val="0E101A"/>
        </w:rPr>
        <w:t>b</w:t>
      </w:r>
      <w:r w:rsidRPr="00DE5C60">
        <w:rPr>
          <w:color w:val="0E101A"/>
        </w:rPr>
        <w:t>uild</w:t>
      </w:r>
      <w:r w:rsidR="00692F49" w:rsidRPr="00DE5C60">
        <w:rPr>
          <w:color w:val="0E101A"/>
        </w:rPr>
        <w:t>ing</w:t>
      </w:r>
      <w:r w:rsidRPr="00DE5C60">
        <w:rPr>
          <w:color w:val="0E101A"/>
        </w:rPr>
        <w:t xml:space="preserve"> forward </w:t>
      </w:r>
      <w:r w:rsidR="00692F49" w:rsidRPr="00DE5C60">
        <w:rPr>
          <w:color w:val="0E101A"/>
        </w:rPr>
        <w:t>b</w:t>
      </w:r>
      <w:r w:rsidRPr="00DE5C60">
        <w:rPr>
          <w:color w:val="0E101A"/>
        </w:rPr>
        <w:t xml:space="preserve">etter, and </w:t>
      </w:r>
      <w:r w:rsidR="00692F49" w:rsidRPr="00DE5C60">
        <w:rPr>
          <w:color w:val="0E101A"/>
        </w:rPr>
        <w:t>doing</w:t>
      </w:r>
      <w:r w:rsidRPr="00DE5C60">
        <w:rPr>
          <w:color w:val="0E101A"/>
        </w:rPr>
        <w:t xml:space="preserve"> </w:t>
      </w:r>
      <w:r w:rsidR="00692F49" w:rsidRPr="00DE5C60">
        <w:rPr>
          <w:color w:val="0E101A"/>
        </w:rPr>
        <w:t>no</w:t>
      </w:r>
      <w:r w:rsidRPr="00DE5C60">
        <w:rPr>
          <w:color w:val="0E101A"/>
        </w:rPr>
        <w:t xml:space="preserve"> </w:t>
      </w:r>
      <w:r w:rsidR="00692F49" w:rsidRPr="00DE5C60">
        <w:rPr>
          <w:color w:val="0E101A"/>
        </w:rPr>
        <w:t>h</w:t>
      </w:r>
      <w:r w:rsidRPr="00DE5C60">
        <w:rPr>
          <w:color w:val="0E101A"/>
        </w:rPr>
        <w:t xml:space="preserve">arm. UNDP will work with </w:t>
      </w:r>
      <w:r w:rsidR="00384BE5" w:rsidRPr="00DE5C60">
        <w:rPr>
          <w:color w:val="0E101A"/>
        </w:rPr>
        <w:t xml:space="preserve">the </w:t>
      </w:r>
      <w:r w:rsidR="00692F49" w:rsidRPr="00DE5C60">
        <w:rPr>
          <w:color w:val="0E101A"/>
        </w:rPr>
        <w:t xml:space="preserve">country team </w:t>
      </w:r>
      <w:r w:rsidRPr="00DE5C60">
        <w:rPr>
          <w:color w:val="0E101A"/>
        </w:rPr>
        <w:t>to ensure harmonious integration of the humanitarian</w:t>
      </w:r>
      <w:r w:rsidR="00692F49" w:rsidRPr="00DE5C60">
        <w:rPr>
          <w:color w:val="0E101A"/>
        </w:rPr>
        <w:t>-</w:t>
      </w:r>
      <w:r w:rsidRPr="00DE5C60">
        <w:rPr>
          <w:color w:val="0E101A"/>
        </w:rPr>
        <w:t>development</w:t>
      </w:r>
      <w:r w:rsidR="00692F49" w:rsidRPr="00DE5C60">
        <w:rPr>
          <w:color w:val="0E101A"/>
        </w:rPr>
        <w:t xml:space="preserve">-peace </w:t>
      </w:r>
      <w:r w:rsidRPr="00DE5C60">
        <w:rPr>
          <w:color w:val="0E101A"/>
        </w:rPr>
        <w:t>nexus with human security as the guiding thread. Furthermore, UNDP will promote a cross-border approach to ensure better integration and management of interventions in key target locations, mainly Lake Chad Basin</w:t>
      </w:r>
      <w:r w:rsidR="00692F49" w:rsidRPr="00DE5C60">
        <w:rPr>
          <w:color w:val="0E101A"/>
        </w:rPr>
        <w:t xml:space="preserve"> and the n</w:t>
      </w:r>
      <w:r w:rsidRPr="00DE5C60">
        <w:rPr>
          <w:color w:val="0E101A"/>
        </w:rPr>
        <w:t>orth-</w:t>
      </w:r>
      <w:r w:rsidR="00692F49" w:rsidRPr="00DE5C60">
        <w:rPr>
          <w:color w:val="0E101A"/>
        </w:rPr>
        <w:t>w</w:t>
      </w:r>
      <w:r w:rsidRPr="00DE5C60">
        <w:rPr>
          <w:color w:val="0E101A"/>
        </w:rPr>
        <w:t xml:space="preserve">est, </w:t>
      </w:r>
      <w:r w:rsidR="00692F49" w:rsidRPr="00DE5C60">
        <w:rPr>
          <w:color w:val="0E101A"/>
        </w:rPr>
        <w:t>s</w:t>
      </w:r>
      <w:r w:rsidRPr="00DE5C60">
        <w:rPr>
          <w:color w:val="0E101A"/>
        </w:rPr>
        <w:t>outh-</w:t>
      </w:r>
      <w:r w:rsidR="00692F49" w:rsidRPr="00DE5C60">
        <w:rPr>
          <w:color w:val="0E101A"/>
        </w:rPr>
        <w:t>w</w:t>
      </w:r>
      <w:r w:rsidRPr="00DE5C60">
        <w:rPr>
          <w:color w:val="0E101A"/>
        </w:rPr>
        <w:t xml:space="preserve">est and </w:t>
      </w:r>
      <w:r w:rsidR="00692F49" w:rsidRPr="00DE5C60">
        <w:rPr>
          <w:color w:val="0E101A"/>
        </w:rPr>
        <w:t>e</w:t>
      </w:r>
      <w:r w:rsidRPr="00DE5C60">
        <w:rPr>
          <w:color w:val="0E101A"/>
        </w:rPr>
        <w:t xml:space="preserve">ast </w:t>
      </w:r>
      <w:r w:rsidR="00692F49" w:rsidRPr="00DE5C60">
        <w:rPr>
          <w:color w:val="0E101A"/>
        </w:rPr>
        <w:t>r</w:t>
      </w:r>
      <w:r w:rsidRPr="00DE5C60">
        <w:rPr>
          <w:color w:val="0E101A"/>
        </w:rPr>
        <w:t xml:space="preserve">egions. </w:t>
      </w:r>
      <w:r w:rsidR="002524AB" w:rsidRPr="00DE5C60">
        <w:rPr>
          <w:color w:val="0E101A"/>
        </w:rPr>
        <w:t xml:space="preserve">UNDP will closely collaborate with </w:t>
      </w:r>
      <w:r w:rsidR="006E2346" w:rsidRPr="00DE5C60">
        <w:rPr>
          <w:color w:val="0E101A"/>
        </w:rPr>
        <w:t xml:space="preserve">neighbouring countries’ </w:t>
      </w:r>
      <w:r w:rsidR="002524AB" w:rsidRPr="00DE5C60">
        <w:rPr>
          <w:color w:val="0E101A"/>
        </w:rPr>
        <w:t xml:space="preserve">relevant institutions and stakeholders, </w:t>
      </w:r>
      <w:r w:rsidR="000A701E">
        <w:rPr>
          <w:color w:val="0E101A"/>
        </w:rPr>
        <w:t xml:space="preserve">and </w:t>
      </w:r>
      <w:r w:rsidR="002524AB" w:rsidRPr="00DE5C60">
        <w:rPr>
          <w:color w:val="0E101A"/>
        </w:rPr>
        <w:t xml:space="preserve">with other UNDP </w:t>
      </w:r>
      <w:r w:rsidR="000A701E">
        <w:rPr>
          <w:color w:val="0E101A"/>
        </w:rPr>
        <w:t>c</w:t>
      </w:r>
      <w:r w:rsidR="002524AB" w:rsidRPr="00DE5C60">
        <w:rPr>
          <w:color w:val="0E101A"/>
        </w:rPr>
        <w:t xml:space="preserve">ountry </w:t>
      </w:r>
      <w:r w:rsidR="000A701E">
        <w:rPr>
          <w:color w:val="0E101A"/>
        </w:rPr>
        <w:t>o</w:t>
      </w:r>
      <w:r w:rsidR="002524AB" w:rsidRPr="00DE5C60">
        <w:rPr>
          <w:color w:val="0E101A"/>
        </w:rPr>
        <w:t xml:space="preserve">ffices involved. </w:t>
      </w:r>
      <w:r w:rsidRPr="00DE5C60">
        <w:rPr>
          <w:color w:val="0E101A"/>
        </w:rPr>
        <w:t>Cross-border interventions will focus on capacity building of national and community entities on conflict prevention, early warning, inclusive dialogue, mediation and reconciliation with increased participation of women and youth. UNDP will also contribute to strengthening national human rights mechanisms, capacities</w:t>
      </w:r>
      <w:r w:rsidRPr="00AF0164">
        <w:t xml:space="preserve"> of law enforcement officers</w:t>
      </w:r>
      <w:r w:rsidR="00DC2941" w:rsidRPr="00AF0164">
        <w:t xml:space="preserve">, </w:t>
      </w:r>
      <w:r w:rsidR="004454CC" w:rsidRPr="00AF0164">
        <w:t xml:space="preserve">and accountability </w:t>
      </w:r>
      <w:r w:rsidR="00DC2941" w:rsidRPr="00AF0164">
        <w:t>institutions</w:t>
      </w:r>
      <w:r w:rsidRPr="00AF0164">
        <w:t xml:space="preserve">. </w:t>
      </w:r>
    </w:p>
    <w:p w14:paraId="34CD8FF2" w14:textId="20B6ABBB" w:rsidR="00EC0088" w:rsidRPr="00AF0164" w:rsidRDefault="00EC0088" w:rsidP="002B7881">
      <w:pPr>
        <w:spacing w:after="120"/>
        <w:ind w:left="1080" w:right="1077"/>
        <w:jc w:val="both"/>
        <w:rPr>
          <w:b/>
          <w:bCs/>
          <w:i/>
          <w:iCs/>
        </w:rPr>
      </w:pPr>
      <w:r w:rsidRPr="00FB3A50">
        <w:rPr>
          <w:b/>
          <w:bCs/>
        </w:rPr>
        <w:t>Environmental sustainability, climate risk and disaster management</w:t>
      </w:r>
    </w:p>
    <w:p w14:paraId="4D180EA8" w14:textId="4DAABF60" w:rsidR="00EC0088" w:rsidRPr="00AF0164" w:rsidRDefault="004E2FB9" w:rsidP="009220DB">
      <w:pPr>
        <w:pStyle w:val="ListParagraph"/>
        <w:numPr>
          <w:ilvl w:val="0"/>
          <w:numId w:val="30"/>
        </w:numPr>
        <w:spacing w:after="120"/>
        <w:ind w:left="1080" w:right="1080" w:firstLine="0"/>
        <w:jc w:val="both"/>
      </w:pPr>
      <w:r w:rsidRPr="00AF0164">
        <w:lastRenderedPageBreak/>
        <w:t xml:space="preserve">UNDP will strengthen the capacities of key actors to improve regulatory frameworks and access climate finance to implement the Paris Agreement and the Sendai Framework for Disaster Risk Reduction. UNDP support will focus on: </w:t>
      </w:r>
      <w:r w:rsidR="007B7A97">
        <w:t>(a</w:t>
      </w:r>
      <w:r w:rsidRPr="00AF0164">
        <w:t>) develop</w:t>
      </w:r>
      <w:r w:rsidR="007B7A97">
        <w:t xml:space="preserve">ing </w:t>
      </w:r>
      <w:r w:rsidRPr="00AF0164">
        <w:t xml:space="preserve">a national climate policy to address climate change challenges in an integrated manner through the formulation and early implementation of low carbon emission options resilient to climate shocks; and </w:t>
      </w:r>
      <w:r w:rsidR="007B7A97">
        <w:t>(b</w:t>
      </w:r>
      <w:r w:rsidRPr="00AF0164">
        <w:t>) adopti</w:t>
      </w:r>
      <w:r w:rsidR="007B7A97">
        <w:t>ng</w:t>
      </w:r>
      <w:r w:rsidRPr="00AF0164">
        <w:t xml:space="preserve"> a national framework </w:t>
      </w:r>
      <w:r w:rsidR="007B7A97">
        <w:t xml:space="preserve">for </w:t>
      </w:r>
      <w:r w:rsidRPr="00AF0164">
        <w:t xml:space="preserve">climate finance, integrating requirements and obstacles to the effective use of climate finance. UNDP will </w:t>
      </w:r>
      <w:r w:rsidR="00E731B5" w:rsidRPr="00AF0164">
        <w:t>forge</w:t>
      </w:r>
      <w:r w:rsidRPr="00AF0164">
        <w:t xml:space="preserve"> partnership</w:t>
      </w:r>
      <w:r w:rsidR="007B7A97">
        <w:t>s</w:t>
      </w:r>
      <w:r w:rsidRPr="00AF0164">
        <w:t xml:space="preserve"> with the Green Climate Fund (GCF) and the United Nations Forum on Forests (UNFF).</w:t>
      </w:r>
    </w:p>
    <w:p w14:paraId="3C069540" w14:textId="06AE0C37" w:rsidR="001135D7" w:rsidRPr="00AF0164" w:rsidRDefault="001135D7" w:rsidP="009220DB">
      <w:pPr>
        <w:pStyle w:val="ListParagraph"/>
        <w:numPr>
          <w:ilvl w:val="0"/>
          <w:numId w:val="30"/>
        </w:numPr>
        <w:spacing w:after="120"/>
        <w:ind w:left="1080" w:right="1080" w:firstLine="0"/>
        <w:jc w:val="both"/>
      </w:pPr>
      <w:r w:rsidRPr="00AF0164">
        <w:t xml:space="preserve">Within the context of environmental fragility related to climate change and increasing pressures on natural resources, UNDP will support initiatives that build the resilience of populations to adverse effects of climate change and natural disasters </w:t>
      </w:r>
      <w:r w:rsidR="000A701E">
        <w:t xml:space="preserve">by </w:t>
      </w:r>
      <w:r w:rsidRPr="00AF0164">
        <w:t>implementing techniques for adaptation, mitigation (renewable energy, agroforestry practices) and natural disaster</w:t>
      </w:r>
      <w:r w:rsidR="00AB150B">
        <w:t xml:space="preserve"> </w:t>
      </w:r>
      <w:r w:rsidRPr="00AF0164">
        <w:t>risk management. UNDP will support the promotion of value-added techniques to climate change adaptation and mitigation and the development of tools to manage natural disaster risks for DTCs. UNDP will forge partnership</w:t>
      </w:r>
      <w:r w:rsidR="009462CA" w:rsidRPr="00AF0164">
        <w:t>s</w:t>
      </w:r>
      <w:r w:rsidRPr="00AF0164">
        <w:t xml:space="preserve"> with </w:t>
      </w:r>
      <w:r w:rsidR="00AB150B">
        <w:t>international financial institutions (</w:t>
      </w:r>
      <w:r w:rsidRPr="00AF0164">
        <w:t>IFIs</w:t>
      </w:r>
      <w:r w:rsidR="00AB150B">
        <w:t>)</w:t>
      </w:r>
      <w:r w:rsidRPr="00AF0164">
        <w:t>, FAO and UNESCO to contribute to these results.</w:t>
      </w:r>
    </w:p>
    <w:p w14:paraId="29B114D7" w14:textId="5E1743A4" w:rsidR="009462CA" w:rsidRPr="00AF0164" w:rsidRDefault="009462CA" w:rsidP="009220DB">
      <w:pPr>
        <w:pStyle w:val="ListParagraph"/>
        <w:numPr>
          <w:ilvl w:val="0"/>
          <w:numId w:val="30"/>
        </w:numPr>
        <w:spacing w:after="120"/>
        <w:ind w:left="1080" w:right="1080" w:firstLine="0"/>
        <w:jc w:val="both"/>
      </w:pPr>
      <w:r w:rsidRPr="00AF0164">
        <w:t xml:space="preserve">Effective institutions are critical for driving sustainable development. UNDP will strengthen key institutions </w:t>
      </w:r>
      <w:r w:rsidR="00DD39E9">
        <w:t>capacities</w:t>
      </w:r>
      <w:r w:rsidR="000A701E">
        <w:t>,</w:t>
      </w:r>
      <w:r w:rsidR="00DD39E9">
        <w:t xml:space="preserve"> </w:t>
      </w:r>
      <w:r w:rsidR="00EE17F3" w:rsidRPr="00AF0164">
        <w:t>includ</w:t>
      </w:r>
      <w:r w:rsidR="00EE17F3">
        <w:t>ing</w:t>
      </w:r>
      <w:r w:rsidR="00EE17F3" w:rsidRPr="00AF0164">
        <w:t xml:space="preserve"> </w:t>
      </w:r>
      <w:r w:rsidRPr="00AF0164">
        <w:t>assess</w:t>
      </w:r>
      <w:r w:rsidR="000A701E">
        <w:t xml:space="preserve">ing </w:t>
      </w:r>
      <w:r w:rsidRPr="00AF0164">
        <w:t>economic costs of action and inaction related to climate change and natural disasters and links to</w:t>
      </w:r>
      <w:r w:rsidR="00AB150B">
        <w:t>: (a</w:t>
      </w:r>
      <w:r w:rsidRPr="00AF0164">
        <w:t>)</w:t>
      </w:r>
      <w:r w:rsidR="00AB150B">
        <w:t> </w:t>
      </w:r>
      <w:r w:rsidRPr="00AF0164">
        <w:t xml:space="preserve">development of integrated climate/economic models and predictions, </w:t>
      </w:r>
      <w:r w:rsidR="00AB150B">
        <w:t xml:space="preserve">and </w:t>
      </w:r>
      <w:r w:rsidRPr="00AF0164">
        <w:t xml:space="preserve">formulation of resilient sectoral policies; </w:t>
      </w:r>
      <w:r w:rsidR="00AB150B">
        <w:t>(b</w:t>
      </w:r>
      <w:r w:rsidRPr="00AF0164">
        <w:t xml:space="preserve">) monitoring and forecasting changes in conditions causing floods, droughts and associated impacts; and </w:t>
      </w:r>
      <w:r w:rsidR="00AB150B">
        <w:t>(c</w:t>
      </w:r>
      <w:r w:rsidRPr="00AF0164">
        <w:t>) strengthening the national climate services framework.</w:t>
      </w:r>
    </w:p>
    <w:p w14:paraId="6A7AF5BD" w14:textId="4AACFD33" w:rsidR="008B1F40" w:rsidRPr="00AF0164" w:rsidRDefault="008B1F40" w:rsidP="00237420">
      <w:pPr>
        <w:pStyle w:val="ListParagraph"/>
        <w:numPr>
          <w:ilvl w:val="0"/>
          <w:numId w:val="30"/>
        </w:numPr>
        <w:spacing w:after="200"/>
        <w:ind w:left="1080" w:right="1080" w:firstLine="0"/>
        <w:jc w:val="both"/>
        <w:rPr>
          <w:color w:val="0E101A"/>
        </w:rPr>
      </w:pPr>
      <w:r w:rsidRPr="00AF0164">
        <w:rPr>
          <w:color w:val="0E101A"/>
        </w:rPr>
        <w:t xml:space="preserve">UNDP will support the Government in consolidating synergies and partnerships between actors to enable communities and DTCs in the </w:t>
      </w:r>
      <w:r w:rsidR="00AB150B">
        <w:rPr>
          <w:color w:val="0E101A"/>
        </w:rPr>
        <w:t>f</w:t>
      </w:r>
      <w:r w:rsidRPr="00AF0164">
        <w:rPr>
          <w:color w:val="0E101A"/>
        </w:rPr>
        <w:t>ar</w:t>
      </w:r>
      <w:r w:rsidR="00400182">
        <w:rPr>
          <w:color w:val="0E101A"/>
        </w:rPr>
        <w:t>-</w:t>
      </w:r>
      <w:r w:rsidR="00AB150B">
        <w:rPr>
          <w:color w:val="0E101A"/>
        </w:rPr>
        <w:t>n</w:t>
      </w:r>
      <w:r w:rsidRPr="00AF0164">
        <w:rPr>
          <w:color w:val="0E101A"/>
        </w:rPr>
        <w:t xml:space="preserve">orth regions for disaster preparedness, </w:t>
      </w:r>
      <w:r w:rsidR="00E731B5" w:rsidRPr="00AF0164">
        <w:rPr>
          <w:color w:val="0E101A"/>
        </w:rPr>
        <w:t>application of</w:t>
      </w:r>
      <w:r w:rsidRPr="00AF0164">
        <w:rPr>
          <w:color w:val="0E101A"/>
        </w:rPr>
        <w:t xml:space="preserve"> knowledge and innovation </w:t>
      </w:r>
      <w:r w:rsidR="00B90F64" w:rsidRPr="00AF0164">
        <w:rPr>
          <w:color w:val="0E101A"/>
        </w:rPr>
        <w:t>on</w:t>
      </w:r>
      <w:r w:rsidRPr="00AF0164">
        <w:rPr>
          <w:color w:val="0E101A"/>
        </w:rPr>
        <w:t xml:space="preserve"> environmental</w:t>
      </w:r>
      <w:r w:rsidR="00B90F64" w:rsidRPr="00AF0164">
        <w:rPr>
          <w:color w:val="0E101A"/>
        </w:rPr>
        <w:t xml:space="preserve"> management</w:t>
      </w:r>
      <w:r w:rsidRPr="00AF0164">
        <w:rPr>
          <w:color w:val="0E101A"/>
        </w:rPr>
        <w:t>, biodiversity and ecosystem services, and restoration of degraded land. This will be done</w:t>
      </w:r>
      <w:r w:rsidR="00AB150B">
        <w:rPr>
          <w:color w:val="0E101A"/>
        </w:rPr>
        <w:t xml:space="preserve"> by:</w:t>
      </w:r>
      <w:r w:rsidRPr="00AF0164">
        <w:rPr>
          <w:color w:val="0E101A"/>
        </w:rPr>
        <w:t xml:space="preserve"> </w:t>
      </w:r>
      <w:r w:rsidR="00AB150B">
        <w:rPr>
          <w:color w:val="0E101A"/>
        </w:rPr>
        <w:t>(a</w:t>
      </w:r>
      <w:r w:rsidRPr="00AF0164">
        <w:rPr>
          <w:color w:val="0E101A"/>
        </w:rPr>
        <w:t xml:space="preserve">) developing guidelines to capitalize on good practices, knowledge and innovation </w:t>
      </w:r>
      <w:r w:rsidR="00AB150B">
        <w:rPr>
          <w:color w:val="0E101A"/>
        </w:rPr>
        <w:t xml:space="preserve">to </w:t>
      </w:r>
      <w:r w:rsidRPr="00AF0164">
        <w:rPr>
          <w:color w:val="0E101A"/>
        </w:rPr>
        <w:t>improv</w:t>
      </w:r>
      <w:r w:rsidR="00AB150B">
        <w:rPr>
          <w:color w:val="0E101A"/>
        </w:rPr>
        <w:t>e</w:t>
      </w:r>
      <w:r w:rsidRPr="00AF0164">
        <w:rPr>
          <w:color w:val="0E101A"/>
        </w:rPr>
        <w:t xml:space="preserve"> mechanisms for valuing environmental services and ecosystems; and </w:t>
      </w:r>
      <w:r w:rsidR="00AB150B">
        <w:rPr>
          <w:color w:val="0E101A"/>
        </w:rPr>
        <w:t>(c</w:t>
      </w:r>
      <w:r w:rsidRPr="00AF0164">
        <w:rPr>
          <w:color w:val="0E101A"/>
        </w:rPr>
        <w:t>) supporting pilot DTCs to fight poverty through effective use of guidelines to promote environmental services, biodiversity and ecosystems.</w:t>
      </w:r>
    </w:p>
    <w:p w14:paraId="2C6F2F66" w14:textId="22FC4562" w:rsidR="00EC0088" w:rsidRPr="00AF0164" w:rsidRDefault="00EC0088" w:rsidP="00237420">
      <w:pPr>
        <w:pStyle w:val="ListParagraph"/>
        <w:numPr>
          <w:ilvl w:val="0"/>
          <w:numId w:val="33"/>
        </w:numPr>
        <w:tabs>
          <w:tab w:val="left" w:pos="1080"/>
        </w:tabs>
        <w:spacing w:after="200"/>
        <w:ind w:left="900" w:right="1080" w:hanging="270"/>
        <w:jc w:val="both"/>
        <w:rPr>
          <w:b/>
          <w:sz w:val="24"/>
          <w:szCs w:val="24"/>
        </w:rPr>
      </w:pPr>
      <w:r w:rsidRPr="00AF0164">
        <w:rPr>
          <w:b/>
          <w:sz w:val="24"/>
          <w:szCs w:val="24"/>
        </w:rPr>
        <w:t xml:space="preserve">Programme and </w:t>
      </w:r>
      <w:r w:rsidR="00237420" w:rsidRPr="00AF0164">
        <w:rPr>
          <w:b/>
          <w:sz w:val="24"/>
          <w:szCs w:val="24"/>
        </w:rPr>
        <w:t>r</w:t>
      </w:r>
      <w:r w:rsidRPr="00AF0164">
        <w:rPr>
          <w:b/>
          <w:sz w:val="24"/>
          <w:szCs w:val="24"/>
        </w:rPr>
        <w:t xml:space="preserve">isk </w:t>
      </w:r>
      <w:r w:rsidR="00237420" w:rsidRPr="00AF0164">
        <w:rPr>
          <w:b/>
          <w:sz w:val="24"/>
          <w:szCs w:val="24"/>
        </w:rPr>
        <w:t>m</w:t>
      </w:r>
      <w:r w:rsidRPr="00AF0164">
        <w:rPr>
          <w:b/>
          <w:sz w:val="24"/>
          <w:szCs w:val="24"/>
        </w:rPr>
        <w:t xml:space="preserve">anagement </w:t>
      </w:r>
    </w:p>
    <w:p w14:paraId="43F1E65B" w14:textId="3D8AC41E" w:rsidR="00003066" w:rsidRPr="00AF0164" w:rsidRDefault="00EC0088" w:rsidP="009220DB">
      <w:pPr>
        <w:numPr>
          <w:ilvl w:val="0"/>
          <w:numId w:val="30"/>
        </w:numPr>
        <w:spacing w:after="120"/>
        <w:ind w:left="1080" w:right="1080" w:firstLine="0"/>
        <w:jc w:val="both"/>
      </w:pPr>
      <w:r w:rsidRPr="00AF0164">
        <w:t xml:space="preserve">UNDP </w:t>
      </w:r>
      <w:r w:rsidR="00865C3E" w:rsidRPr="00AF0164">
        <w:t>will play an</w:t>
      </w:r>
      <w:r w:rsidRPr="00AF0164">
        <w:t xml:space="preserve"> integrator role within </w:t>
      </w:r>
      <w:r w:rsidR="000A701E">
        <w:t>United Nations</w:t>
      </w:r>
      <w:r w:rsidRPr="00AF0164">
        <w:t xml:space="preserve"> </w:t>
      </w:r>
      <w:r w:rsidR="00706F78">
        <w:t xml:space="preserve">system following </w:t>
      </w:r>
      <w:r w:rsidRPr="00AF0164">
        <w:t>the principles of Paris Declaration and Busan Partnership for Effective Development Cooperation.</w:t>
      </w:r>
      <w:r w:rsidR="002F7BC4" w:rsidRPr="00AF0164">
        <w:t xml:space="preserve"> </w:t>
      </w:r>
      <w:r w:rsidR="001370C1" w:rsidRPr="00AF0164">
        <w:t xml:space="preserve">UNDP </w:t>
      </w:r>
      <w:r w:rsidRPr="00AF0164">
        <w:t xml:space="preserve">will develop </w:t>
      </w:r>
      <w:r w:rsidR="000F2173" w:rsidRPr="00AF0164">
        <w:t xml:space="preserve">dialogue </w:t>
      </w:r>
      <w:r w:rsidRPr="00AF0164">
        <w:t xml:space="preserve">platforms for better coordination of the implementation of </w:t>
      </w:r>
      <w:r w:rsidR="00706F78">
        <w:t xml:space="preserve">the </w:t>
      </w:r>
      <w:r w:rsidRPr="00AF0164">
        <w:t xml:space="preserve">NDS30 and </w:t>
      </w:r>
      <w:r w:rsidR="00706F78">
        <w:t xml:space="preserve">the </w:t>
      </w:r>
      <w:r w:rsidRPr="00AF0164">
        <w:t>SDGs</w:t>
      </w:r>
      <w:r w:rsidR="001370C1" w:rsidRPr="00AF0164">
        <w:t xml:space="preserve"> in partnership with</w:t>
      </w:r>
      <w:r w:rsidR="00706F78">
        <w:t xml:space="preserve"> the country team</w:t>
      </w:r>
      <w:r w:rsidR="001370C1" w:rsidRPr="00AF0164">
        <w:t xml:space="preserve">, </w:t>
      </w:r>
      <w:r w:rsidR="00706F78">
        <w:t xml:space="preserve">the </w:t>
      </w:r>
      <w:r w:rsidR="001370C1" w:rsidRPr="00AF0164">
        <w:t>Government,</w:t>
      </w:r>
      <w:r w:rsidR="00FB3A50">
        <w:t xml:space="preserve"> technical and </w:t>
      </w:r>
      <w:r w:rsidR="00085DD3">
        <w:t xml:space="preserve">financial </w:t>
      </w:r>
      <w:r w:rsidR="00FB3A50">
        <w:t>partners</w:t>
      </w:r>
      <w:r w:rsidR="001370C1" w:rsidRPr="00AF0164">
        <w:t>, think</w:t>
      </w:r>
      <w:r w:rsidR="00706F78">
        <w:t>-</w:t>
      </w:r>
      <w:r w:rsidR="001370C1" w:rsidRPr="00AF0164">
        <w:t>tanks</w:t>
      </w:r>
      <w:r w:rsidR="00706F78">
        <w:t xml:space="preserve">, </w:t>
      </w:r>
      <w:r w:rsidR="001370C1" w:rsidRPr="00AF0164">
        <w:t xml:space="preserve">research institutions, IFIs and the private sector. </w:t>
      </w:r>
      <w:r w:rsidR="00C2594A" w:rsidRPr="00AF0164">
        <w:t xml:space="preserve">Partnerships will be promoted </w:t>
      </w:r>
      <w:r w:rsidRPr="00AF0164">
        <w:t>within the framework of South-South and triangular cooperation by strengthening the mobilization of development assistance and technical cooperation to tak</w:t>
      </w:r>
      <w:r w:rsidR="00B430BE">
        <w:t>e</w:t>
      </w:r>
      <w:r w:rsidRPr="00AF0164">
        <w:t xml:space="preserve"> advantage of A</w:t>
      </w:r>
      <w:r w:rsidR="003634FF" w:rsidRPr="00AF0164">
        <w:t>f</w:t>
      </w:r>
      <w:r w:rsidRPr="00AF0164">
        <w:t xml:space="preserve">CFTA.  </w:t>
      </w:r>
    </w:p>
    <w:p w14:paraId="299E83AB" w14:textId="37E056B8" w:rsidR="00EC0088" w:rsidRPr="00AF0164" w:rsidRDefault="00597762" w:rsidP="009220DB">
      <w:pPr>
        <w:pStyle w:val="ListParagraph"/>
        <w:numPr>
          <w:ilvl w:val="0"/>
          <w:numId w:val="30"/>
        </w:numPr>
        <w:spacing w:after="120"/>
        <w:ind w:left="1080" w:right="1080" w:firstLine="0"/>
        <w:jc w:val="both"/>
        <w:rPr>
          <w:iCs/>
        </w:rPr>
      </w:pPr>
      <w:r w:rsidRPr="00AF0164">
        <w:rPr>
          <w:iCs/>
        </w:rPr>
        <w:t xml:space="preserve">This </w:t>
      </w:r>
      <w:r w:rsidR="00B430BE">
        <w:rPr>
          <w:iCs/>
        </w:rPr>
        <w:t xml:space="preserve">CPD </w:t>
      </w:r>
      <w:r w:rsidRPr="00AF0164">
        <w:rPr>
          <w:iCs/>
        </w:rPr>
        <w:t>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B430BE">
        <w:rPr>
          <w:iCs/>
        </w:rPr>
        <w:t>s</w:t>
      </w:r>
      <w:r w:rsidRPr="00AF0164">
        <w:rPr>
          <w:iCs/>
        </w:rPr>
        <w:t xml:space="preserve"> levels with respect to country programmes is prescribed in the organization’s </w:t>
      </w:r>
      <w:r w:rsidR="00B430BE">
        <w:rPr>
          <w:iCs/>
        </w:rPr>
        <w:t>p</w:t>
      </w:r>
      <w:r w:rsidRPr="00AF0164">
        <w:rPr>
          <w:iCs/>
        </w:rPr>
        <w:t xml:space="preserve">rogramme and </w:t>
      </w:r>
      <w:r w:rsidR="00B430BE">
        <w:rPr>
          <w:iCs/>
        </w:rPr>
        <w:t>o</w:t>
      </w:r>
      <w:r w:rsidRPr="00AF0164">
        <w:rPr>
          <w:iCs/>
        </w:rPr>
        <w:t xml:space="preserve">perations </w:t>
      </w:r>
      <w:r w:rsidR="00B430BE">
        <w:rPr>
          <w:iCs/>
        </w:rPr>
        <w:t>p</w:t>
      </w:r>
      <w:r w:rsidRPr="00AF0164">
        <w:rPr>
          <w:iCs/>
        </w:rPr>
        <w:t xml:space="preserve">olicies and </w:t>
      </w:r>
      <w:r w:rsidR="00B430BE">
        <w:rPr>
          <w:iCs/>
        </w:rPr>
        <w:t>p</w:t>
      </w:r>
      <w:r w:rsidRPr="00AF0164">
        <w:rPr>
          <w:iCs/>
        </w:rPr>
        <w:t xml:space="preserve">rocedures and </w:t>
      </w:r>
      <w:r w:rsidR="00B430BE">
        <w:rPr>
          <w:iCs/>
        </w:rPr>
        <w:t>i</w:t>
      </w:r>
      <w:r w:rsidRPr="00AF0164">
        <w:rPr>
          <w:iCs/>
        </w:rPr>
        <w:t xml:space="preserve">nternal </w:t>
      </w:r>
      <w:r w:rsidR="00B430BE">
        <w:rPr>
          <w:iCs/>
        </w:rPr>
        <w:t>c</w:t>
      </w:r>
      <w:r w:rsidRPr="00AF0164">
        <w:rPr>
          <w:iCs/>
        </w:rPr>
        <w:t xml:space="preserve">ontrol </w:t>
      </w:r>
      <w:r w:rsidR="00B430BE">
        <w:rPr>
          <w:iCs/>
        </w:rPr>
        <w:t>f</w:t>
      </w:r>
      <w:r w:rsidRPr="00AF0164">
        <w:rPr>
          <w:iCs/>
        </w:rPr>
        <w:t>ramework.</w:t>
      </w:r>
    </w:p>
    <w:p w14:paraId="3EEB43A0" w14:textId="04871C54" w:rsidR="00597762" w:rsidRPr="00AF0164" w:rsidRDefault="00776281" w:rsidP="009220DB">
      <w:pPr>
        <w:pStyle w:val="ListParagraph"/>
        <w:numPr>
          <w:ilvl w:val="0"/>
          <w:numId w:val="30"/>
        </w:numPr>
        <w:spacing w:after="120"/>
        <w:ind w:left="1080" w:right="1080" w:firstLine="0"/>
        <w:jc w:val="both"/>
      </w:pPr>
      <w:r>
        <w:t xml:space="preserve">A </w:t>
      </w:r>
      <w:r w:rsidR="00597762" w:rsidRPr="00AF0164">
        <w:t xml:space="preserve">steering committee chaired by the Ministry of Economy, Planning and Regional Development (MINEPAT) </w:t>
      </w:r>
      <w:r>
        <w:t xml:space="preserve">will coordinate the programme </w:t>
      </w:r>
      <w:r w:rsidR="00597762" w:rsidRPr="00AF0164">
        <w:t xml:space="preserve">and bring together sectoral ministries and other stakeholders involved in programme implementation. The </w:t>
      </w:r>
      <w:r>
        <w:t>h</w:t>
      </w:r>
      <w:r w:rsidR="00597762" w:rsidRPr="00AF0164">
        <w:t xml:space="preserve">armonized </w:t>
      </w:r>
      <w:r>
        <w:t>a</w:t>
      </w:r>
      <w:r w:rsidR="00597762" w:rsidRPr="00AF0164">
        <w:t xml:space="preserve">pproach for </w:t>
      </w:r>
      <w:r>
        <w:t>c</w:t>
      </w:r>
      <w:r w:rsidR="00597762" w:rsidRPr="00AF0164">
        <w:t xml:space="preserve">ash </w:t>
      </w:r>
      <w:r>
        <w:t>t</w:t>
      </w:r>
      <w:r w:rsidR="00597762" w:rsidRPr="00AF0164">
        <w:t xml:space="preserve">ransfers </w:t>
      </w:r>
      <w:r w:rsidR="00A21BED">
        <w:t xml:space="preserve">(HACT) </w:t>
      </w:r>
      <w:r w:rsidR="00597762" w:rsidRPr="00AF0164">
        <w:t xml:space="preserve">will be used in a coordinated manner with other </w:t>
      </w:r>
      <w:r w:rsidR="000A701E">
        <w:t>United Nations</w:t>
      </w:r>
      <w:r w:rsidR="00597762" w:rsidRPr="00AF0164">
        <w:t xml:space="preserve"> </w:t>
      </w:r>
      <w:r w:rsidR="000A701E">
        <w:t xml:space="preserve">organizations </w:t>
      </w:r>
      <w:r w:rsidR="00597762" w:rsidRPr="00AF0164">
        <w:t>to strengthen national ownership. If necessary, national execution may be replaced by direct execution for all or part of the programme to allow a response to a case of force majeure.</w:t>
      </w:r>
    </w:p>
    <w:p w14:paraId="4807D7F9" w14:textId="64025993" w:rsidR="00EC0088" w:rsidRPr="00AF0164" w:rsidRDefault="00EC0088" w:rsidP="009220DB">
      <w:pPr>
        <w:pStyle w:val="ListParagraph"/>
        <w:numPr>
          <w:ilvl w:val="0"/>
          <w:numId w:val="30"/>
        </w:numPr>
        <w:spacing w:after="120"/>
        <w:ind w:left="1080" w:right="1080" w:firstLine="0"/>
        <w:jc w:val="both"/>
      </w:pPr>
      <w:r w:rsidRPr="00AF0164">
        <w:t xml:space="preserve">The office saw a sharp increase </w:t>
      </w:r>
      <w:r w:rsidR="00776281">
        <w:t xml:space="preserve">of 357 </w:t>
      </w:r>
      <w:r w:rsidR="000A701E">
        <w:t>per cent</w:t>
      </w:r>
      <w:r w:rsidR="00776281">
        <w:t xml:space="preserve"> </w:t>
      </w:r>
      <w:r w:rsidRPr="00AF0164">
        <w:t xml:space="preserve">in resources and </w:t>
      </w:r>
      <w:r w:rsidR="00776281">
        <w:t xml:space="preserve">273 </w:t>
      </w:r>
      <w:r w:rsidR="000A701E">
        <w:t>per cent</w:t>
      </w:r>
      <w:r w:rsidR="00776281">
        <w:t xml:space="preserve"> in </w:t>
      </w:r>
      <w:r w:rsidRPr="00AF0164">
        <w:t xml:space="preserve">delivery between 2018 and 2020 with the same </w:t>
      </w:r>
      <w:r w:rsidR="003634FF" w:rsidRPr="00AF0164">
        <w:t xml:space="preserve">staffing </w:t>
      </w:r>
      <w:r w:rsidRPr="00AF0164">
        <w:t xml:space="preserve">structure. The </w:t>
      </w:r>
      <w:r w:rsidR="00776281">
        <w:t xml:space="preserve">country office </w:t>
      </w:r>
      <w:r w:rsidRPr="00AF0164">
        <w:t xml:space="preserve">will </w:t>
      </w:r>
      <w:r w:rsidR="002B3A5D" w:rsidRPr="00AF0164">
        <w:t>review and adjust</w:t>
      </w:r>
      <w:r w:rsidRPr="00AF0164">
        <w:t xml:space="preserve"> its structure to create a nimble</w:t>
      </w:r>
      <w:r w:rsidR="00776281">
        <w:t xml:space="preserve">, </w:t>
      </w:r>
      <w:r w:rsidRPr="00AF0164">
        <w:t xml:space="preserve">effective set-up to respond to the </w:t>
      </w:r>
      <w:r w:rsidR="00776281">
        <w:t xml:space="preserve">country office’s </w:t>
      </w:r>
      <w:r w:rsidR="003634FF" w:rsidRPr="00AF0164">
        <w:t xml:space="preserve">increasing scope </w:t>
      </w:r>
      <w:r w:rsidR="003634FF" w:rsidRPr="00AF0164">
        <w:lastRenderedPageBreak/>
        <w:t xml:space="preserve">to address </w:t>
      </w:r>
      <w:r w:rsidRPr="00AF0164">
        <w:t xml:space="preserve">complex development needs in </w:t>
      </w:r>
      <w:r w:rsidR="002B3A5D" w:rsidRPr="00AF0164">
        <w:t>recovery</w:t>
      </w:r>
      <w:r w:rsidRPr="00AF0164">
        <w:t xml:space="preserve">, </w:t>
      </w:r>
      <w:r w:rsidR="00776281">
        <w:t>the h</w:t>
      </w:r>
      <w:r w:rsidRPr="00AF0164">
        <w:t>umanitarian-</w:t>
      </w:r>
      <w:r w:rsidR="00776281">
        <w:t>d</w:t>
      </w:r>
      <w:r w:rsidRPr="00AF0164">
        <w:t>evelopment</w:t>
      </w:r>
      <w:r w:rsidR="00776281">
        <w:t xml:space="preserve">-peace </w:t>
      </w:r>
      <w:r w:rsidRPr="00AF0164">
        <w:t xml:space="preserve">nexus, </w:t>
      </w:r>
      <w:r w:rsidR="00FA67DE" w:rsidRPr="00AF0164">
        <w:t xml:space="preserve">youth </w:t>
      </w:r>
      <w:r w:rsidRPr="00AF0164">
        <w:t xml:space="preserve">employment, </w:t>
      </w:r>
      <w:r w:rsidR="00EB4326">
        <w:t xml:space="preserve">and </w:t>
      </w:r>
      <w:r w:rsidR="007E2FC6" w:rsidRPr="00AF0164">
        <w:t xml:space="preserve">empowerment of </w:t>
      </w:r>
      <w:r w:rsidR="002B3A5D" w:rsidRPr="00AF0164">
        <w:t>women</w:t>
      </w:r>
      <w:r w:rsidRPr="00AF0164">
        <w:t>.</w:t>
      </w:r>
    </w:p>
    <w:p w14:paraId="4A508843" w14:textId="45A177DB" w:rsidR="00EC0088" w:rsidRPr="00AF0164" w:rsidRDefault="00EC0088" w:rsidP="009220DB">
      <w:pPr>
        <w:numPr>
          <w:ilvl w:val="0"/>
          <w:numId w:val="30"/>
        </w:numPr>
        <w:tabs>
          <w:tab w:val="left" w:pos="180"/>
        </w:tabs>
        <w:spacing w:after="120"/>
        <w:ind w:left="1080" w:right="1080" w:firstLine="0"/>
        <w:jc w:val="both"/>
      </w:pPr>
      <w:r w:rsidRPr="00AF0164">
        <w:t xml:space="preserve">The main programme implementation risks </w:t>
      </w:r>
      <w:r w:rsidR="00F26EF4">
        <w:t xml:space="preserve">are </w:t>
      </w:r>
      <w:r w:rsidRPr="00AF0164">
        <w:t>financial, environmental (floods, landslides, extreme heats, pollution</w:t>
      </w:r>
      <w:r w:rsidR="00F26EF4">
        <w:t>)</w:t>
      </w:r>
      <w:r w:rsidRPr="00AF0164">
        <w:t xml:space="preserve">, health (COVID-19 and other pandemic), </w:t>
      </w:r>
      <w:r w:rsidR="005D00D0" w:rsidRPr="00AF0164">
        <w:t xml:space="preserve">deterioration of </w:t>
      </w:r>
      <w:r w:rsidR="00C4047B" w:rsidRPr="00AF0164">
        <w:t xml:space="preserve">security and </w:t>
      </w:r>
      <w:r w:rsidR="005D00D0" w:rsidRPr="00AF0164">
        <w:t>socio</w:t>
      </w:r>
      <w:r w:rsidR="00C4047B" w:rsidRPr="00AF0164">
        <w:t>-</w:t>
      </w:r>
      <w:r w:rsidR="00AA588F" w:rsidRPr="00AF0164">
        <w:t xml:space="preserve">political </w:t>
      </w:r>
      <w:r w:rsidR="00DD630D" w:rsidRPr="00AF0164">
        <w:t xml:space="preserve">environment </w:t>
      </w:r>
      <w:r w:rsidR="00F26EF4">
        <w:t>(</w:t>
      </w:r>
      <w:r w:rsidR="00DD630D" w:rsidRPr="00AF0164">
        <w:t>especially</w:t>
      </w:r>
      <w:r w:rsidRPr="00AF0164">
        <w:t xml:space="preserve"> in the </w:t>
      </w:r>
      <w:r w:rsidR="00F26EF4">
        <w:t>f</w:t>
      </w:r>
      <w:r w:rsidRPr="00AF0164">
        <w:t>ar</w:t>
      </w:r>
      <w:r w:rsidR="009E4B84">
        <w:t>-</w:t>
      </w:r>
      <w:r w:rsidR="00F26EF4">
        <w:t>n</w:t>
      </w:r>
      <w:r w:rsidRPr="00AF0164">
        <w:t xml:space="preserve">orth, </w:t>
      </w:r>
      <w:r w:rsidR="00F26EF4">
        <w:t>n</w:t>
      </w:r>
      <w:r w:rsidRPr="00AF0164">
        <w:t>orth-</w:t>
      </w:r>
      <w:r w:rsidR="00F26EF4">
        <w:t>w</w:t>
      </w:r>
      <w:r w:rsidRPr="00AF0164">
        <w:t xml:space="preserve">est and </w:t>
      </w:r>
      <w:r w:rsidR="00F26EF4">
        <w:t>s</w:t>
      </w:r>
      <w:r w:rsidRPr="00AF0164">
        <w:t>outh-</w:t>
      </w:r>
      <w:r w:rsidR="00F26EF4">
        <w:t>w</w:t>
      </w:r>
      <w:r w:rsidRPr="00AF0164">
        <w:t xml:space="preserve">est </w:t>
      </w:r>
      <w:r w:rsidR="00DD630D" w:rsidRPr="00AF0164">
        <w:t>regions</w:t>
      </w:r>
      <w:r w:rsidR="00F26EF4">
        <w:t>)</w:t>
      </w:r>
      <w:r w:rsidR="00DD630D" w:rsidRPr="00AF0164">
        <w:t>, and</w:t>
      </w:r>
      <w:r w:rsidR="00E51FF2" w:rsidRPr="00AF0164">
        <w:t xml:space="preserve"> </w:t>
      </w:r>
      <w:r w:rsidR="00D531AF" w:rsidRPr="00AF0164">
        <w:t>slow implementation of institutional reforms</w:t>
      </w:r>
      <w:r w:rsidRPr="00AF0164">
        <w:t xml:space="preserve">. </w:t>
      </w:r>
      <w:r w:rsidR="00F26EF4">
        <w:t>F</w:t>
      </w:r>
      <w:r w:rsidRPr="00AF0164">
        <w:t>inancial risks relate, among other</w:t>
      </w:r>
      <w:r w:rsidR="00F169B5" w:rsidRPr="00AF0164">
        <w:t>s</w:t>
      </w:r>
      <w:r w:rsidRPr="00AF0164">
        <w:t xml:space="preserve">, to the </w:t>
      </w:r>
      <w:r w:rsidR="00F26EF4">
        <w:t xml:space="preserve">programme’s </w:t>
      </w:r>
      <w:r w:rsidRPr="00AF0164">
        <w:t xml:space="preserve">high </w:t>
      </w:r>
      <w:r w:rsidR="00D75A26" w:rsidRPr="00AF0164">
        <w:t xml:space="preserve">dependence </w:t>
      </w:r>
      <w:r w:rsidRPr="00AF0164">
        <w:t xml:space="preserve">on government </w:t>
      </w:r>
      <w:r w:rsidR="00DD630D" w:rsidRPr="00AF0164">
        <w:t>financing</w:t>
      </w:r>
      <w:r w:rsidRPr="00AF0164">
        <w:t xml:space="preserve">. </w:t>
      </w:r>
      <w:r w:rsidR="00596BA8" w:rsidRPr="00AF0164">
        <w:t xml:space="preserve">If </w:t>
      </w:r>
      <w:r w:rsidR="000A701E">
        <w:t xml:space="preserve">the </w:t>
      </w:r>
      <w:r w:rsidR="00596BA8" w:rsidRPr="00AF0164">
        <w:t xml:space="preserve">COVID-19 pandemic and its socioeconomic impacts </w:t>
      </w:r>
      <w:r w:rsidR="00E46C00" w:rsidRPr="00AF0164">
        <w:t>persist and growth stagnate</w:t>
      </w:r>
      <w:r w:rsidR="00D75A26" w:rsidRPr="00AF0164">
        <w:t>s</w:t>
      </w:r>
      <w:r w:rsidR="00E46C00" w:rsidRPr="00AF0164">
        <w:t xml:space="preserve">, the </w:t>
      </w:r>
      <w:r w:rsidR="00F26EF4">
        <w:t>G</w:t>
      </w:r>
      <w:r w:rsidR="00E46C00" w:rsidRPr="00AF0164">
        <w:t xml:space="preserve">overnment contribution to the country programme </w:t>
      </w:r>
      <w:r w:rsidR="00650AD4" w:rsidRPr="00AF0164">
        <w:t xml:space="preserve">might be affected. </w:t>
      </w:r>
      <w:r w:rsidRPr="00AF0164">
        <w:t xml:space="preserve">To </w:t>
      </w:r>
      <w:r w:rsidR="00D75A26" w:rsidRPr="00AF0164">
        <w:t xml:space="preserve">mitigate </w:t>
      </w:r>
      <w:r w:rsidRPr="00AF0164">
        <w:t xml:space="preserve">this trend, the </w:t>
      </w:r>
      <w:r w:rsidR="00F26EF4">
        <w:t xml:space="preserve">country </w:t>
      </w:r>
      <w:r w:rsidRPr="00AF0164">
        <w:t xml:space="preserve">office will diversify </w:t>
      </w:r>
      <w:r w:rsidR="00F26EF4">
        <w:t xml:space="preserve">its </w:t>
      </w:r>
      <w:r w:rsidRPr="00AF0164">
        <w:t>partnership</w:t>
      </w:r>
      <w:r w:rsidR="00F26EF4">
        <w:t>s</w:t>
      </w:r>
      <w:r w:rsidRPr="00AF0164">
        <w:t xml:space="preserve"> with development banks (I</w:t>
      </w:r>
      <w:r w:rsidR="00AB6B30">
        <w:t>s</w:t>
      </w:r>
      <w:r w:rsidRPr="00AF0164">
        <w:t xml:space="preserve">DB, World Bank, AfDB). The strategic partnership with </w:t>
      </w:r>
      <w:r w:rsidR="00F26EF4">
        <w:t xml:space="preserve">the </w:t>
      </w:r>
      <w:r w:rsidRPr="00AF0164">
        <w:t xml:space="preserve">Government will be strengthened to support </w:t>
      </w:r>
      <w:r w:rsidR="00F26EF4">
        <w:t xml:space="preserve">programme </w:t>
      </w:r>
      <w:r w:rsidRPr="00AF0164">
        <w:t xml:space="preserve">implementation </w:t>
      </w:r>
      <w:r w:rsidR="00271E3E" w:rsidRPr="00AF0164">
        <w:t xml:space="preserve">on </w:t>
      </w:r>
      <w:r w:rsidRPr="00AF0164">
        <w:t>recovery</w:t>
      </w:r>
      <w:r w:rsidR="00107743" w:rsidRPr="00AF0164">
        <w:t xml:space="preserve"> and</w:t>
      </w:r>
      <w:r w:rsidRPr="00AF0164">
        <w:t xml:space="preserve"> environment. </w:t>
      </w:r>
      <w:r w:rsidR="00D75A26" w:rsidRPr="00AF0164">
        <w:t>UNDP will develop a</w:t>
      </w:r>
      <w:r w:rsidR="00F049A8" w:rsidRPr="00AF0164">
        <w:t xml:space="preserve"> </w:t>
      </w:r>
      <w:r w:rsidRPr="00AF0164">
        <w:t xml:space="preserve">communication and partnership strategy </w:t>
      </w:r>
      <w:r w:rsidR="00D75A26" w:rsidRPr="00AF0164">
        <w:t xml:space="preserve">to diversify funding sources. </w:t>
      </w:r>
    </w:p>
    <w:p w14:paraId="559EFD88" w14:textId="49335470" w:rsidR="00EC0088" w:rsidRPr="00AF0164" w:rsidRDefault="00DD630D" w:rsidP="009220DB">
      <w:pPr>
        <w:numPr>
          <w:ilvl w:val="0"/>
          <w:numId w:val="30"/>
        </w:numPr>
        <w:spacing w:after="120"/>
        <w:ind w:left="1080" w:right="1080" w:firstLine="0"/>
        <w:jc w:val="both"/>
      </w:pPr>
      <w:r w:rsidRPr="00AF0164">
        <w:t>To mitigate risks related to security and socio-political cris</w:t>
      </w:r>
      <w:r w:rsidR="005A3900">
        <w:t>e</w:t>
      </w:r>
      <w:r w:rsidRPr="00AF0164">
        <w:t xml:space="preserve">s, UNDP </w:t>
      </w:r>
      <w:r w:rsidR="0008601B" w:rsidRPr="00AF0164">
        <w:t>will start</w:t>
      </w:r>
      <w:r w:rsidRPr="00AF0164">
        <w:t xml:space="preserve"> implementation in stable areas, monitor </w:t>
      </w:r>
      <w:r w:rsidR="00CF2667" w:rsidRPr="00AF0164">
        <w:t>progress</w:t>
      </w:r>
      <w:r w:rsidRPr="00AF0164">
        <w:t xml:space="preserve"> through established risk mitigation mechanisms, and scale up gradually. </w:t>
      </w:r>
      <w:r w:rsidR="00EC0088" w:rsidRPr="00AF0164">
        <w:t xml:space="preserve">The programme will rely on </w:t>
      </w:r>
      <w:r w:rsidR="005A3900">
        <w:t>‘</w:t>
      </w:r>
      <w:r w:rsidR="00EC0088" w:rsidRPr="00AF0164">
        <w:t>proof of concept</w:t>
      </w:r>
      <w:r w:rsidR="005A3900">
        <w:t>’</w:t>
      </w:r>
      <w:r w:rsidR="00EC0088" w:rsidRPr="00AF0164">
        <w:t xml:space="preserve"> in fragil</w:t>
      </w:r>
      <w:r w:rsidR="00C76964" w:rsidRPr="00AF0164">
        <w:t>e</w:t>
      </w:r>
      <w:r w:rsidR="00CF2667" w:rsidRPr="00AF0164">
        <w:t xml:space="preserve"> locations</w:t>
      </w:r>
      <w:r w:rsidR="00EC0088" w:rsidRPr="00AF0164">
        <w:t xml:space="preserve"> and systematically carry out conflict analysis prior to intervention.</w:t>
      </w:r>
      <w:r w:rsidR="00F03587" w:rsidRPr="00AF0164">
        <w:t xml:space="preserve"> </w:t>
      </w:r>
      <w:r w:rsidR="00AA5D80" w:rsidRPr="00AF0164">
        <w:t xml:space="preserve">UNDP will partner with </w:t>
      </w:r>
      <w:r w:rsidR="00F03587" w:rsidRPr="00AF0164">
        <w:t xml:space="preserve">local actors (CSOs/NGOs, faith-based organizations, DTCs) </w:t>
      </w:r>
      <w:r w:rsidR="00AA5D80" w:rsidRPr="00AF0164">
        <w:t>to mitigate security risks.</w:t>
      </w:r>
      <w:r w:rsidR="00EE7FA2" w:rsidRPr="00AF0164">
        <w:t xml:space="preserve"> </w:t>
      </w:r>
      <w:r w:rsidR="005F2952" w:rsidRPr="00AF0164">
        <w:t>Moreover, UNDP will mitigate the impact of environmental</w:t>
      </w:r>
      <w:r w:rsidR="00EC0088" w:rsidRPr="00AF0164">
        <w:t xml:space="preserve"> and social risks</w:t>
      </w:r>
      <w:r w:rsidR="005F2952" w:rsidRPr="00AF0164">
        <w:t xml:space="preserve"> </w:t>
      </w:r>
      <w:r w:rsidR="005A3900">
        <w:t xml:space="preserve">by </w:t>
      </w:r>
      <w:r w:rsidR="005F2952" w:rsidRPr="00AF0164">
        <w:t xml:space="preserve">systematically carrying out </w:t>
      </w:r>
      <w:r w:rsidR="005A3900">
        <w:t>h</w:t>
      </w:r>
      <w:r w:rsidR="005F2952" w:rsidRPr="00AF0164">
        <w:t>uman</w:t>
      </w:r>
      <w:r w:rsidR="005A3900">
        <w:t xml:space="preserve"> </w:t>
      </w:r>
      <w:r w:rsidR="00EC0088" w:rsidRPr="00AF0164">
        <w:t>right</w:t>
      </w:r>
      <w:r w:rsidR="005A3900">
        <w:t>s, d</w:t>
      </w:r>
      <w:r w:rsidR="00AA5D80" w:rsidRPr="00AF0164">
        <w:t xml:space="preserve">ue </w:t>
      </w:r>
      <w:r w:rsidR="005A3900">
        <w:t>d</w:t>
      </w:r>
      <w:r w:rsidR="00AA5D80" w:rsidRPr="00AF0164">
        <w:t>iligence</w:t>
      </w:r>
      <w:r w:rsidR="00EC0088" w:rsidRPr="00AF0164">
        <w:t xml:space="preserve"> and </w:t>
      </w:r>
      <w:r w:rsidR="005A3900">
        <w:t>s</w:t>
      </w:r>
      <w:r w:rsidR="00EC0088" w:rsidRPr="00AF0164">
        <w:t xml:space="preserve">ocial and </w:t>
      </w:r>
      <w:r w:rsidR="005A3900">
        <w:t>e</w:t>
      </w:r>
      <w:r w:rsidR="00EC0088" w:rsidRPr="00AF0164">
        <w:t>nvironmental</w:t>
      </w:r>
      <w:r w:rsidR="005F2952" w:rsidRPr="00AF0164">
        <w:t xml:space="preserve"> </w:t>
      </w:r>
      <w:r w:rsidR="005A3900">
        <w:t>s</w:t>
      </w:r>
      <w:r w:rsidR="005F2952" w:rsidRPr="00AF0164">
        <w:t>tandard</w:t>
      </w:r>
      <w:r w:rsidR="00EC0088" w:rsidRPr="00AF0164">
        <w:t xml:space="preserve"> </w:t>
      </w:r>
      <w:r w:rsidR="005A3900">
        <w:t>a</w:t>
      </w:r>
      <w:r w:rsidR="00EC0088" w:rsidRPr="00AF0164">
        <w:t xml:space="preserve">ssessments. </w:t>
      </w:r>
      <w:r w:rsidR="00683BEC" w:rsidRPr="00AF0164">
        <w:t xml:space="preserve">To </w:t>
      </w:r>
      <w:r w:rsidR="00163154" w:rsidRPr="00AF0164">
        <w:t xml:space="preserve">accelerate institutional reforms </w:t>
      </w:r>
      <w:r w:rsidR="002F0B9E" w:rsidRPr="00AF0164">
        <w:t xml:space="preserve">through </w:t>
      </w:r>
      <w:r w:rsidR="00163154" w:rsidRPr="00AF0164">
        <w:t xml:space="preserve">decentralization, </w:t>
      </w:r>
      <w:r w:rsidR="002F0B9E" w:rsidRPr="00AF0164">
        <w:t xml:space="preserve">UNDP </w:t>
      </w:r>
      <w:r w:rsidR="00163154" w:rsidRPr="00AF0164">
        <w:t xml:space="preserve">will </w:t>
      </w:r>
      <w:r w:rsidR="002F0B9E" w:rsidRPr="00AF0164">
        <w:t xml:space="preserve">follow </w:t>
      </w:r>
      <w:r w:rsidR="00163154" w:rsidRPr="00AF0164">
        <w:t>a two-prong</w:t>
      </w:r>
      <w:r w:rsidR="005A3900">
        <w:t>ed</w:t>
      </w:r>
      <w:r w:rsidR="00163154" w:rsidRPr="00AF0164">
        <w:t xml:space="preserve"> approach</w:t>
      </w:r>
      <w:r w:rsidR="005A3900">
        <w:t xml:space="preserve">, </w:t>
      </w:r>
      <w:r w:rsidR="00163154" w:rsidRPr="00AF0164">
        <w:t>including</w:t>
      </w:r>
      <w:r w:rsidR="00F46737" w:rsidRPr="00AF0164">
        <w:t xml:space="preserve"> </w:t>
      </w:r>
      <w:r w:rsidR="00623B9A" w:rsidRPr="00AF0164">
        <w:t>promoting and sensitizing</w:t>
      </w:r>
      <w:r w:rsidR="00F46737" w:rsidRPr="00AF0164">
        <w:t xml:space="preserve"> </w:t>
      </w:r>
      <w:r w:rsidR="00D03C09" w:rsidRPr="00AF0164">
        <w:t>legislators</w:t>
      </w:r>
      <w:r w:rsidR="0070495A" w:rsidRPr="00AF0164">
        <w:t xml:space="preserve"> and</w:t>
      </w:r>
      <w:r w:rsidR="005B5ABB" w:rsidRPr="00AF0164">
        <w:t xml:space="preserve"> technical support t</w:t>
      </w:r>
      <w:r w:rsidR="00CF7C36" w:rsidRPr="00AF0164">
        <w:t>hrough the</w:t>
      </w:r>
      <w:r w:rsidR="005B5ABB" w:rsidRPr="00AF0164">
        <w:t xml:space="preserve"> decentrali</w:t>
      </w:r>
      <w:r w:rsidR="005A3900">
        <w:t>z</w:t>
      </w:r>
      <w:r w:rsidR="005B5ABB" w:rsidRPr="00AF0164">
        <w:t>ation project</w:t>
      </w:r>
      <w:r w:rsidR="00CF7C36" w:rsidRPr="00AF0164">
        <w:t>.</w:t>
      </w:r>
    </w:p>
    <w:p w14:paraId="419F8109" w14:textId="46187A64" w:rsidR="00EC0088" w:rsidRPr="00AF0164" w:rsidRDefault="00EC0088" w:rsidP="009220DB">
      <w:pPr>
        <w:numPr>
          <w:ilvl w:val="0"/>
          <w:numId w:val="30"/>
        </w:numPr>
        <w:spacing w:after="120"/>
        <w:ind w:left="1080" w:right="1080" w:firstLine="0"/>
        <w:jc w:val="both"/>
      </w:pPr>
      <w:r w:rsidRPr="00AF0164">
        <w:t>The programme will be regularly reviewed to minimize shocks due to COVID-19. Overall risk analysis will consider gende</w:t>
      </w:r>
      <w:r w:rsidR="00F03587" w:rsidRPr="00AF0164">
        <w:t>r and</w:t>
      </w:r>
      <w:r w:rsidRPr="00AF0164">
        <w:t xml:space="preserve"> community empowerment</w:t>
      </w:r>
      <w:r w:rsidR="009F1D0A">
        <w:t xml:space="preserve">, </w:t>
      </w:r>
      <w:r w:rsidRPr="00AF0164">
        <w:t xml:space="preserve">including youth and women participation, with continued emphasis on </w:t>
      </w:r>
      <w:r w:rsidR="003E3F44" w:rsidRPr="00AF0164">
        <w:t>applying</w:t>
      </w:r>
      <w:r w:rsidRPr="00AF0164">
        <w:t xml:space="preserve"> </w:t>
      </w:r>
      <w:r w:rsidR="009F1D0A">
        <w:t>l</w:t>
      </w:r>
      <w:r w:rsidRPr="00AF0164">
        <w:t xml:space="preserve">eaving no one behind to </w:t>
      </w:r>
      <w:r w:rsidR="00F03587" w:rsidRPr="00AF0164">
        <w:t>target</w:t>
      </w:r>
      <w:r w:rsidRPr="00AF0164">
        <w:t xml:space="preserve"> </w:t>
      </w:r>
      <w:r w:rsidR="009F1D0A">
        <w:t>p</w:t>
      </w:r>
      <w:r w:rsidRPr="00AF0164">
        <w:t xml:space="preserve">eople </w:t>
      </w:r>
      <w:r w:rsidR="009F1D0A">
        <w:t>l</w:t>
      </w:r>
      <w:r w:rsidRPr="00AF0164">
        <w:t xml:space="preserve">iving with </w:t>
      </w:r>
      <w:r w:rsidR="009F1D0A">
        <w:t>d</w:t>
      </w:r>
      <w:r w:rsidRPr="00AF0164">
        <w:t>isabilities and other vulnerable groups.</w:t>
      </w:r>
    </w:p>
    <w:p w14:paraId="107BC869" w14:textId="6139EA29" w:rsidR="00EC0088" w:rsidRPr="00AF0164" w:rsidRDefault="00EC0088" w:rsidP="00237420">
      <w:pPr>
        <w:pStyle w:val="ListParagraph"/>
        <w:numPr>
          <w:ilvl w:val="0"/>
          <w:numId w:val="33"/>
        </w:numPr>
        <w:tabs>
          <w:tab w:val="left" w:pos="180"/>
          <w:tab w:val="left" w:pos="360"/>
          <w:tab w:val="left" w:pos="540"/>
        </w:tabs>
        <w:spacing w:after="200"/>
        <w:ind w:left="1080" w:right="1080" w:hanging="450"/>
        <w:rPr>
          <w:b/>
          <w:bCs/>
          <w:sz w:val="24"/>
          <w:szCs w:val="24"/>
        </w:rPr>
      </w:pPr>
      <w:r w:rsidRPr="00AF0164">
        <w:rPr>
          <w:b/>
          <w:bCs/>
          <w:sz w:val="24"/>
          <w:szCs w:val="24"/>
        </w:rPr>
        <w:t>Monitoring and</w:t>
      </w:r>
      <w:r w:rsidR="00237420" w:rsidRPr="00AF0164">
        <w:rPr>
          <w:b/>
          <w:bCs/>
          <w:sz w:val="24"/>
          <w:szCs w:val="24"/>
        </w:rPr>
        <w:t xml:space="preserve"> e</w:t>
      </w:r>
      <w:r w:rsidRPr="00AF0164">
        <w:rPr>
          <w:b/>
          <w:bCs/>
          <w:sz w:val="24"/>
          <w:szCs w:val="24"/>
        </w:rPr>
        <w:t>valuation</w:t>
      </w:r>
    </w:p>
    <w:p w14:paraId="392F9BE8" w14:textId="513B2614" w:rsidR="00EC0088" w:rsidRPr="00AF0164" w:rsidRDefault="0059306D" w:rsidP="009220DB">
      <w:pPr>
        <w:numPr>
          <w:ilvl w:val="0"/>
          <w:numId w:val="30"/>
        </w:numPr>
        <w:spacing w:after="120"/>
        <w:ind w:left="1080" w:right="1080" w:firstLine="0"/>
        <w:jc w:val="both"/>
      </w:pPr>
      <w:r w:rsidRPr="00AF0164">
        <w:t xml:space="preserve">Within the </w:t>
      </w:r>
      <w:r w:rsidR="00EC0088" w:rsidRPr="00AF0164">
        <w:t>UNSDCF results and resources framework</w:t>
      </w:r>
      <w:r w:rsidRPr="00AF0164">
        <w:t xml:space="preserve">, </w:t>
      </w:r>
      <w:r w:rsidR="00EC0088" w:rsidRPr="00AF0164">
        <w:t xml:space="preserve">UNDP will rely primarily on the </w:t>
      </w:r>
      <w:r w:rsidR="00A21BED">
        <w:t>n</w:t>
      </w:r>
      <w:r w:rsidR="00EC0088" w:rsidRPr="00AF0164">
        <w:t xml:space="preserve">ational </w:t>
      </w:r>
      <w:r w:rsidR="00A21BED">
        <w:t>s</w:t>
      </w:r>
      <w:r w:rsidR="00EC0088" w:rsidRPr="00AF0164">
        <w:t xml:space="preserve">tatistical </w:t>
      </w:r>
      <w:r w:rsidR="00A21BED">
        <w:t>i</w:t>
      </w:r>
      <w:r w:rsidR="00EC0088" w:rsidRPr="00AF0164">
        <w:t xml:space="preserve">nformation </w:t>
      </w:r>
      <w:r w:rsidR="00A21BED">
        <w:t>s</w:t>
      </w:r>
      <w:r w:rsidR="00EC0088" w:rsidRPr="00AF0164">
        <w:t>ystem</w:t>
      </w:r>
      <w:r w:rsidR="00A21BED">
        <w:t xml:space="preserve"> </w:t>
      </w:r>
      <w:r w:rsidR="00EC0088" w:rsidRPr="00AF0164">
        <w:t xml:space="preserve">for the production, regular updating, and dissemination of essential statistics for monitoring CPD indicators, </w:t>
      </w:r>
      <w:r w:rsidR="000A701E">
        <w:t xml:space="preserve">and </w:t>
      </w:r>
      <w:r w:rsidR="00EC0088" w:rsidRPr="00AF0164">
        <w:t>develop</w:t>
      </w:r>
      <w:r w:rsidR="00A21BED">
        <w:t>ing</w:t>
      </w:r>
      <w:r w:rsidR="00EC0088" w:rsidRPr="00AF0164">
        <w:t xml:space="preserve"> new methodologies.</w:t>
      </w:r>
      <w:r w:rsidRPr="00AF0164">
        <w:t xml:space="preserve"> </w:t>
      </w:r>
      <w:r w:rsidR="00E42329" w:rsidRPr="00AF0164">
        <w:t xml:space="preserve">UNDP will support capacity building of </w:t>
      </w:r>
      <w:r w:rsidR="00A21BED">
        <w:t xml:space="preserve">the </w:t>
      </w:r>
      <w:r w:rsidR="001629AF">
        <w:t>National Institute of Statistics (</w:t>
      </w:r>
      <w:r w:rsidR="00EC0088" w:rsidRPr="00AF0164">
        <w:t>NIS</w:t>
      </w:r>
      <w:r w:rsidR="001629AF">
        <w:t>)</w:t>
      </w:r>
      <w:r w:rsidR="00EC0088" w:rsidRPr="00AF0164">
        <w:t xml:space="preserve">. </w:t>
      </w:r>
    </w:p>
    <w:p w14:paraId="3EF4C0AC" w14:textId="3CEC94AA" w:rsidR="00EC0088" w:rsidRPr="00AF0164" w:rsidRDefault="00EC0088" w:rsidP="009220DB">
      <w:pPr>
        <w:numPr>
          <w:ilvl w:val="0"/>
          <w:numId w:val="30"/>
        </w:numPr>
        <w:spacing w:after="120"/>
        <w:ind w:left="1080" w:right="1080" w:firstLine="0"/>
        <w:jc w:val="both"/>
      </w:pPr>
      <w:r w:rsidRPr="00AF0164">
        <w:t xml:space="preserve">Programme implementation will be monitored through coordination meetings, annual reviews and final evaluation of the programme organized jointly with MINEPAT. Quarterly quality assurance activities within the </w:t>
      </w:r>
      <w:r w:rsidR="001629AF">
        <w:t xml:space="preserve">HACT </w:t>
      </w:r>
      <w:r w:rsidRPr="00AF0164">
        <w:t>framework will strengthen joint monitoring of programme results. The Government and UNDP will experiment monitoring approaches by multi</w:t>
      </w:r>
      <w:r w:rsidR="006E552D" w:rsidRPr="00AF0164">
        <w:t>disciplinary</w:t>
      </w:r>
      <w:r w:rsidRPr="00AF0164">
        <w:t xml:space="preserve"> teams while ensuring involvement of beneficiaries </w:t>
      </w:r>
      <w:r w:rsidR="00722718" w:rsidRPr="00AF0164">
        <w:t xml:space="preserve">by fostering </w:t>
      </w:r>
      <w:r w:rsidR="0087701F" w:rsidRPr="00AF0164">
        <w:t>communit</w:t>
      </w:r>
      <w:r w:rsidR="006E552D" w:rsidRPr="00AF0164">
        <w:t>y</w:t>
      </w:r>
      <w:r w:rsidR="001629AF">
        <w:t>-</w:t>
      </w:r>
      <w:r w:rsidR="006E552D" w:rsidRPr="00AF0164">
        <w:t>level</w:t>
      </w:r>
      <w:r w:rsidR="0087701F" w:rsidRPr="00AF0164">
        <w:t xml:space="preserve"> feedback mechanism</w:t>
      </w:r>
      <w:r w:rsidR="001629AF">
        <w:t>s</w:t>
      </w:r>
      <w:r w:rsidR="0087701F" w:rsidRPr="00AF0164">
        <w:t xml:space="preserve"> </w:t>
      </w:r>
      <w:r w:rsidRPr="00AF0164">
        <w:t xml:space="preserve">to strengthen results-based management.   </w:t>
      </w:r>
    </w:p>
    <w:p w14:paraId="025B15AB" w14:textId="65309B7D" w:rsidR="00EC0088" w:rsidRPr="00AF0164" w:rsidRDefault="00EC0088" w:rsidP="009220DB">
      <w:pPr>
        <w:numPr>
          <w:ilvl w:val="0"/>
          <w:numId w:val="30"/>
        </w:numPr>
        <w:spacing w:after="120"/>
        <w:ind w:left="1080" w:right="1080" w:firstLine="0"/>
        <w:jc w:val="both"/>
      </w:pPr>
      <w:r w:rsidRPr="00AF0164">
        <w:t>Based on UNDP monitoring and evaluation guidelines, a country office evaluation plan will be drawn up, including project and thematic evaluations for the three programme priorities. External evaluations, independent evaluations and audits</w:t>
      </w:r>
      <w:r w:rsidR="001629AF">
        <w:t xml:space="preserve">, </w:t>
      </w:r>
      <w:r w:rsidRPr="00AF0164">
        <w:t>conducted in accordance with corporate guidelines</w:t>
      </w:r>
      <w:r w:rsidR="001629AF">
        <w:t>,</w:t>
      </w:r>
      <w:r w:rsidRPr="00AF0164">
        <w:t xml:space="preserve"> will guide programme implementation and </w:t>
      </w:r>
      <w:r w:rsidR="001629AF" w:rsidRPr="00AF0164">
        <w:t xml:space="preserve">theory of change </w:t>
      </w:r>
      <w:r w:rsidRPr="00AF0164">
        <w:t>adjustment</w:t>
      </w:r>
      <w:r w:rsidR="003B4706" w:rsidRPr="00AF0164">
        <w:t>,</w:t>
      </w:r>
      <w:r w:rsidRPr="00AF0164">
        <w:t xml:space="preserve"> and the results and resources framework. UNDP will allocate 5 </w:t>
      </w:r>
      <w:r w:rsidR="000A701E">
        <w:t>per cent</w:t>
      </w:r>
      <w:r w:rsidR="001629AF">
        <w:t xml:space="preserve"> </w:t>
      </w:r>
      <w:r w:rsidRPr="00AF0164">
        <w:t xml:space="preserve">of its programme budget to strengthen monitoring and evaluation, especially </w:t>
      </w:r>
      <w:r w:rsidR="00D909D0" w:rsidRPr="00AF0164">
        <w:t xml:space="preserve">for </w:t>
      </w:r>
      <w:r w:rsidRPr="00AF0164">
        <w:t>data collection</w:t>
      </w:r>
      <w:r w:rsidR="001629AF">
        <w:t>,</w:t>
      </w:r>
      <w:r w:rsidRPr="00AF0164">
        <w:t xml:space="preserve"> </w:t>
      </w:r>
      <w:r w:rsidR="00D909D0" w:rsidRPr="00AF0164">
        <w:t xml:space="preserve">to </w:t>
      </w:r>
      <w:r w:rsidR="004B1EA7" w:rsidRPr="00AF0164">
        <w:t xml:space="preserve">set </w:t>
      </w:r>
      <w:r w:rsidRPr="00AF0164">
        <w:t xml:space="preserve">baselines and </w:t>
      </w:r>
      <w:r w:rsidR="001629AF">
        <w:t xml:space="preserve">undertake </w:t>
      </w:r>
      <w:r w:rsidRPr="00AF0164">
        <w:t>periodic surveys.</w:t>
      </w:r>
    </w:p>
    <w:p w14:paraId="2440D41D" w14:textId="45C6328C" w:rsidR="003A0639" w:rsidRPr="002B7881" w:rsidRDefault="000A701E" w:rsidP="002B7881">
      <w:pPr>
        <w:pStyle w:val="ListParagraph"/>
        <w:spacing w:after="120"/>
        <w:ind w:left="1080" w:right="1080"/>
        <w:jc w:val="both"/>
        <w:rPr>
          <w:sz w:val="24"/>
          <w:szCs w:val="24"/>
        </w:rPr>
        <w:sectPr w:rsidR="003A0639" w:rsidRPr="002B7881" w:rsidSect="00511F87">
          <w:headerReference w:type="even" r:id="rId16"/>
          <w:footnotePr>
            <w:numRestart w:val="eachSect"/>
          </w:footnotePr>
          <w:endnotePr>
            <w:numFmt w:val="decimal"/>
            <w:numStart w:val="7"/>
          </w:endnotePr>
          <w:type w:val="continuous"/>
          <w:pgSz w:w="12240" w:h="15840" w:code="1"/>
          <w:pgMar w:top="1134" w:right="1259" w:bottom="1304" w:left="902" w:header="567" w:footer="851" w:gutter="0"/>
          <w:cols w:space="720"/>
          <w:noEndnote/>
          <w:titlePg/>
          <w:docGrid w:linePitch="272"/>
        </w:sectPr>
      </w:pPr>
      <w:r>
        <w:t xml:space="preserve">32. </w:t>
      </w:r>
      <w:r w:rsidR="00EC0088" w:rsidRPr="00AF0164">
        <w:t xml:space="preserve">The country office will continue to use </w:t>
      </w:r>
      <w:r w:rsidR="001629AF">
        <w:t xml:space="preserve">the </w:t>
      </w:r>
      <w:r w:rsidR="00EC0088" w:rsidRPr="00AF0164">
        <w:t xml:space="preserve">UNDP gender marker to ensure that at least 15 </w:t>
      </w:r>
      <w:r>
        <w:t>per cent</w:t>
      </w:r>
      <w:r w:rsidR="001629AF">
        <w:t xml:space="preserve"> </w:t>
      </w:r>
      <w:r w:rsidR="00EC0088" w:rsidRPr="00AF0164">
        <w:t>of the country programme budget is invested to achieve gender equality and women's empowerment.</w:t>
      </w:r>
      <w:r w:rsidR="00107743" w:rsidRPr="00AF0164">
        <w:t xml:space="preserve"> T</w:t>
      </w:r>
      <w:r w:rsidR="00EC0088" w:rsidRPr="00AF0164">
        <w:t xml:space="preserve">he country office will review and implement its gender equality strategy and participate in the </w:t>
      </w:r>
      <w:r w:rsidR="001629AF">
        <w:t>g</w:t>
      </w:r>
      <w:r w:rsidR="00EC0088" w:rsidRPr="00AF0164">
        <w:t xml:space="preserve">ender </w:t>
      </w:r>
      <w:r w:rsidR="001629AF">
        <w:t>e</w:t>
      </w:r>
      <w:r w:rsidR="00EC0088" w:rsidRPr="00AF0164">
        <w:t xml:space="preserve">quality </w:t>
      </w:r>
      <w:r w:rsidR="001629AF">
        <w:t>s</w:t>
      </w:r>
      <w:r w:rsidR="00EC0088" w:rsidRPr="00AF0164">
        <w:t xml:space="preserve">eal. UNDP will strengthen its knowledge management processes through documentation and sharing of experiences to better capitalize on programme achievements with the </w:t>
      </w:r>
      <w:r w:rsidR="001629AF">
        <w:t>accelerator lab</w:t>
      </w:r>
      <w:r w:rsidR="00EC0088" w:rsidRPr="00AF0164">
        <w:t>.</w:t>
      </w:r>
    </w:p>
    <w:p w14:paraId="1992EE35" w14:textId="7B1B09EE" w:rsidR="00E532DC" w:rsidRPr="00AF0164" w:rsidRDefault="00E532DC" w:rsidP="00E532DC">
      <w:pPr>
        <w:spacing w:after="120"/>
        <w:rPr>
          <w:b/>
          <w:color w:val="000000"/>
        </w:rPr>
      </w:pPr>
      <w:r w:rsidRPr="00AF0164">
        <w:rPr>
          <w:b/>
          <w:color w:val="000000"/>
          <w:sz w:val="24"/>
          <w:szCs w:val="24"/>
        </w:rPr>
        <w:lastRenderedPageBreak/>
        <w:t xml:space="preserve">Annex. Results and resources framework for </w:t>
      </w:r>
      <w:r w:rsidRPr="00AF0164">
        <w:rPr>
          <w:b/>
          <w:sz w:val="24"/>
          <w:szCs w:val="24"/>
        </w:rPr>
        <w:t xml:space="preserve">Cameroon </w:t>
      </w:r>
      <w:r w:rsidRPr="00AF0164">
        <w:rPr>
          <w:b/>
          <w:color w:val="000000"/>
          <w:sz w:val="24"/>
          <w:szCs w:val="24"/>
        </w:rPr>
        <w:t>(2022-2026)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7"/>
        <w:gridCol w:w="2265"/>
        <w:gridCol w:w="995"/>
        <w:gridCol w:w="2972"/>
        <w:gridCol w:w="151"/>
        <w:gridCol w:w="2405"/>
        <w:gridCol w:w="704"/>
        <w:gridCol w:w="1276"/>
      </w:tblGrid>
      <w:tr w:rsidR="00060F7A" w:rsidRPr="00AF0164" w14:paraId="71E716DE"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1306408D" w14:textId="1FD0BF40" w:rsidR="00060F7A" w:rsidRPr="00AF0164" w:rsidRDefault="00060F7A" w:rsidP="002E7C2A">
            <w:pPr>
              <w:jc w:val="both"/>
              <w:rPr>
                <w:sz w:val="18"/>
                <w:szCs w:val="18"/>
              </w:rPr>
            </w:pPr>
            <w:r w:rsidRPr="00AF0164">
              <w:rPr>
                <w:b/>
                <w:bCs/>
                <w:sz w:val="18"/>
                <w:szCs w:val="18"/>
              </w:rPr>
              <w:t xml:space="preserve">NATIONAL PRIORITY OR GOAL: </w:t>
            </w:r>
            <w:r w:rsidRPr="00AF0164">
              <w:rPr>
                <w:sz w:val="18"/>
                <w:szCs w:val="18"/>
              </w:rPr>
              <w:t>Structural transformation of the economy</w:t>
            </w:r>
            <w:r w:rsidR="0063155F">
              <w:rPr>
                <w:sz w:val="18"/>
                <w:szCs w:val="18"/>
              </w:rPr>
              <w:t>.</w:t>
            </w:r>
          </w:p>
        </w:tc>
      </w:tr>
      <w:tr w:rsidR="00060F7A" w:rsidRPr="00AF0164" w14:paraId="6B0D70D8"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4D12F352" w14:textId="2B098DBE" w:rsidR="00060F7A" w:rsidRPr="00AF0164" w:rsidRDefault="00060F7A" w:rsidP="002E7C2A">
            <w:pPr>
              <w:jc w:val="both"/>
              <w:rPr>
                <w:sz w:val="18"/>
                <w:szCs w:val="18"/>
              </w:rPr>
            </w:pPr>
            <w:r w:rsidRPr="00AF0164">
              <w:rPr>
                <w:b/>
                <w:bCs/>
                <w:sz w:val="18"/>
                <w:szCs w:val="18"/>
              </w:rPr>
              <w:t>COOPERATION FRAMEWORK (OR EQUIVALENT) OUTCOME INVOLVING UNDP 1:</w:t>
            </w:r>
            <w:r w:rsidRPr="00AF0164">
              <w:rPr>
                <w:sz w:val="18"/>
                <w:szCs w:val="18"/>
              </w:rPr>
              <w:t xml:space="preserve"> By 2026, more people, especially youth, women and the socially and economically vulnerable, benefit equitably from increased opportunities in a green, diversified, transformative, resilient and inclusive economy with decent jobs in the productive sectors.</w:t>
            </w:r>
            <w:r w:rsidR="0063155F">
              <w:rPr>
                <w:sz w:val="18"/>
                <w:szCs w:val="18"/>
              </w:rPr>
              <w:t xml:space="preserve"> </w:t>
            </w:r>
            <w:r w:rsidRPr="00AF0164">
              <w:rPr>
                <w:sz w:val="18"/>
                <w:szCs w:val="18"/>
              </w:rPr>
              <w:t>(</w:t>
            </w:r>
            <w:r w:rsidR="0063155F">
              <w:rPr>
                <w:sz w:val="18"/>
                <w:szCs w:val="18"/>
              </w:rPr>
              <w:t xml:space="preserve">Goals </w:t>
            </w:r>
            <w:r w:rsidRPr="00AF0164">
              <w:rPr>
                <w:sz w:val="18"/>
                <w:szCs w:val="18"/>
              </w:rPr>
              <w:t>1, 5, 8, 9, 10, 11, 12, 17)</w:t>
            </w:r>
            <w:r w:rsidR="0063155F">
              <w:rPr>
                <w:sz w:val="18"/>
                <w:szCs w:val="18"/>
              </w:rPr>
              <w:t>.</w:t>
            </w:r>
          </w:p>
        </w:tc>
      </w:tr>
      <w:tr w:rsidR="00060F7A" w:rsidRPr="00AF0164" w14:paraId="3F097749"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7DAF096C" w14:textId="288F7935" w:rsidR="00060F7A" w:rsidRPr="00AF0164" w:rsidRDefault="00060F7A" w:rsidP="002E7C2A">
            <w:pPr>
              <w:jc w:val="both"/>
              <w:rPr>
                <w:b/>
                <w:bCs/>
                <w:sz w:val="18"/>
                <w:szCs w:val="18"/>
              </w:rPr>
            </w:pPr>
            <w:r w:rsidRPr="00AF0164">
              <w:rPr>
                <w:b/>
                <w:bCs/>
                <w:sz w:val="18"/>
                <w:szCs w:val="18"/>
              </w:rPr>
              <w:t>RELATED STRATEGIC PLAN OUTCOME</w:t>
            </w:r>
            <w:r w:rsidR="0063155F">
              <w:rPr>
                <w:b/>
                <w:bCs/>
                <w:sz w:val="18"/>
                <w:szCs w:val="18"/>
              </w:rPr>
              <w:t>:</w:t>
            </w:r>
            <w:r w:rsidRPr="00AF0164">
              <w:rPr>
                <w:b/>
                <w:bCs/>
                <w:sz w:val="18"/>
                <w:szCs w:val="18"/>
              </w:rPr>
              <w:tab/>
            </w:r>
            <w:r w:rsidRPr="00FB3A50">
              <w:rPr>
                <w:sz w:val="18"/>
                <w:szCs w:val="18"/>
              </w:rPr>
              <w:t>Accelerate structural transformations for sustainable development</w:t>
            </w:r>
            <w:r w:rsidR="0063155F" w:rsidRPr="00FB3A50">
              <w:rPr>
                <w:sz w:val="18"/>
                <w:szCs w:val="18"/>
              </w:rPr>
              <w:t>.</w:t>
            </w:r>
          </w:p>
        </w:tc>
      </w:tr>
      <w:tr w:rsidR="00060F7A" w:rsidRPr="00AF0164" w14:paraId="380DB5D4" w14:textId="77777777" w:rsidTr="002E7C2A">
        <w:trPr>
          <w:jc w:val="center"/>
        </w:trPr>
        <w:tc>
          <w:tcPr>
            <w:tcW w:w="1083" w:type="pct"/>
            <w:shd w:val="clear" w:color="auto" w:fill="DBE5F1" w:themeFill="accent1" w:themeFillTint="33"/>
            <w:tcMar>
              <w:top w:w="72" w:type="dxa"/>
              <w:left w:w="144" w:type="dxa"/>
              <w:bottom w:w="72" w:type="dxa"/>
              <w:right w:w="144" w:type="dxa"/>
            </w:tcMar>
            <w:vAlign w:val="center"/>
          </w:tcPr>
          <w:p w14:paraId="6931F985" w14:textId="5D84D807" w:rsidR="00060F7A" w:rsidRPr="00AF0164" w:rsidRDefault="00F27B51" w:rsidP="00843BD6">
            <w:pPr>
              <w:jc w:val="center"/>
              <w:rPr>
                <w:sz w:val="18"/>
                <w:szCs w:val="18"/>
              </w:rPr>
            </w:pPr>
            <w:r w:rsidRPr="00AF0164">
              <w:rPr>
                <w:b/>
                <w:bCs/>
                <w:sz w:val="18"/>
                <w:szCs w:val="18"/>
              </w:rPr>
              <w:t>Cooperation Framework outcome indicator(s), baselines, target(s)</w:t>
            </w:r>
          </w:p>
        </w:tc>
        <w:tc>
          <w:tcPr>
            <w:tcW w:w="1186" w:type="pct"/>
            <w:gridSpan w:val="2"/>
            <w:shd w:val="clear" w:color="auto" w:fill="DBE5F1" w:themeFill="accent1" w:themeFillTint="33"/>
            <w:vAlign w:val="center"/>
          </w:tcPr>
          <w:p w14:paraId="3D3E4087" w14:textId="0A769420" w:rsidR="00060F7A" w:rsidRPr="00AF0164" w:rsidRDefault="00F27B51" w:rsidP="00843BD6">
            <w:pPr>
              <w:jc w:val="center"/>
              <w:rPr>
                <w:b/>
                <w:sz w:val="18"/>
                <w:szCs w:val="18"/>
              </w:rPr>
            </w:pPr>
            <w:r w:rsidRPr="00AF0164">
              <w:rPr>
                <w:b/>
                <w:sz w:val="18"/>
                <w:szCs w:val="18"/>
              </w:rPr>
              <w:t>Data source and frequency of data collection, and responsibilities</w:t>
            </w:r>
          </w:p>
        </w:tc>
        <w:tc>
          <w:tcPr>
            <w:tcW w:w="1136" w:type="pct"/>
            <w:gridSpan w:val="2"/>
            <w:shd w:val="clear" w:color="auto" w:fill="DBE5F1" w:themeFill="accent1" w:themeFillTint="33"/>
            <w:tcMar>
              <w:top w:w="72" w:type="dxa"/>
              <w:left w:w="144" w:type="dxa"/>
              <w:bottom w:w="72" w:type="dxa"/>
              <w:right w:w="144" w:type="dxa"/>
            </w:tcMar>
            <w:vAlign w:val="center"/>
          </w:tcPr>
          <w:p w14:paraId="183E5363" w14:textId="39B21674" w:rsidR="00060F7A" w:rsidRPr="00AF0164" w:rsidRDefault="00F27B51" w:rsidP="00843BD6">
            <w:pPr>
              <w:jc w:val="center"/>
              <w:rPr>
                <w:sz w:val="18"/>
                <w:szCs w:val="18"/>
              </w:rPr>
            </w:pPr>
            <w:r w:rsidRPr="00AF0164">
              <w:rPr>
                <w:b/>
                <w:bCs/>
                <w:sz w:val="18"/>
                <w:szCs w:val="18"/>
              </w:rPr>
              <w:t>Indicative country programme outputs (including indicators, baselines targets)</w:t>
            </w:r>
          </w:p>
        </w:tc>
        <w:tc>
          <w:tcPr>
            <w:tcW w:w="875" w:type="pct"/>
            <w:shd w:val="clear" w:color="auto" w:fill="DBE5F1" w:themeFill="accent1" w:themeFillTint="33"/>
            <w:vAlign w:val="center"/>
          </w:tcPr>
          <w:p w14:paraId="2A11B65D" w14:textId="1131879F" w:rsidR="00060F7A" w:rsidRPr="00AF0164" w:rsidRDefault="00F27B51" w:rsidP="00843BD6">
            <w:pPr>
              <w:jc w:val="center"/>
              <w:rPr>
                <w:b/>
                <w:bCs/>
                <w:sz w:val="18"/>
                <w:szCs w:val="18"/>
              </w:rPr>
            </w:pPr>
            <w:r w:rsidRPr="00AF0164">
              <w:rPr>
                <w:b/>
                <w:bCs/>
                <w:sz w:val="18"/>
                <w:szCs w:val="18"/>
              </w:rPr>
              <w:t>Major partners/partnerships</w:t>
            </w:r>
          </w:p>
          <w:p w14:paraId="048DC683" w14:textId="533AA607" w:rsidR="00060F7A" w:rsidRPr="00AF0164" w:rsidRDefault="00F27B51" w:rsidP="00843BD6">
            <w:pPr>
              <w:jc w:val="center"/>
              <w:rPr>
                <w:b/>
                <w:bCs/>
                <w:sz w:val="18"/>
                <w:szCs w:val="18"/>
              </w:rPr>
            </w:pPr>
            <w:r w:rsidRPr="00AF0164">
              <w:rPr>
                <w:b/>
                <w:bCs/>
                <w:sz w:val="18"/>
                <w:szCs w:val="18"/>
              </w:rPr>
              <w:t>frameworks</w:t>
            </w:r>
          </w:p>
        </w:tc>
        <w:tc>
          <w:tcPr>
            <w:tcW w:w="720" w:type="pct"/>
            <w:gridSpan w:val="2"/>
            <w:tcBorders>
              <w:bottom w:val="single" w:sz="4" w:space="0" w:color="auto"/>
            </w:tcBorders>
            <w:shd w:val="clear" w:color="auto" w:fill="DBE5F1" w:themeFill="accent1" w:themeFillTint="33"/>
            <w:tcMar>
              <w:top w:w="15" w:type="dxa"/>
              <w:left w:w="108" w:type="dxa"/>
              <w:bottom w:w="0" w:type="dxa"/>
              <w:right w:w="108" w:type="dxa"/>
            </w:tcMar>
            <w:vAlign w:val="center"/>
          </w:tcPr>
          <w:p w14:paraId="0A7AE1A1" w14:textId="77777777" w:rsidR="00844495" w:rsidRDefault="00F27B51" w:rsidP="00843BD6">
            <w:pPr>
              <w:jc w:val="center"/>
              <w:rPr>
                <w:b/>
                <w:bCs/>
                <w:sz w:val="18"/>
                <w:szCs w:val="18"/>
              </w:rPr>
            </w:pPr>
            <w:r w:rsidRPr="00AF0164">
              <w:rPr>
                <w:b/>
                <w:bCs/>
                <w:sz w:val="18"/>
                <w:szCs w:val="18"/>
              </w:rPr>
              <w:t>Estimated cost by outcome</w:t>
            </w:r>
          </w:p>
          <w:p w14:paraId="4E052FF5" w14:textId="2E79EE3F" w:rsidR="00060F7A" w:rsidRPr="00FB3A50" w:rsidRDefault="00F27B51" w:rsidP="00843BD6">
            <w:pPr>
              <w:jc w:val="center"/>
              <w:rPr>
                <w:i/>
                <w:iCs/>
                <w:sz w:val="18"/>
                <w:szCs w:val="18"/>
              </w:rPr>
            </w:pPr>
            <w:r w:rsidRPr="00FB3A50">
              <w:rPr>
                <w:i/>
                <w:iCs/>
                <w:sz w:val="18"/>
                <w:szCs w:val="18"/>
              </w:rPr>
              <w:t>(</w:t>
            </w:r>
            <w:r w:rsidR="00844495" w:rsidRPr="00FB3A50">
              <w:rPr>
                <w:i/>
                <w:iCs/>
                <w:sz w:val="18"/>
                <w:szCs w:val="18"/>
              </w:rPr>
              <w:t>United States dollars</w:t>
            </w:r>
            <w:r w:rsidRPr="00FB3A50">
              <w:rPr>
                <w:i/>
                <w:iCs/>
                <w:sz w:val="18"/>
                <w:szCs w:val="18"/>
              </w:rPr>
              <w:t>)</w:t>
            </w:r>
          </w:p>
        </w:tc>
      </w:tr>
      <w:tr w:rsidR="00060F7A" w:rsidRPr="00AF0164" w14:paraId="263DF7F8" w14:textId="77777777" w:rsidTr="002E7C2A">
        <w:trPr>
          <w:jc w:val="center"/>
        </w:trPr>
        <w:tc>
          <w:tcPr>
            <w:tcW w:w="1083" w:type="pct"/>
            <w:vMerge w:val="restart"/>
            <w:tcMar>
              <w:top w:w="72" w:type="dxa"/>
              <w:left w:w="144" w:type="dxa"/>
              <w:bottom w:w="72" w:type="dxa"/>
              <w:right w:w="144" w:type="dxa"/>
            </w:tcMar>
          </w:tcPr>
          <w:p w14:paraId="0105481B" w14:textId="16B5A8E7" w:rsidR="00060F7A" w:rsidRPr="00FB3A50" w:rsidRDefault="00060F7A" w:rsidP="002E7C2A">
            <w:pPr>
              <w:jc w:val="both"/>
              <w:rPr>
                <w:b/>
                <w:bCs/>
                <w:sz w:val="18"/>
                <w:szCs w:val="18"/>
              </w:rPr>
            </w:pPr>
            <w:r w:rsidRPr="00FB3A50">
              <w:rPr>
                <w:b/>
                <w:bCs/>
                <w:sz w:val="18"/>
                <w:szCs w:val="18"/>
              </w:rPr>
              <w:t>Share of agro-industry in GDP (</w:t>
            </w:r>
            <w:r w:rsidR="00A50B76">
              <w:rPr>
                <w:b/>
                <w:bCs/>
                <w:sz w:val="18"/>
                <w:szCs w:val="18"/>
              </w:rPr>
              <w:t>%)</w:t>
            </w:r>
          </w:p>
          <w:p w14:paraId="42ABEF3A"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(2018):7.8 </w:t>
            </w:r>
          </w:p>
          <w:p w14:paraId="59055F7C" w14:textId="77777777" w:rsidR="00060F7A" w:rsidRPr="00AF0164" w:rsidRDefault="00060F7A" w:rsidP="00FB3A50">
            <w:pPr>
              <w:jc w:val="both"/>
              <w:rPr>
                <w:sz w:val="18"/>
                <w:szCs w:val="18"/>
              </w:rPr>
            </w:pPr>
            <w:r w:rsidRPr="00FB3A50">
              <w:rPr>
                <w:bCs/>
                <w:i/>
                <w:iCs/>
                <w:sz w:val="18"/>
                <w:szCs w:val="18"/>
              </w:rPr>
              <w:t>Target</w:t>
            </w:r>
            <w:r w:rsidRPr="00AF0164">
              <w:rPr>
                <w:bCs/>
                <w:sz w:val="18"/>
                <w:szCs w:val="18"/>
              </w:rPr>
              <w:t xml:space="preserve"> (2026):</w:t>
            </w:r>
            <w:r w:rsidRPr="00AF0164">
              <w:rPr>
                <w:sz w:val="18"/>
                <w:szCs w:val="18"/>
              </w:rPr>
              <w:t xml:space="preserve"> 12.1</w:t>
            </w:r>
          </w:p>
          <w:p w14:paraId="3E2CEE11" w14:textId="77777777" w:rsidR="00060F7A" w:rsidRPr="00AF0164" w:rsidRDefault="00060F7A" w:rsidP="002E7C2A">
            <w:pPr>
              <w:jc w:val="both"/>
              <w:rPr>
                <w:sz w:val="18"/>
                <w:szCs w:val="18"/>
              </w:rPr>
            </w:pPr>
          </w:p>
          <w:p w14:paraId="5CB5C9BB" w14:textId="77777777" w:rsidR="00060F7A" w:rsidRPr="00AF0164" w:rsidRDefault="00060F7A" w:rsidP="002E7C2A">
            <w:pPr>
              <w:jc w:val="both"/>
              <w:rPr>
                <w:sz w:val="18"/>
                <w:szCs w:val="18"/>
              </w:rPr>
            </w:pPr>
          </w:p>
          <w:p w14:paraId="4508F6AE" w14:textId="77777777" w:rsidR="00060F7A" w:rsidRPr="00AF0164" w:rsidRDefault="00060F7A" w:rsidP="002E7C2A">
            <w:pPr>
              <w:jc w:val="both"/>
              <w:rPr>
                <w:sz w:val="18"/>
                <w:szCs w:val="18"/>
              </w:rPr>
            </w:pPr>
          </w:p>
          <w:p w14:paraId="03EC52B2" w14:textId="69883340" w:rsidR="00060F7A" w:rsidRPr="00AF0164" w:rsidRDefault="00060F7A" w:rsidP="002E7C2A">
            <w:pPr>
              <w:jc w:val="both"/>
              <w:rPr>
                <w:sz w:val="18"/>
                <w:szCs w:val="18"/>
              </w:rPr>
            </w:pPr>
          </w:p>
          <w:p w14:paraId="2FCD1A9D" w14:textId="77777777" w:rsidR="0063155F" w:rsidRDefault="0063155F" w:rsidP="002E7C2A">
            <w:pPr>
              <w:jc w:val="both"/>
              <w:rPr>
                <w:sz w:val="18"/>
                <w:szCs w:val="18"/>
              </w:rPr>
            </w:pPr>
          </w:p>
          <w:p w14:paraId="1C2D3635" w14:textId="521D5A5E" w:rsidR="00060F7A" w:rsidRPr="00FB3A50" w:rsidRDefault="00060F7A" w:rsidP="002E7C2A">
            <w:pPr>
              <w:jc w:val="both"/>
              <w:rPr>
                <w:b/>
                <w:bCs/>
                <w:sz w:val="18"/>
                <w:szCs w:val="18"/>
              </w:rPr>
            </w:pPr>
            <w:r w:rsidRPr="00FB3A50">
              <w:rPr>
                <w:b/>
                <w:bCs/>
                <w:sz w:val="18"/>
                <w:szCs w:val="18"/>
              </w:rPr>
              <w:t>Share of rural sector in GDP (%)</w:t>
            </w:r>
          </w:p>
          <w:p w14:paraId="4C8BCF89"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(2018):14.6</w:t>
            </w:r>
          </w:p>
          <w:p w14:paraId="2AA59EF3" w14:textId="77777777" w:rsidR="00060F7A" w:rsidRPr="00AF0164" w:rsidRDefault="00060F7A" w:rsidP="00FB3A50">
            <w:pPr>
              <w:jc w:val="both"/>
              <w:rPr>
                <w:sz w:val="18"/>
                <w:szCs w:val="18"/>
              </w:rPr>
            </w:pPr>
            <w:r w:rsidRPr="00FB3A50">
              <w:rPr>
                <w:bCs/>
                <w:i/>
                <w:iCs/>
                <w:sz w:val="18"/>
                <w:szCs w:val="18"/>
              </w:rPr>
              <w:t>Target</w:t>
            </w:r>
            <w:r w:rsidRPr="00AF0164">
              <w:rPr>
                <w:bCs/>
                <w:sz w:val="18"/>
                <w:szCs w:val="18"/>
              </w:rPr>
              <w:t xml:space="preserve"> (2026):</w:t>
            </w:r>
            <w:r w:rsidRPr="00AF0164">
              <w:rPr>
                <w:sz w:val="18"/>
                <w:szCs w:val="18"/>
              </w:rPr>
              <w:t xml:space="preserve"> 21</w:t>
            </w:r>
          </w:p>
          <w:p w14:paraId="2ECFA480" w14:textId="77777777" w:rsidR="00060F7A" w:rsidRPr="00AF0164" w:rsidRDefault="00060F7A" w:rsidP="002E7C2A">
            <w:pPr>
              <w:jc w:val="both"/>
              <w:rPr>
                <w:sz w:val="18"/>
                <w:szCs w:val="18"/>
              </w:rPr>
            </w:pPr>
          </w:p>
          <w:p w14:paraId="6EE67C44" w14:textId="77777777" w:rsidR="00060F7A" w:rsidRPr="00AF0164" w:rsidRDefault="00060F7A" w:rsidP="002E7C2A">
            <w:pPr>
              <w:jc w:val="both"/>
              <w:rPr>
                <w:sz w:val="18"/>
                <w:szCs w:val="18"/>
              </w:rPr>
            </w:pPr>
          </w:p>
          <w:p w14:paraId="1B3A3EA2" w14:textId="77777777" w:rsidR="00060F7A" w:rsidRPr="00AF0164" w:rsidRDefault="00060F7A" w:rsidP="002E7C2A">
            <w:pPr>
              <w:jc w:val="both"/>
              <w:rPr>
                <w:sz w:val="18"/>
                <w:szCs w:val="18"/>
              </w:rPr>
            </w:pPr>
          </w:p>
          <w:p w14:paraId="24817F21" w14:textId="77777777" w:rsidR="00060F7A" w:rsidRPr="00AF0164" w:rsidRDefault="00060F7A" w:rsidP="002E7C2A">
            <w:pPr>
              <w:jc w:val="both"/>
              <w:rPr>
                <w:sz w:val="18"/>
                <w:szCs w:val="18"/>
              </w:rPr>
            </w:pPr>
          </w:p>
          <w:p w14:paraId="16F6EA42" w14:textId="77777777" w:rsidR="00060F7A" w:rsidRPr="00AF0164" w:rsidRDefault="00060F7A" w:rsidP="002E7C2A">
            <w:pPr>
              <w:jc w:val="both"/>
              <w:rPr>
                <w:strike/>
                <w:sz w:val="18"/>
                <w:szCs w:val="18"/>
              </w:rPr>
            </w:pPr>
          </w:p>
          <w:p w14:paraId="1985B494" w14:textId="77777777" w:rsidR="00060F7A" w:rsidRPr="00AF0164" w:rsidRDefault="00060F7A" w:rsidP="002E7C2A">
            <w:pPr>
              <w:jc w:val="both"/>
              <w:rPr>
                <w:sz w:val="18"/>
                <w:szCs w:val="18"/>
              </w:rPr>
            </w:pPr>
          </w:p>
          <w:p w14:paraId="3C2ED187" w14:textId="4B20A7AF" w:rsidR="00060F7A" w:rsidRPr="00FB3A50" w:rsidRDefault="00060F7A" w:rsidP="002E7C2A">
            <w:pPr>
              <w:jc w:val="both"/>
              <w:rPr>
                <w:b/>
                <w:bCs/>
                <w:sz w:val="18"/>
                <w:szCs w:val="18"/>
              </w:rPr>
            </w:pPr>
            <w:r w:rsidRPr="00FB3A50">
              <w:rPr>
                <w:b/>
                <w:bCs/>
                <w:sz w:val="18"/>
                <w:szCs w:val="18"/>
              </w:rPr>
              <w:t>Overall underemployment rate of 15</w:t>
            </w:r>
            <w:r w:rsidR="00844495" w:rsidRPr="00FB3A50">
              <w:rPr>
                <w:b/>
                <w:bCs/>
                <w:sz w:val="18"/>
                <w:szCs w:val="18"/>
              </w:rPr>
              <w:t xml:space="preserve"> to </w:t>
            </w:r>
            <w:r w:rsidRPr="00FB3A50">
              <w:rPr>
                <w:b/>
                <w:bCs/>
                <w:sz w:val="18"/>
                <w:szCs w:val="18"/>
              </w:rPr>
              <w:t xml:space="preserve">24 years old </w:t>
            </w:r>
          </w:p>
          <w:p w14:paraId="6B28FC7C" w14:textId="77777777" w:rsidR="00060F7A" w:rsidRPr="00AF0164" w:rsidRDefault="00060F7A" w:rsidP="002E7C2A">
            <w:pPr>
              <w:jc w:val="both"/>
              <w:rPr>
                <w:sz w:val="18"/>
                <w:szCs w:val="18"/>
              </w:rPr>
            </w:pPr>
            <w:r w:rsidRPr="00FB3A50">
              <w:rPr>
                <w:i/>
                <w:iCs/>
                <w:sz w:val="18"/>
                <w:szCs w:val="18"/>
              </w:rPr>
              <w:t>Baseline</w:t>
            </w:r>
            <w:r w:rsidRPr="00AF0164">
              <w:rPr>
                <w:sz w:val="18"/>
                <w:szCs w:val="18"/>
              </w:rPr>
              <w:t xml:space="preserve"> (2010): 84,8 %</w:t>
            </w:r>
          </w:p>
          <w:p w14:paraId="1E6B1616" w14:textId="77777777" w:rsidR="00060F7A" w:rsidRPr="00AF0164" w:rsidRDefault="00060F7A" w:rsidP="002E7C2A">
            <w:pPr>
              <w:jc w:val="both"/>
              <w:rPr>
                <w:sz w:val="18"/>
                <w:szCs w:val="18"/>
              </w:rPr>
            </w:pPr>
            <w:r w:rsidRPr="00FB3A50">
              <w:rPr>
                <w:i/>
                <w:iCs/>
                <w:sz w:val="18"/>
                <w:szCs w:val="18"/>
              </w:rPr>
              <w:t>Target</w:t>
            </w:r>
            <w:r w:rsidRPr="00AF0164">
              <w:rPr>
                <w:sz w:val="18"/>
                <w:szCs w:val="18"/>
              </w:rPr>
              <w:t xml:space="preserve"> (2026): 70%</w:t>
            </w:r>
          </w:p>
          <w:p w14:paraId="7921076B" w14:textId="77777777" w:rsidR="00060F7A" w:rsidRPr="00AF0164" w:rsidRDefault="00060F7A" w:rsidP="002E7C2A">
            <w:pPr>
              <w:jc w:val="both"/>
              <w:rPr>
                <w:bCs/>
                <w:sz w:val="18"/>
                <w:szCs w:val="18"/>
              </w:rPr>
            </w:pPr>
          </w:p>
        </w:tc>
        <w:tc>
          <w:tcPr>
            <w:tcW w:w="1186" w:type="pct"/>
            <w:gridSpan w:val="2"/>
            <w:vMerge w:val="restart"/>
          </w:tcPr>
          <w:p w14:paraId="03267A61" w14:textId="3ECDAEC1" w:rsidR="00060F7A" w:rsidRPr="00AF0164" w:rsidRDefault="00060F7A" w:rsidP="002E7C2A">
            <w:pPr>
              <w:jc w:val="both"/>
              <w:rPr>
                <w:sz w:val="18"/>
                <w:szCs w:val="18"/>
              </w:rPr>
            </w:pPr>
            <w:r w:rsidRPr="00AF0164">
              <w:rPr>
                <w:b/>
                <w:bCs/>
                <w:sz w:val="18"/>
                <w:szCs w:val="18"/>
              </w:rPr>
              <w:t xml:space="preserve">Data </w:t>
            </w:r>
            <w:r w:rsidR="0063155F">
              <w:rPr>
                <w:b/>
                <w:bCs/>
                <w:sz w:val="18"/>
                <w:szCs w:val="18"/>
              </w:rPr>
              <w:t>s</w:t>
            </w:r>
            <w:r w:rsidRPr="00AF0164">
              <w:rPr>
                <w:b/>
                <w:bCs/>
                <w:sz w:val="18"/>
                <w:szCs w:val="18"/>
              </w:rPr>
              <w:t xml:space="preserve">ource: </w:t>
            </w:r>
            <w:r w:rsidRPr="00AF0164">
              <w:rPr>
                <w:sz w:val="18"/>
                <w:szCs w:val="18"/>
              </w:rPr>
              <w:t xml:space="preserve">National Accounts </w:t>
            </w:r>
          </w:p>
          <w:p w14:paraId="6345F64B" w14:textId="77777777" w:rsidR="00060F7A" w:rsidRPr="00AF0164" w:rsidRDefault="00060F7A" w:rsidP="002E7C2A">
            <w:pPr>
              <w:jc w:val="both"/>
              <w:rPr>
                <w:sz w:val="18"/>
                <w:szCs w:val="18"/>
              </w:rPr>
            </w:pPr>
            <w:r w:rsidRPr="00AF0164">
              <w:rPr>
                <w:b/>
                <w:bCs/>
                <w:sz w:val="18"/>
                <w:szCs w:val="18"/>
              </w:rPr>
              <w:t xml:space="preserve">Frequency: </w:t>
            </w:r>
            <w:r w:rsidRPr="00AF0164">
              <w:rPr>
                <w:sz w:val="18"/>
                <w:szCs w:val="18"/>
              </w:rPr>
              <w:t xml:space="preserve">Yearly </w:t>
            </w:r>
          </w:p>
          <w:p w14:paraId="2E3B9FD0" w14:textId="12B96881" w:rsidR="00060F7A" w:rsidRPr="00AF0164" w:rsidRDefault="00060F7A" w:rsidP="002E7C2A">
            <w:pPr>
              <w:jc w:val="both"/>
              <w:rPr>
                <w:b/>
                <w:bCs/>
                <w:sz w:val="18"/>
                <w:szCs w:val="18"/>
              </w:rPr>
            </w:pPr>
            <w:r w:rsidRPr="00AF0164">
              <w:rPr>
                <w:b/>
                <w:bCs/>
                <w:sz w:val="18"/>
                <w:szCs w:val="18"/>
              </w:rPr>
              <w:t>Responsibility</w:t>
            </w:r>
            <w:r w:rsidRPr="00AF0164">
              <w:rPr>
                <w:sz w:val="18"/>
                <w:szCs w:val="18"/>
              </w:rPr>
              <w:t>: NIS</w:t>
            </w:r>
          </w:p>
          <w:p w14:paraId="406EC003" w14:textId="77777777" w:rsidR="00060F7A" w:rsidRPr="00AF0164" w:rsidRDefault="00060F7A" w:rsidP="002E7C2A">
            <w:pPr>
              <w:jc w:val="both"/>
              <w:rPr>
                <w:b/>
                <w:bCs/>
                <w:sz w:val="18"/>
                <w:szCs w:val="18"/>
              </w:rPr>
            </w:pPr>
          </w:p>
          <w:p w14:paraId="73C8F792" w14:textId="77777777" w:rsidR="00060F7A" w:rsidRPr="00AF0164" w:rsidRDefault="00060F7A" w:rsidP="002E7C2A">
            <w:pPr>
              <w:jc w:val="both"/>
              <w:rPr>
                <w:b/>
                <w:bCs/>
                <w:sz w:val="18"/>
                <w:szCs w:val="18"/>
              </w:rPr>
            </w:pPr>
          </w:p>
          <w:p w14:paraId="2590D41B" w14:textId="77777777" w:rsidR="0063155F" w:rsidRDefault="0063155F" w:rsidP="002E7C2A">
            <w:pPr>
              <w:rPr>
                <w:b/>
                <w:bCs/>
                <w:sz w:val="18"/>
                <w:szCs w:val="18"/>
              </w:rPr>
            </w:pPr>
          </w:p>
          <w:p w14:paraId="08E61DF7" w14:textId="77777777" w:rsidR="0063155F" w:rsidRDefault="0063155F" w:rsidP="002E7C2A">
            <w:pPr>
              <w:rPr>
                <w:b/>
                <w:bCs/>
                <w:sz w:val="18"/>
                <w:szCs w:val="18"/>
              </w:rPr>
            </w:pPr>
          </w:p>
          <w:p w14:paraId="7FCE9CFD" w14:textId="53F2EA2B" w:rsidR="00060F7A" w:rsidRPr="00AF0164" w:rsidRDefault="00060F7A" w:rsidP="002E7C2A">
            <w:pPr>
              <w:rPr>
                <w:sz w:val="18"/>
                <w:szCs w:val="18"/>
              </w:rPr>
            </w:pPr>
            <w:r w:rsidRPr="00AF0164">
              <w:rPr>
                <w:b/>
                <w:bCs/>
                <w:sz w:val="18"/>
                <w:szCs w:val="18"/>
              </w:rPr>
              <w:t xml:space="preserve">Data </w:t>
            </w:r>
            <w:r w:rsidR="0063155F">
              <w:rPr>
                <w:b/>
                <w:bCs/>
                <w:sz w:val="18"/>
                <w:szCs w:val="18"/>
              </w:rPr>
              <w:t>s</w:t>
            </w:r>
            <w:r w:rsidRPr="00AF0164">
              <w:rPr>
                <w:b/>
                <w:bCs/>
                <w:sz w:val="18"/>
                <w:szCs w:val="18"/>
              </w:rPr>
              <w:t xml:space="preserve">ource: </w:t>
            </w:r>
            <w:r w:rsidRPr="00AF0164">
              <w:rPr>
                <w:sz w:val="18"/>
                <w:szCs w:val="18"/>
              </w:rPr>
              <w:t>MINFI</w:t>
            </w:r>
            <w:r w:rsidRPr="00AF0164">
              <w:rPr>
                <w:rStyle w:val="FootnoteReference"/>
                <w:sz w:val="18"/>
                <w:szCs w:val="18"/>
              </w:rPr>
              <w:footnoteReference w:id="11"/>
            </w:r>
            <w:r w:rsidRPr="00AF0164">
              <w:rPr>
                <w:sz w:val="18"/>
                <w:szCs w:val="18"/>
              </w:rPr>
              <w:t>, MINEPAT</w:t>
            </w:r>
            <w:r w:rsidRPr="00AF0164">
              <w:rPr>
                <w:rStyle w:val="FootnoteReference"/>
                <w:sz w:val="18"/>
                <w:szCs w:val="18"/>
              </w:rPr>
              <w:footnoteReference w:id="12"/>
            </w:r>
            <w:r w:rsidRPr="00AF0164">
              <w:rPr>
                <w:sz w:val="18"/>
                <w:szCs w:val="18"/>
              </w:rPr>
              <w:t>, MINADER</w:t>
            </w:r>
            <w:r w:rsidRPr="00AF0164">
              <w:rPr>
                <w:rStyle w:val="FootnoteReference"/>
                <w:sz w:val="18"/>
                <w:szCs w:val="18"/>
              </w:rPr>
              <w:footnoteReference w:id="13"/>
            </w:r>
            <w:r w:rsidRPr="00AF0164">
              <w:rPr>
                <w:sz w:val="18"/>
                <w:szCs w:val="18"/>
              </w:rPr>
              <w:t>, NIS</w:t>
            </w:r>
            <w:r w:rsidR="00EA2E6A">
              <w:rPr>
                <w:sz w:val="18"/>
                <w:szCs w:val="18"/>
              </w:rPr>
              <w:t>,</w:t>
            </w:r>
            <w:r w:rsidRPr="00AF0164">
              <w:rPr>
                <w:sz w:val="18"/>
                <w:szCs w:val="18"/>
              </w:rPr>
              <w:t xml:space="preserve"> NDS30 Monitoring report</w:t>
            </w:r>
          </w:p>
          <w:p w14:paraId="4F6C0268" w14:textId="77777777" w:rsidR="00060F7A" w:rsidRPr="00AF0164" w:rsidRDefault="00060F7A" w:rsidP="002E7C2A">
            <w:pPr>
              <w:jc w:val="both"/>
              <w:rPr>
                <w:sz w:val="18"/>
                <w:szCs w:val="18"/>
              </w:rPr>
            </w:pPr>
            <w:r w:rsidRPr="00FB3A50">
              <w:rPr>
                <w:b/>
                <w:bCs/>
                <w:sz w:val="18"/>
                <w:szCs w:val="18"/>
              </w:rPr>
              <w:t>Frequency</w:t>
            </w:r>
            <w:r w:rsidRPr="00AF0164">
              <w:rPr>
                <w:sz w:val="18"/>
                <w:szCs w:val="18"/>
              </w:rPr>
              <w:t xml:space="preserve">: Yearly </w:t>
            </w:r>
          </w:p>
          <w:p w14:paraId="4379F319" w14:textId="77777777" w:rsidR="00060F7A" w:rsidRPr="00AF0164" w:rsidRDefault="00060F7A" w:rsidP="002E7C2A">
            <w:pPr>
              <w:jc w:val="both"/>
              <w:rPr>
                <w:b/>
                <w:bCs/>
                <w:sz w:val="18"/>
                <w:szCs w:val="18"/>
              </w:rPr>
            </w:pPr>
            <w:r w:rsidRPr="00AF0164">
              <w:rPr>
                <w:b/>
                <w:bCs/>
                <w:sz w:val="18"/>
                <w:szCs w:val="18"/>
              </w:rPr>
              <w:t>Responsibility</w:t>
            </w:r>
            <w:r w:rsidRPr="00AF0164">
              <w:rPr>
                <w:sz w:val="18"/>
                <w:szCs w:val="18"/>
              </w:rPr>
              <w:t>: MINFI, NIS, MINADER</w:t>
            </w:r>
          </w:p>
          <w:p w14:paraId="386FE71D" w14:textId="77777777" w:rsidR="00060F7A" w:rsidRPr="00AF0164" w:rsidRDefault="00060F7A" w:rsidP="002E7C2A">
            <w:pPr>
              <w:jc w:val="both"/>
              <w:rPr>
                <w:b/>
                <w:bCs/>
                <w:sz w:val="18"/>
                <w:szCs w:val="18"/>
              </w:rPr>
            </w:pPr>
          </w:p>
          <w:p w14:paraId="380225FE" w14:textId="77777777" w:rsidR="00060F7A" w:rsidRPr="00AF0164" w:rsidRDefault="00060F7A" w:rsidP="002E7C2A">
            <w:pPr>
              <w:jc w:val="both"/>
              <w:rPr>
                <w:b/>
                <w:bCs/>
                <w:sz w:val="18"/>
                <w:szCs w:val="18"/>
              </w:rPr>
            </w:pPr>
          </w:p>
          <w:p w14:paraId="45784EAD" w14:textId="77777777" w:rsidR="00060F7A" w:rsidRPr="00AF0164" w:rsidRDefault="00060F7A" w:rsidP="002E7C2A">
            <w:pPr>
              <w:jc w:val="both"/>
              <w:rPr>
                <w:b/>
                <w:bCs/>
                <w:sz w:val="18"/>
                <w:szCs w:val="18"/>
              </w:rPr>
            </w:pPr>
          </w:p>
          <w:p w14:paraId="336F0EAD" w14:textId="77777777" w:rsidR="00060F7A" w:rsidRPr="00AF0164" w:rsidRDefault="00060F7A" w:rsidP="002E7C2A">
            <w:pPr>
              <w:jc w:val="both"/>
              <w:rPr>
                <w:b/>
                <w:bCs/>
                <w:sz w:val="18"/>
                <w:szCs w:val="18"/>
              </w:rPr>
            </w:pPr>
          </w:p>
          <w:p w14:paraId="4692D5CB" w14:textId="268CDCF4" w:rsidR="00060F7A" w:rsidRPr="00AF0164" w:rsidRDefault="00060F7A" w:rsidP="002E7C2A">
            <w:pPr>
              <w:jc w:val="both"/>
              <w:rPr>
                <w:sz w:val="18"/>
                <w:szCs w:val="18"/>
              </w:rPr>
            </w:pPr>
            <w:r w:rsidRPr="00AF0164">
              <w:rPr>
                <w:b/>
                <w:bCs/>
                <w:sz w:val="18"/>
                <w:szCs w:val="18"/>
              </w:rPr>
              <w:t xml:space="preserve">Data </w:t>
            </w:r>
            <w:r w:rsidR="0063155F">
              <w:rPr>
                <w:b/>
                <w:bCs/>
                <w:sz w:val="18"/>
                <w:szCs w:val="18"/>
              </w:rPr>
              <w:t>s</w:t>
            </w:r>
            <w:r w:rsidRPr="00AF0164">
              <w:rPr>
                <w:b/>
                <w:bCs/>
                <w:sz w:val="18"/>
                <w:szCs w:val="18"/>
              </w:rPr>
              <w:t xml:space="preserve">ource: </w:t>
            </w:r>
            <w:r w:rsidRPr="00AF0164">
              <w:rPr>
                <w:sz w:val="18"/>
                <w:szCs w:val="18"/>
              </w:rPr>
              <w:t xml:space="preserve">MINEPAT, NIS, Economic and financial survey of enterprises </w:t>
            </w:r>
          </w:p>
          <w:p w14:paraId="2213B51F" w14:textId="77777777" w:rsidR="00060F7A" w:rsidRPr="00AF0164" w:rsidRDefault="00060F7A" w:rsidP="002E7C2A">
            <w:pPr>
              <w:jc w:val="both"/>
              <w:rPr>
                <w:b/>
                <w:bCs/>
                <w:sz w:val="18"/>
                <w:szCs w:val="18"/>
              </w:rPr>
            </w:pPr>
            <w:r w:rsidRPr="00AF0164">
              <w:rPr>
                <w:b/>
                <w:bCs/>
                <w:sz w:val="18"/>
                <w:szCs w:val="18"/>
              </w:rPr>
              <w:t>Frequency:</w:t>
            </w:r>
            <w:r w:rsidRPr="00AF0164">
              <w:rPr>
                <w:sz w:val="18"/>
                <w:szCs w:val="18"/>
              </w:rPr>
              <w:t xml:space="preserve"> Yearly</w:t>
            </w:r>
            <w:r w:rsidRPr="00AF0164">
              <w:rPr>
                <w:b/>
                <w:bCs/>
                <w:sz w:val="18"/>
                <w:szCs w:val="18"/>
              </w:rPr>
              <w:t xml:space="preserve"> </w:t>
            </w:r>
          </w:p>
          <w:p w14:paraId="6137E470" w14:textId="77777777" w:rsidR="00060F7A" w:rsidRPr="00AF0164" w:rsidRDefault="00060F7A" w:rsidP="002E7C2A">
            <w:pPr>
              <w:jc w:val="both"/>
              <w:rPr>
                <w:b/>
                <w:bCs/>
                <w:sz w:val="18"/>
                <w:szCs w:val="18"/>
              </w:rPr>
            </w:pPr>
            <w:r w:rsidRPr="00AF0164">
              <w:rPr>
                <w:b/>
                <w:bCs/>
                <w:sz w:val="18"/>
                <w:szCs w:val="18"/>
              </w:rPr>
              <w:t xml:space="preserve">Responsibility: </w:t>
            </w:r>
            <w:r w:rsidRPr="00AF0164">
              <w:rPr>
                <w:sz w:val="18"/>
                <w:szCs w:val="18"/>
              </w:rPr>
              <w:t>MINEPAT</w:t>
            </w:r>
          </w:p>
          <w:p w14:paraId="236F1AE1" w14:textId="77777777" w:rsidR="00060F7A" w:rsidRPr="00AF0164" w:rsidRDefault="00060F7A" w:rsidP="009C7304">
            <w:pPr>
              <w:jc w:val="both"/>
              <w:rPr>
                <w:b/>
                <w:bCs/>
                <w:sz w:val="18"/>
                <w:szCs w:val="18"/>
              </w:rPr>
            </w:pPr>
          </w:p>
        </w:tc>
        <w:tc>
          <w:tcPr>
            <w:tcW w:w="1136" w:type="pct"/>
            <w:gridSpan w:val="2"/>
            <w:vMerge w:val="restart"/>
            <w:tcMar>
              <w:top w:w="72" w:type="dxa"/>
              <w:left w:w="144" w:type="dxa"/>
              <w:bottom w:w="72" w:type="dxa"/>
              <w:right w:w="144" w:type="dxa"/>
            </w:tcMar>
          </w:tcPr>
          <w:p w14:paraId="7866E275" w14:textId="543A75B1" w:rsidR="00060F7A" w:rsidRPr="00AF0164" w:rsidRDefault="00060F7A" w:rsidP="00C76964">
            <w:pPr>
              <w:rPr>
                <w:sz w:val="18"/>
                <w:szCs w:val="18"/>
              </w:rPr>
            </w:pPr>
            <w:r w:rsidRPr="00AF0164">
              <w:rPr>
                <w:b/>
                <w:bCs/>
                <w:sz w:val="18"/>
                <w:szCs w:val="18"/>
              </w:rPr>
              <w:t>Output 1.1</w:t>
            </w:r>
            <w:r w:rsidR="0063155F">
              <w:rPr>
                <w:b/>
                <w:bCs/>
                <w:sz w:val="18"/>
                <w:szCs w:val="18"/>
              </w:rPr>
              <w:t>.</w:t>
            </w:r>
            <w:r w:rsidRPr="00AF0164">
              <w:rPr>
                <w:sz w:val="18"/>
                <w:szCs w:val="18"/>
              </w:rPr>
              <w:t xml:space="preserve"> Technical and operational capacities of SMEs, cooperative societies and innovative start-ups   enhanced to develop inclusive </w:t>
            </w:r>
            <w:r w:rsidR="00C76964" w:rsidRPr="00AF0164">
              <w:rPr>
                <w:sz w:val="18"/>
                <w:szCs w:val="18"/>
              </w:rPr>
              <w:t>v</w:t>
            </w:r>
            <w:r w:rsidRPr="00AF0164">
              <w:rPr>
                <w:sz w:val="18"/>
                <w:szCs w:val="18"/>
              </w:rPr>
              <w:t>alue chains in agricultural, digital economy, green economy and minerals.</w:t>
            </w:r>
          </w:p>
          <w:p w14:paraId="1E0AA69B" w14:textId="77777777" w:rsidR="00060F7A" w:rsidRPr="00AF0164" w:rsidRDefault="00060F7A" w:rsidP="002E7C2A">
            <w:pPr>
              <w:jc w:val="both"/>
              <w:rPr>
                <w:sz w:val="18"/>
                <w:szCs w:val="18"/>
              </w:rPr>
            </w:pPr>
          </w:p>
          <w:p w14:paraId="19A644C7" w14:textId="65C7552C" w:rsidR="00060F7A" w:rsidRPr="00AF0164" w:rsidRDefault="00060F7A" w:rsidP="00FB3A50">
            <w:pPr>
              <w:rPr>
                <w:sz w:val="18"/>
                <w:szCs w:val="18"/>
              </w:rPr>
            </w:pPr>
            <w:r w:rsidRPr="00AF0164">
              <w:rPr>
                <w:b/>
                <w:bCs/>
                <w:sz w:val="18"/>
                <w:szCs w:val="18"/>
              </w:rPr>
              <w:t>Indicator 1.1.1</w:t>
            </w:r>
            <w:r w:rsidR="0063155F" w:rsidRPr="00FB3A50">
              <w:rPr>
                <w:b/>
                <w:bCs/>
                <w:sz w:val="18"/>
                <w:szCs w:val="18"/>
              </w:rPr>
              <w:t>.</w:t>
            </w:r>
            <w:r w:rsidR="0063155F">
              <w:rPr>
                <w:sz w:val="18"/>
                <w:szCs w:val="18"/>
              </w:rPr>
              <w:t xml:space="preserve"> </w:t>
            </w:r>
            <w:r w:rsidRPr="00AF0164">
              <w:rPr>
                <w:sz w:val="18"/>
                <w:szCs w:val="18"/>
              </w:rPr>
              <w:t xml:space="preserve">Number of value chain strengthened to promote employment and wealth creation for youth and women </w:t>
            </w:r>
          </w:p>
          <w:p w14:paraId="1AA9502D" w14:textId="77777777" w:rsidR="00060F7A" w:rsidRPr="00FB3A50" w:rsidRDefault="00060F7A" w:rsidP="00FB3A50">
            <w:pPr>
              <w:jc w:val="both"/>
              <w:rPr>
                <w:sz w:val="18"/>
                <w:szCs w:val="18"/>
              </w:rPr>
            </w:pPr>
            <w:r w:rsidRPr="00FB3A50">
              <w:rPr>
                <w:i/>
                <w:iCs/>
                <w:sz w:val="18"/>
                <w:szCs w:val="18"/>
              </w:rPr>
              <w:t>Baseline</w:t>
            </w:r>
            <w:r w:rsidRPr="00FB3A50">
              <w:rPr>
                <w:sz w:val="18"/>
                <w:szCs w:val="18"/>
              </w:rPr>
              <w:t xml:space="preserve"> (2020): 8</w:t>
            </w:r>
          </w:p>
          <w:p w14:paraId="6C758591" w14:textId="77777777" w:rsidR="00060F7A" w:rsidRPr="00FB3A50" w:rsidRDefault="00060F7A" w:rsidP="00FB3A50">
            <w:pPr>
              <w:jc w:val="both"/>
              <w:rPr>
                <w:sz w:val="18"/>
                <w:szCs w:val="18"/>
              </w:rPr>
            </w:pPr>
            <w:r w:rsidRPr="00FB3A50">
              <w:rPr>
                <w:i/>
                <w:iCs/>
                <w:sz w:val="18"/>
                <w:szCs w:val="18"/>
              </w:rPr>
              <w:t>Target</w:t>
            </w:r>
            <w:r w:rsidRPr="00FB3A50">
              <w:rPr>
                <w:sz w:val="18"/>
                <w:szCs w:val="18"/>
              </w:rPr>
              <w:t xml:space="preserve"> (2026): 20</w:t>
            </w:r>
          </w:p>
          <w:p w14:paraId="739206DB" w14:textId="2B1B5958" w:rsidR="00060F7A" w:rsidRPr="00FB3A50" w:rsidRDefault="00060F7A" w:rsidP="00FB3A50">
            <w:pPr>
              <w:jc w:val="both"/>
              <w:rPr>
                <w:sz w:val="18"/>
                <w:szCs w:val="18"/>
              </w:rPr>
            </w:pPr>
            <w:r w:rsidRPr="00FB3A50">
              <w:rPr>
                <w:i/>
                <w:iCs/>
                <w:sz w:val="18"/>
                <w:szCs w:val="18"/>
              </w:rPr>
              <w:t xml:space="preserve">Data </w:t>
            </w:r>
            <w:r w:rsidR="0063155F" w:rsidRPr="00FB3A50">
              <w:rPr>
                <w:i/>
                <w:iCs/>
                <w:sz w:val="18"/>
                <w:szCs w:val="18"/>
              </w:rPr>
              <w:t>s</w:t>
            </w:r>
            <w:r w:rsidRPr="00FB3A50">
              <w:rPr>
                <w:i/>
                <w:iCs/>
                <w:sz w:val="18"/>
                <w:szCs w:val="18"/>
              </w:rPr>
              <w:t>ource</w:t>
            </w:r>
            <w:r w:rsidRPr="00FB3A50">
              <w:rPr>
                <w:sz w:val="18"/>
                <w:szCs w:val="18"/>
              </w:rPr>
              <w:t>: Projects reports</w:t>
            </w:r>
          </w:p>
          <w:p w14:paraId="441DF113" w14:textId="77777777" w:rsidR="00060F7A" w:rsidRPr="00FB3A50" w:rsidRDefault="00060F7A" w:rsidP="00FB3A50">
            <w:pPr>
              <w:jc w:val="both"/>
              <w:rPr>
                <w:sz w:val="18"/>
                <w:szCs w:val="18"/>
              </w:rPr>
            </w:pPr>
            <w:r w:rsidRPr="00FB3A50">
              <w:rPr>
                <w:i/>
                <w:iCs/>
                <w:sz w:val="18"/>
                <w:szCs w:val="18"/>
              </w:rPr>
              <w:t>Frequency</w:t>
            </w:r>
            <w:r w:rsidRPr="00FB3A50">
              <w:rPr>
                <w:sz w:val="18"/>
                <w:szCs w:val="18"/>
              </w:rPr>
              <w:t>: Annual</w:t>
            </w:r>
          </w:p>
          <w:p w14:paraId="4BB646EF" w14:textId="77777777" w:rsidR="00060F7A" w:rsidRPr="00AF0164" w:rsidRDefault="00060F7A" w:rsidP="002E7C2A">
            <w:pPr>
              <w:jc w:val="both"/>
              <w:rPr>
                <w:sz w:val="18"/>
                <w:szCs w:val="18"/>
              </w:rPr>
            </w:pPr>
          </w:p>
          <w:p w14:paraId="337CE0C5" w14:textId="77777777" w:rsidR="0063155F" w:rsidRDefault="0063155F" w:rsidP="002E7C2A">
            <w:pPr>
              <w:jc w:val="both"/>
              <w:rPr>
                <w:b/>
                <w:bCs/>
                <w:sz w:val="18"/>
                <w:szCs w:val="18"/>
              </w:rPr>
            </w:pPr>
          </w:p>
          <w:p w14:paraId="2ACC2148" w14:textId="3EC95808" w:rsidR="00060F7A" w:rsidRPr="00AF0164" w:rsidRDefault="00060F7A" w:rsidP="002E7C2A">
            <w:pPr>
              <w:jc w:val="both"/>
              <w:rPr>
                <w:sz w:val="18"/>
                <w:szCs w:val="18"/>
              </w:rPr>
            </w:pPr>
            <w:r w:rsidRPr="00AF0164">
              <w:rPr>
                <w:b/>
                <w:bCs/>
                <w:sz w:val="18"/>
                <w:szCs w:val="18"/>
              </w:rPr>
              <w:t>Indicator 1.1.2</w:t>
            </w:r>
            <w:r w:rsidR="0063155F" w:rsidRPr="00FB3A50">
              <w:rPr>
                <w:b/>
                <w:bCs/>
                <w:sz w:val="18"/>
                <w:szCs w:val="18"/>
              </w:rPr>
              <w:t>.</w:t>
            </w:r>
            <w:r w:rsidR="0063155F">
              <w:rPr>
                <w:sz w:val="18"/>
                <w:szCs w:val="18"/>
              </w:rPr>
              <w:t xml:space="preserve"> </w:t>
            </w:r>
            <w:r w:rsidRPr="00AF0164">
              <w:rPr>
                <w:sz w:val="18"/>
                <w:szCs w:val="18"/>
              </w:rPr>
              <w:t>Number of registered SMEs participating in productive sector value chain</w:t>
            </w:r>
          </w:p>
          <w:p w14:paraId="7425948E"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100</w:t>
            </w:r>
          </w:p>
          <w:p w14:paraId="60C0FDC6"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300</w:t>
            </w:r>
          </w:p>
          <w:p w14:paraId="66D48E3D" w14:textId="15E4D58C" w:rsidR="00060F7A" w:rsidRPr="00AF0164" w:rsidRDefault="00060F7A" w:rsidP="00FB3A50">
            <w:pPr>
              <w:jc w:val="both"/>
              <w:rPr>
                <w:sz w:val="18"/>
                <w:szCs w:val="18"/>
              </w:rPr>
            </w:pPr>
            <w:r w:rsidRPr="00FB3A50">
              <w:rPr>
                <w:i/>
                <w:iCs/>
                <w:sz w:val="18"/>
                <w:szCs w:val="18"/>
              </w:rPr>
              <w:t>Data source</w:t>
            </w:r>
            <w:r w:rsidRPr="00AF0164">
              <w:rPr>
                <w:sz w:val="18"/>
                <w:szCs w:val="18"/>
              </w:rPr>
              <w:t>: Project reports</w:t>
            </w:r>
          </w:p>
          <w:p w14:paraId="036196ED" w14:textId="7DE4579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and every 6 months </w:t>
            </w:r>
          </w:p>
          <w:p w14:paraId="51E7B0A1" w14:textId="77777777" w:rsidR="00060F7A" w:rsidRPr="00AF0164" w:rsidRDefault="00060F7A" w:rsidP="002E7C2A">
            <w:pPr>
              <w:jc w:val="both"/>
              <w:rPr>
                <w:sz w:val="18"/>
                <w:szCs w:val="18"/>
              </w:rPr>
            </w:pPr>
          </w:p>
          <w:p w14:paraId="406FE29C" w14:textId="6DEADDAC" w:rsidR="00060F7A" w:rsidRPr="00AF0164" w:rsidRDefault="00060F7A" w:rsidP="00C76964">
            <w:pPr>
              <w:rPr>
                <w:sz w:val="18"/>
                <w:szCs w:val="18"/>
              </w:rPr>
            </w:pPr>
            <w:r w:rsidRPr="00AF0164">
              <w:rPr>
                <w:b/>
                <w:bCs/>
                <w:sz w:val="18"/>
                <w:szCs w:val="18"/>
              </w:rPr>
              <w:lastRenderedPageBreak/>
              <w:t>Indicator 1.1.3</w:t>
            </w:r>
            <w:r w:rsidR="00844495" w:rsidRPr="00FB3A50">
              <w:rPr>
                <w:b/>
                <w:bCs/>
                <w:sz w:val="18"/>
                <w:szCs w:val="18"/>
              </w:rPr>
              <w:t>.</w:t>
            </w:r>
            <w:r w:rsidR="00844495">
              <w:rPr>
                <w:sz w:val="18"/>
                <w:szCs w:val="18"/>
              </w:rPr>
              <w:t xml:space="preserve"> </w:t>
            </w:r>
            <w:r w:rsidRPr="00AF0164">
              <w:rPr>
                <w:sz w:val="18"/>
                <w:szCs w:val="18"/>
              </w:rPr>
              <w:t xml:space="preserve">Number of jobs created through analysed value chains </w:t>
            </w:r>
          </w:p>
          <w:p w14:paraId="1F555783" w14:textId="5698E753"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1500 (Male 1050, Female 450, Youth 1200), </w:t>
            </w:r>
          </w:p>
          <w:p w14:paraId="280AF217" w14:textId="2E97920C"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6000 (Male 4200, Female 1800, Youth 4800, </w:t>
            </w:r>
            <w:r w:rsidR="000D7BAF" w:rsidRPr="000D7BAF">
              <w:rPr>
                <w:sz w:val="18"/>
                <w:szCs w:val="18"/>
              </w:rPr>
              <w:t xml:space="preserve">People with Disability </w:t>
            </w:r>
            <w:r w:rsidR="000D7BAF">
              <w:rPr>
                <w:sz w:val="18"/>
                <w:szCs w:val="18"/>
              </w:rPr>
              <w:t xml:space="preserve">PwD </w:t>
            </w:r>
            <w:r w:rsidRPr="00AF0164">
              <w:rPr>
                <w:sz w:val="18"/>
                <w:szCs w:val="18"/>
              </w:rPr>
              <w:t>200</w:t>
            </w:r>
            <w:r w:rsidR="00C11983">
              <w:rPr>
                <w:sz w:val="18"/>
                <w:szCs w:val="18"/>
              </w:rPr>
              <w:t>)</w:t>
            </w:r>
          </w:p>
          <w:p w14:paraId="46F62A5B" w14:textId="649E42B4"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 </w:t>
            </w:r>
            <w:r w:rsidR="00394705">
              <w:rPr>
                <w:sz w:val="18"/>
                <w:szCs w:val="18"/>
              </w:rPr>
              <w:t>survey</w:t>
            </w:r>
          </w:p>
          <w:p w14:paraId="2D00A969" w14:textId="226D79DC"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vMerge w:val="restart"/>
          </w:tcPr>
          <w:p w14:paraId="0D6FDA9E" w14:textId="7CE60BBF" w:rsidR="00060F7A" w:rsidRPr="00AF0164" w:rsidRDefault="00060F7A" w:rsidP="00DC672A">
            <w:pPr>
              <w:rPr>
                <w:sz w:val="18"/>
                <w:szCs w:val="18"/>
              </w:rPr>
            </w:pPr>
            <w:r w:rsidRPr="00AF0164">
              <w:rPr>
                <w:sz w:val="18"/>
                <w:szCs w:val="18"/>
              </w:rPr>
              <w:lastRenderedPageBreak/>
              <w:t>MINEPAT, MINADER, MINCOMMERCE</w:t>
            </w:r>
            <w:r w:rsidR="00844495">
              <w:rPr>
                <w:sz w:val="18"/>
                <w:szCs w:val="18"/>
              </w:rPr>
              <w:t>,</w:t>
            </w:r>
            <w:r w:rsidRPr="00AF0164">
              <w:rPr>
                <w:rStyle w:val="FootnoteReference"/>
                <w:sz w:val="18"/>
                <w:szCs w:val="18"/>
              </w:rPr>
              <w:footnoteReference w:id="14"/>
            </w:r>
            <w:r w:rsidRPr="00AF0164">
              <w:rPr>
                <w:sz w:val="18"/>
                <w:szCs w:val="18"/>
              </w:rPr>
              <w:t xml:space="preserve"> MINEFOP</w:t>
            </w:r>
            <w:r w:rsidR="00844495">
              <w:rPr>
                <w:sz w:val="18"/>
                <w:szCs w:val="18"/>
              </w:rPr>
              <w:t>,</w:t>
            </w:r>
            <w:r w:rsidRPr="00AF0164">
              <w:rPr>
                <w:rStyle w:val="FootnoteReference"/>
                <w:sz w:val="18"/>
                <w:szCs w:val="18"/>
              </w:rPr>
              <w:footnoteReference w:id="15"/>
            </w:r>
            <w:r w:rsidRPr="00AF0164">
              <w:rPr>
                <w:sz w:val="18"/>
                <w:szCs w:val="18"/>
              </w:rPr>
              <w:t xml:space="preserve"> Incubators, World Bank, European Union, A</w:t>
            </w:r>
            <w:r w:rsidR="00EA77FD">
              <w:rPr>
                <w:sz w:val="18"/>
                <w:szCs w:val="18"/>
              </w:rPr>
              <w:t>f</w:t>
            </w:r>
            <w:r w:rsidRPr="00AF0164">
              <w:rPr>
                <w:sz w:val="18"/>
                <w:szCs w:val="18"/>
              </w:rPr>
              <w:t>DB, IFAD</w:t>
            </w:r>
          </w:p>
        </w:tc>
        <w:tc>
          <w:tcPr>
            <w:tcW w:w="720" w:type="pct"/>
            <w:gridSpan w:val="2"/>
            <w:tcBorders>
              <w:bottom w:val="nil"/>
            </w:tcBorders>
            <w:tcMar>
              <w:top w:w="15" w:type="dxa"/>
              <w:left w:w="108" w:type="dxa"/>
              <w:bottom w:w="0" w:type="dxa"/>
              <w:right w:w="108" w:type="dxa"/>
            </w:tcMar>
          </w:tcPr>
          <w:p w14:paraId="17229F17" w14:textId="7E80E0BF" w:rsidR="00060F7A" w:rsidRPr="00AF0164" w:rsidRDefault="00060F7A" w:rsidP="002E7C2A">
            <w:pPr>
              <w:jc w:val="both"/>
              <w:rPr>
                <w:b/>
                <w:sz w:val="18"/>
                <w:szCs w:val="18"/>
              </w:rPr>
            </w:pPr>
            <w:r w:rsidRPr="00AF0164">
              <w:rPr>
                <w:b/>
                <w:sz w:val="18"/>
                <w:szCs w:val="18"/>
              </w:rPr>
              <w:t xml:space="preserve">Regular: </w:t>
            </w:r>
            <w:r w:rsidR="00844495">
              <w:rPr>
                <w:b/>
                <w:sz w:val="18"/>
                <w:szCs w:val="18"/>
              </w:rPr>
              <w:t>$</w:t>
            </w:r>
            <w:r w:rsidRPr="00AF0164">
              <w:rPr>
                <w:b/>
                <w:sz w:val="18"/>
                <w:szCs w:val="18"/>
              </w:rPr>
              <w:t>2</w:t>
            </w:r>
            <w:r w:rsidR="00844495">
              <w:rPr>
                <w:b/>
                <w:sz w:val="18"/>
                <w:szCs w:val="18"/>
              </w:rPr>
              <w:t>,</w:t>
            </w:r>
            <w:r w:rsidRPr="00AF0164">
              <w:rPr>
                <w:b/>
                <w:sz w:val="18"/>
                <w:szCs w:val="18"/>
              </w:rPr>
              <w:t>800</w:t>
            </w:r>
            <w:r w:rsidR="00844495">
              <w:rPr>
                <w:b/>
                <w:sz w:val="18"/>
                <w:szCs w:val="18"/>
              </w:rPr>
              <w:t>,</w:t>
            </w:r>
            <w:r w:rsidRPr="00AF0164">
              <w:rPr>
                <w:b/>
                <w:sz w:val="18"/>
                <w:szCs w:val="18"/>
              </w:rPr>
              <w:t>000</w:t>
            </w:r>
          </w:p>
        </w:tc>
      </w:tr>
      <w:tr w:rsidR="00060F7A" w:rsidRPr="00AF0164" w14:paraId="0536CF07" w14:textId="77777777" w:rsidTr="002E7C2A">
        <w:trPr>
          <w:jc w:val="center"/>
        </w:trPr>
        <w:tc>
          <w:tcPr>
            <w:tcW w:w="1083" w:type="pct"/>
            <w:vMerge/>
            <w:tcMar>
              <w:top w:w="72" w:type="dxa"/>
              <w:left w:w="144" w:type="dxa"/>
              <w:bottom w:w="72" w:type="dxa"/>
              <w:right w:w="144" w:type="dxa"/>
            </w:tcMar>
          </w:tcPr>
          <w:p w14:paraId="325EAAEE" w14:textId="77777777" w:rsidR="00060F7A" w:rsidRPr="00AF0164" w:rsidRDefault="00060F7A" w:rsidP="002E7C2A">
            <w:pPr>
              <w:jc w:val="both"/>
              <w:rPr>
                <w:sz w:val="18"/>
                <w:szCs w:val="18"/>
              </w:rPr>
            </w:pPr>
          </w:p>
        </w:tc>
        <w:tc>
          <w:tcPr>
            <w:tcW w:w="1186" w:type="pct"/>
            <w:gridSpan w:val="2"/>
            <w:vMerge/>
          </w:tcPr>
          <w:p w14:paraId="74D02B06" w14:textId="77777777" w:rsidR="00060F7A" w:rsidRPr="00AF0164" w:rsidRDefault="00060F7A" w:rsidP="002E7C2A">
            <w:pPr>
              <w:jc w:val="both"/>
              <w:rPr>
                <w:sz w:val="18"/>
                <w:szCs w:val="18"/>
              </w:rPr>
            </w:pPr>
          </w:p>
        </w:tc>
        <w:tc>
          <w:tcPr>
            <w:tcW w:w="1136" w:type="pct"/>
            <w:gridSpan w:val="2"/>
            <w:vMerge/>
            <w:tcMar>
              <w:top w:w="72" w:type="dxa"/>
              <w:left w:w="144" w:type="dxa"/>
              <w:bottom w:w="72" w:type="dxa"/>
              <w:right w:w="144" w:type="dxa"/>
            </w:tcMar>
          </w:tcPr>
          <w:p w14:paraId="710F78B7" w14:textId="77777777" w:rsidR="00060F7A" w:rsidRPr="00AF0164" w:rsidRDefault="00060F7A" w:rsidP="002E7C2A">
            <w:pPr>
              <w:jc w:val="both"/>
              <w:rPr>
                <w:sz w:val="18"/>
                <w:szCs w:val="18"/>
              </w:rPr>
            </w:pPr>
          </w:p>
        </w:tc>
        <w:tc>
          <w:tcPr>
            <w:tcW w:w="875" w:type="pct"/>
            <w:vMerge/>
          </w:tcPr>
          <w:p w14:paraId="79970847" w14:textId="77777777" w:rsidR="00060F7A" w:rsidRPr="00AF0164" w:rsidRDefault="00060F7A" w:rsidP="002E7C2A">
            <w:pPr>
              <w:jc w:val="both"/>
              <w:rPr>
                <w:sz w:val="18"/>
                <w:szCs w:val="18"/>
              </w:rPr>
            </w:pPr>
          </w:p>
        </w:tc>
        <w:tc>
          <w:tcPr>
            <w:tcW w:w="720" w:type="pct"/>
            <w:gridSpan w:val="2"/>
            <w:tcBorders>
              <w:top w:val="nil"/>
              <w:bottom w:val="single" w:sz="4" w:space="0" w:color="auto"/>
            </w:tcBorders>
            <w:tcMar>
              <w:top w:w="15" w:type="dxa"/>
              <w:left w:w="108" w:type="dxa"/>
              <w:bottom w:w="0" w:type="dxa"/>
              <w:right w:w="108" w:type="dxa"/>
            </w:tcMar>
          </w:tcPr>
          <w:p w14:paraId="3225791D" w14:textId="41A53BFF" w:rsidR="00060F7A" w:rsidRPr="00AF0164" w:rsidRDefault="00060F7A" w:rsidP="002E7C2A">
            <w:pPr>
              <w:jc w:val="both"/>
              <w:rPr>
                <w:b/>
                <w:sz w:val="18"/>
                <w:szCs w:val="18"/>
              </w:rPr>
            </w:pPr>
            <w:r w:rsidRPr="00AF0164">
              <w:rPr>
                <w:b/>
                <w:sz w:val="18"/>
                <w:szCs w:val="18"/>
              </w:rPr>
              <w:t xml:space="preserve">Other: </w:t>
            </w:r>
            <w:r w:rsidR="00844495">
              <w:rPr>
                <w:b/>
                <w:sz w:val="18"/>
                <w:szCs w:val="18"/>
              </w:rPr>
              <w:t>$</w:t>
            </w:r>
            <w:r w:rsidRPr="00AF0164">
              <w:rPr>
                <w:b/>
                <w:sz w:val="18"/>
                <w:szCs w:val="18"/>
              </w:rPr>
              <w:t>45</w:t>
            </w:r>
            <w:r w:rsidR="00844495">
              <w:rPr>
                <w:b/>
                <w:sz w:val="18"/>
                <w:szCs w:val="18"/>
              </w:rPr>
              <w:t>,</w:t>
            </w:r>
            <w:r w:rsidRPr="00AF0164">
              <w:rPr>
                <w:b/>
                <w:sz w:val="18"/>
                <w:szCs w:val="18"/>
              </w:rPr>
              <w:t>696</w:t>
            </w:r>
            <w:r w:rsidR="00844495">
              <w:rPr>
                <w:b/>
                <w:sz w:val="18"/>
                <w:szCs w:val="18"/>
              </w:rPr>
              <w:t>,</w:t>
            </w:r>
            <w:r w:rsidRPr="00AF0164">
              <w:rPr>
                <w:b/>
                <w:sz w:val="18"/>
                <w:szCs w:val="18"/>
              </w:rPr>
              <w:t>000</w:t>
            </w:r>
          </w:p>
          <w:p w14:paraId="10A7821A" w14:textId="77777777" w:rsidR="00060F7A" w:rsidRPr="00AF0164" w:rsidRDefault="00060F7A" w:rsidP="009C7304">
            <w:pPr>
              <w:jc w:val="both"/>
              <w:rPr>
                <w:b/>
                <w:sz w:val="18"/>
                <w:szCs w:val="18"/>
              </w:rPr>
            </w:pPr>
          </w:p>
        </w:tc>
      </w:tr>
      <w:tr w:rsidR="00060F7A" w:rsidRPr="00AF0164" w14:paraId="4318E5A0" w14:textId="77777777" w:rsidTr="002E7C2A">
        <w:trPr>
          <w:jc w:val="center"/>
        </w:trPr>
        <w:tc>
          <w:tcPr>
            <w:tcW w:w="1083" w:type="pct"/>
            <w:vMerge/>
            <w:tcMar>
              <w:top w:w="72" w:type="dxa"/>
              <w:left w:w="144" w:type="dxa"/>
              <w:bottom w:w="72" w:type="dxa"/>
              <w:right w:w="144" w:type="dxa"/>
            </w:tcMar>
          </w:tcPr>
          <w:p w14:paraId="22B10022" w14:textId="77777777" w:rsidR="00060F7A" w:rsidRPr="00AF0164" w:rsidRDefault="00060F7A" w:rsidP="002E7C2A">
            <w:pPr>
              <w:jc w:val="both"/>
              <w:rPr>
                <w:sz w:val="18"/>
                <w:szCs w:val="18"/>
              </w:rPr>
            </w:pPr>
          </w:p>
        </w:tc>
        <w:tc>
          <w:tcPr>
            <w:tcW w:w="1186" w:type="pct"/>
            <w:gridSpan w:val="2"/>
            <w:vMerge/>
          </w:tcPr>
          <w:p w14:paraId="7B5EE1DA" w14:textId="77777777" w:rsidR="00060F7A" w:rsidRPr="00AF0164" w:rsidRDefault="00060F7A" w:rsidP="002E7C2A">
            <w:pPr>
              <w:jc w:val="both"/>
              <w:rPr>
                <w:sz w:val="18"/>
                <w:szCs w:val="18"/>
              </w:rPr>
            </w:pPr>
          </w:p>
        </w:tc>
        <w:tc>
          <w:tcPr>
            <w:tcW w:w="1136" w:type="pct"/>
            <w:gridSpan w:val="2"/>
            <w:tcMar>
              <w:top w:w="72" w:type="dxa"/>
              <w:left w:w="144" w:type="dxa"/>
              <w:bottom w:w="72" w:type="dxa"/>
              <w:right w:w="144" w:type="dxa"/>
            </w:tcMar>
          </w:tcPr>
          <w:p w14:paraId="020B6FAB" w14:textId="18679D51" w:rsidR="00060F7A" w:rsidRPr="00AF0164" w:rsidRDefault="00060F7A" w:rsidP="002E7C2A">
            <w:pPr>
              <w:rPr>
                <w:sz w:val="18"/>
                <w:szCs w:val="18"/>
              </w:rPr>
            </w:pPr>
            <w:r w:rsidRPr="00AF0164">
              <w:rPr>
                <w:b/>
                <w:bCs/>
                <w:sz w:val="18"/>
                <w:szCs w:val="18"/>
              </w:rPr>
              <w:t>Output 1.2</w:t>
            </w:r>
            <w:r w:rsidR="00844495">
              <w:rPr>
                <w:b/>
                <w:bCs/>
                <w:sz w:val="18"/>
                <w:szCs w:val="18"/>
              </w:rPr>
              <w:t>.</w:t>
            </w:r>
            <w:r w:rsidRPr="00AF0164">
              <w:rPr>
                <w:sz w:val="18"/>
                <w:szCs w:val="18"/>
              </w:rPr>
              <w:t xml:space="preserve"> SMEs, cooperative societies, and innovative start-ups led by women, youth </w:t>
            </w:r>
            <w:r w:rsidR="00844495">
              <w:rPr>
                <w:sz w:val="18"/>
                <w:szCs w:val="18"/>
              </w:rPr>
              <w:t xml:space="preserve">and </w:t>
            </w:r>
            <w:r w:rsidRPr="00AF0164">
              <w:rPr>
                <w:sz w:val="18"/>
                <w:szCs w:val="18"/>
              </w:rPr>
              <w:t xml:space="preserve">vulnerable groups </w:t>
            </w:r>
            <w:r w:rsidR="00C76964" w:rsidRPr="00AF0164">
              <w:rPr>
                <w:sz w:val="18"/>
                <w:szCs w:val="18"/>
              </w:rPr>
              <w:t>enabled access</w:t>
            </w:r>
            <w:r w:rsidRPr="00AF0164">
              <w:rPr>
                <w:sz w:val="18"/>
                <w:szCs w:val="18"/>
              </w:rPr>
              <w:t xml:space="preserve"> to technology, and inclusive financing</w:t>
            </w:r>
            <w:r w:rsidR="00844495">
              <w:rPr>
                <w:sz w:val="18"/>
                <w:szCs w:val="18"/>
              </w:rPr>
              <w:t>.</w:t>
            </w:r>
          </w:p>
          <w:p w14:paraId="0BC7B62F" w14:textId="77777777" w:rsidR="00060F7A" w:rsidRPr="00AF0164" w:rsidRDefault="00060F7A" w:rsidP="002E7C2A">
            <w:pPr>
              <w:jc w:val="both"/>
              <w:rPr>
                <w:sz w:val="18"/>
                <w:szCs w:val="18"/>
              </w:rPr>
            </w:pPr>
          </w:p>
          <w:p w14:paraId="07A4F25C" w14:textId="1FA78CED" w:rsidR="00060F7A" w:rsidRPr="00AF0164" w:rsidRDefault="00060F7A" w:rsidP="002E7C2A">
            <w:pPr>
              <w:rPr>
                <w:sz w:val="18"/>
                <w:szCs w:val="18"/>
              </w:rPr>
            </w:pPr>
            <w:r w:rsidRPr="00AF0164">
              <w:rPr>
                <w:b/>
                <w:bCs/>
                <w:sz w:val="18"/>
                <w:szCs w:val="18"/>
              </w:rPr>
              <w:t>Indicator 1.2.1</w:t>
            </w:r>
            <w:r w:rsidR="00844495">
              <w:rPr>
                <w:b/>
                <w:bCs/>
                <w:sz w:val="18"/>
                <w:szCs w:val="18"/>
              </w:rPr>
              <w:t>.</w:t>
            </w:r>
            <w:r w:rsidRPr="00AF0164">
              <w:rPr>
                <w:b/>
                <w:bCs/>
                <w:sz w:val="18"/>
                <w:szCs w:val="18"/>
              </w:rPr>
              <w:t xml:space="preserve"> </w:t>
            </w:r>
            <w:r w:rsidRPr="00AF0164">
              <w:rPr>
                <w:sz w:val="18"/>
                <w:szCs w:val="18"/>
              </w:rPr>
              <w:t>Volume of financing granted to SMEs and cooperatives for innovative start-ups led by women, youth and vulnerable groups.</w:t>
            </w:r>
          </w:p>
          <w:p w14:paraId="5DF27041" w14:textId="282F183E" w:rsidR="00060F7A" w:rsidRPr="00AF0164" w:rsidRDefault="00060F7A" w:rsidP="00FB3A50">
            <w:pPr>
              <w:jc w:val="both"/>
              <w:rPr>
                <w:sz w:val="18"/>
                <w:szCs w:val="18"/>
              </w:rPr>
            </w:pPr>
            <w:r w:rsidRPr="00FB3A50">
              <w:rPr>
                <w:i/>
                <w:iCs/>
                <w:sz w:val="18"/>
                <w:szCs w:val="18"/>
              </w:rPr>
              <w:t>Baseline</w:t>
            </w:r>
            <w:r w:rsidRPr="00AF0164">
              <w:rPr>
                <w:sz w:val="18"/>
                <w:szCs w:val="18"/>
              </w:rPr>
              <w:t>: TBD</w:t>
            </w:r>
          </w:p>
          <w:p w14:paraId="38C94B14"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(2026):10 000 000 USD</w:t>
            </w:r>
          </w:p>
          <w:p w14:paraId="1D520C91"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reports </w:t>
            </w:r>
          </w:p>
          <w:p w14:paraId="6FB8E965"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p w14:paraId="23DEB5EA" w14:textId="77777777" w:rsidR="00060F7A" w:rsidRPr="00AF0164" w:rsidRDefault="00060F7A" w:rsidP="002E7C2A">
            <w:pPr>
              <w:jc w:val="both"/>
              <w:rPr>
                <w:sz w:val="18"/>
                <w:szCs w:val="18"/>
              </w:rPr>
            </w:pPr>
          </w:p>
          <w:p w14:paraId="31F58CFA" w14:textId="74A5B3A9" w:rsidR="00060F7A" w:rsidRPr="00AF0164" w:rsidRDefault="00060F7A" w:rsidP="002E7C2A">
            <w:pPr>
              <w:rPr>
                <w:sz w:val="18"/>
                <w:szCs w:val="18"/>
              </w:rPr>
            </w:pPr>
            <w:r w:rsidRPr="00AF0164">
              <w:rPr>
                <w:b/>
                <w:bCs/>
                <w:sz w:val="18"/>
                <w:szCs w:val="18"/>
              </w:rPr>
              <w:t>Indicator 1.2.</w:t>
            </w:r>
            <w:r w:rsidR="00844495" w:rsidRPr="00FB3A50">
              <w:rPr>
                <w:b/>
                <w:bCs/>
                <w:sz w:val="18"/>
                <w:szCs w:val="18"/>
              </w:rPr>
              <w:t>2.</w:t>
            </w:r>
            <w:r w:rsidR="00844495">
              <w:rPr>
                <w:sz w:val="18"/>
                <w:szCs w:val="18"/>
              </w:rPr>
              <w:t xml:space="preserve"> </w:t>
            </w:r>
            <w:r w:rsidRPr="00AF0164">
              <w:rPr>
                <w:sz w:val="18"/>
                <w:szCs w:val="18"/>
              </w:rPr>
              <w:t>Number of people accessing financial and non-financial assets, disaggregated by target groups</w:t>
            </w:r>
          </w:p>
          <w:p w14:paraId="342E2ACA" w14:textId="278C9689" w:rsidR="00060F7A" w:rsidRPr="00FB3A50" w:rsidRDefault="00060F7A" w:rsidP="00FB3A50">
            <w:pPr>
              <w:tabs>
                <w:tab w:val="left" w:pos="500"/>
                <w:tab w:val="left" w:pos="690"/>
              </w:tabs>
              <w:rPr>
                <w:sz w:val="18"/>
                <w:szCs w:val="18"/>
              </w:rPr>
            </w:pPr>
            <w:r w:rsidRPr="00FB3A50">
              <w:rPr>
                <w:i/>
                <w:iCs/>
                <w:sz w:val="18"/>
                <w:szCs w:val="18"/>
              </w:rPr>
              <w:t>Baseline</w:t>
            </w:r>
            <w:r w:rsidRPr="00FB3A50">
              <w:rPr>
                <w:sz w:val="18"/>
                <w:szCs w:val="18"/>
              </w:rPr>
              <w:t xml:space="preserve"> (2020): </w:t>
            </w:r>
            <w:r w:rsidR="00ED6FC6">
              <w:rPr>
                <w:sz w:val="18"/>
                <w:szCs w:val="18"/>
              </w:rPr>
              <w:t xml:space="preserve">5,500 </w:t>
            </w:r>
            <w:r w:rsidRPr="00FB3A50">
              <w:rPr>
                <w:sz w:val="18"/>
                <w:szCs w:val="18"/>
              </w:rPr>
              <w:t>(youths 2500, women 3000 and PWDs 0)</w:t>
            </w:r>
          </w:p>
          <w:p w14:paraId="6A2C444C"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16,200 (youths 10000, women 6000 and PWDs 200</w:t>
            </w:r>
          </w:p>
          <w:p w14:paraId="7E28E6B4" w14:textId="0B0CA980" w:rsidR="00844495" w:rsidRDefault="00060F7A" w:rsidP="00844495">
            <w:pPr>
              <w:rPr>
                <w:sz w:val="18"/>
                <w:szCs w:val="18"/>
              </w:rPr>
            </w:pPr>
            <w:r w:rsidRPr="00FB3A50">
              <w:rPr>
                <w:i/>
                <w:iCs/>
                <w:sz w:val="18"/>
                <w:szCs w:val="18"/>
              </w:rPr>
              <w:t>Data source</w:t>
            </w:r>
            <w:r w:rsidRPr="00AF0164">
              <w:rPr>
                <w:sz w:val="18"/>
                <w:szCs w:val="18"/>
              </w:rPr>
              <w:t xml:space="preserve">: </w:t>
            </w:r>
            <w:r w:rsidR="00A90E70">
              <w:rPr>
                <w:sz w:val="18"/>
                <w:szCs w:val="18"/>
              </w:rPr>
              <w:t>P</w:t>
            </w:r>
            <w:r w:rsidRPr="00AF0164">
              <w:rPr>
                <w:sz w:val="18"/>
                <w:szCs w:val="18"/>
              </w:rPr>
              <w:t xml:space="preserve">roject reports </w:t>
            </w:r>
          </w:p>
          <w:p w14:paraId="3F450B4D" w14:textId="0E23600F" w:rsidR="00060F7A" w:rsidRPr="00AF0164" w:rsidRDefault="00060F7A" w:rsidP="00FB3A50">
            <w:pPr>
              <w:rPr>
                <w:sz w:val="18"/>
                <w:szCs w:val="18"/>
              </w:rPr>
            </w:pPr>
            <w:r w:rsidRPr="00FB3A50">
              <w:rPr>
                <w:i/>
                <w:iCs/>
                <w:sz w:val="18"/>
                <w:szCs w:val="18"/>
              </w:rPr>
              <w:t>Frequency</w:t>
            </w:r>
            <w:r w:rsidRPr="00AF0164">
              <w:rPr>
                <w:sz w:val="18"/>
                <w:szCs w:val="18"/>
              </w:rPr>
              <w:t xml:space="preserve">: Annual </w:t>
            </w:r>
          </w:p>
          <w:p w14:paraId="56CF4DD5" w14:textId="77777777" w:rsidR="00060F7A" w:rsidRPr="00AF0164" w:rsidRDefault="00060F7A" w:rsidP="002E7C2A">
            <w:pPr>
              <w:jc w:val="both"/>
              <w:rPr>
                <w:sz w:val="18"/>
                <w:szCs w:val="18"/>
              </w:rPr>
            </w:pPr>
          </w:p>
          <w:p w14:paraId="69E9BB71" w14:textId="217727C3" w:rsidR="00060F7A" w:rsidRPr="00AF0164" w:rsidRDefault="00060F7A" w:rsidP="00FB3A50">
            <w:pPr>
              <w:rPr>
                <w:sz w:val="18"/>
                <w:szCs w:val="18"/>
              </w:rPr>
            </w:pPr>
            <w:r w:rsidRPr="00AF0164">
              <w:rPr>
                <w:b/>
                <w:bCs/>
                <w:sz w:val="18"/>
                <w:szCs w:val="18"/>
              </w:rPr>
              <w:t>Indicator 1.2.3</w:t>
            </w:r>
            <w:r w:rsidR="00844495" w:rsidRPr="00FB3A50">
              <w:rPr>
                <w:b/>
                <w:bCs/>
                <w:sz w:val="18"/>
                <w:szCs w:val="18"/>
              </w:rPr>
              <w:t>.</w:t>
            </w:r>
            <w:r w:rsidR="00844495">
              <w:rPr>
                <w:sz w:val="18"/>
                <w:szCs w:val="18"/>
              </w:rPr>
              <w:t xml:space="preserve"> </w:t>
            </w:r>
            <w:r w:rsidRPr="00AF0164">
              <w:rPr>
                <w:sz w:val="18"/>
                <w:szCs w:val="18"/>
              </w:rPr>
              <w:t xml:space="preserve">Number of SMEs, cooperative societies, start-ups benefiting from upgraded </w:t>
            </w:r>
            <w:r w:rsidRPr="00AF0164">
              <w:rPr>
                <w:sz w:val="18"/>
                <w:szCs w:val="18"/>
              </w:rPr>
              <w:lastRenderedPageBreak/>
              <w:t xml:space="preserve">technological services (digitalization, processing) </w:t>
            </w:r>
          </w:p>
          <w:p w14:paraId="46C8E0CD"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300</w:t>
            </w:r>
          </w:p>
          <w:p w14:paraId="2364F0E4"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1300</w:t>
            </w:r>
          </w:p>
          <w:p w14:paraId="727A1B30"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Activities report, Project reports</w:t>
            </w:r>
          </w:p>
          <w:p w14:paraId="517201C3"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tcPr>
          <w:p w14:paraId="1DBA8376" w14:textId="0C99439B" w:rsidR="00060F7A" w:rsidRPr="00AF0164" w:rsidRDefault="00060F7A" w:rsidP="00DC672A">
            <w:pPr>
              <w:rPr>
                <w:sz w:val="18"/>
                <w:szCs w:val="18"/>
              </w:rPr>
            </w:pPr>
            <w:r w:rsidRPr="00AF0164">
              <w:rPr>
                <w:sz w:val="18"/>
                <w:szCs w:val="18"/>
              </w:rPr>
              <w:lastRenderedPageBreak/>
              <w:t>MINPMEESA</w:t>
            </w:r>
            <w:r w:rsidR="00844495">
              <w:rPr>
                <w:sz w:val="18"/>
                <w:szCs w:val="18"/>
              </w:rPr>
              <w:t>,</w:t>
            </w:r>
            <w:r w:rsidRPr="00AF0164">
              <w:rPr>
                <w:rStyle w:val="FootnoteReference"/>
                <w:sz w:val="18"/>
                <w:szCs w:val="18"/>
              </w:rPr>
              <w:footnoteReference w:id="16"/>
            </w:r>
            <w:r w:rsidRPr="00AF0164">
              <w:rPr>
                <w:sz w:val="18"/>
                <w:szCs w:val="18"/>
              </w:rPr>
              <w:t xml:space="preserve"> MINPROFF</w:t>
            </w:r>
            <w:r w:rsidR="00844495">
              <w:rPr>
                <w:sz w:val="18"/>
                <w:szCs w:val="18"/>
              </w:rPr>
              <w:t>,</w:t>
            </w:r>
            <w:r w:rsidRPr="00AF0164">
              <w:rPr>
                <w:rStyle w:val="FootnoteReference"/>
                <w:sz w:val="18"/>
                <w:szCs w:val="18"/>
              </w:rPr>
              <w:footnoteReference w:id="17"/>
            </w:r>
            <w:r w:rsidR="00C24A8E">
              <w:rPr>
                <w:sz w:val="18"/>
                <w:szCs w:val="18"/>
              </w:rPr>
              <w:t xml:space="preserve"> </w:t>
            </w:r>
            <w:r w:rsidRPr="00AF0164">
              <w:rPr>
                <w:sz w:val="18"/>
                <w:szCs w:val="18"/>
              </w:rPr>
              <w:t>MINEPAT, MINFI, INS, INCOMMERCE, MINMIDT</w:t>
            </w:r>
            <w:r w:rsidR="00844495">
              <w:rPr>
                <w:sz w:val="18"/>
                <w:szCs w:val="18"/>
              </w:rPr>
              <w:t>,</w:t>
            </w:r>
            <w:r w:rsidRPr="00AF0164">
              <w:rPr>
                <w:rStyle w:val="FootnoteReference"/>
                <w:sz w:val="18"/>
                <w:szCs w:val="18"/>
              </w:rPr>
              <w:footnoteReference w:id="18"/>
            </w:r>
            <w:r w:rsidRPr="00AF0164">
              <w:rPr>
                <w:sz w:val="18"/>
                <w:szCs w:val="18"/>
              </w:rPr>
              <w:t xml:space="preserve"> World Bank, </w:t>
            </w:r>
            <w:r w:rsidR="00A90E70">
              <w:rPr>
                <w:sz w:val="18"/>
                <w:szCs w:val="18"/>
              </w:rPr>
              <w:t>BADEA</w:t>
            </w:r>
            <w:r w:rsidRPr="00AF0164">
              <w:rPr>
                <w:sz w:val="18"/>
                <w:szCs w:val="18"/>
              </w:rPr>
              <w:t xml:space="preserve">, </w:t>
            </w:r>
          </w:p>
        </w:tc>
        <w:tc>
          <w:tcPr>
            <w:tcW w:w="720" w:type="pct"/>
            <w:gridSpan w:val="2"/>
            <w:tcBorders>
              <w:top w:val="single" w:sz="4" w:space="0" w:color="auto"/>
            </w:tcBorders>
            <w:tcMar>
              <w:top w:w="15" w:type="dxa"/>
              <w:left w:w="108" w:type="dxa"/>
              <w:bottom w:w="0" w:type="dxa"/>
              <w:right w:w="108" w:type="dxa"/>
            </w:tcMar>
          </w:tcPr>
          <w:p w14:paraId="175215BE" w14:textId="77777777" w:rsidR="00060F7A" w:rsidRPr="00AF0164" w:rsidRDefault="00060F7A" w:rsidP="002E7C2A">
            <w:pPr>
              <w:jc w:val="both"/>
              <w:rPr>
                <w:b/>
                <w:sz w:val="18"/>
                <w:szCs w:val="18"/>
              </w:rPr>
            </w:pPr>
          </w:p>
        </w:tc>
      </w:tr>
      <w:tr w:rsidR="00060F7A" w:rsidRPr="00AF0164" w14:paraId="55446B0E" w14:textId="77777777" w:rsidTr="002E7C2A">
        <w:trPr>
          <w:jc w:val="center"/>
        </w:trPr>
        <w:tc>
          <w:tcPr>
            <w:tcW w:w="1083" w:type="pct"/>
            <w:tcMar>
              <w:top w:w="72" w:type="dxa"/>
              <w:left w:w="144" w:type="dxa"/>
              <w:bottom w:w="72" w:type="dxa"/>
              <w:right w:w="144" w:type="dxa"/>
            </w:tcMar>
          </w:tcPr>
          <w:p w14:paraId="2D2E0F88" w14:textId="77777777" w:rsidR="00060F7A" w:rsidRPr="00AF0164" w:rsidRDefault="00060F7A" w:rsidP="002E7C2A">
            <w:pPr>
              <w:jc w:val="both"/>
              <w:rPr>
                <w:sz w:val="18"/>
                <w:szCs w:val="18"/>
              </w:rPr>
            </w:pPr>
          </w:p>
        </w:tc>
        <w:tc>
          <w:tcPr>
            <w:tcW w:w="1186" w:type="pct"/>
            <w:gridSpan w:val="2"/>
          </w:tcPr>
          <w:p w14:paraId="5B16972B" w14:textId="77777777" w:rsidR="00060F7A" w:rsidRPr="00AF0164" w:rsidRDefault="00060F7A" w:rsidP="002E7C2A">
            <w:pPr>
              <w:jc w:val="both"/>
              <w:rPr>
                <w:sz w:val="18"/>
                <w:szCs w:val="18"/>
              </w:rPr>
            </w:pPr>
          </w:p>
        </w:tc>
        <w:tc>
          <w:tcPr>
            <w:tcW w:w="1136" w:type="pct"/>
            <w:gridSpan w:val="2"/>
            <w:tcMar>
              <w:top w:w="72" w:type="dxa"/>
              <w:left w:w="144" w:type="dxa"/>
              <w:bottom w:w="72" w:type="dxa"/>
              <w:right w:w="144" w:type="dxa"/>
            </w:tcMar>
          </w:tcPr>
          <w:p w14:paraId="0CB22065" w14:textId="139AC7FB" w:rsidR="00060F7A" w:rsidRPr="00AF0164" w:rsidRDefault="00060F7A" w:rsidP="00FB3A50">
            <w:pPr>
              <w:rPr>
                <w:sz w:val="18"/>
                <w:szCs w:val="18"/>
              </w:rPr>
            </w:pPr>
            <w:r w:rsidRPr="00AF0164">
              <w:rPr>
                <w:b/>
                <w:bCs/>
                <w:sz w:val="18"/>
                <w:szCs w:val="18"/>
              </w:rPr>
              <w:t>Output 1.3</w:t>
            </w:r>
            <w:r w:rsidR="00844495">
              <w:rPr>
                <w:b/>
                <w:bCs/>
                <w:sz w:val="18"/>
                <w:szCs w:val="18"/>
              </w:rPr>
              <w:t>.</w:t>
            </w:r>
            <w:r w:rsidRPr="00AF0164">
              <w:rPr>
                <w:sz w:val="18"/>
                <w:szCs w:val="18"/>
              </w:rPr>
              <w:t xml:space="preserve"> Technical and operational capacities of entities at national, regional and local levels enhanced to develop employment opportunities, improve access to market</w:t>
            </w:r>
            <w:r w:rsidR="00844495">
              <w:rPr>
                <w:sz w:val="18"/>
                <w:szCs w:val="18"/>
              </w:rPr>
              <w:t>,</w:t>
            </w:r>
            <w:r w:rsidRPr="00AF0164">
              <w:rPr>
                <w:sz w:val="18"/>
                <w:szCs w:val="18"/>
              </w:rPr>
              <w:t xml:space="preserve"> and build youth and women resilience</w:t>
            </w:r>
            <w:r w:rsidR="00844495">
              <w:rPr>
                <w:sz w:val="18"/>
                <w:szCs w:val="18"/>
              </w:rPr>
              <w:t>.</w:t>
            </w:r>
            <w:r w:rsidRPr="00AF0164">
              <w:rPr>
                <w:sz w:val="18"/>
                <w:szCs w:val="18"/>
              </w:rPr>
              <w:t xml:space="preserve"> </w:t>
            </w:r>
          </w:p>
          <w:p w14:paraId="28917904" w14:textId="77777777" w:rsidR="00060F7A" w:rsidRPr="00AF0164" w:rsidRDefault="00060F7A" w:rsidP="002E7C2A">
            <w:pPr>
              <w:jc w:val="both"/>
              <w:rPr>
                <w:sz w:val="18"/>
                <w:szCs w:val="18"/>
              </w:rPr>
            </w:pPr>
          </w:p>
          <w:p w14:paraId="6FDC5C60" w14:textId="1961F5AD" w:rsidR="00060F7A" w:rsidRPr="00AF0164" w:rsidRDefault="00060F7A" w:rsidP="00FB3A50">
            <w:pPr>
              <w:rPr>
                <w:sz w:val="18"/>
                <w:szCs w:val="18"/>
              </w:rPr>
            </w:pPr>
            <w:r w:rsidRPr="00AF0164">
              <w:rPr>
                <w:b/>
                <w:bCs/>
                <w:sz w:val="18"/>
                <w:szCs w:val="18"/>
              </w:rPr>
              <w:t>Indicator 1.3.1</w:t>
            </w:r>
            <w:r w:rsidR="00844495" w:rsidRPr="00FB3A50">
              <w:rPr>
                <w:b/>
                <w:bCs/>
                <w:sz w:val="18"/>
                <w:szCs w:val="18"/>
              </w:rPr>
              <w:t>.</w:t>
            </w:r>
            <w:r w:rsidR="00844495">
              <w:rPr>
                <w:sz w:val="18"/>
                <w:szCs w:val="18"/>
              </w:rPr>
              <w:t xml:space="preserve"> </w:t>
            </w:r>
            <w:r w:rsidRPr="00AF0164">
              <w:rPr>
                <w:sz w:val="18"/>
                <w:szCs w:val="18"/>
              </w:rPr>
              <w:t>Number of women, youth and vulnerable groups benefitting from productive capacity building support structures</w:t>
            </w:r>
          </w:p>
          <w:p w14:paraId="73D0CB7A" w14:textId="1BCD7D0F"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(2020):300 (F</w:t>
            </w:r>
            <w:r w:rsidR="008E35E7">
              <w:rPr>
                <w:sz w:val="18"/>
                <w:szCs w:val="18"/>
              </w:rPr>
              <w:t>emale</w:t>
            </w:r>
            <w:r w:rsidRPr="00AF0164">
              <w:rPr>
                <w:sz w:val="18"/>
                <w:szCs w:val="18"/>
              </w:rPr>
              <w:t xml:space="preserve"> 120, M</w:t>
            </w:r>
            <w:r w:rsidR="008E35E7">
              <w:rPr>
                <w:sz w:val="18"/>
                <w:szCs w:val="18"/>
              </w:rPr>
              <w:t>ale</w:t>
            </w:r>
            <w:r w:rsidRPr="00AF0164">
              <w:rPr>
                <w:sz w:val="18"/>
                <w:szCs w:val="18"/>
              </w:rPr>
              <w:t xml:space="preserve"> 180 PwD</w:t>
            </w:r>
            <w:r w:rsidR="008E35E7">
              <w:rPr>
                <w:sz w:val="18"/>
                <w:szCs w:val="18"/>
              </w:rPr>
              <w:t xml:space="preserve"> </w:t>
            </w:r>
            <w:r w:rsidRPr="00AF0164">
              <w:rPr>
                <w:sz w:val="18"/>
                <w:szCs w:val="18"/>
              </w:rPr>
              <w:t>0)</w:t>
            </w:r>
          </w:p>
          <w:p w14:paraId="2C1B0A39" w14:textId="36A33248"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1500 (F</w:t>
            </w:r>
            <w:r w:rsidR="008E35E7">
              <w:rPr>
                <w:sz w:val="18"/>
                <w:szCs w:val="18"/>
              </w:rPr>
              <w:t>emale</w:t>
            </w:r>
            <w:r w:rsidRPr="00AF0164">
              <w:rPr>
                <w:sz w:val="18"/>
                <w:szCs w:val="18"/>
              </w:rPr>
              <w:t xml:space="preserve"> 600, M</w:t>
            </w:r>
            <w:r w:rsidR="0098405E">
              <w:rPr>
                <w:sz w:val="18"/>
                <w:szCs w:val="18"/>
              </w:rPr>
              <w:t>ale</w:t>
            </w:r>
            <w:r w:rsidRPr="00AF0164">
              <w:rPr>
                <w:sz w:val="18"/>
                <w:szCs w:val="18"/>
              </w:rPr>
              <w:t xml:space="preserve"> 900, Youth 1200, PwD 75)</w:t>
            </w:r>
          </w:p>
          <w:p w14:paraId="2463ECC6" w14:textId="5E1ABDDF" w:rsidR="00060F7A" w:rsidRPr="00AF0164" w:rsidRDefault="00060F7A" w:rsidP="00FB3A50">
            <w:pPr>
              <w:rPr>
                <w:b/>
                <w:bCs/>
                <w:sz w:val="18"/>
                <w:szCs w:val="18"/>
              </w:rPr>
            </w:pPr>
            <w:r w:rsidRPr="00FB3A50">
              <w:rPr>
                <w:i/>
                <w:iCs/>
                <w:sz w:val="18"/>
                <w:szCs w:val="18"/>
              </w:rPr>
              <w:t>Data source</w:t>
            </w:r>
            <w:r w:rsidRPr="00AF0164">
              <w:rPr>
                <w:sz w:val="18"/>
                <w:szCs w:val="18"/>
              </w:rPr>
              <w:t>: Partners</w:t>
            </w:r>
            <w:r w:rsidR="00844495">
              <w:rPr>
                <w:sz w:val="18"/>
                <w:szCs w:val="18"/>
              </w:rPr>
              <w:t>’</w:t>
            </w:r>
            <w:r w:rsidRPr="00AF0164">
              <w:rPr>
                <w:sz w:val="18"/>
                <w:szCs w:val="18"/>
              </w:rPr>
              <w:t xml:space="preserve"> </w:t>
            </w:r>
            <w:r w:rsidR="00844495">
              <w:rPr>
                <w:sz w:val="18"/>
                <w:szCs w:val="18"/>
              </w:rPr>
              <w:t>a</w:t>
            </w:r>
            <w:r w:rsidRPr="00AF0164">
              <w:rPr>
                <w:sz w:val="18"/>
                <w:szCs w:val="18"/>
              </w:rPr>
              <w:t xml:space="preserve">ctivity reports, </w:t>
            </w:r>
          </w:p>
          <w:p w14:paraId="287F2705" w14:textId="77777777" w:rsidR="00060F7A" w:rsidRPr="00AF0164" w:rsidRDefault="00060F7A" w:rsidP="00FB3A50">
            <w:pPr>
              <w:rPr>
                <w:b/>
                <w:bCs/>
                <w:sz w:val="18"/>
                <w:szCs w:val="18"/>
              </w:rPr>
            </w:pPr>
            <w:r w:rsidRPr="00FB3A50">
              <w:rPr>
                <w:i/>
                <w:iCs/>
                <w:sz w:val="18"/>
                <w:szCs w:val="18"/>
              </w:rPr>
              <w:t>Frequency</w:t>
            </w:r>
            <w:r w:rsidRPr="00AF0164">
              <w:rPr>
                <w:sz w:val="18"/>
                <w:szCs w:val="18"/>
              </w:rPr>
              <w:t xml:space="preserve">: Annual </w:t>
            </w:r>
          </w:p>
          <w:p w14:paraId="3108C269" w14:textId="77777777" w:rsidR="00060F7A" w:rsidRPr="00AF0164" w:rsidRDefault="00060F7A" w:rsidP="002E7C2A">
            <w:pPr>
              <w:rPr>
                <w:b/>
                <w:bCs/>
                <w:sz w:val="18"/>
                <w:szCs w:val="18"/>
              </w:rPr>
            </w:pPr>
          </w:p>
          <w:p w14:paraId="3816F695" w14:textId="041AB613" w:rsidR="00060F7A" w:rsidRPr="00AF0164" w:rsidRDefault="00060F7A" w:rsidP="002E7C2A">
            <w:pPr>
              <w:rPr>
                <w:sz w:val="18"/>
                <w:szCs w:val="18"/>
              </w:rPr>
            </w:pPr>
            <w:r w:rsidRPr="00AF0164">
              <w:rPr>
                <w:b/>
                <w:bCs/>
                <w:sz w:val="18"/>
                <w:szCs w:val="18"/>
              </w:rPr>
              <w:t>Indicator 1.3.2</w:t>
            </w:r>
            <w:r w:rsidR="00844495" w:rsidRPr="00FB3A50">
              <w:rPr>
                <w:b/>
                <w:bCs/>
                <w:sz w:val="18"/>
                <w:szCs w:val="18"/>
              </w:rPr>
              <w:t>.</w:t>
            </w:r>
            <w:r w:rsidR="00844495">
              <w:rPr>
                <w:sz w:val="18"/>
                <w:szCs w:val="18"/>
              </w:rPr>
              <w:t xml:space="preserve"> </w:t>
            </w:r>
            <w:r w:rsidRPr="00AF0164">
              <w:rPr>
                <w:sz w:val="18"/>
                <w:szCs w:val="18"/>
              </w:rPr>
              <w:t xml:space="preserve">Percentage of DTCs with a functioning </w:t>
            </w:r>
            <w:r w:rsidR="00844495">
              <w:rPr>
                <w:sz w:val="18"/>
                <w:szCs w:val="18"/>
              </w:rPr>
              <w:t>m</w:t>
            </w:r>
            <w:r w:rsidRPr="00AF0164">
              <w:rPr>
                <w:sz w:val="18"/>
                <w:szCs w:val="18"/>
              </w:rPr>
              <w:t xml:space="preserve">unicipal </w:t>
            </w:r>
            <w:r w:rsidR="00844495">
              <w:rPr>
                <w:sz w:val="18"/>
                <w:szCs w:val="18"/>
              </w:rPr>
              <w:t>e</w:t>
            </w:r>
            <w:r w:rsidRPr="00AF0164">
              <w:rPr>
                <w:sz w:val="18"/>
                <w:szCs w:val="18"/>
              </w:rPr>
              <w:t xml:space="preserve">mployment </w:t>
            </w:r>
            <w:r w:rsidR="00844495">
              <w:rPr>
                <w:sz w:val="18"/>
                <w:szCs w:val="18"/>
              </w:rPr>
              <w:t>o</w:t>
            </w:r>
            <w:r w:rsidRPr="00AF0164">
              <w:rPr>
                <w:sz w:val="18"/>
                <w:szCs w:val="18"/>
              </w:rPr>
              <w:t>ffice</w:t>
            </w:r>
          </w:p>
          <w:p w14:paraId="63FE940F" w14:textId="77777777" w:rsidR="00060F7A" w:rsidRPr="00AF0164" w:rsidRDefault="00060F7A" w:rsidP="00FB3A50">
            <w:pPr>
              <w:rPr>
                <w:sz w:val="18"/>
                <w:szCs w:val="18"/>
              </w:rPr>
            </w:pPr>
            <w:r w:rsidRPr="00FB3A50">
              <w:rPr>
                <w:i/>
                <w:iCs/>
                <w:sz w:val="18"/>
                <w:szCs w:val="18"/>
              </w:rPr>
              <w:t>Baseline</w:t>
            </w:r>
            <w:r w:rsidRPr="00AF0164">
              <w:rPr>
                <w:sz w:val="18"/>
                <w:szCs w:val="18"/>
              </w:rPr>
              <w:t xml:space="preserve"> (2020): 5%</w:t>
            </w:r>
          </w:p>
          <w:p w14:paraId="3882ECCD"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34%</w:t>
            </w:r>
          </w:p>
          <w:p w14:paraId="09198D59" w14:textId="4D281C50" w:rsidR="00060F7A" w:rsidRPr="00AF0164" w:rsidRDefault="00060F7A" w:rsidP="00FB3A50">
            <w:pPr>
              <w:rPr>
                <w:sz w:val="18"/>
                <w:szCs w:val="18"/>
              </w:rPr>
            </w:pPr>
            <w:r w:rsidRPr="00FB3A50">
              <w:rPr>
                <w:i/>
                <w:iCs/>
                <w:sz w:val="18"/>
                <w:szCs w:val="18"/>
              </w:rPr>
              <w:t>Data source</w:t>
            </w:r>
            <w:r w:rsidR="00844495" w:rsidRPr="00FB3A50">
              <w:rPr>
                <w:sz w:val="18"/>
                <w:szCs w:val="18"/>
              </w:rPr>
              <w:t>:</w:t>
            </w:r>
            <w:r w:rsidRPr="00AF0164">
              <w:rPr>
                <w:sz w:val="18"/>
                <w:szCs w:val="18"/>
              </w:rPr>
              <w:t xml:space="preserve"> MEO </w:t>
            </w:r>
            <w:r w:rsidR="00844495">
              <w:rPr>
                <w:sz w:val="18"/>
                <w:szCs w:val="18"/>
              </w:rPr>
              <w:t>r</w:t>
            </w:r>
            <w:r w:rsidRPr="00AF0164">
              <w:rPr>
                <w:sz w:val="18"/>
                <w:szCs w:val="18"/>
              </w:rPr>
              <w:t>eports, project reports</w:t>
            </w:r>
            <w:r w:rsidRPr="00AF0164">
              <w:rPr>
                <w:sz w:val="18"/>
                <w:szCs w:val="18"/>
              </w:rPr>
              <w:tab/>
            </w:r>
          </w:p>
          <w:p w14:paraId="34503805" w14:textId="77777777" w:rsidR="00060F7A" w:rsidRPr="00AF0164" w:rsidRDefault="00060F7A" w:rsidP="00FB3A50">
            <w:pPr>
              <w:rPr>
                <w:sz w:val="18"/>
                <w:szCs w:val="18"/>
              </w:rPr>
            </w:pPr>
            <w:r w:rsidRPr="00FB3A50">
              <w:rPr>
                <w:i/>
                <w:iCs/>
                <w:sz w:val="18"/>
                <w:szCs w:val="18"/>
              </w:rPr>
              <w:t>Frequency</w:t>
            </w:r>
            <w:r w:rsidRPr="00AF0164">
              <w:rPr>
                <w:sz w:val="18"/>
                <w:szCs w:val="18"/>
              </w:rPr>
              <w:t xml:space="preserve">: Annual </w:t>
            </w:r>
          </w:p>
          <w:p w14:paraId="0481E37F" w14:textId="77777777" w:rsidR="00060F7A" w:rsidRPr="00AF0164" w:rsidRDefault="00060F7A" w:rsidP="002E7C2A">
            <w:pPr>
              <w:jc w:val="both"/>
              <w:rPr>
                <w:sz w:val="18"/>
                <w:szCs w:val="18"/>
              </w:rPr>
            </w:pPr>
          </w:p>
          <w:p w14:paraId="06014426" w14:textId="6CE25EAC" w:rsidR="00060F7A" w:rsidRPr="00AF0164" w:rsidRDefault="00060F7A" w:rsidP="00FB3A50">
            <w:pPr>
              <w:rPr>
                <w:sz w:val="18"/>
                <w:szCs w:val="18"/>
              </w:rPr>
            </w:pPr>
            <w:r w:rsidRPr="00AF0164">
              <w:rPr>
                <w:b/>
                <w:bCs/>
                <w:sz w:val="18"/>
                <w:szCs w:val="18"/>
              </w:rPr>
              <w:t>Indicator 1.3.3</w:t>
            </w:r>
            <w:r w:rsidR="00844495">
              <w:rPr>
                <w:sz w:val="18"/>
                <w:szCs w:val="18"/>
              </w:rPr>
              <w:t xml:space="preserve">. </w:t>
            </w:r>
            <w:r w:rsidRPr="00AF0164">
              <w:rPr>
                <w:sz w:val="18"/>
                <w:szCs w:val="18"/>
              </w:rPr>
              <w:t>Percentage of DTCs covered by the information system on prices and agro-pastoral products</w:t>
            </w:r>
          </w:p>
          <w:p w14:paraId="79A02471" w14:textId="77777777" w:rsidR="00060F7A" w:rsidRPr="00786E8D" w:rsidRDefault="00060F7A" w:rsidP="00FB3A50">
            <w:pPr>
              <w:jc w:val="both"/>
              <w:rPr>
                <w:sz w:val="18"/>
                <w:szCs w:val="18"/>
                <w:lang w:val="en-US"/>
              </w:rPr>
            </w:pPr>
            <w:r w:rsidRPr="00786E8D">
              <w:rPr>
                <w:i/>
                <w:iCs/>
                <w:sz w:val="18"/>
                <w:szCs w:val="18"/>
                <w:lang w:val="en-US"/>
              </w:rPr>
              <w:t>Baseline</w:t>
            </w:r>
            <w:r w:rsidRPr="00786E8D">
              <w:rPr>
                <w:sz w:val="18"/>
                <w:szCs w:val="18"/>
                <w:lang w:val="en-US"/>
              </w:rPr>
              <w:t xml:space="preserve"> (2020): 6%</w:t>
            </w:r>
          </w:p>
          <w:p w14:paraId="0FA2FD90" w14:textId="77777777" w:rsidR="00060F7A" w:rsidRPr="00786E8D" w:rsidRDefault="00060F7A" w:rsidP="00FB3A50">
            <w:pPr>
              <w:jc w:val="both"/>
              <w:rPr>
                <w:sz w:val="18"/>
                <w:szCs w:val="18"/>
                <w:lang w:val="en-US"/>
              </w:rPr>
            </w:pPr>
            <w:r w:rsidRPr="00786E8D">
              <w:rPr>
                <w:i/>
                <w:iCs/>
                <w:sz w:val="18"/>
                <w:szCs w:val="18"/>
                <w:lang w:val="en-US"/>
              </w:rPr>
              <w:t>Target</w:t>
            </w:r>
            <w:r w:rsidRPr="00786E8D">
              <w:rPr>
                <w:sz w:val="18"/>
                <w:szCs w:val="18"/>
                <w:lang w:val="en-US"/>
              </w:rPr>
              <w:t xml:space="preserve"> (2026): 24%</w:t>
            </w:r>
          </w:p>
          <w:p w14:paraId="7AE6302F" w14:textId="041B82DA" w:rsidR="00060F7A" w:rsidRPr="00786E8D" w:rsidRDefault="00060F7A" w:rsidP="00FB3A50">
            <w:pPr>
              <w:rPr>
                <w:sz w:val="18"/>
                <w:szCs w:val="18"/>
                <w:lang w:val="en-US"/>
              </w:rPr>
            </w:pPr>
            <w:r w:rsidRPr="00786E8D">
              <w:rPr>
                <w:i/>
                <w:iCs/>
                <w:sz w:val="18"/>
                <w:szCs w:val="18"/>
                <w:lang w:val="en-US"/>
              </w:rPr>
              <w:t>Data source</w:t>
            </w:r>
            <w:r w:rsidR="00844495" w:rsidRPr="00786E8D">
              <w:rPr>
                <w:sz w:val="18"/>
                <w:szCs w:val="18"/>
                <w:lang w:val="en-US"/>
              </w:rPr>
              <w:t>:</w:t>
            </w:r>
            <w:r w:rsidRPr="00786E8D">
              <w:rPr>
                <w:sz w:val="18"/>
                <w:szCs w:val="18"/>
                <w:lang w:val="en-US"/>
              </w:rPr>
              <w:t xml:space="preserve"> CAMIS implementation reports</w:t>
            </w:r>
          </w:p>
          <w:p w14:paraId="2D18AE80" w14:textId="7CD34CB0"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tcPr>
          <w:p w14:paraId="26EB3DBE" w14:textId="33A1E470" w:rsidR="00060F7A" w:rsidRPr="00AF0164" w:rsidRDefault="00060F7A" w:rsidP="00DC672A">
            <w:pPr>
              <w:rPr>
                <w:sz w:val="18"/>
                <w:szCs w:val="18"/>
              </w:rPr>
            </w:pPr>
            <w:r w:rsidRPr="00AF0164">
              <w:rPr>
                <w:sz w:val="18"/>
                <w:szCs w:val="18"/>
              </w:rPr>
              <w:t xml:space="preserve">MINPMEESA, MINPROFF, MINJEC, MINDDEVEL, MINEPAT, MINADER, MINFI, NIS, MINCOMMERCE, MINEFOP, World Bank, </w:t>
            </w:r>
            <w:r w:rsidR="00A90E70">
              <w:rPr>
                <w:sz w:val="18"/>
                <w:szCs w:val="18"/>
              </w:rPr>
              <w:t>BADEA</w:t>
            </w:r>
            <w:r w:rsidRPr="00AF0164">
              <w:rPr>
                <w:sz w:val="18"/>
                <w:szCs w:val="18"/>
              </w:rPr>
              <w:t>, IFAD, CNYC</w:t>
            </w:r>
          </w:p>
        </w:tc>
        <w:tc>
          <w:tcPr>
            <w:tcW w:w="720" w:type="pct"/>
            <w:gridSpan w:val="2"/>
            <w:tcMar>
              <w:top w:w="15" w:type="dxa"/>
              <w:left w:w="108" w:type="dxa"/>
              <w:bottom w:w="0" w:type="dxa"/>
              <w:right w:w="108" w:type="dxa"/>
            </w:tcMar>
          </w:tcPr>
          <w:p w14:paraId="29AC6250" w14:textId="77777777" w:rsidR="00060F7A" w:rsidRPr="00AF0164" w:rsidRDefault="00060F7A" w:rsidP="002E7C2A">
            <w:pPr>
              <w:jc w:val="both"/>
              <w:rPr>
                <w:b/>
                <w:sz w:val="18"/>
                <w:szCs w:val="18"/>
              </w:rPr>
            </w:pPr>
          </w:p>
        </w:tc>
      </w:tr>
      <w:tr w:rsidR="00060F7A" w:rsidRPr="00AF0164" w14:paraId="2AC85BAF" w14:textId="77777777" w:rsidTr="002E7C2A">
        <w:trPr>
          <w:jc w:val="center"/>
        </w:trPr>
        <w:tc>
          <w:tcPr>
            <w:tcW w:w="1083" w:type="pct"/>
            <w:tcMar>
              <w:top w:w="72" w:type="dxa"/>
              <w:left w:w="144" w:type="dxa"/>
              <w:bottom w:w="72" w:type="dxa"/>
              <w:right w:w="144" w:type="dxa"/>
            </w:tcMar>
          </w:tcPr>
          <w:p w14:paraId="3CCBE9AE" w14:textId="77777777" w:rsidR="00060F7A" w:rsidRPr="00AF0164" w:rsidRDefault="00060F7A" w:rsidP="002E7C2A">
            <w:pPr>
              <w:jc w:val="both"/>
              <w:rPr>
                <w:sz w:val="18"/>
                <w:szCs w:val="18"/>
              </w:rPr>
            </w:pPr>
          </w:p>
        </w:tc>
        <w:tc>
          <w:tcPr>
            <w:tcW w:w="1186" w:type="pct"/>
            <w:gridSpan w:val="2"/>
          </w:tcPr>
          <w:p w14:paraId="75D079C5" w14:textId="77777777" w:rsidR="00060F7A" w:rsidRPr="00AF0164" w:rsidRDefault="00060F7A" w:rsidP="002E7C2A">
            <w:pPr>
              <w:jc w:val="both"/>
              <w:rPr>
                <w:sz w:val="18"/>
                <w:szCs w:val="18"/>
              </w:rPr>
            </w:pPr>
          </w:p>
        </w:tc>
        <w:tc>
          <w:tcPr>
            <w:tcW w:w="1136" w:type="pct"/>
            <w:gridSpan w:val="2"/>
            <w:tcMar>
              <w:top w:w="72" w:type="dxa"/>
              <w:left w:w="144" w:type="dxa"/>
              <w:bottom w:w="72" w:type="dxa"/>
              <w:right w:w="144" w:type="dxa"/>
            </w:tcMar>
          </w:tcPr>
          <w:p w14:paraId="59DC784B" w14:textId="06CF912C" w:rsidR="00060F7A" w:rsidRPr="00AF0164" w:rsidRDefault="00060F7A" w:rsidP="002E7C2A">
            <w:pPr>
              <w:rPr>
                <w:sz w:val="18"/>
                <w:szCs w:val="18"/>
              </w:rPr>
            </w:pPr>
            <w:r w:rsidRPr="00AF0164">
              <w:rPr>
                <w:b/>
                <w:bCs/>
                <w:sz w:val="18"/>
                <w:szCs w:val="18"/>
              </w:rPr>
              <w:t>Output 1.4</w:t>
            </w:r>
            <w:r w:rsidR="00844495">
              <w:rPr>
                <w:b/>
                <w:bCs/>
                <w:sz w:val="18"/>
                <w:szCs w:val="18"/>
              </w:rPr>
              <w:t>.</w:t>
            </w:r>
            <w:r w:rsidRPr="00AF0164">
              <w:rPr>
                <w:b/>
                <w:bCs/>
                <w:sz w:val="18"/>
                <w:szCs w:val="18"/>
              </w:rPr>
              <w:t xml:space="preserve"> </w:t>
            </w:r>
            <w:r w:rsidRPr="00AF0164">
              <w:rPr>
                <w:sz w:val="18"/>
                <w:szCs w:val="18"/>
              </w:rPr>
              <w:t>Capacities of exporting SMEs and national institutions strengthened for better subregional and continental integration within the framework of AfCFTA.</w:t>
            </w:r>
          </w:p>
          <w:p w14:paraId="79FFCDA7" w14:textId="77777777" w:rsidR="00060F7A" w:rsidRPr="00AF0164" w:rsidRDefault="00060F7A" w:rsidP="002E7C2A">
            <w:pPr>
              <w:jc w:val="both"/>
              <w:rPr>
                <w:sz w:val="18"/>
                <w:szCs w:val="18"/>
              </w:rPr>
            </w:pPr>
          </w:p>
          <w:p w14:paraId="65817BE6" w14:textId="514DE134" w:rsidR="00060F7A" w:rsidRPr="00AF0164" w:rsidRDefault="00060F7A" w:rsidP="00C3122F">
            <w:pPr>
              <w:rPr>
                <w:sz w:val="18"/>
                <w:szCs w:val="18"/>
              </w:rPr>
            </w:pPr>
            <w:r w:rsidRPr="00AF0164">
              <w:rPr>
                <w:b/>
                <w:bCs/>
                <w:sz w:val="18"/>
                <w:szCs w:val="18"/>
              </w:rPr>
              <w:t>Indicator 1.4.1</w:t>
            </w:r>
            <w:r w:rsidR="00844495" w:rsidRPr="00FB3A50">
              <w:rPr>
                <w:b/>
                <w:bCs/>
                <w:sz w:val="18"/>
                <w:szCs w:val="18"/>
              </w:rPr>
              <w:t>.</w:t>
            </w:r>
            <w:r w:rsidR="00844495">
              <w:rPr>
                <w:sz w:val="18"/>
                <w:szCs w:val="18"/>
              </w:rPr>
              <w:t xml:space="preserve"> </w:t>
            </w:r>
            <w:r w:rsidRPr="00AF0164">
              <w:rPr>
                <w:sz w:val="18"/>
                <w:szCs w:val="18"/>
              </w:rPr>
              <w:t>Number of facilitation tools developed</w:t>
            </w:r>
            <w:r w:rsidR="00C3122F" w:rsidRPr="00AF0164">
              <w:rPr>
                <w:sz w:val="18"/>
                <w:szCs w:val="18"/>
              </w:rPr>
              <w:t xml:space="preserve"> (e</w:t>
            </w:r>
            <w:r w:rsidR="00844495">
              <w:rPr>
                <w:sz w:val="18"/>
                <w:szCs w:val="18"/>
              </w:rPr>
              <w:t>,</w:t>
            </w:r>
            <w:r w:rsidR="00C3122F" w:rsidRPr="00AF0164">
              <w:rPr>
                <w:sz w:val="18"/>
                <w:szCs w:val="18"/>
              </w:rPr>
              <w:t>g.</w:t>
            </w:r>
            <w:r w:rsidR="00844495">
              <w:rPr>
                <w:sz w:val="18"/>
                <w:szCs w:val="18"/>
              </w:rPr>
              <w:t>,</w:t>
            </w:r>
            <w:r w:rsidR="00C3122F" w:rsidRPr="00AF0164">
              <w:rPr>
                <w:sz w:val="18"/>
                <w:szCs w:val="18"/>
              </w:rPr>
              <w:t xml:space="preserve"> </w:t>
            </w:r>
            <w:r w:rsidR="00844495">
              <w:rPr>
                <w:sz w:val="18"/>
                <w:szCs w:val="18"/>
              </w:rPr>
              <w:t>t</w:t>
            </w:r>
            <w:r w:rsidR="00C3122F" w:rsidRPr="00AF0164">
              <w:rPr>
                <w:sz w:val="18"/>
                <w:szCs w:val="18"/>
              </w:rPr>
              <w:t>ax services, certification services</w:t>
            </w:r>
            <w:r w:rsidR="00844495">
              <w:rPr>
                <w:sz w:val="18"/>
                <w:szCs w:val="18"/>
              </w:rPr>
              <w:t>,</w:t>
            </w:r>
            <w:r w:rsidR="00C3122F" w:rsidRPr="00AF0164">
              <w:rPr>
                <w:sz w:val="18"/>
                <w:szCs w:val="18"/>
              </w:rPr>
              <w:t xml:space="preserve"> etc). </w:t>
            </w:r>
          </w:p>
          <w:p w14:paraId="11BC6981"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(2020):0</w:t>
            </w:r>
          </w:p>
          <w:p w14:paraId="04282BFF"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3</w:t>
            </w:r>
          </w:p>
          <w:p w14:paraId="4C8828DB" w14:textId="3A6D8F35" w:rsidR="00E955EA" w:rsidRPr="00AF0164" w:rsidRDefault="00060F7A" w:rsidP="00FB3A50">
            <w:pPr>
              <w:jc w:val="both"/>
              <w:rPr>
                <w:sz w:val="18"/>
                <w:szCs w:val="18"/>
              </w:rPr>
            </w:pPr>
            <w:r w:rsidRPr="00FB3A50">
              <w:rPr>
                <w:i/>
                <w:iCs/>
                <w:sz w:val="18"/>
                <w:szCs w:val="18"/>
              </w:rPr>
              <w:t>Data source</w:t>
            </w:r>
            <w:r w:rsidR="00844495">
              <w:rPr>
                <w:sz w:val="18"/>
                <w:szCs w:val="18"/>
              </w:rPr>
              <w:t>:</w:t>
            </w:r>
            <w:r w:rsidRPr="00AF0164">
              <w:rPr>
                <w:sz w:val="18"/>
                <w:szCs w:val="18"/>
              </w:rPr>
              <w:t xml:space="preserve"> </w:t>
            </w:r>
            <w:r w:rsidR="00DB2B51">
              <w:rPr>
                <w:sz w:val="18"/>
                <w:szCs w:val="18"/>
              </w:rPr>
              <w:t>P</w:t>
            </w:r>
            <w:r w:rsidRPr="00AF0164">
              <w:rPr>
                <w:sz w:val="18"/>
                <w:szCs w:val="18"/>
              </w:rPr>
              <w:t>roject reports</w:t>
            </w:r>
          </w:p>
          <w:p w14:paraId="08CEEF27" w14:textId="3DA3B5F4" w:rsidR="00060F7A" w:rsidRPr="00AF0164" w:rsidRDefault="00060F7A" w:rsidP="00FB3A50">
            <w:pPr>
              <w:jc w:val="both"/>
              <w:rPr>
                <w:sz w:val="18"/>
                <w:szCs w:val="18"/>
              </w:rPr>
            </w:pPr>
            <w:r w:rsidRPr="00FB3A50">
              <w:rPr>
                <w:i/>
                <w:iCs/>
                <w:sz w:val="18"/>
                <w:szCs w:val="18"/>
              </w:rPr>
              <w:t>Frequency</w:t>
            </w:r>
            <w:r w:rsidRPr="00AF0164">
              <w:rPr>
                <w:sz w:val="18"/>
                <w:szCs w:val="18"/>
              </w:rPr>
              <w:t>: Annual</w:t>
            </w:r>
          </w:p>
          <w:p w14:paraId="05B972A7" w14:textId="77777777" w:rsidR="00060F7A" w:rsidRPr="00AF0164" w:rsidRDefault="00060F7A" w:rsidP="002E7C2A">
            <w:pPr>
              <w:jc w:val="both"/>
              <w:rPr>
                <w:sz w:val="18"/>
                <w:szCs w:val="18"/>
              </w:rPr>
            </w:pPr>
          </w:p>
          <w:p w14:paraId="6A9F95ED" w14:textId="3790859B" w:rsidR="00060F7A" w:rsidRPr="00AF0164" w:rsidRDefault="00060F7A" w:rsidP="002E7C2A">
            <w:pPr>
              <w:rPr>
                <w:sz w:val="18"/>
                <w:szCs w:val="18"/>
              </w:rPr>
            </w:pPr>
            <w:r w:rsidRPr="00AF0164">
              <w:rPr>
                <w:b/>
                <w:bCs/>
                <w:sz w:val="18"/>
                <w:szCs w:val="18"/>
              </w:rPr>
              <w:t>Indicator 1.4.2</w:t>
            </w:r>
            <w:r w:rsidR="00844495">
              <w:rPr>
                <w:b/>
                <w:bCs/>
                <w:sz w:val="18"/>
                <w:szCs w:val="18"/>
              </w:rPr>
              <w:t xml:space="preserve">. </w:t>
            </w:r>
            <w:r w:rsidRPr="00AF0164">
              <w:rPr>
                <w:sz w:val="18"/>
                <w:szCs w:val="18"/>
              </w:rPr>
              <w:t xml:space="preserve">Number of institutions and SMEs strengthened to improve access to export market </w:t>
            </w:r>
          </w:p>
          <w:p w14:paraId="074787EF"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(2020):0</w:t>
            </w:r>
          </w:p>
          <w:p w14:paraId="5E367F57"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200 (10 institutions and 190 SMEs) </w:t>
            </w:r>
          </w:p>
          <w:p w14:paraId="6BC00A30" w14:textId="58CCFD7D"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 </w:t>
            </w:r>
          </w:p>
          <w:p w14:paraId="16BDA8EA" w14:textId="18CE1A6A"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tcPr>
          <w:p w14:paraId="55C70066" w14:textId="46913F41" w:rsidR="006B3B70" w:rsidRDefault="00060F7A" w:rsidP="00DC672A">
            <w:pPr>
              <w:rPr>
                <w:sz w:val="18"/>
                <w:szCs w:val="18"/>
              </w:rPr>
            </w:pPr>
            <w:r w:rsidRPr="00AF0164">
              <w:rPr>
                <w:sz w:val="18"/>
                <w:szCs w:val="18"/>
              </w:rPr>
              <w:t xml:space="preserve">MINPMEESA, MINJEC, MINMIDT, MINEPAT, MINADER, MINFI, MINEPIA, MINCOMMERCE, MINEFOP, </w:t>
            </w:r>
          </w:p>
          <w:p w14:paraId="0505E42A" w14:textId="7DD0C7B0" w:rsidR="00060F7A" w:rsidRPr="00AF0164" w:rsidRDefault="00060F7A" w:rsidP="00DC672A">
            <w:pPr>
              <w:rPr>
                <w:sz w:val="18"/>
                <w:szCs w:val="18"/>
              </w:rPr>
            </w:pPr>
            <w:r w:rsidRPr="00AF0164">
              <w:rPr>
                <w:sz w:val="18"/>
                <w:szCs w:val="18"/>
              </w:rPr>
              <w:t>World Bank, E</w:t>
            </w:r>
            <w:r w:rsidR="00844495">
              <w:rPr>
                <w:sz w:val="18"/>
                <w:szCs w:val="18"/>
              </w:rPr>
              <w:t xml:space="preserve">uropean </w:t>
            </w:r>
            <w:r w:rsidRPr="00AF0164">
              <w:rPr>
                <w:sz w:val="18"/>
                <w:szCs w:val="18"/>
              </w:rPr>
              <w:t>U</w:t>
            </w:r>
            <w:r w:rsidR="00844495">
              <w:rPr>
                <w:sz w:val="18"/>
                <w:szCs w:val="18"/>
              </w:rPr>
              <w:t>nion</w:t>
            </w:r>
            <w:r w:rsidRPr="00AF0164">
              <w:rPr>
                <w:sz w:val="18"/>
                <w:szCs w:val="18"/>
              </w:rPr>
              <w:t>, ADB, IFAD, CEMAC, ECCAS, A</w:t>
            </w:r>
            <w:r w:rsidR="00844495">
              <w:rPr>
                <w:sz w:val="18"/>
                <w:szCs w:val="18"/>
              </w:rPr>
              <w:t xml:space="preserve">frican </w:t>
            </w:r>
            <w:r w:rsidRPr="00AF0164">
              <w:rPr>
                <w:sz w:val="18"/>
                <w:szCs w:val="18"/>
              </w:rPr>
              <w:t>U</w:t>
            </w:r>
            <w:r w:rsidR="00844495">
              <w:rPr>
                <w:sz w:val="18"/>
                <w:szCs w:val="18"/>
              </w:rPr>
              <w:t>nion</w:t>
            </w:r>
            <w:r w:rsidRPr="00AF0164">
              <w:rPr>
                <w:sz w:val="18"/>
                <w:szCs w:val="18"/>
              </w:rPr>
              <w:t>, UNECA,</w:t>
            </w:r>
            <w:r w:rsidR="00844495">
              <w:rPr>
                <w:sz w:val="18"/>
                <w:szCs w:val="18"/>
              </w:rPr>
              <w:t xml:space="preserve"> p</w:t>
            </w:r>
            <w:r w:rsidRPr="00AF0164">
              <w:rPr>
                <w:sz w:val="18"/>
                <w:szCs w:val="18"/>
              </w:rPr>
              <w:t xml:space="preserve">rivate </w:t>
            </w:r>
            <w:r w:rsidR="00844495">
              <w:rPr>
                <w:sz w:val="18"/>
                <w:szCs w:val="18"/>
              </w:rPr>
              <w:t>s</w:t>
            </w:r>
            <w:r w:rsidRPr="00AF0164">
              <w:rPr>
                <w:sz w:val="18"/>
                <w:szCs w:val="18"/>
              </w:rPr>
              <w:t>ector</w:t>
            </w:r>
            <w:r w:rsidR="006B3B70" w:rsidRPr="006B3B70">
              <w:rPr>
                <w:sz w:val="18"/>
                <w:szCs w:val="18"/>
              </w:rPr>
              <w:t xml:space="preserve"> GICAM</w:t>
            </w:r>
          </w:p>
        </w:tc>
        <w:tc>
          <w:tcPr>
            <w:tcW w:w="720" w:type="pct"/>
            <w:gridSpan w:val="2"/>
            <w:tcMar>
              <w:top w:w="15" w:type="dxa"/>
              <w:left w:w="108" w:type="dxa"/>
              <w:bottom w:w="0" w:type="dxa"/>
              <w:right w:w="108" w:type="dxa"/>
            </w:tcMar>
          </w:tcPr>
          <w:p w14:paraId="4E0ED9DA" w14:textId="77777777" w:rsidR="00060F7A" w:rsidRPr="00AF0164" w:rsidRDefault="00060F7A" w:rsidP="002E7C2A">
            <w:pPr>
              <w:jc w:val="both"/>
              <w:rPr>
                <w:b/>
                <w:sz w:val="18"/>
                <w:szCs w:val="18"/>
              </w:rPr>
            </w:pPr>
          </w:p>
        </w:tc>
      </w:tr>
      <w:tr w:rsidR="00060F7A" w:rsidRPr="00AF0164" w14:paraId="2B5FFC89"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63721A18" w14:textId="7C373530" w:rsidR="00060F7A" w:rsidRPr="00AF0164" w:rsidRDefault="00060F7A" w:rsidP="002E7C2A">
            <w:pPr>
              <w:jc w:val="both"/>
              <w:rPr>
                <w:sz w:val="18"/>
                <w:szCs w:val="18"/>
              </w:rPr>
            </w:pPr>
            <w:r w:rsidRPr="00AF0164">
              <w:rPr>
                <w:b/>
                <w:bCs/>
                <w:sz w:val="18"/>
                <w:szCs w:val="18"/>
              </w:rPr>
              <w:t>NATIONAL PRIORITY OR GOAL</w:t>
            </w:r>
            <w:r w:rsidRPr="00AF0164">
              <w:rPr>
                <w:sz w:val="18"/>
                <w:szCs w:val="18"/>
              </w:rPr>
              <w:t xml:space="preserve">: Governance, </w:t>
            </w:r>
            <w:r w:rsidR="00A50B76">
              <w:rPr>
                <w:sz w:val="18"/>
                <w:szCs w:val="18"/>
              </w:rPr>
              <w:t>d</w:t>
            </w:r>
            <w:r w:rsidRPr="00AF0164">
              <w:rPr>
                <w:sz w:val="18"/>
                <w:szCs w:val="18"/>
              </w:rPr>
              <w:t xml:space="preserve">ecentralization and </w:t>
            </w:r>
            <w:r w:rsidR="00A50B76">
              <w:rPr>
                <w:sz w:val="18"/>
                <w:szCs w:val="18"/>
              </w:rPr>
              <w:t>s</w:t>
            </w:r>
            <w:r w:rsidRPr="00AF0164">
              <w:rPr>
                <w:sz w:val="18"/>
                <w:szCs w:val="18"/>
              </w:rPr>
              <w:t xml:space="preserve">trategic </w:t>
            </w:r>
            <w:r w:rsidR="00A50B76">
              <w:rPr>
                <w:sz w:val="18"/>
                <w:szCs w:val="18"/>
              </w:rPr>
              <w:t>m</w:t>
            </w:r>
            <w:r w:rsidRPr="00AF0164">
              <w:rPr>
                <w:sz w:val="18"/>
                <w:szCs w:val="18"/>
              </w:rPr>
              <w:t xml:space="preserve">anagement of the </w:t>
            </w:r>
            <w:r w:rsidR="00A50B76">
              <w:rPr>
                <w:sz w:val="18"/>
                <w:szCs w:val="18"/>
              </w:rPr>
              <w:t>s</w:t>
            </w:r>
            <w:r w:rsidRPr="00AF0164">
              <w:rPr>
                <w:sz w:val="18"/>
                <w:szCs w:val="18"/>
              </w:rPr>
              <w:t>tate (</w:t>
            </w:r>
            <w:r w:rsidR="00A50B76">
              <w:rPr>
                <w:sz w:val="18"/>
                <w:szCs w:val="18"/>
              </w:rPr>
              <w:t>s</w:t>
            </w:r>
            <w:r w:rsidRPr="00AF0164">
              <w:rPr>
                <w:sz w:val="18"/>
                <w:szCs w:val="18"/>
              </w:rPr>
              <w:t xml:space="preserve">trategic </w:t>
            </w:r>
            <w:r w:rsidR="00A50B76">
              <w:rPr>
                <w:sz w:val="18"/>
                <w:szCs w:val="18"/>
              </w:rPr>
              <w:t>p</w:t>
            </w:r>
            <w:r w:rsidRPr="00AF0164">
              <w:rPr>
                <w:sz w:val="18"/>
                <w:szCs w:val="18"/>
              </w:rPr>
              <w:t>illar 4 NDS 2030)</w:t>
            </w:r>
            <w:r w:rsidR="00A50B76">
              <w:rPr>
                <w:sz w:val="18"/>
                <w:szCs w:val="18"/>
              </w:rPr>
              <w:t>.</w:t>
            </w:r>
          </w:p>
        </w:tc>
      </w:tr>
      <w:tr w:rsidR="00060F7A" w:rsidRPr="00AF0164" w14:paraId="4EDDAB47"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5991F12A" w14:textId="4197793A" w:rsidR="00060F7A" w:rsidRPr="00AF0164" w:rsidRDefault="00060F7A" w:rsidP="002E7C2A">
            <w:pPr>
              <w:jc w:val="both"/>
              <w:rPr>
                <w:sz w:val="18"/>
                <w:szCs w:val="18"/>
              </w:rPr>
            </w:pPr>
            <w:r w:rsidRPr="00AF0164">
              <w:rPr>
                <w:b/>
                <w:bCs/>
                <w:sz w:val="18"/>
                <w:szCs w:val="18"/>
              </w:rPr>
              <w:t>COOPERATION FRAMEWORK (OR EQUIVALENT) OUTCOME INVOLVING UNDP 1:</w:t>
            </w:r>
            <w:r w:rsidRPr="00AF0164">
              <w:rPr>
                <w:sz w:val="18"/>
                <w:szCs w:val="18"/>
              </w:rPr>
              <w:t xml:space="preserve"> By 2026, youth, women, the most vulnerable groups, and people living with disabilities actively contribute to the effectiveness of policies and the performance of public institutions at the national, </w:t>
            </w:r>
            <w:r w:rsidR="000E2C0C" w:rsidRPr="00AF0164">
              <w:rPr>
                <w:sz w:val="18"/>
                <w:szCs w:val="18"/>
              </w:rPr>
              <w:t>regional,</w:t>
            </w:r>
            <w:r w:rsidRPr="00AF0164">
              <w:rPr>
                <w:sz w:val="18"/>
                <w:szCs w:val="18"/>
              </w:rPr>
              <w:t xml:space="preserve"> and municipal levels, and fully enjoy their rights. (</w:t>
            </w:r>
            <w:r w:rsidR="00A50B76">
              <w:rPr>
                <w:sz w:val="18"/>
                <w:szCs w:val="18"/>
              </w:rPr>
              <w:t xml:space="preserve">Goals </w:t>
            </w:r>
            <w:r w:rsidRPr="00AF0164">
              <w:rPr>
                <w:sz w:val="18"/>
                <w:szCs w:val="18"/>
              </w:rPr>
              <w:t>5, 10, 11, 13, 14, 15, 16, 17)</w:t>
            </w:r>
            <w:r w:rsidR="00A50B76">
              <w:rPr>
                <w:sz w:val="18"/>
                <w:szCs w:val="18"/>
              </w:rPr>
              <w:t>.</w:t>
            </w:r>
          </w:p>
        </w:tc>
      </w:tr>
      <w:tr w:rsidR="00060F7A" w:rsidRPr="00AF0164" w14:paraId="5E1FBBA3"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19013375" w14:textId="3E5E22B3" w:rsidR="00060F7A" w:rsidRPr="00AF0164" w:rsidRDefault="00060F7A" w:rsidP="002E7C2A">
            <w:pPr>
              <w:jc w:val="both"/>
              <w:rPr>
                <w:sz w:val="18"/>
                <w:szCs w:val="18"/>
              </w:rPr>
            </w:pPr>
            <w:r w:rsidRPr="00AF0164">
              <w:rPr>
                <w:b/>
                <w:bCs/>
                <w:sz w:val="18"/>
                <w:szCs w:val="18"/>
              </w:rPr>
              <w:t>RELATED STRATEGIC PLAN OUTCOME 3:</w:t>
            </w:r>
            <w:r w:rsidRPr="00AF0164">
              <w:rPr>
                <w:sz w:val="18"/>
                <w:szCs w:val="18"/>
              </w:rPr>
              <w:t xml:space="preserve"> </w:t>
            </w:r>
            <w:r w:rsidRPr="00FB3A50">
              <w:rPr>
                <w:sz w:val="18"/>
                <w:szCs w:val="18"/>
              </w:rPr>
              <w:t>Building resilience to shocks and crises</w:t>
            </w:r>
            <w:r w:rsidR="00A50B76" w:rsidRPr="00FB3A50">
              <w:rPr>
                <w:sz w:val="18"/>
                <w:szCs w:val="18"/>
              </w:rPr>
              <w:t>.</w:t>
            </w:r>
          </w:p>
        </w:tc>
      </w:tr>
      <w:tr w:rsidR="00060F7A" w:rsidRPr="00AF0164" w14:paraId="494ED6E8" w14:textId="77777777" w:rsidTr="002E7C2A">
        <w:trPr>
          <w:jc w:val="center"/>
        </w:trPr>
        <w:tc>
          <w:tcPr>
            <w:tcW w:w="1083" w:type="pct"/>
            <w:vMerge w:val="restart"/>
            <w:tcMar>
              <w:top w:w="72" w:type="dxa"/>
              <w:left w:w="144" w:type="dxa"/>
              <w:bottom w:w="72" w:type="dxa"/>
              <w:right w:w="144" w:type="dxa"/>
            </w:tcMar>
          </w:tcPr>
          <w:p w14:paraId="32CA6EA3" w14:textId="77777777" w:rsidR="00060F7A" w:rsidRPr="008C3B54" w:rsidRDefault="00060F7A" w:rsidP="002E7C2A">
            <w:pPr>
              <w:rPr>
                <w:b/>
                <w:sz w:val="18"/>
                <w:szCs w:val="18"/>
              </w:rPr>
            </w:pPr>
            <w:r w:rsidRPr="00FB3A50">
              <w:rPr>
                <w:b/>
                <w:sz w:val="18"/>
                <w:szCs w:val="18"/>
              </w:rPr>
              <w:t>Percentage of women mayors, senators, parliamentarians</w:t>
            </w:r>
          </w:p>
          <w:p w14:paraId="1B031F76" w14:textId="77777777" w:rsidR="00060F7A" w:rsidRPr="00AF0164" w:rsidRDefault="00060F7A" w:rsidP="002E7C2A">
            <w:pPr>
              <w:rPr>
                <w:bCs/>
                <w:sz w:val="18"/>
                <w:szCs w:val="18"/>
              </w:rPr>
            </w:pPr>
            <w:r w:rsidRPr="00FB3A50">
              <w:rPr>
                <w:bCs/>
                <w:i/>
                <w:iCs/>
                <w:sz w:val="18"/>
                <w:szCs w:val="18"/>
              </w:rPr>
              <w:t>Baseline</w:t>
            </w:r>
            <w:r w:rsidRPr="00AF0164">
              <w:rPr>
                <w:bCs/>
                <w:sz w:val="18"/>
                <w:szCs w:val="18"/>
              </w:rPr>
              <w:t xml:space="preserve"> (2021): 19.68%</w:t>
            </w:r>
          </w:p>
          <w:p w14:paraId="61DAA6D7" w14:textId="6B127F02" w:rsidR="00060F7A" w:rsidRPr="00AF0164" w:rsidRDefault="00060F7A" w:rsidP="002E7C2A">
            <w:pPr>
              <w:rPr>
                <w:bCs/>
                <w:sz w:val="18"/>
                <w:szCs w:val="18"/>
              </w:rPr>
            </w:pPr>
            <w:r w:rsidRPr="00FB3A50">
              <w:rPr>
                <w:bCs/>
                <w:i/>
                <w:iCs/>
                <w:sz w:val="18"/>
                <w:szCs w:val="18"/>
              </w:rPr>
              <w:t>Target</w:t>
            </w:r>
            <w:r w:rsidRPr="00AF0164">
              <w:rPr>
                <w:bCs/>
                <w:sz w:val="18"/>
                <w:szCs w:val="18"/>
              </w:rPr>
              <w:t xml:space="preserve"> (2026): 30%</w:t>
            </w:r>
          </w:p>
          <w:p w14:paraId="1C3F700E" w14:textId="77777777" w:rsidR="00060F7A" w:rsidRPr="00AF0164" w:rsidRDefault="00060F7A" w:rsidP="002E7C2A">
            <w:pPr>
              <w:rPr>
                <w:b/>
                <w:sz w:val="18"/>
                <w:szCs w:val="18"/>
              </w:rPr>
            </w:pPr>
            <w:r w:rsidRPr="00AF0164">
              <w:rPr>
                <w:b/>
                <w:sz w:val="18"/>
                <w:szCs w:val="18"/>
              </w:rPr>
              <w:t xml:space="preserve">       </w:t>
            </w:r>
          </w:p>
          <w:p w14:paraId="48BA9CC8" w14:textId="77777777" w:rsidR="00060F7A" w:rsidRPr="00AF0164" w:rsidRDefault="00060F7A" w:rsidP="002E7C2A">
            <w:pPr>
              <w:jc w:val="both"/>
              <w:rPr>
                <w:b/>
                <w:sz w:val="18"/>
                <w:szCs w:val="18"/>
              </w:rPr>
            </w:pPr>
            <w:r w:rsidRPr="00AF0164">
              <w:rPr>
                <w:b/>
                <w:sz w:val="18"/>
                <w:szCs w:val="18"/>
              </w:rPr>
              <w:t xml:space="preserve">        </w:t>
            </w:r>
          </w:p>
          <w:p w14:paraId="3A1D7A60" w14:textId="77777777" w:rsidR="00060F7A" w:rsidRPr="00AF0164" w:rsidRDefault="00060F7A" w:rsidP="002E7C2A">
            <w:pPr>
              <w:jc w:val="both"/>
              <w:rPr>
                <w:b/>
                <w:sz w:val="18"/>
                <w:szCs w:val="18"/>
              </w:rPr>
            </w:pPr>
          </w:p>
          <w:p w14:paraId="17EC86ED" w14:textId="77777777" w:rsidR="00060F7A" w:rsidRPr="00AF0164" w:rsidRDefault="00060F7A" w:rsidP="002E7C2A">
            <w:pPr>
              <w:jc w:val="both"/>
              <w:rPr>
                <w:b/>
                <w:sz w:val="18"/>
                <w:szCs w:val="18"/>
              </w:rPr>
            </w:pPr>
          </w:p>
          <w:p w14:paraId="6800E19A" w14:textId="77777777" w:rsidR="00060F7A" w:rsidRPr="00AF0164" w:rsidRDefault="00060F7A" w:rsidP="002E7C2A">
            <w:pPr>
              <w:jc w:val="both"/>
              <w:rPr>
                <w:b/>
                <w:sz w:val="18"/>
                <w:szCs w:val="18"/>
              </w:rPr>
            </w:pPr>
          </w:p>
          <w:p w14:paraId="4A014A3A" w14:textId="77777777" w:rsidR="00060F7A" w:rsidRPr="00AF0164" w:rsidRDefault="00060F7A" w:rsidP="00FB3A50">
            <w:pPr>
              <w:rPr>
                <w:b/>
                <w:sz w:val="18"/>
                <w:szCs w:val="18"/>
              </w:rPr>
            </w:pPr>
            <w:r w:rsidRPr="00AF0164">
              <w:rPr>
                <w:b/>
                <w:sz w:val="18"/>
                <w:szCs w:val="18"/>
              </w:rPr>
              <w:t>Rate of user satisfaction with the quality of public service.</w:t>
            </w:r>
          </w:p>
          <w:p w14:paraId="2E897800" w14:textId="77777777" w:rsidR="00060F7A" w:rsidRPr="00AF0164" w:rsidRDefault="00060F7A" w:rsidP="002E7C2A">
            <w:pPr>
              <w:jc w:val="both"/>
              <w:rPr>
                <w:bCs/>
                <w:sz w:val="18"/>
                <w:szCs w:val="18"/>
              </w:rPr>
            </w:pPr>
            <w:r w:rsidRPr="00AF0164">
              <w:rPr>
                <w:bCs/>
                <w:sz w:val="18"/>
                <w:szCs w:val="18"/>
              </w:rPr>
              <w:t>Baseline (2020):25%</w:t>
            </w:r>
          </w:p>
          <w:p w14:paraId="6ACD652D" w14:textId="77777777" w:rsidR="00060F7A" w:rsidRPr="00AF0164" w:rsidRDefault="00060F7A" w:rsidP="002E7C2A">
            <w:pPr>
              <w:jc w:val="both"/>
              <w:rPr>
                <w:bCs/>
                <w:sz w:val="18"/>
                <w:szCs w:val="18"/>
              </w:rPr>
            </w:pPr>
            <w:r w:rsidRPr="00AF0164">
              <w:rPr>
                <w:bCs/>
                <w:sz w:val="18"/>
                <w:szCs w:val="18"/>
              </w:rPr>
              <w:t>Target: (2026): 80%</w:t>
            </w:r>
          </w:p>
          <w:p w14:paraId="64AF4CA2" w14:textId="77777777" w:rsidR="00060F7A" w:rsidRPr="00AF0164" w:rsidRDefault="00060F7A" w:rsidP="002E7C2A">
            <w:pPr>
              <w:jc w:val="both"/>
              <w:rPr>
                <w:b/>
                <w:sz w:val="18"/>
                <w:szCs w:val="18"/>
              </w:rPr>
            </w:pPr>
          </w:p>
          <w:p w14:paraId="341BC23D" w14:textId="77777777" w:rsidR="00060F7A" w:rsidRPr="00AF0164" w:rsidRDefault="00060F7A" w:rsidP="002E7C2A">
            <w:pPr>
              <w:jc w:val="both"/>
              <w:rPr>
                <w:b/>
                <w:sz w:val="18"/>
                <w:szCs w:val="18"/>
              </w:rPr>
            </w:pPr>
          </w:p>
          <w:p w14:paraId="27F75A68" w14:textId="77777777" w:rsidR="00060F7A" w:rsidRPr="00AF0164" w:rsidRDefault="00060F7A" w:rsidP="002E7C2A">
            <w:pPr>
              <w:jc w:val="both"/>
              <w:rPr>
                <w:b/>
                <w:sz w:val="18"/>
                <w:szCs w:val="18"/>
              </w:rPr>
            </w:pPr>
          </w:p>
          <w:p w14:paraId="5753FCC1" w14:textId="77777777" w:rsidR="00060F7A" w:rsidRPr="00AF0164" w:rsidRDefault="00060F7A" w:rsidP="002E7C2A">
            <w:pPr>
              <w:jc w:val="both"/>
              <w:rPr>
                <w:b/>
                <w:sz w:val="18"/>
                <w:szCs w:val="18"/>
              </w:rPr>
            </w:pPr>
          </w:p>
          <w:p w14:paraId="4C146210" w14:textId="77777777" w:rsidR="00060F7A" w:rsidRPr="00AF0164" w:rsidRDefault="00060F7A" w:rsidP="002E7C2A">
            <w:pPr>
              <w:jc w:val="both"/>
              <w:rPr>
                <w:b/>
                <w:sz w:val="18"/>
                <w:szCs w:val="18"/>
              </w:rPr>
            </w:pPr>
          </w:p>
          <w:p w14:paraId="4502D382" w14:textId="77777777" w:rsidR="00060F7A" w:rsidRPr="00AF0164" w:rsidRDefault="00060F7A" w:rsidP="002E7C2A">
            <w:pPr>
              <w:jc w:val="both"/>
              <w:rPr>
                <w:b/>
                <w:sz w:val="18"/>
                <w:szCs w:val="18"/>
              </w:rPr>
            </w:pPr>
          </w:p>
          <w:p w14:paraId="1878F7F3" w14:textId="77777777" w:rsidR="00060F7A" w:rsidRPr="00AF0164" w:rsidRDefault="00060F7A" w:rsidP="002E7C2A">
            <w:pPr>
              <w:jc w:val="both"/>
              <w:rPr>
                <w:b/>
                <w:sz w:val="18"/>
                <w:szCs w:val="18"/>
              </w:rPr>
            </w:pPr>
          </w:p>
          <w:p w14:paraId="73CCD0F5" w14:textId="77777777" w:rsidR="00060F7A" w:rsidRPr="00AF0164" w:rsidRDefault="00060F7A" w:rsidP="002E7C2A">
            <w:pPr>
              <w:jc w:val="both"/>
              <w:rPr>
                <w:b/>
                <w:sz w:val="18"/>
                <w:szCs w:val="18"/>
              </w:rPr>
            </w:pPr>
          </w:p>
          <w:p w14:paraId="7E9C6A05" w14:textId="77777777" w:rsidR="00060F7A" w:rsidRPr="00AF0164" w:rsidRDefault="00060F7A" w:rsidP="002E7C2A">
            <w:pPr>
              <w:jc w:val="both"/>
              <w:rPr>
                <w:b/>
                <w:sz w:val="18"/>
                <w:szCs w:val="18"/>
              </w:rPr>
            </w:pPr>
            <w:r w:rsidRPr="00AF0164">
              <w:rPr>
                <w:b/>
                <w:sz w:val="18"/>
                <w:szCs w:val="18"/>
              </w:rPr>
              <w:t>Percentage of population with confidence in the justice system.</w:t>
            </w:r>
          </w:p>
          <w:p w14:paraId="519C40AB" w14:textId="77777777" w:rsidR="00060F7A" w:rsidRPr="00AF0164" w:rsidRDefault="00060F7A" w:rsidP="002E7C2A">
            <w:pPr>
              <w:jc w:val="both"/>
              <w:rPr>
                <w:bCs/>
                <w:sz w:val="18"/>
                <w:szCs w:val="18"/>
              </w:rPr>
            </w:pPr>
            <w:r w:rsidRPr="00AF0164">
              <w:rPr>
                <w:bCs/>
                <w:sz w:val="18"/>
                <w:szCs w:val="18"/>
              </w:rPr>
              <w:t>Baseline (2014):35%</w:t>
            </w:r>
          </w:p>
          <w:p w14:paraId="7269CDE3" w14:textId="77777777" w:rsidR="00060F7A" w:rsidRPr="00AF0164" w:rsidRDefault="00060F7A" w:rsidP="002E7C2A">
            <w:pPr>
              <w:jc w:val="both"/>
              <w:rPr>
                <w:bCs/>
                <w:sz w:val="18"/>
                <w:szCs w:val="18"/>
              </w:rPr>
            </w:pPr>
            <w:r w:rsidRPr="00AF0164">
              <w:rPr>
                <w:bCs/>
                <w:sz w:val="18"/>
                <w:szCs w:val="18"/>
              </w:rPr>
              <w:t>Target: (2026): 65%</w:t>
            </w:r>
          </w:p>
          <w:p w14:paraId="479BBA5B" w14:textId="77777777" w:rsidR="00060F7A" w:rsidRPr="00AF0164" w:rsidRDefault="00060F7A" w:rsidP="00F27B51">
            <w:pPr>
              <w:jc w:val="both"/>
              <w:rPr>
                <w:b/>
                <w:sz w:val="18"/>
                <w:szCs w:val="18"/>
              </w:rPr>
            </w:pPr>
          </w:p>
        </w:tc>
        <w:tc>
          <w:tcPr>
            <w:tcW w:w="824" w:type="pct"/>
            <w:vMerge w:val="restart"/>
          </w:tcPr>
          <w:p w14:paraId="3C490622" w14:textId="3F9F60DE" w:rsidR="00060F7A" w:rsidRPr="00AF0164" w:rsidRDefault="00060F7A" w:rsidP="00FB3A50">
            <w:pPr>
              <w:rPr>
                <w:sz w:val="18"/>
                <w:szCs w:val="18"/>
              </w:rPr>
            </w:pPr>
            <w:r w:rsidRPr="00AF0164">
              <w:rPr>
                <w:b/>
                <w:sz w:val="18"/>
                <w:szCs w:val="18"/>
              </w:rPr>
              <w:lastRenderedPageBreak/>
              <w:t xml:space="preserve">Data </w:t>
            </w:r>
            <w:r w:rsidR="00A50B76">
              <w:rPr>
                <w:b/>
                <w:sz w:val="18"/>
                <w:szCs w:val="18"/>
              </w:rPr>
              <w:t>s</w:t>
            </w:r>
            <w:r w:rsidRPr="00AF0164">
              <w:rPr>
                <w:b/>
                <w:sz w:val="18"/>
                <w:szCs w:val="18"/>
              </w:rPr>
              <w:t>ource:</w:t>
            </w:r>
            <w:r w:rsidRPr="00AF0164">
              <w:rPr>
                <w:sz w:val="18"/>
                <w:szCs w:val="18"/>
              </w:rPr>
              <w:t xml:space="preserve"> NIS, MINDDEVEL, MINFI, MINEPAT, MINFOPRA</w:t>
            </w:r>
          </w:p>
          <w:p w14:paraId="540F208C" w14:textId="77777777" w:rsidR="00060F7A" w:rsidRPr="00AF0164" w:rsidRDefault="00060F7A" w:rsidP="002E7C2A">
            <w:pPr>
              <w:jc w:val="both"/>
              <w:rPr>
                <w:bCs/>
                <w:sz w:val="18"/>
                <w:szCs w:val="18"/>
              </w:rPr>
            </w:pPr>
            <w:r w:rsidRPr="00AF0164">
              <w:rPr>
                <w:b/>
                <w:sz w:val="18"/>
                <w:szCs w:val="18"/>
              </w:rPr>
              <w:t xml:space="preserve">Frequency: </w:t>
            </w:r>
            <w:r w:rsidRPr="00AF0164">
              <w:rPr>
                <w:bCs/>
                <w:sz w:val="18"/>
                <w:szCs w:val="18"/>
              </w:rPr>
              <w:t xml:space="preserve">Annual </w:t>
            </w:r>
          </w:p>
          <w:p w14:paraId="63608ACD" w14:textId="77777777" w:rsidR="00060F7A" w:rsidRPr="00AF0164" w:rsidRDefault="00060F7A" w:rsidP="00FB3A50">
            <w:pPr>
              <w:rPr>
                <w:bCs/>
                <w:sz w:val="18"/>
                <w:szCs w:val="18"/>
              </w:rPr>
            </w:pPr>
            <w:r w:rsidRPr="00AF0164">
              <w:rPr>
                <w:bCs/>
                <w:sz w:val="18"/>
                <w:szCs w:val="18"/>
              </w:rPr>
              <w:t>Responsibility: NIS, MINFOPRA, MINEPAT</w:t>
            </w:r>
          </w:p>
          <w:p w14:paraId="09B9C28D" w14:textId="77777777" w:rsidR="00060F7A" w:rsidRPr="00AF0164" w:rsidRDefault="00060F7A" w:rsidP="002E7C2A">
            <w:pPr>
              <w:jc w:val="both"/>
              <w:rPr>
                <w:b/>
                <w:sz w:val="18"/>
                <w:szCs w:val="18"/>
              </w:rPr>
            </w:pPr>
          </w:p>
          <w:p w14:paraId="36695A2A" w14:textId="77777777" w:rsidR="00060F7A" w:rsidRPr="00AF0164" w:rsidRDefault="00060F7A" w:rsidP="002E7C2A">
            <w:pPr>
              <w:jc w:val="both"/>
              <w:rPr>
                <w:b/>
                <w:sz w:val="18"/>
                <w:szCs w:val="18"/>
              </w:rPr>
            </w:pPr>
          </w:p>
          <w:p w14:paraId="02B4C6EB" w14:textId="52883646" w:rsidR="00060F7A" w:rsidRPr="00AF0164" w:rsidRDefault="00060F7A" w:rsidP="00FB3A50">
            <w:pPr>
              <w:rPr>
                <w:bCs/>
                <w:sz w:val="18"/>
                <w:szCs w:val="18"/>
              </w:rPr>
            </w:pPr>
            <w:r w:rsidRPr="00AF0164">
              <w:rPr>
                <w:b/>
                <w:sz w:val="18"/>
                <w:szCs w:val="18"/>
              </w:rPr>
              <w:t xml:space="preserve">Data </w:t>
            </w:r>
            <w:r w:rsidR="00A50B76">
              <w:rPr>
                <w:b/>
                <w:sz w:val="18"/>
                <w:szCs w:val="18"/>
              </w:rPr>
              <w:t>s</w:t>
            </w:r>
            <w:r w:rsidRPr="00AF0164">
              <w:rPr>
                <w:b/>
                <w:sz w:val="18"/>
                <w:szCs w:val="18"/>
              </w:rPr>
              <w:t>ource:</w:t>
            </w:r>
            <w:r w:rsidRPr="00AF0164">
              <w:rPr>
                <w:sz w:val="18"/>
                <w:szCs w:val="18"/>
              </w:rPr>
              <w:t xml:space="preserve"> NIS, MINDDEVEL, MINEPAT, MINFOPRA, </w:t>
            </w:r>
            <w:r w:rsidR="00A50B76">
              <w:rPr>
                <w:sz w:val="18"/>
                <w:szCs w:val="18"/>
              </w:rPr>
              <w:t>s</w:t>
            </w:r>
            <w:r w:rsidRPr="00AF0164">
              <w:rPr>
                <w:sz w:val="18"/>
                <w:szCs w:val="18"/>
              </w:rPr>
              <w:t xml:space="preserve">urvey </w:t>
            </w:r>
            <w:r w:rsidR="00A50B76">
              <w:rPr>
                <w:sz w:val="18"/>
                <w:szCs w:val="18"/>
              </w:rPr>
              <w:t>r</w:t>
            </w:r>
            <w:r w:rsidRPr="00AF0164">
              <w:rPr>
                <w:sz w:val="18"/>
                <w:szCs w:val="18"/>
              </w:rPr>
              <w:t>eports</w:t>
            </w:r>
          </w:p>
          <w:p w14:paraId="6C3FC7B0" w14:textId="77777777" w:rsidR="00060F7A" w:rsidRPr="00AF0164" w:rsidRDefault="00060F7A" w:rsidP="002E7C2A">
            <w:pPr>
              <w:jc w:val="both"/>
              <w:rPr>
                <w:bCs/>
                <w:sz w:val="18"/>
                <w:szCs w:val="18"/>
              </w:rPr>
            </w:pPr>
            <w:r w:rsidRPr="00AF0164">
              <w:rPr>
                <w:b/>
                <w:sz w:val="18"/>
                <w:szCs w:val="18"/>
              </w:rPr>
              <w:t>Frequency:</w:t>
            </w:r>
            <w:r w:rsidRPr="00AF0164">
              <w:rPr>
                <w:sz w:val="18"/>
                <w:szCs w:val="18"/>
              </w:rPr>
              <w:t xml:space="preserve"> Annual </w:t>
            </w:r>
          </w:p>
          <w:p w14:paraId="65DC8C1F" w14:textId="77777777" w:rsidR="00060F7A" w:rsidRPr="00AF0164" w:rsidRDefault="00060F7A" w:rsidP="00FB3A50">
            <w:pPr>
              <w:rPr>
                <w:b/>
                <w:sz w:val="18"/>
                <w:szCs w:val="18"/>
              </w:rPr>
            </w:pPr>
            <w:r w:rsidRPr="00AF0164">
              <w:rPr>
                <w:b/>
                <w:sz w:val="18"/>
                <w:szCs w:val="18"/>
              </w:rPr>
              <w:lastRenderedPageBreak/>
              <w:t xml:space="preserve">Responsibility: </w:t>
            </w:r>
            <w:r w:rsidRPr="00AF0164">
              <w:rPr>
                <w:bCs/>
                <w:sz w:val="18"/>
                <w:szCs w:val="18"/>
              </w:rPr>
              <w:t>MINFOPRA, MINEPAT, UNDP</w:t>
            </w:r>
          </w:p>
          <w:p w14:paraId="58F8624B" w14:textId="77777777" w:rsidR="00060F7A" w:rsidRPr="00AF0164" w:rsidRDefault="00060F7A" w:rsidP="002E7C2A">
            <w:pPr>
              <w:jc w:val="both"/>
              <w:rPr>
                <w:b/>
                <w:sz w:val="18"/>
                <w:szCs w:val="18"/>
              </w:rPr>
            </w:pPr>
          </w:p>
          <w:p w14:paraId="4BDFB9B4" w14:textId="77777777" w:rsidR="00060F7A" w:rsidRPr="00AF0164" w:rsidRDefault="00060F7A" w:rsidP="002E7C2A">
            <w:pPr>
              <w:jc w:val="both"/>
              <w:rPr>
                <w:b/>
                <w:sz w:val="18"/>
                <w:szCs w:val="18"/>
              </w:rPr>
            </w:pPr>
          </w:p>
          <w:p w14:paraId="60E3FBCA" w14:textId="77777777" w:rsidR="00060F7A" w:rsidRPr="00AF0164" w:rsidRDefault="00060F7A" w:rsidP="002E7C2A">
            <w:pPr>
              <w:jc w:val="both"/>
              <w:rPr>
                <w:b/>
                <w:sz w:val="18"/>
                <w:szCs w:val="18"/>
              </w:rPr>
            </w:pPr>
          </w:p>
          <w:p w14:paraId="253F6693" w14:textId="77777777" w:rsidR="00060F7A" w:rsidRPr="00AF0164" w:rsidRDefault="00060F7A" w:rsidP="002E7C2A">
            <w:pPr>
              <w:jc w:val="both"/>
              <w:rPr>
                <w:b/>
                <w:sz w:val="18"/>
                <w:szCs w:val="18"/>
              </w:rPr>
            </w:pPr>
          </w:p>
          <w:p w14:paraId="0C4EE85A" w14:textId="77777777" w:rsidR="00060F7A" w:rsidRPr="00AF0164" w:rsidRDefault="00060F7A" w:rsidP="002E7C2A">
            <w:pPr>
              <w:jc w:val="both"/>
              <w:rPr>
                <w:b/>
                <w:sz w:val="18"/>
                <w:szCs w:val="18"/>
              </w:rPr>
            </w:pPr>
          </w:p>
          <w:p w14:paraId="4A347B18" w14:textId="77777777" w:rsidR="00060F7A" w:rsidRPr="00AF0164" w:rsidRDefault="00060F7A" w:rsidP="002E7C2A">
            <w:pPr>
              <w:jc w:val="both"/>
              <w:rPr>
                <w:b/>
                <w:sz w:val="18"/>
                <w:szCs w:val="18"/>
              </w:rPr>
            </w:pPr>
          </w:p>
          <w:p w14:paraId="5A631C9C" w14:textId="77777777" w:rsidR="00060F7A" w:rsidRPr="00AF0164" w:rsidRDefault="00060F7A" w:rsidP="00FB3A50">
            <w:pPr>
              <w:rPr>
                <w:bCs/>
                <w:sz w:val="18"/>
                <w:szCs w:val="18"/>
              </w:rPr>
            </w:pPr>
            <w:r w:rsidRPr="00AF0164">
              <w:rPr>
                <w:b/>
                <w:sz w:val="18"/>
                <w:szCs w:val="18"/>
              </w:rPr>
              <w:t>Data Source:</w:t>
            </w:r>
            <w:r w:rsidRPr="00AF0164">
              <w:rPr>
                <w:sz w:val="18"/>
                <w:szCs w:val="18"/>
              </w:rPr>
              <w:t xml:space="preserve"> NIS, MINJUSTICE, Survey Reports</w:t>
            </w:r>
          </w:p>
          <w:p w14:paraId="274D8529" w14:textId="77777777" w:rsidR="00060F7A" w:rsidRPr="00AF0164" w:rsidRDefault="00060F7A" w:rsidP="002E7C2A">
            <w:pPr>
              <w:jc w:val="both"/>
              <w:rPr>
                <w:bCs/>
                <w:sz w:val="18"/>
                <w:szCs w:val="18"/>
              </w:rPr>
            </w:pPr>
            <w:r w:rsidRPr="00AF0164">
              <w:rPr>
                <w:b/>
                <w:sz w:val="18"/>
                <w:szCs w:val="18"/>
              </w:rPr>
              <w:t>Frequency:</w:t>
            </w:r>
            <w:r w:rsidRPr="00AF0164">
              <w:rPr>
                <w:sz w:val="18"/>
                <w:szCs w:val="18"/>
              </w:rPr>
              <w:t xml:space="preserve"> Annual </w:t>
            </w:r>
          </w:p>
          <w:p w14:paraId="63FA2C5E" w14:textId="77777777" w:rsidR="00060F7A" w:rsidRPr="00AF0164" w:rsidRDefault="00060F7A" w:rsidP="002E7C2A">
            <w:pPr>
              <w:jc w:val="both"/>
              <w:rPr>
                <w:b/>
                <w:sz w:val="18"/>
                <w:szCs w:val="18"/>
              </w:rPr>
            </w:pPr>
            <w:r w:rsidRPr="00AF0164">
              <w:rPr>
                <w:b/>
                <w:sz w:val="18"/>
                <w:szCs w:val="18"/>
              </w:rPr>
              <w:t xml:space="preserve">Responsibility: </w:t>
            </w:r>
            <w:r w:rsidRPr="00AF0164">
              <w:rPr>
                <w:bCs/>
                <w:sz w:val="18"/>
                <w:szCs w:val="18"/>
              </w:rPr>
              <w:t>MINJUSTICE, NIS, UNDP</w:t>
            </w:r>
          </w:p>
          <w:p w14:paraId="0F84EE04" w14:textId="77777777" w:rsidR="00060F7A" w:rsidRPr="00AF0164" w:rsidRDefault="00060F7A" w:rsidP="002E7C2A">
            <w:pPr>
              <w:jc w:val="both"/>
              <w:rPr>
                <w:b/>
                <w:sz w:val="18"/>
                <w:szCs w:val="18"/>
              </w:rPr>
            </w:pPr>
          </w:p>
          <w:p w14:paraId="79ABB716" w14:textId="77777777" w:rsidR="00060F7A" w:rsidRPr="00AF0164" w:rsidRDefault="00060F7A" w:rsidP="002E7C2A">
            <w:pPr>
              <w:jc w:val="both"/>
              <w:rPr>
                <w:b/>
                <w:sz w:val="18"/>
                <w:szCs w:val="18"/>
              </w:rPr>
            </w:pPr>
          </w:p>
          <w:p w14:paraId="4B9BCA91" w14:textId="77777777" w:rsidR="00060F7A" w:rsidRPr="00AF0164" w:rsidRDefault="00060F7A" w:rsidP="002E7C2A">
            <w:pPr>
              <w:jc w:val="both"/>
              <w:rPr>
                <w:b/>
                <w:sz w:val="18"/>
                <w:szCs w:val="18"/>
              </w:rPr>
            </w:pPr>
          </w:p>
          <w:p w14:paraId="32B6F504" w14:textId="19347483" w:rsidR="00060F7A" w:rsidRPr="00AF0164" w:rsidRDefault="00060F7A" w:rsidP="00FB3A50">
            <w:pPr>
              <w:rPr>
                <w:bCs/>
                <w:sz w:val="18"/>
                <w:szCs w:val="18"/>
              </w:rPr>
            </w:pPr>
            <w:r w:rsidRPr="00AF0164">
              <w:rPr>
                <w:b/>
                <w:sz w:val="18"/>
                <w:szCs w:val="18"/>
              </w:rPr>
              <w:t xml:space="preserve">Data Source: </w:t>
            </w:r>
            <w:r w:rsidRPr="00AF0164">
              <w:rPr>
                <w:sz w:val="18"/>
                <w:szCs w:val="18"/>
              </w:rPr>
              <w:t xml:space="preserve">MINDDEVEL, MINEPAT, CVUC, </w:t>
            </w:r>
            <w:r w:rsidR="00A50B76">
              <w:rPr>
                <w:sz w:val="18"/>
                <w:szCs w:val="18"/>
              </w:rPr>
              <w:t>s</w:t>
            </w:r>
            <w:r w:rsidRPr="00AF0164">
              <w:rPr>
                <w:sz w:val="18"/>
                <w:szCs w:val="18"/>
              </w:rPr>
              <w:t xml:space="preserve">urvey </w:t>
            </w:r>
            <w:r w:rsidR="00A50B76">
              <w:rPr>
                <w:sz w:val="18"/>
                <w:szCs w:val="18"/>
              </w:rPr>
              <w:t>r</w:t>
            </w:r>
            <w:r w:rsidRPr="00AF0164">
              <w:rPr>
                <w:sz w:val="18"/>
                <w:szCs w:val="18"/>
              </w:rPr>
              <w:t xml:space="preserve">eports, </w:t>
            </w:r>
            <w:r w:rsidR="00A50B76">
              <w:rPr>
                <w:sz w:val="18"/>
                <w:szCs w:val="18"/>
              </w:rPr>
              <w:t>a</w:t>
            </w:r>
            <w:r w:rsidRPr="00AF0164">
              <w:rPr>
                <w:sz w:val="18"/>
                <w:szCs w:val="18"/>
              </w:rPr>
              <w:t xml:space="preserve">ctivity reports  </w:t>
            </w:r>
          </w:p>
          <w:p w14:paraId="2FE27A36" w14:textId="77777777" w:rsidR="00060F7A" w:rsidRPr="00AF0164" w:rsidRDefault="00060F7A" w:rsidP="002E7C2A">
            <w:pPr>
              <w:jc w:val="both"/>
              <w:rPr>
                <w:b/>
                <w:sz w:val="18"/>
                <w:szCs w:val="18"/>
              </w:rPr>
            </w:pPr>
            <w:r w:rsidRPr="00AF0164">
              <w:rPr>
                <w:b/>
                <w:sz w:val="18"/>
                <w:szCs w:val="18"/>
              </w:rPr>
              <w:t xml:space="preserve">Frequency: </w:t>
            </w:r>
            <w:r w:rsidRPr="00AF0164">
              <w:rPr>
                <w:sz w:val="18"/>
                <w:szCs w:val="18"/>
              </w:rPr>
              <w:t xml:space="preserve">Annual </w:t>
            </w:r>
          </w:p>
          <w:p w14:paraId="1E7748B4" w14:textId="77777777" w:rsidR="00060F7A" w:rsidRPr="00AF0164" w:rsidRDefault="00060F7A" w:rsidP="002E7C2A">
            <w:pPr>
              <w:jc w:val="both"/>
              <w:rPr>
                <w:b/>
                <w:sz w:val="18"/>
                <w:szCs w:val="18"/>
              </w:rPr>
            </w:pPr>
            <w:r w:rsidRPr="00AF0164">
              <w:rPr>
                <w:b/>
                <w:sz w:val="18"/>
                <w:szCs w:val="18"/>
              </w:rPr>
              <w:t xml:space="preserve">Responsibility: </w:t>
            </w:r>
            <w:r w:rsidRPr="00AF0164">
              <w:rPr>
                <w:bCs/>
                <w:sz w:val="18"/>
                <w:szCs w:val="18"/>
              </w:rPr>
              <w:t>MINDDEVEL, CVUC</w:t>
            </w:r>
          </w:p>
        </w:tc>
        <w:tc>
          <w:tcPr>
            <w:tcW w:w="1443" w:type="pct"/>
            <w:gridSpan w:val="2"/>
          </w:tcPr>
          <w:p w14:paraId="612CE81F" w14:textId="369D712F" w:rsidR="00060F7A" w:rsidRPr="00AF0164" w:rsidRDefault="00060F7A" w:rsidP="00FB3A50">
            <w:pPr>
              <w:rPr>
                <w:sz w:val="18"/>
                <w:szCs w:val="18"/>
              </w:rPr>
            </w:pPr>
            <w:r w:rsidRPr="00AF0164">
              <w:rPr>
                <w:b/>
                <w:sz w:val="18"/>
                <w:szCs w:val="18"/>
              </w:rPr>
              <w:lastRenderedPageBreak/>
              <w:t>Output 3.1</w:t>
            </w:r>
            <w:r w:rsidR="00A50B76">
              <w:rPr>
                <w:b/>
                <w:sz w:val="18"/>
                <w:szCs w:val="18"/>
              </w:rPr>
              <w:t>.</w:t>
            </w:r>
            <w:r w:rsidRPr="00AF0164">
              <w:rPr>
                <w:sz w:val="18"/>
                <w:szCs w:val="18"/>
              </w:rPr>
              <w:t xml:space="preserve"> Capacities of institutions, civil society actors and populations </w:t>
            </w:r>
            <w:r w:rsidR="006B3B70">
              <w:rPr>
                <w:sz w:val="18"/>
                <w:szCs w:val="18"/>
              </w:rPr>
              <w:t>(</w:t>
            </w:r>
            <w:r w:rsidRPr="00AF0164">
              <w:rPr>
                <w:sz w:val="18"/>
                <w:szCs w:val="18"/>
              </w:rPr>
              <w:t>youth, women and socially vulnerable people</w:t>
            </w:r>
            <w:r w:rsidR="006B3B70">
              <w:rPr>
                <w:sz w:val="18"/>
                <w:szCs w:val="18"/>
              </w:rPr>
              <w:t>)</w:t>
            </w:r>
            <w:r w:rsidRPr="00AF0164">
              <w:rPr>
                <w:sz w:val="18"/>
                <w:szCs w:val="18"/>
              </w:rPr>
              <w:t xml:space="preserve"> are strengthened for effective and inclusive participation in decision-making processes at local, regional and national levels.</w:t>
            </w:r>
          </w:p>
          <w:p w14:paraId="12D1D916" w14:textId="77777777" w:rsidR="00060F7A" w:rsidRPr="00AF0164" w:rsidRDefault="00060F7A" w:rsidP="002E7C2A">
            <w:pPr>
              <w:jc w:val="both"/>
              <w:rPr>
                <w:sz w:val="18"/>
                <w:szCs w:val="18"/>
              </w:rPr>
            </w:pPr>
          </w:p>
          <w:p w14:paraId="1781E315" w14:textId="63FDD42B" w:rsidR="00060F7A" w:rsidRPr="00AF0164" w:rsidRDefault="00060F7A" w:rsidP="00FB3A50">
            <w:pPr>
              <w:rPr>
                <w:sz w:val="18"/>
                <w:szCs w:val="18"/>
              </w:rPr>
            </w:pPr>
            <w:r w:rsidRPr="00AF0164">
              <w:rPr>
                <w:b/>
                <w:bCs/>
                <w:sz w:val="18"/>
                <w:szCs w:val="18"/>
              </w:rPr>
              <w:t>Indicator 3.1.1</w:t>
            </w:r>
            <w:r w:rsidR="00A50B76">
              <w:rPr>
                <w:sz w:val="18"/>
                <w:szCs w:val="18"/>
              </w:rPr>
              <w:t xml:space="preserve">. </w:t>
            </w:r>
            <w:r w:rsidRPr="00AF0164">
              <w:rPr>
                <w:sz w:val="18"/>
                <w:szCs w:val="18"/>
              </w:rPr>
              <w:t>Proportion of DTCs with an effective and inclusive dialogue framework in place.</w:t>
            </w:r>
          </w:p>
          <w:p w14:paraId="6CF1580B" w14:textId="1BC163FE"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w:t>
            </w:r>
            <w:r w:rsidR="00A50B76">
              <w:rPr>
                <w:sz w:val="18"/>
                <w:szCs w:val="18"/>
              </w:rPr>
              <w:t xml:space="preserve"> </w:t>
            </w:r>
            <w:r w:rsidRPr="00AF0164">
              <w:rPr>
                <w:sz w:val="18"/>
                <w:szCs w:val="18"/>
              </w:rPr>
              <w:t>30%</w:t>
            </w:r>
          </w:p>
          <w:p w14:paraId="01CB9FC7" w14:textId="24BAAEC4"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w:t>
            </w:r>
            <w:r w:rsidR="00A50B76">
              <w:rPr>
                <w:sz w:val="18"/>
                <w:szCs w:val="18"/>
              </w:rPr>
              <w:t xml:space="preserve"> </w:t>
            </w:r>
            <w:r w:rsidRPr="00AF0164">
              <w:rPr>
                <w:sz w:val="18"/>
                <w:szCs w:val="18"/>
              </w:rPr>
              <w:t>60%</w:t>
            </w:r>
          </w:p>
          <w:p w14:paraId="7BBD397B" w14:textId="6525D01A"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DTCs </w:t>
            </w:r>
            <w:r w:rsidR="00A50B76">
              <w:rPr>
                <w:sz w:val="18"/>
                <w:szCs w:val="18"/>
              </w:rPr>
              <w:t>a</w:t>
            </w:r>
            <w:r w:rsidRPr="00AF0164">
              <w:rPr>
                <w:sz w:val="18"/>
                <w:szCs w:val="18"/>
              </w:rPr>
              <w:t>ctivity reports</w:t>
            </w:r>
            <w:r w:rsidRPr="00AF0164">
              <w:rPr>
                <w:sz w:val="18"/>
                <w:szCs w:val="18"/>
              </w:rPr>
              <w:tab/>
            </w:r>
          </w:p>
          <w:p w14:paraId="255319A0"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p w14:paraId="000AD5F0" w14:textId="77777777" w:rsidR="00060F7A" w:rsidRPr="00AF0164" w:rsidRDefault="00060F7A" w:rsidP="002E7C2A">
            <w:pPr>
              <w:jc w:val="both"/>
              <w:rPr>
                <w:b/>
                <w:sz w:val="18"/>
                <w:szCs w:val="18"/>
              </w:rPr>
            </w:pPr>
          </w:p>
          <w:p w14:paraId="3ABDFE40" w14:textId="1FE459DB" w:rsidR="00060F7A" w:rsidRPr="00AF0164" w:rsidRDefault="00060F7A" w:rsidP="00FB3A50">
            <w:pPr>
              <w:rPr>
                <w:sz w:val="18"/>
                <w:szCs w:val="18"/>
              </w:rPr>
            </w:pPr>
            <w:r w:rsidRPr="00AF0164">
              <w:rPr>
                <w:b/>
                <w:sz w:val="18"/>
                <w:szCs w:val="18"/>
              </w:rPr>
              <w:lastRenderedPageBreak/>
              <w:t>Indicator 3.1.2</w:t>
            </w:r>
            <w:r w:rsidR="00A50B76">
              <w:rPr>
                <w:b/>
                <w:sz w:val="18"/>
                <w:szCs w:val="18"/>
              </w:rPr>
              <w:t xml:space="preserve">. </w:t>
            </w:r>
            <w:r w:rsidRPr="00AF0164">
              <w:rPr>
                <w:sz w:val="18"/>
                <w:szCs w:val="18"/>
              </w:rPr>
              <w:t>Number of CSOs/networks with mechanisms ensuring civic participation and representation</w:t>
            </w:r>
            <w:r w:rsidR="00597D2E">
              <w:rPr>
                <w:sz w:val="18"/>
                <w:szCs w:val="18"/>
              </w:rPr>
              <w:t xml:space="preserve"> </w:t>
            </w:r>
            <w:r w:rsidRPr="00AF0164">
              <w:rPr>
                <w:sz w:val="18"/>
                <w:szCs w:val="18"/>
              </w:rPr>
              <w:t>in decision</w:t>
            </w:r>
            <w:r w:rsidR="00A50B76">
              <w:rPr>
                <w:sz w:val="18"/>
                <w:szCs w:val="18"/>
              </w:rPr>
              <w:t>-</w:t>
            </w:r>
            <w:r w:rsidRPr="00AF0164">
              <w:rPr>
                <w:sz w:val="18"/>
                <w:szCs w:val="18"/>
              </w:rPr>
              <w:t xml:space="preserve">making process </w:t>
            </w:r>
          </w:p>
          <w:p w14:paraId="25CFC195" w14:textId="77777777" w:rsidR="00060F7A" w:rsidRPr="00FB3A50" w:rsidRDefault="00060F7A" w:rsidP="00FB3A50">
            <w:pPr>
              <w:jc w:val="both"/>
              <w:rPr>
                <w:sz w:val="18"/>
                <w:szCs w:val="18"/>
              </w:rPr>
            </w:pPr>
            <w:r w:rsidRPr="00FB3A50">
              <w:rPr>
                <w:i/>
                <w:iCs/>
                <w:sz w:val="18"/>
                <w:szCs w:val="18"/>
              </w:rPr>
              <w:t>Baseline</w:t>
            </w:r>
            <w:r w:rsidRPr="00FB3A50">
              <w:rPr>
                <w:sz w:val="18"/>
                <w:szCs w:val="18"/>
              </w:rPr>
              <w:t xml:space="preserve"> (2020):10</w:t>
            </w:r>
          </w:p>
          <w:p w14:paraId="2E423A8F"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(2026):50</w:t>
            </w:r>
          </w:p>
          <w:p w14:paraId="3DCD5A17"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Activity reports</w:t>
            </w:r>
            <w:r w:rsidRPr="00AF0164">
              <w:rPr>
                <w:sz w:val="18"/>
                <w:szCs w:val="18"/>
              </w:rPr>
              <w:tab/>
            </w:r>
          </w:p>
          <w:p w14:paraId="0A05EB8A" w14:textId="5B5708BE"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w:t>
            </w:r>
            <w:r w:rsidR="00A50B76">
              <w:rPr>
                <w:sz w:val="18"/>
                <w:szCs w:val="18"/>
              </w:rPr>
              <w:t>Six</w:t>
            </w:r>
            <w:r w:rsidRPr="00AF0164">
              <w:rPr>
                <w:sz w:val="18"/>
                <w:szCs w:val="18"/>
              </w:rPr>
              <w:t xml:space="preserve"> </w:t>
            </w:r>
            <w:r w:rsidR="00A50B76">
              <w:rPr>
                <w:sz w:val="18"/>
                <w:szCs w:val="18"/>
              </w:rPr>
              <w:t xml:space="preserve">(6) </w:t>
            </w:r>
            <w:r w:rsidRPr="00AF0164">
              <w:rPr>
                <w:sz w:val="18"/>
                <w:szCs w:val="18"/>
              </w:rPr>
              <w:t>months</w:t>
            </w:r>
          </w:p>
          <w:p w14:paraId="2029D60A" w14:textId="77777777" w:rsidR="00060F7A" w:rsidRPr="00AF0164" w:rsidRDefault="00060F7A" w:rsidP="002E7C2A">
            <w:pPr>
              <w:ind w:left="720"/>
              <w:jc w:val="both"/>
              <w:rPr>
                <w:sz w:val="18"/>
                <w:szCs w:val="18"/>
              </w:rPr>
            </w:pPr>
          </w:p>
          <w:p w14:paraId="00050D5C" w14:textId="207D3C85" w:rsidR="00060F7A" w:rsidRPr="00AF0164" w:rsidRDefault="00060F7A" w:rsidP="00FB3A50">
            <w:pPr>
              <w:pStyle w:val="CommentText"/>
              <w:rPr>
                <w:sz w:val="18"/>
                <w:szCs w:val="18"/>
              </w:rPr>
            </w:pPr>
            <w:r w:rsidRPr="00AF0164">
              <w:rPr>
                <w:b/>
                <w:bCs/>
                <w:sz w:val="18"/>
                <w:szCs w:val="18"/>
              </w:rPr>
              <w:t>Indicator 3.1.</w:t>
            </w:r>
            <w:r w:rsidR="00A50B76" w:rsidRPr="00FB3A50">
              <w:rPr>
                <w:b/>
                <w:bCs/>
                <w:sz w:val="18"/>
                <w:szCs w:val="18"/>
              </w:rPr>
              <w:t>3.</w:t>
            </w:r>
            <w:r w:rsidR="00A50B76">
              <w:rPr>
                <w:sz w:val="18"/>
                <w:szCs w:val="18"/>
              </w:rPr>
              <w:t xml:space="preserve"> </w:t>
            </w:r>
            <w:r w:rsidRPr="00AF0164">
              <w:rPr>
                <w:sz w:val="18"/>
                <w:szCs w:val="18"/>
              </w:rPr>
              <w:t>Proportion of central institutions with operational mechanisms in place to promote participation of women, youth and vulnerable people in decision</w:t>
            </w:r>
            <w:r w:rsidR="00A50B76">
              <w:rPr>
                <w:sz w:val="18"/>
                <w:szCs w:val="18"/>
              </w:rPr>
              <w:t>-</w:t>
            </w:r>
            <w:r w:rsidRPr="00AF0164">
              <w:rPr>
                <w:sz w:val="18"/>
                <w:szCs w:val="18"/>
              </w:rPr>
              <w:t>making processes.</w:t>
            </w:r>
          </w:p>
          <w:p w14:paraId="554D78A3"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0</w:t>
            </w:r>
          </w:p>
          <w:p w14:paraId="1819FB74"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50%</w:t>
            </w:r>
          </w:p>
          <w:p w14:paraId="37D05CBE" w14:textId="7F878B89"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w:t>
            </w:r>
            <w:r w:rsidR="00A50B76">
              <w:rPr>
                <w:sz w:val="18"/>
                <w:szCs w:val="18"/>
              </w:rPr>
              <w:t>r</w:t>
            </w:r>
            <w:r w:rsidRPr="00AF0164">
              <w:rPr>
                <w:sz w:val="18"/>
                <w:szCs w:val="18"/>
              </w:rPr>
              <w:t>eports</w:t>
            </w:r>
          </w:p>
          <w:p w14:paraId="677643B8" w14:textId="0E010314" w:rsidR="00060F7A" w:rsidRPr="00AF0164" w:rsidRDefault="00060F7A" w:rsidP="00FB3A50">
            <w:pPr>
              <w:jc w:val="both"/>
              <w:rPr>
                <w:sz w:val="18"/>
                <w:szCs w:val="18"/>
              </w:rPr>
            </w:pPr>
            <w:r w:rsidRPr="00FB3A50">
              <w:rPr>
                <w:i/>
                <w:iCs/>
                <w:sz w:val="18"/>
                <w:szCs w:val="18"/>
              </w:rPr>
              <w:t>Frequency</w:t>
            </w:r>
            <w:r w:rsidRPr="00AF0164">
              <w:rPr>
                <w:sz w:val="18"/>
                <w:szCs w:val="18"/>
              </w:rPr>
              <w:t>: Annual</w:t>
            </w:r>
          </w:p>
        </w:tc>
        <w:tc>
          <w:tcPr>
            <w:tcW w:w="1186" w:type="pct"/>
            <w:gridSpan w:val="3"/>
          </w:tcPr>
          <w:p w14:paraId="3F10E3FA" w14:textId="6BCF32C3" w:rsidR="00060F7A" w:rsidRPr="00AF0164" w:rsidRDefault="00060F7A" w:rsidP="009C7304">
            <w:pPr>
              <w:rPr>
                <w:bCs/>
                <w:sz w:val="18"/>
                <w:szCs w:val="18"/>
              </w:rPr>
            </w:pPr>
            <w:r w:rsidRPr="00AF0164">
              <w:rPr>
                <w:sz w:val="18"/>
                <w:szCs w:val="18"/>
              </w:rPr>
              <w:lastRenderedPageBreak/>
              <w:t>MINAT, MINDDEVEL, MINFI, MINEPAT, MINAS, MINPROFF, MINFOPRA, CVUC, MINJEC</w:t>
            </w:r>
          </w:p>
          <w:p w14:paraId="0606CA83" w14:textId="77777777" w:rsidR="00060F7A" w:rsidRPr="00AF0164" w:rsidRDefault="00060F7A" w:rsidP="002E7C2A">
            <w:pPr>
              <w:rPr>
                <w:bCs/>
                <w:sz w:val="18"/>
                <w:szCs w:val="18"/>
              </w:rPr>
            </w:pPr>
            <w:r w:rsidRPr="00AF0164">
              <w:rPr>
                <w:sz w:val="18"/>
                <w:szCs w:val="18"/>
              </w:rPr>
              <w:t>CNYC</w:t>
            </w:r>
          </w:p>
        </w:tc>
        <w:tc>
          <w:tcPr>
            <w:tcW w:w="464" w:type="pct"/>
          </w:tcPr>
          <w:p w14:paraId="4D93AB27" w14:textId="5FCFE30B" w:rsidR="00060F7A" w:rsidRPr="00AF0164" w:rsidRDefault="00060F7A" w:rsidP="002E7C2A">
            <w:pPr>
              <w:jc w:val="both"/>
              <w:rPr>
                <w:b/>
                <w:sz w:val="18"/>
                <w:szCs w:val="18"/>
              </w:rPr>
            </w:pPr>
            <w:r w:rsidRPr="00AF0164">
              <w:rPr>
                <w:b/>
                <w:sz w:val="18"/>
                <w:szCs w:val="18"/>
              </w:rPr>
              <w:t xml:space="preserve">Regular: </w:t>
            </w:r>
            <w:r w:rsidR="00A50B76">
              <w:rPr>
                <w:b/>
                <w:sz w:val="18"/>
                <w:szCs w:val="18"/>
              </w:rPr>
              <w:t>$</w:t>
            </w:r>
            <w:r w:rsidR="00786E8D">
              <w:rPr>
                <w:b/>
                <w:sz w:val="18"/>
                <w:szCs w:val="18"/>
              </w:rPr>
              <w:t>3</w:t>
            </w:r>
            <w:r w:rsidR="00A50B76">
              <w:rPr>
                <w:b/>
                <w:sz w:val="18"/>
                <w:szCs w:val="18"/>
              </w:rPr>
              <w:t>,</w:t>
            </w:r>
            <w:r w:rsidR="00786E8D">
              <w:rPr>
                <w:b/>
                <w:sz w:val="18"/>
                <w:szCs w:val="18"/>
              </w:rPr>
              <w:t>429</w:t>
            </w:r>
            <w:r w:rsidR="00A50B76">
              <w:rPr>
                <w:b/>
                <w:sz w:val="18"/>
                <w:szCs w:val="18"/>
              </w:rPr>
              <w:t>,</w:t>
            </w:r>
            <w:r w:rsidRPr="00AF0164">
              <w:rPr>
                <w:b/>
                <w:sz w:val="18"/>
                <w:szCs w:val="18"/>
              </w:rPr>
              <w:t>000</w:t>
            </w:r>
          </w:p>
          <w:p w14:paraId="3519CD69" w14:textId="77777777" w:rsidR="00060F7A" w:rsidRPr="00AF0164" w:rsidRDefault="00060F7A" w:rsidP="002E7C2A">
            <w:pPr>
              <w:jc w:val="both"/>
              <w:rPr>
                <w:b/>
                <w:sz w:val="18"/>
                <w:szCs w:val="18"/>
              </w:rPr>
            </w:pPr>
          </w:p>
          <w:p w14:paraId="39EA119B" w14:textId="77777777" w:rsidR="00060F7A" w:rsidRPr="00AF0164" w:rsidRDefault="00060F7A" w:rsidP="002E7C2A">
            <w:pPr>
              <w:jc w:val="both"/>
              <w:rPr>
                <w:b/>
                <w:sz w:val="18"/>
                <w:szCs w:val="18"/>
              </w:rPr>
            </w:pPr>
            <w:r w:rsidRPr="00AF0164">
              <w:rPr>
                <w:b/>
                <w:sz w:val="18"/>
                <w:szCs w:val="18"/>
              </w:rPr>
              <w:t xml:space="preserve">Other: </w:t>
            </w:r>
          </w:p>
          <w:p w14:paraId="63B246B1" w14:textId="5739BFFF" w:rsidR="00060F7A" w:rsidRPr="00AF0164" w:rsidRDefault="00A50B76" w:rsidP="002E7C2A">
            <w:pPr>
              <w:jc w:val="both"/>
              <w:rPr>
                <w:b/>
                <w:sz w:val="18"/>
                <w:szCs w:val="18"/>
              </w:rPr>
            </w:pPr>
            <w:r>
              <w:rPr>
                <w:b/>
                <w:sz w:val="18"/>
                <w:szCs w:val="18"/>
              </w:rPr>
              <w:t>$</w:t>
            </w:r>
            <w:r w:rsidR="00060F7A" w:rsidRPr="00AF0164">
              <w:rPr>
                <w:b/>
                <w:sz w:val="18"/>
                <w:szCs w:val="18"/>
              </w:rPr>
              <w:t>72</w:t>
            </w:r>
            <w:r>
              <w:rPr>
                <w:b/>
                <w:sz w:val="18"/>
                <w:szCs w:val="18"/>
              </w:rPr>
              <w:t>,</w:t>
            </w:r>
            <w:r w:rsidR="00060F7A" w:rsidRPr="00AF0164">
              <w:rPr>
                <w:b/>
                <w:sz w:val="18"/>
                <w:szCs w:val="18"/>
              </w:rPr>
              <w:t>828</w:t>
            </w:r>
            <w:r>
              <w:rPr>
                <w:b/>
                <w:sz w:val="18"/>
                <w:szCs w:val="18"/>
              </w:rPr>
              <w:t>,</w:t>
            </w:r>
            <w:r w:rsidR="00060F7A" w:rsidRPr="00AF0164">
              <w:rPr>
                <w:b/>
                <w:sz w:val="18"/>
                <w:szCs w:val="18"/>
              </w:rPr>
              <w:t xml:space="preserve">000 </w:t>
            </w:r>
          </w:p>
        </w:tc>
      </w:tr>
      <w:tr w:rsidR="00060F7A" w:rsidRPr="00AF0164" w14:paraId="6457C2FE" w14:textId="77777777" w:rsidTr="002E7C2A">
        <w:trPr>
          <w:jc w:val="center"/>
        </w:trPr>
        <w:tc>
          <w:tcPr>
            <w:tcW w:w="1083" w:type="pct"/>
            <w:vMerge/>
            <w:tcMar>
              <w:top w:w="72" w:type="dxa"/>
              <w:left w:w="144" w:type="dxa"/>
              <w:bottom w:w="72" w:type="dxa"/>
              <w:right w:w="144" w:type="dxa"/>
            </w:tcMar>
          </w:tcPr>
          <w:p w14:paraId="70975D9E" w14:textId="77777777" w:rsidR="00060F7A" w:rsidRPr="00AF0164" w:rsidRDefault="00060F7A" w:rsidP="002E7C2A">
            <w:pPr>
              <w:jc w:val="both"/>
              <w:rPr>
                <w:b/>
                <w:sz w:val="18"/>
                <w:szCs w:val="18"/>
              </w:rPr>
            </w:pPr>
          </w:p>
        </w:tc>
        <w:tc>
          <w:tcPr>
            <w:tcW w:w="824" w:type="pct"/>
            <w:vMerge/>
          </w:tcPr>
          <w:p w14:paraId="79EF6058" w14:textId="77777777" w:rsidR="00060F7A" w:rsidRPr="00AF0164" w:rsidRDefault="00060F7A" w:rsidP="002E7C2A">
            <w:pPr>
              <w:jc w:val="both"/>
              <w:rPr>
                <w:b/>
                <w:sz w:val="18"/>
                <w:szCs w:val="18"/>
              </w:rPr>
            </w:pPr>
          </w:p>
        </w:tc>
        <w:tc>
          <w:tcPr>
            <w:tcW w:w="1443" w:type="pct"/>
            <w:gridSpan w:val="2"/>
          </w:tcPr>
          <w:p w14:paraId="6F500A2D" w14:textId="1657FB28" w:rsidR="00060F7A" w:rsidRPr="00AF0164" w:rsidRDefault="00060F7A" w:rsidP="00FB3A50">
            <w:pPr>
              <w:pStyle w:val="CommentText"/>
              <w:rPr>
                <w:sz w:val="18"/>
                <w:szCs w:val="18"/>
              </w:rPr>
            </w:pPr>
            <w:r w:rsidRPr="00AF0164">
              <w:rPr>
                <w:b/>
                <w:sz w:val="18"/>
                <w:szCs w:val="18"/>
              </w:rPr>
              <w:t>Output 3.2</w:t>
            </w:r>
            <w:r w:rsidR="00A50B76">
              <w:rPr>
                <w:b/>
                <w:sz w:val="18"/>
                <w:szCs w:val="18"/>
              </w:rPr>
              <w:t>.</w:t>
            </w:r>
            <w:r w:rsidRPr="00AF0164">
              <w:rPr>
                <w:sz w:val="18"/>
                <w:szCs w:val="18"/>
              </w:rPr>
              <w:t xml:space="preserve"> Institutions, communities and vulnerable populations in targeted areas are structured and equipped to foster social cohesion, peace, security and boost local development and recovery from shocks.</w:t>
            </w:r>
          </w:p>
          <w:p w14:paraId="6CA34413" w14:textId="77777777" w:rsidR="00060F7A" w:rsidRPr="00AF0164" w:rsidRDefault="00060F7A" w:rsidP="00FB3A50">
            <w:pPr>
              <w:ind w:left="720"/>
              <w:rPr>
                <w:sz w:val="18"/>
                <w:szCs w:val="18"/>
              </w:rPr>
            </w:pPr>
          </w:p>
          <w:p w14:paraId="4E77841D" w14:textId="6A9236FC" w:rsidR="00060F7A" w:rsidRPr="00AF0164" w:rsidRDefault="00060F7A" w:rsidP="00FB3A50">
            <w:pPr>
              <w:rPr>
                <w:sz w:val="18"/>
                <w:szCs w:val="18"/>
              </w:rPr>
            </w:pPr>
            <w:r w:rsidRPr="00AF0164">
              <w:rPr>
                <w:b/>
                <w:bCs/>
                <w:sz w:val="18"/>
                <w:szCs w:val="18"/>
              </w:rPr>
              <w:t>Indicator 3.2.1</w:t>
            </w:r>
            <w:r w:rsidR="00A50B76">
              <w:rPr>
                <w:b/>
                <w:bCs/>
                <w:sz w:val="18"/>
                <w:szCs w:val="18"/>
              </w:rPr>
              <w:t xml:space="preserve">. </w:t>
            </w:r>
            <w:r w:rsidRPr="00AF0164">
              <w:rPr>
                <w:sz w:val="18"/>
                <w:szCs w:val="18"/>
              </w:rPr>
              <w:t>Number of facilities destroyed by natural or manmade disasters restored</w:t>
            </w:r>
          </w:p>
          <w:p w14:paraId="5A142613" w14:textId="620994D8" w:rsidR="00060F7A" w:rsidRPr="00AF0164" w:rsidRDefault="00A50B76" w:rsidP="00FB3A50">
            <w:pPr>
              <w:rPr>
                <w:sz w:val="18"/>
                <w:szCs w:val="18"/>
              </w:rPr>
            </w:pPr>
            <w:r>
              <w:rPr>
                <w:sz w:val="18"/>
                <w:szCs w:val="18"/>
              </w:rPr>
              <w:t>(</w:t>
            </w:r>
            <w:r w:rsidR="00060F7A" w:rsidRPr="00AF0164">
              <w:rPr>
                <w:sz w:val="18"/>
                <w:szCs w:val="18"/>
              </w:rPr>
              <w:t>a) Schools</w:t>
            </w:r>
            <w:r>
              <w:rPr>
                <w:sz w:val="18"/>
                <w:szCs w:val="18"/>
              </w:rPr>
              <w:t>:</w:t>
            </w:r>
            <w:r w:rsidR="00060F7A" w:rsidRPr="00AF0164">
              <w:rPr>
                <w:sz w:val="18"/>
                <w:szCs w:val="18"/>
              </w:rPr>
              <w:t xml:space="preserve"> </w:t>
            </w:r>
            <w:r w:rsidR="00060F7A" w:rsidRPr="00FB3A50">
              <w:rPr>
                <w:i/>
                <w:iCs/>
                <w:sz w:val="18"/>
                <w:szCs w:val="18"/>
              </w:rPr>
              <w:t>Baseline</w:t>
            </w:r>
            <w:r w:rsidR="00060F7A" w:rsidRPr="00AF0164">
              <w:rPr>
                <w:sz w:val="18"/>
                <w:szCs w:val="18"/>
              </w:rPr>
              <w:t>:</w:t>
            </w:r>
            <w:r>
              <w:rPr>
                <w:sz w:val="18"/>
                <w:szCs w:val="18"/>
              </w:rPr>
              <w:t xml:space="preserve"> </w:t>
            </w:r>
            <w:r w:rsidR="00060F7A" w:rsidRPr="00AF0164">
              <w:rPr>
                <w:sz w:val="18"/>
                <w:szCs w:val="18"/>
              </w:rPr>
              <w:t>100</w:t>
            </w:r>
            <w:r>
              <w:rPr>
                <w:sz w:val="18"/>
                <w:szCs w:val="18"/>
              </w:rPr>
              <w:t xml:space="preserve">; </w:t>
            </w:r>
            <w:r w:rsidR="00060F7A" w:rsidRPr="00FB3A50">
              <w:rPr>
                <w:i/>
                <w:iCs/>
                <w:sz w:val="18"/>
                <w:szCs w:val="18"/>
              </w:rPr>
              <w:t>Target</w:t>
            </w:r>
            <w:r w:rsidR="00060F7A" w:rsidRPr="00AF0164">
              <w:rPr>
                <w:sz w:val="18"/>
                <w:szCs w:val="18"/>
              </w:rPr>
              <w:t>: 130</w:t>
            </w:r>
          </w:p>
          <w:p w14:paraId="52058310" w14:textId="046B7367" w:rsidR="00060F7A" w:rsidRPr="00AF0164" w:rsidRDefault="00A50B76" w:rsidP="00FB3A50">
            <w:pPr>
              <w:rPr>
                <w:sz w:val="18"/>
                <w:szCs w:val="18"/>
              </w:rPr>
            </w:pPr>
            <w:r>
              <w:rPr>
                <w:sz w:val="18"/>
                <w:szCs w:val="18"/>
              </w:rPr>
              <w:t>(</w:t>
            </w:r>
            <w:r w:rsidR="00060F7A" w:rsidRPr="00AF0164">
              <w:rPr>
                <w:sz w:val="18"/>
                <w:szCs w:val="18"/>
              </w:rPr>
              <w:t xml:space="preserve">b) Hospitals and health facilities: </w:t>
            </w:r>
            <w:r w:rsidRPr="00FB3A50">
              <w:rPr>
                <w:i/>
                <w:iCs/>
                <w:sz w:val="18"/>
                <w:szCs w:val="18"/>
              </w:rPr>
              <w:t>Baseline</w:t>
            </w:r>
            <w:r w:rsidR="00060F7A" w:rsidRPr="00AF0164">
              <w:rPr>
                <w:sz w:val="18"/>
                <w:szCs w:val="18"/>
              </w:rPr>
              <w:t>: 9</w:t>
            </w:r>
            <w:r>
              <w:rPr>
                <w:sz w:val="18"/>
                <w:szCs w:val="18"/>
              </w:rPr>
              <w:t>;</w:t>
            </w:r>
            <w:r w:rsidR="00060F7A" w:rsidRPr="00AF0164">
              <w:rPr>
                <w:sz w:val="18"/>
                <w:szCs w:val="18"/>
              </w:rPr>
              <w:t xml:space="preserve"> </w:t>
            </w:r>
            <w:r w:rsidR="00060F7A" w:rsidRPr="00FB3A50">
              <w:rPr>
                <w:i/>
                <w:iCs/>
                <w:sz w:val="18"/>
                <w:szCs w:val="18"/>
              </w:rPr>
              <w:t>Target</w:t>
            </w:r>
            <w:r w:rsidR="00060F7A" w:rsidRPr="00AF0164">
              <w:rPr>
                <w:sz w:val="18"/>
                <w:szCs w:val="18"/>
              </w:rPr>
              <w:t>:</w:t>
            </w:r>
            <w:r>
              <w:rPr>
                <w:sz w:val="18"/>
                <w:szCs w:val="18"/>
              </w:rPr>
              <w:t> </w:t>
            </w:r>
            <w:r w:rsidR="00060F7A" w:rsidRPr="00AF0164">
              <w:rPr>
                <w:sz w:val="18"/>
                <w:szCs w:val="18"/>
              </w:rPr>
              <w:t>25</w:t>
            </w:r>
          </w:p>
          <w:p w14:paraId="3881E6B0" w14:textId="2936DB82" w:rsidR="00060F7A" w:rsidRPr="00AF0164" w:rsidRDefault="00A50B76" w:rsidP="00FB3A50">
            <w:pPr>
              <w:rPr>
                <w:sz w:val="18"/>
                <w:szCs w:val="18"/>
              </w:rPr>
            </w:pPr>
            <w:r>
              <w:rPr>
                <w:sz w:val="18"/>
                <w:szCs w:val="18"/>
              </w:rPr>
              <w:t>(</w:t>
            </w:r>
            <w:r w:rsidR="00060F7A" w:rsidRPr="00AF0164">
              <w:rPr>
                <w:sz w:val="18"/>
                <w:szCs w:val="18"/>
              </w:rPr>
              <w:t xml:space="preserve">c) Water facilities: </w:t>
            </w:r>
            <w:r w:rsidR="00060F7A" w:rsidRPr="00FB3A50">
              <w:rPr>
                <w:i/>
                <w:iCs/>
                <w:sz w:val="18"/>
                <w:szCs w:val="18"/>
              </w:rPr>
              <w:t>Baseline</w:t>
            </w:r>
            <w:r w:rsidR="00060F7A" w:rsidRPr="00AF0164">
              <w:rPr>
                <w:sz w:val="18"/>
                <w:szCs w:val="18"/>
              </w:rPr>
              <w:t xml:space="preserve"> :250</w:t>
            </w:r>
            <w:r>
              <w:rPr>
                <w:sz w:val="18"/>
                <w:szCs w:val="18"/>
              </w:rPr>
              <w:t>;</w:t>
            </w:r>
            <w:r w:rsidR="00060F7A" w:rsidRPr="00AF0164">
              <w:rPr>
                <w:sz w:val="18"/>
                <w:szCs w:val="18"/>
              </w:rPr>
              <w:t xml:space="preserve"> </w:t>
            </w:r>
            <w:r w:rsidR="00060F7A" w:rsidRPr="00FB3A50">
              <w:rPr>
                <w:i/>
                <w:iCs/>
                <w:sz w:val="18"/>
                <w:szCs w:val="18"/>
              </w:rPr>
              <w:t>Target</w:t>
            </w:r>
            <w:r w:rsidR="00060F7A" w:rsidRPr="00AF0164">
              <w:rPr>
                <w:sz w:val="18"/>
                <w:szCs w:val="18"/>
              </w:rPr>
              <w:t>: 350</w:t>
            </w:r>
          </w:p>
          <w:p w14:paraId="6A7BBAA9" w14:textId="77777777" w:rsidR="00060F7A" w:rsidRPr="00AF0164" w:rsidRDefault="00060F7A" w:rsidP="00FB3A50">
            <w:pPr>
              <w:rPr>
                <w:sz w:val="18"/>
                <w:szCs w:val="18"/>
              </w:rPr>
            </w:pPr>
          </w:p>
          <w:p w14:paraId="27B4E599" w14:textId="02ABD7AC" w:rsidR="00060F7A" w:rsidRPr="00AF0164" w:rsidRDefault="00060F7A" w:rsidP="00FB3A50">
            <w:pPr>
              <w:rPr>
                <w:sz w:val="18"/>
                <w:szCs w:val="18"/>
              </w:rPr>
            </w:pPr>
            <w:r w:rsidRPr="00AF0164">
              <w:rPr>
                <w:b/>
                <w:bCs/>
                <w:sz w:val="18"/>
                <w:szCs w:val="18"/>
              </w:rPr>
              <w:t>Indicator 3.2.</w:t>
            </w:r>
            <w:r w:rsidR="00A50B76" w:rsidRPr="00FB3A50">
              <w:rPr>
                <w:b/>
                <w:bCs/>
                <w:sz w:val="18"/>
                <w:szCs w:val="18"/>
              </w:rPr>
              <w:t>2.</w:t>
            </w:r>
            <w:r w:rsidR="00A50B76">
              <w:rPr>
                <w:sz w:val="18"/>
                <w:szCs w:val="18"/>
              </w:rPr>
              <w:t xml:space="preserve"> </w:t>
            </w:r>
            <w:r w:rsidRPr="00AF0164">
              <w:rPr>
                <w:sz w:val="18"/>
                <w:szCs w:val="18"/>
              </w:rPr>
              <w:t>Number of people benefitting from emergency jobs and other livelihoods in crisis and post-crisis settings, disaggregated by sex, age and disability</w:t>
            </w:r>
          </w:p>
          <w:p w14:paraId="5A85C700" w14:textId="77777777" w:rsidR="00060F7A" w:rsidRPr="00AF0164" w:rsidRDefault="00060F7A" w:rsidP="00FB3A50">
            <w:pPr>
              <w:rPr>
                <w:sz w:val="18"/>
                <w:szCs w:val="18"/>
              </w:rPr>
            </w:pPr>
            <w:r w:rsidRPr="00FB3A50">
              <w:rPr>
                <w:i/>
                <w:iCs/>
                <w:sz w:val="18"/>
                <w:szCs w:val="18"/>
              </w:rPr>
              <w:t>Baseline</w:t>
            </w:r>
            <w:r w:rsidRPr="00AF0164">
              <w:rPr>
                <w:sz w:val="18"/>
                <w:szCs w:val="18"/>
              </w:rPr>
              <w:t xml:space="preserve"> (2020): 6000 (Male 4200; Female 1800, PwD 0)</w:t>
            </w:r>
          </w:p>
          <w:p w14:paraId="59303F96"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18,000 (Male 12600; Female 5400, PwD 300)</w:t>
            </w:r>
          </w:p>
          <w:p w14:paraId="2B044F9C"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 </w:t>
            </w:r>
          </w:p>
          <w:p w14:paraId="5F6EDFA6" w14:textId="157D8E25" w:rsidR="00060F7A" w:rsidRPr="00AF0164" w:rsidRDefault="00060F7A" w:rsidP="00FB3A50">
            <w:pPr>
              <w:jc w:val="both"/>
              <w:rPr>
                <w:sz w:val="18"/>
                <w:szCs w:val="18"/>
              </w:rPr>
            </w:pPr>
            <w:r w:rsidRPr="00FB3A50">
              <w:rPr>
                <w:i/>
                <w:iCs/>
                <w:sz w:val="18"/>
                <w:szCs w:val="18"/>
              </w:rPr>
              <w:t>Frequency</w:t>
            </w:r>
            <w:r w:rsidRPr="00AF0164">
              <w:rPr>
                <w:sz w:val="18"/>
                <w:szCs w:val="18"/>
              </w:rPr>
              <w:t>: Annual</w:t>
            </w:r>
          </w:p>
          <w:p w14:paraId="3B86C430" w14:textId="77777777" w:rsidR="00060F7A" w:rsidRPr="00AF0164" w:rsidRDefault="00060F7A" w:rsidP="002E7C2A">
            <w:pPr>
              <w:jc w:val="both"/>
              <w:rPr>
                <w:b/>
                <w:bCs/>
                <w:sz w:val="18"/>
                <w:szCs w:val="18"/>
              </w:rPr>
            </w:pPr>
          </w:p>
          <w:p w14:paraId="3C2139F5" w14:textId="04154A41" w:rsidR="00060F7A" w:rsidRPr="00AF0164" w:rsidRDefault="00060F7A" w:rsidP="00AF02DF">
            <w:pPr>
              <w:rPr>
                <w:sz w:val="18"/>
                <w:szCs w:val="18"/>
              </w:rPr>
            </w:pPr>
            <w:r w:rsidRPr="00AF0164">
              <w:rPr>
                <w:b/>
                <w:bCs/>
                <w:sz w:val="18"/>
                <w:szCs w:val="18"/>
              </w:rPr>
              <w:t>Indicator 3.2.3</w:t>
            </w:r>
            <w:r w:rsidR="00A50B76" w:rsidRPr="00FB3A50">
              <w:rPr>
                <w:b/>
                <w:bCs/>
                <w:sz w:val="18"/>
                <w:szCs w:val="18"/>
              </w:rPr>
              <w:t>.</w:t>
            </w:r>
            <w:r w:rsidR="00A50B76">
              <w:rPr>
                <w:sz w:val="18"/>
                <w:szCs w:val="18"/>
              </w:rPr>
              <w:t xml:space="preserve"> </w:t>
            </w:r>
            <w:r w:rsidRPr="00AF0164">
              <w:rPr>
                <w:sz w:val="18"/>
                <w:szCs w:val="18"/>
              </w:rPr>
              <w:t xml:space="preserve">Number of strategic partnerships established with IFIs </w:t>
            </w:r>
            <w:r w:rsidR="001563AE" w:rsidRPr="00AF0164">
              <w:rPr>
                <w:sz w:val="18"/>
                <w:szCs w:val="18"/>
              </w:rPr>
              <w:t xml:space="preserve">to </w:t>
            </w:r>
            <w:r w:rsidR="004B5B0C" w:rsidRPr="00AF0164">
              <w:rPr>
                <w:sz w:val="18"/>
                <w:szCs w:val="18"/>
              </w:rPr>
              <w:t>support</w:t>
            </w:r>
            <w:r w:rsidR="00AF02DF" w:rsidRPr="00AF0164">
              <w:rPr>
                <w:sz w:val="18"/>
                <w:szCs w:val="18"/>
              </w:rPr>
              <w:t xml:space="preserve"> resilience</w:t>
            </w:r>
            <w:r w:rsidR="00A50B76">
              <w:rPr>
                <w:sz w:val="18"/>
                <w:szCs w:val="18"/>
              </w:rPr>
              <w:t>-</w:t>
            </w:r>
            <w:r w:rsidR="00AF02DF" w:rsidRPr="00AF0164">
              <w:rPr>
                <w:sz w:val="18"/>
                <w:szCs w:val="18"/>
              </w:rPr>
              <w:t>building,</w:t>
            </w:r>
            <w:r w:rsidRPr="00AF0164">
              <w:rPr>
                <w:sz w:val="18"/>
                <w:szCs w:val="18"/>
              </w:rPr>
              <w:t xml:space="preserve"> </w:t>
            </w:r>
            <w:r w:rsidR="000E2C0C" w:rsidRPr="00AF0164">
              <w:rPr>
                <w:sz w:val="18"/>
                <w:szCs w:val="18"/>
              </w:rPr>
              <w:lastRenderedPageBreak/>
              <w:t>transformation, and</w:t>
            </w:r>
            <w:r w:rsidR="001563AE" w:rsidRPr="00AF0164">
              <w:rPr>
                <w:sz w:val="18"/>
                <w:szCs w:val="18"/>
              </w:rPr>
              <w:t xml:space="preserve"> strengthen</w:t>
            </w:r>
            <w:r w:rsidR="000E2C0C" w:rsidRPr="00AF0164">
              <w:rPr>
                <w:sz w:val="18"/>
                <w:szCs w:val="18"/>
              </w:rPr>
              <w:t>ing</w:t>
            </w:r>
            <w:r w:rsidR="001563AE" w:rsidRPr="00AF0164">
              <w:rPr>
                <w:sz w:val="18"/>
                <w:szCs w:val="18"/>
              </w:rPr>
              <w:t xml:space="preserve"> health systems (including</w:t>
            </w:r>
            <w:r w:rsidR="00DC3412" w:rsidRPr="00AF0164">
              <w:rPr>
                <w:sz w:val="18"/>
                <w:szCs w:val="18"/>
              </w:rPr>
              <w:t xml:space="preserve"> </w:t>
            </w:r>
            <w:r w:rsidR="00AF02DF" w:rsidRPr="00AF0164">
              <w:rPr>
                <w:sz w:val="18"/>
                <w:szCs w:val="18"/>
              </w:rPr>
              <w:t xml:space="preserve">COVID-19 </w:t>
            </w:r>
            <w:r w:rsidR="00DC3412" w:rsidRPr="00AF0164">
              <w:rPr>
                <w:sz w:val="18"/>
                <w:szCs w:val="18"/>
              </w:rPr>
              <w:t>vaccine deployment</w:t>
            </w:r>
            <w:r w:rsidR="001563AE" w:rsidRPr="00AF0164">
              <w:rPr>
                <w:sz w:val="18"/>
                <w:szCs w:val="18"/>
              </w:rPr>
              <w:t xml:space="preserve">) </w:t>
            </w:r>
            <w:r w:rsidR="00DC3412" w:rsidRPr="00AF0164">
              <w:rPr>
                <w:sz w:val="18"/>
                <w:szCs w:val="18"/>
              </w:rPr>
              <w:t xml:space="preserve"> </w:t>
            </w:r>
          </w:p>
          <w:p w14:paraId="1B184863"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3</w:t>
            </w:r>
            <w:r w:rsidRPr="00AF0164">
              <w:rPr>
                <w:rStyle w:val="FootnoteReference"/>
                <w:sz w:val="18"/>
                <w:szCs w:val="18"/>
              </w:rPr>
              <w:footnoteReference w:id="19"/>
            </w:r>
          </w:p>
          <w:p w14:paraId="0D9DB198" w14:textId="0E92FB4A"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w:t>
            </w:r>
            <w:r w:rsidR="00147F63" w:rsidRPr="00AF0164">
              <w:rPr>
                <w:sz w:val="18"/>
                <w:szCs w:val="18"/>
              </w:rPr>
              <w:t>5</w:t>
            </w:r>
          </w:p>
          <w:p w14:paraId="75B2CD76" w14:textId="3FCE5364"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w:t>
            </w:r>
            <w:r w:rsidR="00A50B76">
              <w:rPr>
                <w:sz w:val="18"/>
                <w:szCs w:val="18"/>
              </w:rPr>
              <w:t>r</w:t>
            </w:r>
            <w:r w:rsidRPr="00AF0164">
              <w:rPr>
                <w:sz w:val="18"/>
                <w:szCs w:val="18"/>
              </w:rPr>
              <w:t xml:space="preserve">eport </w:t>
            </w:r>
          </w:p>
          <w:p w14:paraId="5F9D9B49" w14:textId="6961EA82" w:rsidR="00060F7A" w:rsidRPr="00AF0164" w:rsidRDefault="00060F7A" w:rsidP="00FB3A50">
            <w:pPr>
              <w:jc w:val="both"/>
              <w:rPr>
                <w:sz w:val="18"/>
                <w:szCs w:val="18"/>
              </w:rPr>
            </w:pPr>
            <w:r w:rsidRPr="00FB3A50">
              <w:rPr>
                <w:i/>
                <w:iCs/>
                <w:sz w:val="18"/>
                <w:szCs w:val="18"/>
              </w:rPr>
              <w:t>Frequency</w:t>
            </w:r>
            <w:r w:rsidRPr="00AF0164">
              <w:rPr>
                <w:sz w:val="18"/>
                <w:szCs w:val="18"/>
              </w:rPr>
              <w:t>: Annual</w:t>
            </w:r>
          </w:p>
        </w:tc>
        <w:tc>
          <w:tcPr>
            <w:tcW w:w="1186" w:type="pct"/>
            <w:gridSpan w:val="3"/>
          </w:tcPr>
          <w:p w14:paraId="3C5B3190" w14:textId="525C3554" w:rsidR="00060F7A" w:rsidRPr="00AF0164" w:rsidRDefault="00060F7A" w:rsidP="00E955EA">
            <w:pPr>
              <w:rPr>
                <w:sz w:val="18"/>
                <w:szCs w:val="18"/>
              </w:rPr>
            </w:pPr>
            <w:r w:rsidRPr="00AF0164">
              <w:rPr>
                <w:sz w:val="18"/>
                <w:szCs w:val="18"/>
              </w:rPr>
              <w:lastRenderedPageBreak/>
              <w:t>MINHDU, MINAT, MINEPAT, MINPROFF, MINEFOP, MINADER, MINEPIA, MINDDEVEL, MINFOPRA</w:t>
            </w:r>
            <w:r w:rsidR="00DB2B51">
              <w:rPr>
                <w:sz w:val="18"/>
                <w:szCs w:val="18"/>
              </w:rPr>
              <w:t>, Japan</w:t>
            </w:r>
            <w:r w:rsidRPr="00AF0164">
              <w:rPr>
                <w:sz w:val="18"/>
                <w:szCs w:val="18"/>
              </w:rPr>
              <w:t xml:space="preserve">      </w:t>
            </w:r>
          </w:p>
          <w:p w14:paraId="558FFCCB" w14:textId="461AC84B" w:rsidR="00060F7A" w:rsidRPr="00AF0164" w:rsidRDefault="00060F7A" w:rsidP="002E7C2A">
            <w:pPr>
              <w:jc w:val="both"/>
              <w:rPr>
                <w:bCs/>
                <w:sz w:val="18"/>
                <w:szCs w:val="18"/>
              </w:rPr>
            </w:pPr>
          </w:p>
        </w:tc>
        <w:tc>
          <w:tcPr>
            <w:tcW w:w="464" w:type="pct"/>
          </w:tcPr>
          <w:p w14:paraId="0FE1CBE5" w14:textId="77777777" w:rsidR="00060F7A" w:rsidRPr="00AF0164" w:rsidRDefault="00060F7A" w:rsidP="002E7C2A">
            <w:pPr>
              <w:jc w:val="both"/>
              <w:rPr>
                <w:b/>
                <w:sz w:val="18"/>
                <w:szCs w:val="18"/>
              </w:rPr>
            </w:pPr>
          </w:p>
        </w:tc>
      </w:tr>
      <w:tr w:rsidR="00060F7A" w:rsidRPr="00AF0164" w14:paraId="10EE91CA" w14:textId="77777777" w:rsidTr="002E7C2A">
        <w:trPr>
          <w:jc w:val="center"/>
        </w:trPr>
        <w:tc>
          <w:tcPr>
            <w:tcW w:w="1083" w:type="pct"/>
            <w:tcMar>
              <w:top w:w="72" w:type="dxa"/>
              <w:left w:w="144" w:type="dxa"/>
              <w:bottom w:w="72" w:type="dxa"/>
              <w:right w:w="144" w:type="dxa"/>
            </w:tcMar>
          </w:tcPr>
          <w:p w14:paraId="15E069F6" w14:textId="77777777" w:rsidR="00060F7A" w:rsidRPr="00FB3A50" w:rsidRDefault="00060F7A" w:rsidP="00FB3A50">
            <w:pPr>
              <w:rPr>
                <w:b/>
                <w:sz w:val="18"/>
                <w:szCs w:val="18"/>
              </w:rPr>
            </w:pPr>
            <w:r w:rsidRPr="00FB3A50">
              <w:rPr>
                <w:b/>
                <w:sz w:val="18"/>
                <w:szCs w:val="18"/>
              </w:rPr>
              <w:t>Overall ranking in the Mo Ibrahim Index of African Governance</w:t>
            </w:r>
          </w:p>
          <w:p w14:paraId="0903D41E" w14:textId="77777777" w:rsidR="00060F7A" w:rsidRPr="00AF0164" w:rsidRDefault="00060F7A" w:rsidP="002E7C2A">
            <w:pPr>
              <w:rPr>
                <w:sz w:val="18"/>
                <w:szCs w:val="18"/>
              </w:rPr>
            </w:pPr>
            <w:r w:rsidRPr="00FB3A50">
              <w:rPr>
                <w:i/>
                <w:iCs/>
                <w:sz w:val="18"/>
                <w:szCs w:val="18"/>
              </w:rPr>
              <w:t>Baseline</w:t>
            </w:r>
            <w:r w:rsidRPr="00AF0164">
              <w:rPr>
                <w:sz w:val="18"/>
                <w:szCs w:val="18"/>
              </w:rPr>
              <w:t xml:space="preserve"> (2020): 43.5/100</w:t>
            </w:r>
          </w:p>
          <w:p w14:paraId="72ED47FB" w14:textId="77777777" w:rsidR="00060F7A" w:rsidRPr="00AF0164" w:rsidRDefault="00060F7A" w:rsidP="002E7C2A">
            <w:pPr>
              <w:rPr>
                <w:sz w:val="18"/>
                <w:szCs w:val="18"/>
              </w:rPr>
            </w:pPr>
            <w:r w:rsidRPr="00FB3A50">
              <w:rPr>
                <w:i/>
                <w:iCs/>
                <w:sz w:val="18"/>
                <w:szCs w:val="18"/>
              </w:rPr>
              <w:t>Target</w:t>
            </w:r>
            <w:r w:rsidRPr="00AF0164">
              <w:rPr>
                <w:sz w:val="18"/>
                <w:szCs w:val="18"/>
              </w:rPr>
              <w:t>: TBD</w:t>
            </w:r>
          </w:p>
          <w:p w14:paraId="13EF5429" w14:textId="77777777" w:rsidR="00060F7A" w:rsidRPr="00AF0164" w:rsidRDefault="00060F7A" w:rsidP="002E7C2A">
            <w:pPr>
              <w:rPr>
                <w:sz w:val="18"/>
                <w:szCs w:val="18"/>
              </w:rPr>
            </w:pPr>
          </w:p>
        </w:tc>
        <w:tc>
          <w:tcPr>
            <w:tcW w:w="824" w:type="pct"/>
          </w:tcPr>
          <w:p w14:paraId="5F7C52A1" w14:textId="77777777" w:rsidR="00060F7A" w:rsidRPr="00AF0164" w:rsidRDefault="00060F7A" w:rsidP="002E7C2A">
            <w:pPr>
              <w:jc w:val="both"/>
              <w:rPr>
                <w:b/>
                <w:sz w:val="18"/>
                <w:szCs w:val="18"/>
              </w:rPr>
            </w:pPr>
          </w:p>
        </w:tc>
        <w:tc>
          <w:tcPr>
            <w:tcW w:w="1443" w:type="pct"/>
            <w:gridSpan w:val="2"/>
          </w:tcPr>
          <w:p w14:paraId="3F7ACAFF" w14:textId="6C6E6C7E" w:rsidR="00060F7A" w:rsidRPr="00AF0164" w:rsidRDefault="00060F7A" w:rsidP="002E7C2A">
            <w:pPr>
              <w:rPr>
                <w:bCs/>
                <w:sz w:val="18"/>
                <w:szCs w:val="18"/>
              </w:rPr>
            </w:pPr>
            <w:r w:rsidRPr="00AF0164">
              <w:rPr>
                <w:b/>
                <w:sz w:val="18"/>
                <w:szCs w:val="18"/>
              </w:rPr>
              <w:t>Output 3.3</w:t>
            </w:r>
            <w:r w:rsidR="004B0CD2">
              <w:rPr>
                <w:b/>
                <w:sz w:val="18"/>
                <w:szCs w:val="18"/>
              </w:rPr>
              <w:t>.</w:t>
            </w:r>
            <w:r w:rsidRPr="00AF0164">
              <w:rPr>
                <w:sz w:val="18"/>
                <w:szCs w:val="18"/>
              </w:rPr>
              <w:t xml:space="preserve"> Decentralization process and local governance systems enhanced to improve service delivery</w:t>
            </w:r>
            <w:r w:rsidR="004B0CD2">
              <w:rPr>
                <w:sz w:val="18"/>
                <w:szCs w:val="18"/>
              </w:rPr>
              <w:t>.</w:t>
            </w:r>
          </w:p>
          <w:p w14:paraId="64CA70AD" w14:textId="77777777" w:rsidR="00060F7A" w:rsidRPr="00AF0164" w:rsidRDefault="00060F7A" w:rsidP="002E7C2A">
            <w:pPr>
              <w:rPr>
                <w:b/>
                <w:bCs/>
                <w:sz w:val="18"/>
                <w:szCs w:val="18"/>
              </w:rPr>
            </w:pPr>
          </w:p>
          <w:p w14:paraId="45518719" w14:textId="28458ABA" w:rsidR="00060F7A" w:rsidRPr="00AF0164" w:rsidRDefault="00060F7A" w:rsidP="00FB3A50">
            <w:pPr>
              <w:ind w:left="31" w:hanging="31"/>
              <w:rPr>
                <w:sz w:val="18"/>
                <w:szCs w:val="18"/>
              </w:rPr>
            </w:pPr>
            <w:r w:rsidRPr="00AF0164">
              <w:rPr>
                <w:b/>
                <w:bCs/>
                <w:sz w:val="18"/>
                <w:szCs w:val="18"/>
              </w:rPr>
              <w:t>Indicator 3.3.</w:t>
            </w:r>
            <w:r w:rsidR="004B0CD2" w:rsidRPr="00FB3A50">
              <w:rPr>
                <w:b/>
                <w:bCs/>
                <w:sz w:val="18"/>
                <w:szCs w:val="18"/>
              </w:rPr>
              <w:t>1.</w:t>
            </w:r>
            <w:r w:rsidR="004B0CD2">
              <w:rPr>
                <w:sz w:val="18"/>
                <w:szCs w:val="18"/>
              </w:rPr>
              <w:t xml:space="preserve"> </w:t>
            </w:r>
            <w:r w:rsidRPr="00AF0164">
              <w:rPr>
                <w:sz w:val="18"/>
                <w:szCs w:val="18"/>
              </w:rPr>
              <w:t>Number of DTCs with a</w:t>
            </w:r>
            <w:r w:rsidR="004B0CD2">
              <w:rPr>
                <w:sz w:val="18"/>
                <w:szCs w:val="18"/>
              </w:rPr>
              <w:t xml:space="preserve"> </w:t>
            </w:r>
            <w:r w:rsidRPr="00AF0164">
              <w:rPr>
                <w:sz w:val="18"/>
                <w:szCs w:val="18"/>
              </w:rPr>
              <w:t>participatory, inclusive and gender</w:t>
            </w:r>
            <w:r w:rsidR="004B0CD2">
              <w:rPr>
                <w:sz w:val="18"/>
                <w:szCs w:val="18"/>
              </w:rPr>
              <w:t>-</w:t>
            </w:r>
            <w:r w:rsidRPr="00AF0164">
              <w:rPr>
                <w:sz w:val="18"/>
                <w:szCs w:val="18"/>
              </w:rPr>
              <w:t xml:space="preserve">responsive plans and budget </w:t>
            </w:r>
          </w:p>
          <w:p w14:paraId="63B89349" w14:textId="734FA079" w:rsidR="00060F7A" w:rsidRPr="00AF0164" w:rsidRDefault="00060F7A" w:rsidP="00FB3A50">
            <w:pPr>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0</w:t>
            </w:r>
          </w:p>
          <w:p w14:paraId="3AF7431E" w14:textId="50CC30DA" w:rsidR="00060F7A" w:rsidRPr="00AF0164" w:rsidRDefault="00060F7A" w:rsidP="00FB3A50">
            <w:pPr>
              <w:rPr>
                <w:sz w:val="18"/>
                <w:szCs w:val="18"/>
              </w:rPr>
            </w:pPr>
            <w:r w:rsidRPr="00FB3A50">
              <w:rPr>
                <w:i/>
                <w:iCs/>
                <w:sz w:val="18"/>
                <w:szCs w:val="18"/>
              </w:rPr>
              <w:t>Target</w:t>
            </w:r>
            <w:r w:rsidRPr="00AF0164">
              <w:rPr>
                <w:sz w:val="18"/>
                <w:szCs w:val="18"/>
              </w:rPr>
              <w:t xml:space="preserve"> (2026):</w:t>
            </w:r>
            <w:r w:rsidR="004B0CD2">
              <w:rPr>
                <w:sz w:val="18"/>
                <w:szCs w:val="18"/>
              </w:rPr>
              <w:t xml:space="preserve"> </w:t>
            </w:r>
            <w:r w:rsidRPr="00AF0164">
              <w:rPr>
                <w:sz w:val="18"/>
                <w:szCs w:val="18"/>
              </w:rPr>
              <w:t>374</w:t>
            </w:r>
          </w:p>
          <w:p w14:paraId="3AD6A972" w14:textId="6F7D20F4" w:rsidR="00060F7A" w:rsidRPr="00AF0164" w:rsidRDefault="00060F7A" w:rsidP="00FB3A50">
            <w:pPr>
              <w:rPr>
                <w:sz w:val="18"/>
                <w:szCs w:val="18"/>
              </w:rPr>
            </w:pPr>
            <w:r w:rsidRPr="00FB3A50">
              <w:rPr>
                <w:i/>
                <w:iCs/>
                <w:sz w:val="18"/>
                <w:szCs w:val="18"/>
              </w:rPr>
              <w:t>Data source</w:t>
            </w:r>
            <w:r w:rsidR="004B0CD2">
              <w:rPr>
                <w:sz w:val="18"/>
                <w:szCs w:val="18"/>
              </w:rPr>
              <w:t xml:space="preserve">: </w:t>
            </w:r>
            <w:r w:rsidRPr="00AF0164">
              <w:rPr>
                <w:sz w:val="18"/>
                <w:szCs w:val="18"/>
              </w:rPr>
              <w:t xml:space="preserve">Project </w:t>
            </w:r>
            <w:r w:rsidR="004B0CD2">
              <w:rPr>
                <w:sz w:val="18"/>
                <w:szCs w:val="18"/>
              </w:rPr>
              <w:t>a</w:t>
            </w:r>
            <w:r w:rsidRPr="00AF0164">
              <w:rPr>
                <w:sz w:val="18"/>
                <w:szCs w:val="18"/>
              </w:rPr>
              <w:t>ctivity reports</w:t>
            </w:r>
          </w:p>
          <w:p w14:paraId="582F4232" w14:textId="672CDAE3" w:rsidR="00060F7A" w:rsidRPr="00AF0164" w:rsidRDefault="00060F7A" w:rsidP="00FB3A50">
            <w:pPr>
              <w:rPr>
                <w:sz w:val="18"/>
                <w:szCs w:val="18"/>
              </w:rPr>
            </w:pPr>
            <w:r w:rsidRPr="00FB3A50">
              <w:rPr>
                <w:i/>
                <w:iCs/>
                <w:sz w:val="18"/>
                <w:szCs w:val="18"/>
              </w:rPr>
              <w:t>Frequency</w:t>
            </w:r>
            <w:r w:rsidRPr="00AF0164">
              <w:rPr>
                <w:sz w:val="18"/>
                <w:szCs w:val="18"/>
              </w:rPr>
              <w:t>: Annual</w:t>
            </w:r>
          </w:p>
          <w:p w14:paraId="280B5274" w14:textId="77777777" w:rsidR="00060F7A" w:rsidRPr="00AF0164" w:rsidRDefault="00060F7A" w:rsidP="002E7C2A">
            <w:pPr>
              <w:rPr>
                <w:sz w:val="18"/>
                <w:szCs w:val="18"/>
              </w:rPr>
            </w:pPr>
          </w:p>
          <w:p w14:paraId="6BA82800" w14:textId="1E1F863D" w:rsidR="00060F7A" w:rsidRPr="00AF0164" w:rsidRDefault="00060F7A" w:rsidP="002E7C2A">
            <w:pPr>
              <w:rPr>
                <w:sz w:val="18"/>
                <w:szCs w:val="18"/>
              </w:rPr>
            </w:pPr>
            <w:r w:rsidRPr="00AF0164">
              <w:rPr>
                <w:b/>
                <w:bCs/>
                <w:sz w:val="18"/>
                <w:szCs w:val="18"/>
              </w:rPr>
              <w:t>Indicator 3.3.2</w:t>
            </w:r>
            <w:r w:rsidR="004B0CD2">
              <w:rPr>
                <w:sz w:val="18"/>
                <w:szCs w:val="18"/>
              </w:rPr>
              <w:t xml:space="preserve">. </w:t>
            </w:r>
            <w:r w:rsidRPr="00AF0164">
              <w:rPr>
                <w:sz w:val="18"/>
                <w:szCs w:val="18"/>
              </w:rPr>
              <w:t>Number of DTCs with functioning resource mobilization and partnership mechanism for local development</w:t>
            </w:r>
          </w:p>
          <w:p w14:paraId="2D137ED6" w14:textId="18B7B7A6" w:rsidR="00060F7A" w:rsidRPr="00AF0164" w:rsidRDefault="00060F7A" w:rsidP="00FB3A50">
            <w:pPr>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0</w:t>
            </w:r>
          </w:p>
          <w:p w14:paraId="5FF5B4E0" w14:textId="6DFCDD03" w:rsidR="00060F7A" w:rsidRPr="00AF0164" w:rsidRDefault="00060F7A" w:rsidP="00FB3A50">
            <w:pPr>
              <w:rPr>
                <w:sz w:val="18"/>
                <w:szCs w:val="18"/>
              </w:rPr>
            </w:pPr>
            <w:r w:rsidRPr="00FB3A50">
              <w:rPr>
                <w:i/>
                <w:iCs/>
                <w:sz w:val="18"/>
                <w:szCs w:val="18"/>
              </w:rPr>
              <w:t>Target</w:t>
            </w:r>
            <w:r w:rsidRPr="00AF0164">
              <w:rPr>
                <w:sz w:val="18"/>
                <w:szCs w:val="18"/>
              </w:rPr>
              <w:t xml:space="preserve"> (2026):</w:t>
            </w:r>
            <w:r w:rsidR="004B0CD2">
              <w:rPr>
                <w:sz w:val="18"/>
                <w:szCs w:val="18"/>
              </w:rPr>
              <w:t xml:space="preserve"> </w:t>
            </w:r>
            <w:r w:rsidRPr="00AF0164">
              <w:rPr>
                <w:sz w:val="18"/>
                <w:szCs w:val="18"/>
              </w:rPr>
              <w:t>150</w:t>
            </w:r>
          </w:p>
          <w:p w14:paraId="7028ED1C" w14:textId="77777777" w:rsidR="00060F7A" w:rsidRPr="00AF0164" w:rsidRDefault="00060F7A" w:rsidP="00FB3A50">
            <w:pPr>
              <w:rPr>
                <w:sz w:val="18"/>
                <w:szCs w:val="18"/>
              </w:rPr>
            </w:pPr>
            <w:r w:rsidRPr="00FB3A50">
              <w:rPr>
                <w:i/>
                <w:iCs/>
                <w:sz w:val="18"/>
                <w:szCs w:val="18"/>
              </w:rPr>
              <w:t>Data source</w:t>
            </w:r>
            <w:r w:rsidRPr="00AF0164">
              <w:rPr>
                <w:sz w:val="18"/>
                <w:szCs w:val="18"/>
              </w:rPr>
              <w:t xml:space="preserve">: Activity reports </w:t>
            </w:r>
            <w:r w:rsidRPr="00AF0164">
              <w:rPr>
                <w:sz w:val="18"/>
                <w:szCs w:val="18"/>
              </w:rPr>
              <w:tab/>
              <w:t xml:space="preserve"> </w:t>
            </w:r>
          </w:p>
          <w:p w14:paraId="6D1D2F0D" w14:textId="77777777" w:rsidR="00060F7A" w:rsidRPr="00AF0164" w:rsidRDefault="00060F7A" w:rsidP="00FB3A50">
            <w:pPr>
              <w:rPr>
                <w:sz w:val="18"/>
                <w:szCs w:val="18"/>
              </w:rPr>
            </w:pPr>
            <w:r w:rsidRPr="00FB3A50">
              <w:rPr>
                <w:i/>
                <w:iCs/>
                <w:sz w:val="18"/>
                <w:szCs w:val="18"/>
              </w:rPr>
              <w:t>Frequency</w:t>
            </w:r>
            <w:r w:rsidRPr="00AF0164">
              <w:rPr>
                <w:sz w:val="18"/>
                <w:szCs w:val="18"/>
              </w:rPr>
              <w:t>: Annual</w:t>
            </w:r>
          </w:p>
          <w:p w14:paraId="13A2E483" w14:textId="77777777" w:rsidR="00060F7A" w:rsidRPr="00AF0164" w:rsidRDefault="00060F7A" w:rsidP="002E7C2A">
            <w:pPr>
              <w:jc w:val="both"/>
              <w:rPr>
                <w:sz w:val="18"/>
                <w:szCs w:val="18"/>
              </w:rPr>
            </w:pPr>
          </w:p>
          <w:p w14:paraId="6B252085" w14:textId="1AFF3E19" w:rsidR="00060F7A" w:rsidRPr="00AF0164" w:rsidRDefault="00060F7A" w:rsidP="00FB3A50">
            <w:pPr>
              <w:rPr>
                <w:sz w:val="18"/>
                <w:szCs w:val="18"/>
              </w:rPr>
            </w:pPr>
            <w:r w:rsidRPr="00AF0164">
              <w:rPr>
                <w:b/>
                <w:bCs/>
                <w:sz w:val="18"/>
                <w:szCs w:val="18"/>
              </w:rPr>
              <w:t>Indicator 3.3.3</w:t>
            </w:r>
            <w:r w:rsidR="004B0CD2">
              <w:rPr>
                <w:sz w:val="18"/>
                <w:szCs w:val="18"/>
              </w:rPr>
              <w:t xml:space="preserve">. </w:t>
            </w:r>
            <w:r w:rsidRPr="00AF0164">
              <w:rPr>
                <w:sz w:val="18"/>
                <w:szCs w:val="18"/>
              </w:rPr>
              <w:t xml:space="preserve">Number of DTCs with innovative and digitized systems for effective service delivery </w:t>
            </w:r>
          </w:p>
          <w:p w14:paraId="0A5D9198" w14:textId="10C174F9"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0</w:t>
            </w:r>
          </w:p>
          <w:p w14:paraId="42A730B0" w14:textId="68B11EF0"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w:t>
            </w:r>
            <w:r w:rsidR="004B0CD2">
              <w:rPr>
                <w:sz w:val="18"/>
                <w:szCs w:val="18"/>
              </w:rPr>
              <w:t xml:space="preserve"> </w:t>
            </w:r>
            <w:r w:rsidRPr="00AF0164">
              <w:rPr>
                <w:sz w:val="18"/>
                <w:szCs w:val="18"/>
              </w:rPr>
              <w:t>40</w:t>
            </w:r>
          </w:p>
          <w:p w14:paraId="230399D2"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Project reports</w:t>
            </w:r>
          </w:p>
          <w:p w14:paraId="5C30C483"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Annual</w:t>
            </w:r>
          </w:p>
          <w:p w14:paraId="55EFAA68" w14:textId="77777777" w:rsidR="00060F7A" w:rsidRPr="00AF0164" w:rsidRDefault="00060F7A" w:rsidP="002E7C2A">
            <w:pPr>
              <w:jc w:val="both"/>
              <w:rPr>
                <w:sz w:val="18"/>
                <w:szCs w:val="18"/>
              </w:rPr>
            </w:pPr>
          </w:p>
          <w:p w14:paraId="22146653" w14:textId="77777777" w:rsidR="0010586E" w:rsidRDefault="00060F7A" w:rsidP="00FB3A50">
            <w:pPr>
              <w:rPr>
                <w:bCs/>
                <w:sz w:val="18"/>
                <w:szCs w:val="18"/>
              </w:rPr>
            </w:pPr>
            <w:r w:rsidRPr="00AF0164">
              <w:rPr>
                <w:b/>
                <w:sz w:val="18"/>
                <w:szCs w:val="18"/>
              </w:rPr>
              <w:t>Indicator 3.3.4</w:t>
            </w:r>
            <w:r w:rsidR="004B0CD2">
              <w:rPr>
                <w:bCs/>
                <w:sz w:val="18"/>
                <w:szCs w:val="18"/>
              </w:rPr>
              <w:t xml:space="preserve">. </w:t>
            </w:r>
            <w:r w:rsidRPr="00AF0164">
              <w:rPr>
                <w:bCs/>
                <w:sz w:val="18"/>
                <w:szCs w:val="18"/>
              </w:rPr>
              <w:t xml:space="preserve">Percentage of DTCs with functional accountability mechanisms </w:t>
            </w:r>
          </w:p>
          <w:p w14:paraId="6669494C" w14:textId="4047EB23" w:rsidR="00060F7A" w:rsidRPr="00AF0164" w:rsidRDefault="00060F7A" w:rsidP="00FB3A50">
            <w:pPr>
              <w:rPr>
                <w:bCs/>
                <w:sz w:val="18"/>
                <w:szCs w:val="18"/>
              </w:rPr>
            </w:pPr>
            <w:r w:rsidRPr="00AF0164">
              <w:rPr>
                <w:bCs/>
                <w:sz w:val="18"/>
                <w:szCs w:val="18"/>
              </w:rPr>
              <w:t>Baseline (2020): TBD</w:t>
            </w:r>
          </w:p>
          <w:p w14:paraId="702DC990" w14:textId="74CDA861" w:rsidR="00060F7A" w:rsidRPr="00FB3A50" w:rsidRDefault="00060F7A" w:rsidP="00FB3A50">
            <w:pPr>
              <w:jc w:val="both"/>
              <w:rPr>
                <w:bCs/>
                <w:sz w:val="18"/>
                <w:szCs w:val="18"/>
              </w:rPr>
            </w:pPr>
            <w:r w:rsidRPr="00FB3A50">
              <w:rPr>
                <w:bCs/>
                <w:i/>
                <w:iCs/>
                <w:sz w:val="18"/>
                <w:szCs w:val="18"/>
              </w:rPr>
              <w:t>Target</w:t>
            </w:r>
            <w:r w:rsidRPr="00FB3A50">
              <w:rPr>
                <w:bCs/>
                <w:sz w:val="18"/>
                <w:szCs w:val="18"/>
              </w:rPr>
              <w:t xml:space="preserve"> (2026)</w:t>
            </w:r>
            <w:r w:rsidR="004B0CD2">
              <w:rPr>
                <w:bCs/>
                <w:sz w:val="18"/>
                <w:szCs w:val="18"/>
              </w:rPr>
              <w:t xml:space="preserve">: </w:t>
            </w:r>
            <w:r w:rsidRPr="00FB3A50">
              <w:rPr>
                <w:bCs/>
                <w:sz w:val="18"/>
                <w:szCs w:val="18"/>
              </w:rPr>
              <w:t>60%</w:t>
            </w:r>
          </w:p>
          <w:p w14:paraId="279A9B2A" w14:textId="2A46E2D6" w:rsidR="00060F7A" w:rsidRPr="00FB3A50" w:rsidRDefault="00060F7A" w:rsidP="00FB3A50">
            <w:pPr>
              <w:jc w:val="both"/>
              <w:rPr>
                <w:bCs/>
                <w:sz w:val="18"/>
                <w:szCs w:val="18"/>
              </w:rPr>
            </w:pPr>
            <w:r w:rsidRPr="00FB3A50">
              <w:rPr>
                <w:bCs/>
                <w:i/>
                <w:iCs/>
                <w:sz w:val="18"/>
                <w:szCs w:val="18"/>
              </w:rPr>
              <w:t>Data source</w:t>
            </w:r>
            <w:r w:rsidR="004B0CD2">
              <w:rPr>
                <w:bCs/>
                <w:sz w:val="18"/>
                <w:szCs w:val="18"/>
              </w:rPr>
              <w:t>:</w:t>
            </w:r>
            <w:r w:rsidRPr="00FB3A50">
              <w:rPr>
                <w:bCs/>
                <w:sz w:val="18"/>
                <w:szCs w:val="18"/>
              </w:rPr>
              <w:t xml:space="preserve"> Project report</w:t>
            </w:r>
          </w:p>
          <w:p w14:paraId="713F6BDA" w14:textId="7C78FFE2" w:rsidR="00060F7A" w:rsidRPr="00FB3A50" w:rsidRDefault="00060F7A" w:rsidP="00FB3A50">
            <w:pPr>
              <w:jc w:val="both"/>
              <w:rPr>
                <w:bCs/>
                <w:sz w:val="18"/>
                <w:szCs w:val="18"/>
              </w:rPr>
            </w:pPr>
            <w:r w:rsidRPr="00FB3A50">
              <w:rPr>
                <w:bCs/>
                <w:i/>
                <w:iCs/>
                <w:sz w:val="18"/>
                <w:szCs w:val="18"/>
              </w:rPr>
              <w:t>Frequency</w:t>
            </w:r>
            <w:r w:rsidRPr="00FB3A50">
              <w:rPr>
                <w:bCs/>
                <w:sz w:val="18"/>
                <w:szCs w:val="18"/>
              </w:rPr>
              <w:t>: Annual</w:t>
            </w:r>
          </w:p>
        </w:tc>
        <w:tc>
          <w:tcPr>
            <w:tcW w:w="1186" w:type="pct"/>
            <w:gridSpan w:val="3"/>
          </w:tcPr>
          <w:p w14:paraId="291982FB" w14:textId="0C9C3B2E" w:rsidR="00060F7A" w:rsidRPr="00AF0164" w:rsidRDefault="00060F7A" w:rsidP="00FB3A50">
            <w:pPr>
              <w:rPr>
                <w:bCs/>
                <w:sz w:val="18"/>
                <w:szCs w:val="18"/>
              </w:rPr>
            </w:pPr>
            <w:r w:rsidRPr="00AF0164">
              <w:rPr>
                <w:sz w:val="18"/>
                <w:szCs w:val="18"/>
              </w:rPr>
              <w:t>MINFI, MINEPAT, MINDDEVEL, MINFOPRA, ANTIC, World Bank, Japan, E</w:t>
            </w:r>
            <w:r w:rsidR="004B0CD2">
              <w:rPr>
                <w:sz w:val="18"/>
                <w:szCs w:val="18"/>
              </w:rPr>
              <w:t xml:space="preserve">uropean </w:t>
            </w:r>
            <w:r w:rsidRPr="00AF0164">
              <w:rPr>
                <w:sz w:val="18"/>
                <w:szCs w:val="18"/>
              </w:rPr>
              <w:t>U</w:t>
            </w:r>
            <w:r w:rsidR="004B0CD2">
              <w:rPr>
                <w:sz w:val="18"/>
                <w:szCs w:val="18"/>
              </w:rPr>
              <w:t>nion</w:t>
            </w:r>
            <w:r w:rsidRPr="00AF0164">
              <w:rPr>
                <w:sz w:val="18"/>
                <w:szCs w:val="18"/>
              </w:rPr>
              <w:t xml:space="preserve"> </w:t>
            </w:r>
          </w:p>
        </w:tc>
        <w:tc>
          <w:tcPr>
            <w:tcW w:w="464" w:type="pct"/>
          </w:tcPr>
          <w:p w14:paraId="52C2A987" w14:textId="77777777" w:rsidR="00060F7A" w:rsidRPr="00AF0164" w:rsidRDefault="00060F7A" w:rsidP="002E7C2A">
            <w:pPr>
              <w:jc w:val="both"/>
              <w:rPr>
                <w:b/>
                <w:sz w:val="18"/>
                <w:szCs w:val="18"/>
              </w:rPr>
            </w:pPr>
          </w:p>
        </w:tc>
      </w:tr>
      <w:tr w:rsidR="00060F7A" w:rsidRPr="00786E8D" w14:paraId="2C99566B" w14:textId="77777777" w:rsidTr="002E7C2A">
        <w:trPr>
          <w:jc w:val="center"/>
        </w:trPr>
        <w:tc>
          <w:tcPr>
            <w:tcW w:w="1083" w:type="pct"/>
            <w:tcMar>
              <w:top w:w="72" w:type="dxa"/>
              <w:left w:w="144" w:type="dxa"/>
              <w:bottom w:w="72" w:type="dxa"/>
              <w:right w:w="144" w:type="dxa"/>
            </w:tcMar>
          </w:tcPr>
          <w:p w14:paraId="2B5B9B85" w14:textId="77777777" w:rsidR="00060F7A" w:rsidRPr="00AF0164" w:rsidRDefault="00060F7A" w:rsidP="002E7C2A">
            <w:pPr>
              <w:jc w:val="both"/>
              <w:rPr>
                <w:b/>
                <w:sz w:val="18"/>
                <w:szCs w:val="18"/>
              </w:rPr>
            </w:pPr>
          </w:p>
        </w:tc>
        <w:tc>
          <w:tcPr>
            <w:tcW w:w="824" w:type="pct"/>
          </w:tcPr>
          <w:p w14:paraId="746A0C70" w14:textId="77777777" w:rsidR="00060F7A" w:rsidRPr="00AF0164" w:rsidRDefault="00060F7A" w:rsidP="002E7C2A">
            <w:pPr>
              <w:jc w:val="both"/>
              <w:rPr>
                <w:b/>
                <w:sz w:val="18"/>
                <w:szCs w:val="18"/>
              </w:rPr>
            </w:pPr>
          </w:p>
        </w:tc>
        <w:tc>
          <w:tcPr>
            <w:tcW w:w="1443" w:type="pct"/>
            <w:gridSpan w:val="2"/>
          </w:tcPr>
          <w:p w14:paraId="236C1DB3" w14:textId="48FD80A1" w:rsidR="00060F7A" w:rsidRPr="00AF0164" w:rsidRDefault="00060F7A" w:rsidP="00FB3A50">
            <w:pPr>
              <w:rPr>
                <w:sz w:val="18"/>
                <w:szCs w:val="18"/>
              </w:rPr>
            </w:pPr>
            <w:r w:rsidRPr="00AF0164">
              <w:rPr>
                <w:b/>
                <w:sz w:val="18"/>
                <w:szCs w:val="18"/>
              </w:rPr>
              <w:t>Output 3.4</w:t>
            </w:r>
            <w:r w:rsidR="004B0CD2">
              <w:rPr>
                <w:b/>
                <w:sz w:val="18"/>
                <w:szCs w:val="18"/>
              </w:rPr>
              <w:t xml:space="preserve">. </w:t>
            </w:r>
            <w:r w:rsidRPr="00AF0164">
              <w:rPr>
                <w:sz w:val="18"/>
                <w:szCs w:val="18"/>
              </w:rPr>
              <w:t>Legal, institutional, and technical frameworks are enabled for effective administration of justice, human rights and access to services.</w:t>
            </w:r>
          </w:p>
          <w:p w14:paraId="05BC1CFE" w14:textId="77777777" w:rsidR="00060F7A" w:rsidRPr="00AF0164" w:rsidRDefault="00060F7A" w:rsidP="002E7C2A">
            <w:pPr>
              <w:jc w:val="both"/>
              <w:rPr>
                <w:bCs/>
                <w:sz w:val="18"/>
                <w:szCs w:val="18"/>
              </w:rPr>
            </w:pPr>
          </w:p>
          <w:tbl>
            <w:tblPr>
              <w:tblW w:w="4069" w:type="dxa"/>
              <w:tblBorders>
                <w:top w:val="nil"/>
                <w:left w:val="nil"/>
                <w:bottom w:val="nil"/>
                <w:right w:val="nil"/>
              </w:tblBorders>
              <w:tblLayout w:type="fixed"/>
              <w:tblLook w:val="0000" w:firstRow="0" w:lastRow="0" w:firstColumn="0" w:lastColumn="0" w:noHBand="0" w:noVBand="0"/>
            </w:tblPr>
            <w:tblGrid>
              <w:gridCol w:w="4069"/>
            </w:tblGrid>
            <w:tr w:rsidR="00060F7A" w:rsidRPr="00AF0164" w14:paraId="371FA3E4" w14:textId="77777777" w:rsidTr="00B91C11">
              <w:trPr>
                <w:trHeight w:val="571"/>
              </w:trPr>
              <w:tc>
                <w:tcPr>
                  <w:tcW w:w="4069" w:type="dxa"/>
                </w:tcPr>
                <w:p w14:paraId="36ADF3BD" w14:textId="6C13AFD7" w:rsidR="004B0CD2" w:rsidRPr="00AF0164" w:rsidRDefault="00060F7A" w:rsidP="00B91C11">
                  <w:pPr>
                    <w:ind w:left="-80"/>
                    <w:rPr>
                      <w:sz w:val="18"/>
                      <w:szCs w:val="18"/>
                    </w:rPr>
                  </w:pPr>
                  <w:r w:rsidRPr="00AF0164">
                    <w:rPr>
                      <w:b/>
                      <w:bCs/>
                      <w:sz w:val="18"/>
                      <w:szCs w:val="18"/>
                    </w:rPr>
                    <w:t>Indicator 3.4.1</w:t>
                  </w:r>
                  <w:r w:rsidR="004B0CD2">
                    <w:rPr>
                      <w:b/>
                      <w:bCs/>
                      <w:sz w:val="18"/>
                      <w:szCs w:val="18"/>
                    </w:rPr>
                    <w:t xml:space="preserve">. </w:t>
                  </w:r>
                  <w:r w:rsidRPr="00AF0164">
                    <w:rPr>
                      <w:sz w:val="18"/>
                      <w:szCs w:val="18"/>
                    </w:rPr>
                    <w:t>Average length of pre-trial detention (months)</w:t>
                  </w:r>
                </w:p>
                <w:p w14:paraId="2DC2C467" w14:textId="4682372D" w:rsidR="004B0CD2" w:rsidRPr="00AF0164" w:rsidRDefault="00060F7A" w:rsidP="00FB3A50">
                  <w:pPr>
                    <w:ind w:left="-80"/>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 xml:space="preserve">12 </w:t>
                  </w:r>
                  <w:r w:rsidR="004B0CD2">
                    <w:rPr>
                      <w:sz w:val="18"/>
                      <w:szCs w:val="18"/>
                    </w:rPr>
                    <w:t>m</w:t>
                  </w:r>
                  <w:r w:rsidRPr="00AF0164">
                    <w:rPr>
                      <w:sz w:val="18"/>
                      <w:szCs w:val="18"/>
                    </w:rPr>
                    <w:t xml:space="preserve">onths </w:t>
                  </w:r>
                </w:p>
                <w:p w14:paraId="17F64B24" w14:textId="0C8B9703" w:rsidR="004B0CD2" w:rsidRPr="00FB3A50" w:rsidRDefault="00060F7A" w:rsidP="00FB3A50">
                  <w:pPr>
                    <w:ind w:left="-80"/>
                    <w:rPr>
                      <w:i/>
                      <w:iCs/>
                      <w:sz w:val="18"/>
                      <w:szCs w:val="18"/>
                    </w:rPr>
                  </w:pPr>
                  <w:r w:rsidRPr="00FB3A50">
                    <w:rPr>
                      <w:i/>
                      <w:iCs/>
                      <w:sz w:val="18"/>
                      <w:szCs w:val="18"/>
                    </w:rPr>
                    <w:t>Target</w:t>
                  </w:r>
                  <w:r w:rsidRPr="00AF0164">
                    <w:rPr>
                      <w:sz w:val="18"/>
                      <w:szCs w:val="18"/>
                    </w:rPr>
                    <w:t xml:space="preserve"> (2026): Six months  </w:t>
                  </w:r>
                </w:p>
                <w:p w14:paraId="5243B8A5" w14:textId="622D0383" w:rsidR="004B0CD2" w:rsidRPr="00AF0164" w:rsidRDefault="00060F7A" w:rsidP="00FB3A50">
                  <w:pPr>
                    <w:ind w:left="-80"/>
                    <w:rPr>
                      <w:sz w:val="18"/>
                      <w:szCs w:val="18"/>
                    </w:rPr>
                  </w:pPr>
                  <w:r w:rsidRPr="00FB3A50">
                    <w:rPr>
                      <w:i/>
                      <w:iCs/>
                      <w:sz w:val="18"/>
                      <w:szCs w:val="18"/>
                    </w:rPr>
                    <w:t>Data source</w:t>
                  </w:r>
                  <w:r w:rsidR="004B0CD2">
                    <w:rPr>
                      <w:sz w:val="18"/>
                      <w:szCs w:val="18"/>
                    </w:rPr>
                    <w:t>:</w:t>
                  </w:r>
                  <w:r w:rsidRPr="00AF0164">
                    <w:rPr>
                      <w:sz w:val="18"/>
                      <w:szCs w:val="18"/>
                    </w:rPr>
                    <w:t xml:space="preserve"> MINJUSTICE report</w:t>
                  </w:r>
                  <w:r w:rsidRPr="00AF0164">
                    <w:rPr>
                      <w:sz w:val="18"/>
                      <w:szCs w:val="18"/>
                    </w:rPr>
                    <w:tab/>
                    <w:t xml:space="preserve"> </w:t>
                  </w:r>
                </w:p>
                <w:p w14:paraId="6C6577CB" w14:textId="77777777" w:rsidR="00060F7A" w:rsidRPr="00AF0164" w:rsidRDefault="00060F7A" w:rsidP="00FB3A50">
                  <w:pPr>
                    <w:ind w:left="-80"/>
                    <w:rPr>
                      <w:sz w:val="18"/>
                      <w:szCs w:val="18"/>
                    </w:rPr>
                  </w:pPr>
                  <w:r w:rsidRPr="00FB3A50">
                    <w:rPr>
                      <w:i/>
                      <w:iCs/>
                      <w:sz w:val="18"/>
                      <w:szCs w:val="18"/>
                    </w:rPr>
                    <w:t>Frequency</w:t>
                  </w:r>
                  <w:r w:rsidRPr="00AF0164">
                    <w:rPr>
                      <w:sz w:val="18"/>
                      <w:szCs w:val="18"/>
                    </w:rPr>
                    <w:t>: Annual</w:t>
                  </w:r>
                </w:p>
                <w:p w14:paraId="0BB197F7" w14:textId="77777777" w:rsidR="00060F7A" w:rsidRPr="00AF0164" w:rsidRDefault="00060F7A" w:rsidP="002E7C2A">
                  <w:pPr>
                    <w:jc w:val="both"/>
                    <w:rPr>
                      <w:b/>
                      <w:bCs/>
                      <w:sz w:val="18"/>
                      <w:szCs w:val="18"/>
                    </w:rPr>
                  </w:pPr>
                </w:p>
              </w:tc>
            </w:tr>
          </w:tbl>
          <w:p w14:paraId="340417AF" w14:textId="58A895E1" w:rsidR="00060F7A" w:rsidRPr="00AF0164" w:rsidRDefault="00060F7A" w:rsidP="00FB3A50">
            <w:pPr>
              <w:ind w:left="-26"/>
              <w:rPr>
                <w:bCs/>
                <w:sz w:val="18"/>
                <w:szCs w:val="18"/>
              </w:rPr>
            </w:pPr>
            <w:r w:rsidRPr="00AF0164">
              <w:rPr>
                <w:b/>
                <w:sz w:val="18"/>
                <w:szCs w:val="18"/>
              </w:rPr>
              <w:t>Indicator 3.4.3</w:t>
            </w:r>
            <w:r w:rsidR="004B0CD2">
              <w:rPr>
                <w:bCs/>
                <w:sz w:val="18"/>
                <w:szCs w:val="18"/>
              </w:rPr>
              <w:t xml:space="preserve">. </w:t>
            </w:r>
            <w:r w:rsidRPr="00AF0164">
              <w:rPr>
                <w:bCs/>
                <w:sz w:val="18"/>
                <w:szCs w:val="18"/>
              </w:rPr>
              <w:t>Number of administrations at central, regional and local level that use Standard 1756 on the quality of service to users.</w:t>
            </w:r>
          </w:p>
          <w:p w14:paraId="1C0D6E7E" w14:textId="64AA7445"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4B0CD2">
              <w:rPr>
                <w:bCs/>
                <w:sz w:val="18"/>
                <w:szCs w:val="18"/>
              </w:rPr>
              <w:t xml:space="preserve"> </w:t>
            </w:r>
            <w:r w:rsidRPr="00AF0164">
              <w:rPr>
                <w:bCs/>
                <w:sz w:val="18"/>
                <w:szCs w:val="18"/>
              </w:rPr>
              <w:t>11</w:t>
            </w:r>
          </w:p>
          <w:p w14:paraId="4A548A0D" w14:textId="7A3B707A"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4B0CD2">
              <w:rPr>
                <w:bCs/>
                <w:sz w:val="18"/>
                <w:szCs w:val="18"/>
              </w:rPr>
              <w:t xml:space="preserve"> </w:t>
            </w:r>
            <w:r w:rsidRPr="00AF0164">
              <w:rPr>
                <w:bCs/>
                <w:sz w:val="18"/>
                <w:szCs w:val="18"/>
              </w:rPr>
              <w:t>31</w:t>
            </w:r>
          </w:p>
          <w:p w14:paraId="2840E9FE" w14:textId="568AB0C7"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Project reports </w:t>
            </w:r>
          </w:p>
          <w:p w14:paraId="5D5D83DF"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xml:space="preserve">: Annual </w:t>
            </w:r>
          </w:p>
          <w:p w14:paraId="6798F09B" w14:textId="77777777" w:rsidR="00060F7A" w:rsidRPr="00AF0164" w:rsidRDefault="00060F7A" w:rsidP="002E7C2A">
            <w:pPr>
              <w:jc w:val="both"/>
              <w:rPr>
                <w:bCs/>
                <w:sz w:val="18"/>
                <w:szCs w:val="18"/>
              </w:rPr>
            </w:pPr>
          </w:p>
          <w:p w14:paraId="7153480B" w14:textId="72D574AB" w:rsidR="00060F7A" w:rsidRPr="00AF0164" w:rsidRDefault="00060F7A" w:rsidP="002E7C2A">
            <w:pPr>
              <w:rPr>
                <w:bCs/>
                <w:sz w:val="18"/>
                <w:szCs w:val="18"/>
              </w:rPr>
            </w:pPr>
            <w:r w:rsidRPr="00AF0164">
              <w:rPr>
                <w:b/>
                <w:sz w:val="18"/>
                <w:szCs w:val="18"/>
              </w:rPr>
              <w:t>Indicator 3.4.4</w:t>
            </w:r>
            <w:r w:rsidR="004B0CD2" w:rsidRPr="00FB3A50">
              <w:rPr>
                <w:b/>
                <w:sz w:val="18"/>
                <w:szCs w:val="18"/>
              </w:rPr>
              <w:t>.</w:t>
            </w:r>
            <w:r w:rsidR="004B0CD2">
              <w:rPr>
                <w:bCs/>
                <w:sz w:val="18"/>
                <w:szCs w:val="18"/>
              </w:rPr>
              <w:t xml:space="preserve"> </w:t>
            </w:r>
            <w:r w:rsidRPr="00AF0164">
              <w:rPr>
                <w:sz w:val="18"/>
                <w:szCs w:val="18"/>
              </w:rPr>
              <w:t xml:space="preserve">Number of law enforcement personnel and other actors (Parliament, </w:t>
            </w:r>
            <w:r w:rsidR="004B0CD2">
              <w:rPr>
                <w:sz w:val="18"/>
                <w:szCs w:val="18"/>
              </w:rPr>
              <w:t>p</w:t>
            </w:r>
            <w:r w:rsidRPr="00AF0164">
              <w:rPr>
                <w:sz w:val="18"/>
                <w:szCs w:val="18"/>
              </w:rPr>
              <w:t xml:space="preserve">ublic </w:t>
            </w:r>
            <w:r w:rsidR="004B0CD2">
              <w:rPr>
                <w:sz w:val="18"/>
                <w:szCs w:val="18"/>
              </w:rPr>
              <w:t>a</w:t>
            </w:r>
            <w:r w:rsidRPr="00AF0164">
              <w:rPr>
                <w:sz w:val="18"/>
                <w:szCs w:val="18"/>
              </w:rPr>
              <w:t>dministrations, CDHC, CSOs) with capacities strengthened in gender and human rights issues</w:t>
            </w:r>
          </w:p>
          <w:p w14:paraId="22FFB0C1" w14:textId="77777777"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(2020):11</w:t>
            </w:r>
          </w:p>
          <w:p w14:paraId="462C9F2D" w14:textId="01E9B245"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(2026):1000 (100 Parliament, 300 Justice, 600</w:t>
            </w:r>
            <w:r w:rsidR="004B0CD2">
              <w:rPr>
                <w:bCs/>
                <w:sz w:val="18"/>
                <w:szCs w:val="18"/>
              </w:rPr>
              <w:t> </w:t>
            </w:r>
            <w:r w:rsidRPr="00AF0164">
              <w:rPr>
                <w:bCs/>
                <w:sz w:val="18"/>
                <w:szCs w:val="18"/>
              </w:rPr>
              <w:t>others)</w:t>
            </w:r>
          </w:p>
          <w:p w14:paraId="38E34AA1" w14:textId="77777777"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Project reports </w:t>
            </w:r>
          </w:p>
          <w:p w14:paraId="20B02BBA" w14:textId="18A9F1A9" w:rsidR="00060F7A" w:rsidRPr="00AF0164" w:rsidRDefault="00060F7A" w:rsidP="00FB3A50">
            <w:pPr>
              <w:jc w:val="both"/>
              <w:rPr>
                <w:bCs/>
                <w:sz w:val="18"/>
                <w:szCs w:val="18"/>
              </w:rPr>
            </w:pPr>
            <w:r w:rsidRPr="00FB3A50">
              <w:rPr>
                <w:bCs/>
                <w:i/>
                <w:iCs/>
                <w:sz w:val="18"/>
                <w:szCs w:val="18"/>
              </w:rPr>
              <w:t>Frequency</w:t>
            </w:r>
            <w:r w:rsidRPr="00AF0164">
              <w:rPr>
                <w:bCs/>
                <w:sz w:val="18"/>
                <w:szCs w:val="18"/>
              </w:rPr>
              <w:t xml:space="preserve">: Annual </w:t>
            </w:r>
          </w:p>
        </w:tc>
        <w:tc>
          <w:tcPr>
            <w:tcW w:w="1186" w:type="pct"/>
            <w:gridSpan w:val="3"/>
          </w:tcPr>
          <w:p w14:paraId="218A46BB" w14:textId="77777777" w:rsidR="00060F7A" w:rsidRPr="00786E8D" w:rsidRDefault="00060F7A" w:rsidP="00B91C11">
            <w:pPr>
              <w:rPr>
                <w:bCs/>
                <w:sz w:val="18"/>
                <w:szCs w:val="18"/>
                <w:lang w:val="fr-FR"/>
              </w:rPr>
            </w:pPr>
            <w:r w:rsidRPr="00786E8D">
              <w:rPr>
                <w:sz w:val="18"/>
                <w:szCs w:val="18"/>
                <w:lang w:val="fr-FR"/>
              </w:rPr>
              <w:t>MINJUSTICE, MINEPAT, MINFOPRA, CNUDH, CONSUPE, MINSANTE, MINAT, National Assembly, CDHC,</w:t>
            </w:r>
          </w:p>
        </w:tc>
        <w:tc>
          <w:tcPr>
            <w:tcW w:w="464" w:type="pct"/>
          </w:tcPr>
          <w:p w14:paraId="50C83B57" w14:textId="77777777" w:rsidR="00060F7A" w:rsidRPr="00786E8D" w:rsidRDefault="00060F7A" w:rsidP="002E7C2A">
            <w:pPr>
              <w:jc w:val="both"/>
              <w:rPr>
                <w:b/>
                <w:sz w:val="18"/>
                <w:szCs w:val="18"/>
                <w:lang w:val="fr-FR"/>
              </w:rPr>
            </w:pPr>
          </w:p>
        </w:tc>
      </w:tr>
      <w:tr w:rsidR="00060F7A" w:rsidRPr="00AF0164" w14:paraId="2DFAF8FF" w14:textId="77777777" w:rsidTr="002E7C2A">
        <w:trPr>
          <w:jc w:val="center"/>
        </w:trPr>
        <w:tc>
          <w:tcPr>
            <w:tcW w:w="1083" w:type="pct"/>
            <w:tcMar>
              <w:top w:w="72" w:type="dxa"/>
              <w:left w:w="144" w:type="dxa"/>
              <w:bottom w:w="72" w:type="dxa"/>
              <w:right w:w="144" w:type="dxa"/>
            </w:tcMar>
          </w:tcPr>
          <w:p w14:paraId="11950A3C" w14:textId="77777777" w:rsidR="00060F7A" w:rsidRPr="00786E8D" w:rsidRDefault="00060F7A" w:rsidP="002E7C2A">
            <w:pPr>
              <w:jc w:val="both"/>
              <w:rPr>
                <w:b/>
                <w:sz w:val="18"/>
                <w:szCs w:val="18"/>
                <w:lang w:val="fr-FR"/>
              </w:rPr>
            </w:pPr>
          </w:p>
        </w:tc>
        <w:tc>
          <w:tcPr>
            <w:tcW w:w="824" w:type="pct"/>
          </w:tcPr>
          <w:p w14:paraId="1DB65E97" w14:textId="77777777" w:rsidR="00060F7A" w:rsidRPr="00786E8D" w:rsidRDefault="00060F7A" w:rsidP="002E7C2A">
            <w:pPr>
              <w:jc w:val="both"/>
              <w:rPr>
                <w:b/>
                <w:sz w:val="18"/>
                <w:szCs w:val="18"/>
                <w:lang w:val="fr-FR"/>
              </w:rPr>
            </w:pPr>
          </w:p>
        </w:tc>
        <w:tc>
          <w:tcPr>
            <w:tcW w:w="1443" w:type="pct"/>
            <w:gridSpan w:val="2"/>
          </w:tcPr>
          <w:p w14:paraId="78578292" w14:textId="1D09ED77" w:rsidR="00060F7A" w:rsidRPr="00AF0164" w:rsidRDefault="00060F7A" w:rsidP="002E7C2A">
            <w:pPr>
              <w:rPr>
                <w:sz w:val="18"/>
                <w:szCs w:val="18"/>
              </w:rPr>
            </w:pPr>
            <w:r w:rsidRPr="00AF0164">
              <w:rPr>
                <w:b/>
                <w:sz w:val="18"/>
                <w:szCs w:val="18"/>
              </w:rPr>
              <w:t>Output 3.5</w:t>
            </w:r>
            <w:r w:rsidR="004B0CD2">
              <w:rPr>
                <w:b/>
                <w:sz w:val="18"/>
                <w:szCs w:val="18"/>
              </w:rPr>
              <w:t>.</w:t>
            </w:r>
            <w:r w:rsidRPr="00AF0164">
              <w:rPr>
                <w:b/>
                <w:sz w:val="18"/>
                <w:szCs w:val="18"/>
              </w:rPr>
              <w:t xml:space="preserve"> </w:t>
            </w:r>
            <w:r w:rsidRPr="00AF0164">
              <w:rPr>
                <w:bCs/>
                <w:sz w:val="18"/>
                <w:szCs w:val="18"/>
              </w:rPr>
              <w:t>Capacity of</w:t>
            </w:r>
            <w:r w:rsidRPr="00AF0164">
              <w:rPr>
                <w:b/>
                <w:sz w:val="18"/>
                <w:szCs w:val="18"/>
              </w:rPr>
              <w:t xml:space="preserve"> </w:t>
            </w:r>
            <w:r w:rsidR="009F0A04">
              <w:rPr>
                <w:sz w:val="18"/>
                <w:szCs w:val="18"/>
              </w:rPr>
              <w:t>t</w:t>
            </w:r>
            <w:r w:rsidR="009F0A04" w:rsidRPr="00AF0164">
              <w:rPr>
                <w:sz w:val="18"/>
                <w:szCs w:val="18"/>
              </w:rPr>
              <w:t xml:space="preserve">he </w:t>
            </w:r>
            <w:r w:rsidRPr="00AF0164">
              <w:rPr>
                <w:sz w:val="18"/>
                <w:szCs w:val="18"/>
              </w:rPr>
              <w:t>National Statistics Information and Planning System enhanced to provide quality data and analysis for planning, implementation, coordination, monitoring and evaluation of development policies and decision making.</w:t>
            </w:r>
          </w:p>
          <w:p w14:paraId="50391253" w14:textId="77777777" w:rsidR="00060F7A" w:rsidRPr="00AF0164" w:rsidRDefault="00060F7A" w:rsidP="002E7C2A">
            <w:pPr>
              <w:jc w:val="both"/>
              <w:rPr>
                <w:bCs/>
                <w:sz w:val="18"/>
                <w:szCs w:val="18"/>
              </w:rPr>
            </w:pPr>
          </w:p>
          <w:p w14:paraId="3880DA96" w14:textId="20E7B304" w:rsidR="00060F7A" w:rsidRPr="00AF0164" w:rsidRDefault="00060F7A" w:rsidP="00FB3A50">
            <w:pPr>
              <w:rPr>
                <w:bCs/>
                <w:sz w:val="18"/>
                <w:szCs w:val="18"/>
              </w:rPr>
            </w:pPr>
            <w:r w:rsidRPr="00AF0164">
              <w:rPr>
                <w:b/>
                <w:sz w:val="18"/>
                <w:szCs w:val="18"/>
              </w:rPr>
              <w:t>Indicator 3.5.1</w:t>
            </w:r>
            <w:r w:rsidR="004B0CD2">
              <w:rPr>
                <w:bCs/>
                <w:sz w:val="18"/>
                <w:szCs w:val="18"/>
              </w:rPr>
              <w:t xml:space="preserve">. </w:t>
            </w:r>
            <w:r w:rsidRPr="00AF0164">
              <w:rPr>
                <w:bCs/>
                <w:sz w:val="18"/>
                <w:szCs w:val="18"/>
              </w:rPr>
              <w:t>Number of institutions using vulnerability and poverty profiles data for evidence-based policymaking and implementation</w:t>
            </w:r>
          </w:p>
          <w:p w14:paraId="424E7D91" w14:textId="77777777" w:rsidR="00060F7A" w:rsidRPr="00AF0164" w:rsidRDefault="00060F7A" w:rsidP="00FB3A50">
            <w:pPr>
              <w:jc w:val="both"/>
              <w:rPr>
                <w:bCs/>
                <w:sz w:val="18"/>
                <w:szCs w:val="18"/>
              </w:rPr>
            </w:pPr>
            <w:r w:rsidRPr="00FB3A50">
              <w:rPr>
                <w:bCs/>
                <w:i/>
                <w:iCs/>
                <w:sz w:val="18"/>
                <w:szCs w:val="18"/>
              </w:rPr>
              <w:t>Baseline</w:t>
            </w:r>
            <w:r w:rsidRPr="00AF0164">
              <w:rPr>
                <w:bCs/>
                <w:sz w:val="18"/>
                <w:szCs w:val="18"/>
              </w:rPr>
              <w:t>: 1</w:t>
            </w:r>
          </w:p>
          <w:p w14:paraId="5833EBAE" w14:textId="2BBC693E"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4B0CD2">
              <w:rPr>
                <w:bCs/>
                <w:sz w:val="18"/>
                <w:szCs w:val="18"/>
              </w:rPr>
              <w:t xml:space="preserve"> </w:t>
            </w:r>
            <w:r w:rsidRPr="00AF0164">
              <w:rPr>
                <w:bCs/>
                <w:sz w:val="18"/>
                <w:szCs w:val="18"/>
              </w:rPr>
              <w:t xml:space="preserve">25 </w:t>
            </w:r>
          </w:p>
          <w:p w14:paraId="5AE56167" w14:textId="06AE341C" w:rsidR="00060F7A" w:rsidRPr="00AF0164" w:rsidRDefault="00060F7A" w:rsidP="00FB3A50">
            <w:pPr>
              <w:jc w:val="both"/>
              <w:rPr>
                <w:bCs/>
                <w:sz w:val="18"/>
                <w:szCs w:val="18"/>
              </w:rPr>
            </w:pPr>
            <w:r w:rsidRPr="00FB3A50">
              <w:rPr>
                <w:bCs/>
                <w:i/>
                <w:iCs/>
                <w:sz w:val="18"/>
                <w:szCs w:val="18"/>
              </w:rPr>
              <w:t>Data source</w:t>
            </w:r>
            <w:r w:rsidR="004B0CD2">
              <w:rPr>
                <w:bCs/>
                <w:sz w:val="18"/>
                <w:szCs w:val="18"/>
              </w:rPr>
              <w:t xml:space="preserve">: </w:t>
            </w:r>
            <w:r w:rsidRPr="00AF0164">
              <w:rPr>
                <w:bCs/>
                <w:sz w:val="18"/>
                <w:szCs w:val="18"/>
              </w:rPr>
              <w:t>MINEPAT report</w:t>
            </w:r>
          </w:p>
          <w:p w14:paraId="2CD69B8A"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019BEEC" w14:textId="77777777" w:rsidR="00060F7A" w:rsidRPr="00AF0164" w:rsidRDefault="00060F7A" w:rsidP="002E7C2A">
            <w:pPr>
              <w:jc w:val="both"/>
              <w:rPr>
                <w:bCs/>
                <w:sz w:val="18"/>
                <w:szCs w:val="18"/>
              </w:rPr>
            </w:pPr>
            <w:r w:rsidRPr="00AF0164">
              <w:rPr>
                <w:bCs/>
                <w:sz w:val="18"/>
                <w:szCs w:val="18"/>
              </w:rPr>
              <w:t xml:space="preserve">. </w:t>
            </w:r>
          </w:p>
          <w:p w14:paraId="36BE29A5" w14:textId="601DB8B4" w:rsidR="00060F7A" w:rsidRPr="00AF0164" w:rsidRDefault="00060F7A" w:rsidP="00FB3A50">
            <w:pPr>
              <w:rPr>
                <w:bCs/>
                <w:sz w:val="18"/>
                <w:szCs w:val="18"/>
              </w:rPr>
            </w:pPr>
            <w:r w:rsidRPr="00AF0164">
              <w:rPr>
                <w:b/>
                <w:sz w:val="18"/>
                <w:szCs w:val="18"/>
              </w:rPr>
              <w:lastRenderedPageBreak/>
              <w:t>Indicator 3.5.2</w:t>
            </w:r>
            <w:r w:rsidR="00680889">
              <w:rPr>
                <w:bCs/>
                <w:sz w:val="18"/>
                <w:szCs w:val="18"/>
              </w:rPr>
              <w:t xml:space="preserve">. </w:t>
            </w:r>
            <w:r w:rsidRPr="00AF0164">
              <w:rPr>
                <w:bCs/>
                <w:sz w:val="18"/>
                <w:szCs w:val="18"/>
              </w:rPr>
              <w:t>Percentage of Local development plan using disaggregated data to monitor progress towards SDGs</w:t>
            </w:r>
            <w:r w:rsidRPr="00AF0164">
              <w:rPr>
                <w:bCs/>
                <w:sz w:val="18"/>
                <w:szCs w:val="18"/>
              </w:rPr>
              <w:tab/>
            </w:r>
          </w:p>
          <w:p w14:paraId="3850647A" w14:textId="6F43C860"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680889">
              <w:rPr>
                <w:bCs/>
                <w:sz w:val="18"/>
                <w:szCs w:val="18"/>
              </w:rPr>
              <w:t xml:space="preserve"> </w:t>
            </w:r>
            <w:r w:rsidRPr="00AF0164">
              <w:rPr>
                <w:bCs/>
                <w:sz w:val="18"/>
                <w:szCs w:val="18"/>
              </w:rPr>
              <w:t>34%</w:t>
            </w:r>
          </w:p>
          <w:p w14:paraId="7F2B655F" w14:textId="1E95EF5F"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680889">
              <w:rPr>
                <w:bCs/>
                <w:sz w:val="18"/>
                <w:szCs w:val="18"/>
              </w:rPr>
              <w:t xml:space="preserve"> </w:t>
            </w:r>
            <w:r w:rsidRPr="00AF0164">
              <w:rPr>
                <w:bCs/>
                <w:sz w:val="18"/>
                <w:szCs w:val="18"/>
              </w:rPr>
              <w:t>80%</w:t>
            </w:r>
          </w:p>
          <w:p w14:paraId="0E556816" w14:textId="166AF5CD" w:rsidR="00680889" w:rsidRDefault="00060F7A" w:rsidP="00680889">
            <w:pPr>
              <w:jc w:val="both"/>
              <w:rPr>
                <w:sz w:val="18"/>
                <w:szCs w:val="18"/>
              </w:rPr>
            </w:pPr>
            <w:r w:rsidRPr="00FB3A50">
              <w:rPr>
                <w:bCs/>
                <w:i/>
                <w:iCs/>
                <w:sz w:val="18"/>
                <w:szCs w:val="18"/>
              </w:rPr>
              <w:t>Data source</w:t>
            </w:r>
            <w:r w:rsidRPr="00AF0164">
              <w:rPr>
                <w:sz w:val="18"/>
                <w:szCs w:val="18"/>
              </w:rPr>
              <w:t>: updated PCD</w:t>
            </w:r>
          </w:p>
          <w:p w14:paraId="1DCECE0D" w14:textId="7EDA0DEE"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tcPr>
          <w:p w14:paraId="21C396E0" w14:textId="77777777" w:rsidR="00060F7A" w:rsidRPr="00AF0164" w:rsidRDefault="00060F7A" w:rsidP="002E7C2A">
            <w:pPr>
              <w:jc w:val="both"/>
              <w:rPr>
                <w:bCs/>
                <w:sz w:val="18"/>
                <w:szCs w:val="18"/>
              </w:rPr>
            </w:pPr>
            <w:r w:rsidRPr="00AF0164">
              <w:rPr>
                <w:sz w:val="18"/>
                <w:szCs w:val="18"/>
              </w:rPr>
              <w:lastRenderedPageBreak/>
              <w:t>MINEPAT, INS, MINDDEVEL</w:t>
            </w:r>
          </w:p>
        </w:tc>
        <w:tc>
          <w:tcPr>
            <w:tcW w:w="464" w:type="pct"/>
          </w:tcPr>
          <w:p w14:paraId="677FD428" w14:textId="77777777" w:rsidR="00060F7A" w:rsidRPr="00AF0164" w:rsidRDefault="00060F7A" w:rsidP="002E7C2A">
            <w:pPr>
              <w:jc w:val="both"/>
              <w:rPr>
                <w:b/>
                <w:sz w:val="18"/>
                <w:szCs w:val="18"/>
              </w:rPr>
            </w:pPr>
          </w:p>
        </w:tc>
      </w:tr>
      <w:tr w:rsidR="00060F7A" w:rsidRPr="00AF0164" w14:paraId="3A6A6EEA"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102F08C9" w14:textId="748AC96E" w:rsidR="00060F7A" w:rsidRPr="00AF0164" w:rsidRDefault="00060F7A" w:rsidP="002E7C2A">
            <w:pPr>
              <w:jc w:val="both"/>
              <w:rPr>
                <w:sz w:val="18"/>
                <w:szCs w:val="18"/>
              </w:rPr>
            </w:pPr>
            <w:r w:rsidRPr="00AF0164">
              <w:rPr>
                <w:b/>
                <w:bCs/>
                <w:sz w:val="18"/>
                <w:szCs w:val="18"/>
              </w:rPr>
              <w:t>NATIONAL PRIORITIES OR GOALS</w:t>
            </w:r>
            <w:r w:rsidRPr="00AF0164">
              <w:rPr>
                <w:sz w:val="18"/>
                <w:szCs w:val="18"/>
              </w:rPr>
              <w:t xml:space="preserve">: Structural </w:t>
            </w:r>
            <w:r w:rsidR="00801717">
              <w:rPr>
                <w:sz w:val="18"/>
                <w:szCs w:val="18"/>
              </w:rPr>
              <w:t>t</w:t>
            </w:r>
            <w:r w:rsidRPr="00AF0164">
              <w:rPr>
                <w:sz w:val="18"/>
                <w:szCs w:val="18"/>
              </w:rPr>
              <w:t xml:space="preserve">ransformation of the </w:t>
            </w:r>
            <w:r w:rsidR="00801717">
              <w:rPr>
                <w:sz w:val="18"/>
                <w:szCs w:val="18"/>
              </w:rPr>
              <w:t>e</w:t>
            </w:r>
            <w:r w:rsidRPr="00AF0164">
              <w:rPr>
                <w:sz w:val="18"/>
                <w:szCs w:val="18"/>
              </w:rPr>
              <w:t>conomy (</w:t>
            </w:r>
            <w:r w:rsidR="00801717">
              <w:rPr>
                <w:sz w:val="18"/>
                <w:szCs w:val="18"/>
              </w:rPr>
              <w:t>s</w:t>
            </w:r>
            <w:r w:rsidRPr="00AF0164">
              <w:rPr>
                <w:sz w:val="18"/>
                <w:szCs w:val="18"/>
              </w:rPr>
              <w:t xml:space="preserve">trategic </w:t>
            </w:r>
            <w:r w:rsidR="00801717">
              <w:rPr>
                <w:sz w:val="18"/>
                <w:szCs w:val="18"/>
              </w:rPr>
              <w:t>p</w:t>
            </w:r>
            <w:r w:rsidRPr="00AF0164">
              <w:rPr>
                <w:sz w:val="18"/>
                <w:szCs w:val="18"/>
              </w:rPr>
              <w:t>riority 1, NDS2030)</w:t>
            </w:r>
            <w:r w:rsidR="00801717">
              <w:rPr>
                <w:sz w:val="18"/>
                <w:szCs w:val="18"/>
              </w:rPr>
              <w:t>;</w:t>
            </w:r>
          </w:p>
          <w:p w14:paraId="7770B8B2" w14:textId="73CB708C" w:rsidR="00060F7A" w:rsidRPr="00AF0164" w:rsidRDefault="00060F7A" w:rsidP="002E7C2A">
            <w:pPr>
              <w:jc w:val="both"/>
              <w:rPr>
                <w:b/>
                <w:sz w:val="18"/>
                <w:szCs w:val="18"/>
              </w:rPr>
            </w:pPr>
            <w:r w:rsidRPr="00AF0164">
              <w:rPr>
                <w:sz w:val="18"/>
                <w:szCs w:val="18"/>
              </w:rPr>
              <w:t xml:space="preserve">                                                                      Governance, </w:t>
            </w:r>
            <w:r w:rsidR="00801717">
              <w:rPr>
                <w:sz w:val="18"/>
                <w:szCs w:val="18"/>
              </w:rPr>
              <w:t>d</w:t>
            </w:r>
            <w:r w:rsidRPr="00AF0164">
              <w:rPr>
                <w:sz w:val="18"/>
                <w:szCs w:val="18"/>
              </w:rPr>
              <w:t xml:space="preserve">ecentralization and </w:t>
            </w:r>
            <w:r w:rsidR="00801717">
              <w:rPr>
                <w:sz w:val="18"/>
                <w:szCs w:val="18"/>
              </w:rPr>
              <w:t>s</w:t>
            </w:r>
            <w:r w:rsidRPr="00AF0164">
              <w:rPr>
                <w:sz w:val="18"/>
                <w:szCs w:val="18"/>
              </w:rPr>
              <w:t xml:space="preserve">trategic </w:t>
            </w:r>
            <w:r w:rsidR="00801717">
              <w:rPr>
                <w:sz w:val="18"/>
                <w:szCs w:val="18"/>
              </w:rPr>
              <w:t>m</w:t>
            </w:r>
            <w:r w:rsidRPr="00AF0164">
              <w:rPr>
                <w:sz w:val="18"/>
                <w:szCs w:val="18"/>
              </w:rPr>
              <w:t>anagement of the State (</w:t>
            </w:r>
            <w:r w:rsidR="00801717">
              <w:rPr>
                <w:sz w:val="18"/>
                <w:szCs w:val="18"/>
              </w:rPr>
              <w:t>s</w:t>
            </w:r>
            <w:r w:rsidRPr="00AF0164">
              <w:rPr>
                <w:sz w:val="18"/>
                <w:szCs w:val="18"/>
              </w:rPr>
              <w:t xml:space="preserve">trategic </w:t>
            </w:r>
            <w:r w:rsidR="00801717">
              <w:rPr>
                <w:sz w:val="18"/>
                <w:szCs w:val="18"/>
              </w:rPr>
              <w:t>p</w:t>
            </w:r>
            <w:r w:rsidRPr="00AF0164">
              <w:rPr>
                <w:sz w:val="18"/>
                <w:szCs w:val="18"/>
              </w:rPr>
              <w:t>riority 4, NDS2030)</w:t>
            </w:r>
            <w:r w:rsidR="00801717">
              <w:rPr>
                <w:sz w:val="18"/>
                <w:szCs w:val="18"/>
              </w:rPr>
              <w:t>.</w:t>
            </w:r>
            <w:r w:rsidRPr="00AF0164">
              <w:rPr>
                <w:sz w:val="18"/>
                <w:szCs w:val="18"/>
              </w:rPr>
              <w:t xml:space="preserve">                   </w:t>
            </w:r>
          </w:p>
        </w:tc>
      </w:tr>
      <w:tr w:rsidR="00060F7A" w:rsidRPr="00AF0164" w14:paraId="78023B3A"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333E4C4F" w14:textId="13C90F0D" w:rsidR="00060F7A" w:rsidRPr="00AF0164" w:rsidRDefault="00060F7A" w:rsidP="002E7C2A">
            <w:pPr>
              <w:jc w:val="both"/>
              <w:rPr>
                <w:sz w:val="18"/>
                <w:szCs w:val="18"/>
              </w:rPr>
            </w:pPr>
            <w:r w:rsidRPr="00AF0164">
              <w:rPr>
                <w:b/>
                <w:bCs/>
                <w:sz w:val="18"/>
                <w:szCs w:val="18"/>
              </w:rPr>
              <w:t>COOPERATION FRAMEWORK (OR EQUIVALENT) OUTCOME INVOLVING UNDP 1</w:t>
            </w:r>
            <w:r w:rsidR="00801717">
              <w:rPr>
                <w:b/>
                <w:bCs/>
                <w:sz w:val="18"/>
                <w:szCs w:val="18"/>
              </w:rPr>
              <w:t>,</w:t>
            </w:r>
            <w:r w:rsidRPr="00AF0164">
              <w:rPr>
                <w:b/>
                <w:bCs/>
                <w:sz w:val="18"/>
                <w:szCs w:val="18"/>
              </w:rPr>
              <w:t xml:space="preserve"> Effect 4 UNSDCF:</w:t>
            </w:r>
            <w:r w:rsidRPr="00AF0164">
              <w:rPr>
                <w:sz w:val="18"/>
                <w:szCs w:val="18"/>
              </w:rPr>
              <w:t xml:space="preserve"> By 2026, people, including youth, women and socially vulnerable groups, in different agro-ecological zones live in a safe environment, sustainably manage environmental resources, including biodiversity, and are more resilient to shocks from disasters and climate change. (</w:t>
            </w:r>
            <w:r w:rsidR="00801717">
              <w:rPr>
                <w:sz w:val="18"/>
                <w:szCs w:val="18"/>
              </w:rPr>
              <w:t xml:space="preserve">Goals </w:t>
            </w:r>
            <w:r w:rsidRPr="00AF0164">
              <w:rPr>
                <w:sz w:val="18"/>
                <w:szCs w:val="18"/>
              </w:rPr>
              <w:t>5, 13, 14, 15, 16, 17)</w:t>
            </w:r>
            <w:r w:rsidR="00801717">
              <w:rPr>
                <w:sz w:val="18"/>
                <w:szCs w:val="18"/>
              </w:rPr>
              <w:t>.</w:t>
            </w:r>
          </w:p>
        </w:tc>
      </w:tr>
      <w:tr w:rsidR="00060F7A" w:rsidRPr="00AF0164" w14:paraId="0D90FA8F"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08A719AF" w14:textId="235334A0" w:rsidR="00060F7A" w:rsidRPr="00AF0164" w:rsidRDefault="00060F7A" w:rsidP="002E7C2A">
            <w:pPr>
              <w:jc w:val="both"/>
              <w:rPr>
                <w:b/>
                <w:sz w:val="18"/>
                <w:szCs w:val="18"/>
              </w:rPr>
            </w:pPr>
            <w:r w:rsidRPr="00AF0164">
              <w:rPr>
                <w:b/>
                <w:bCs/>
                <w:sz w:val="18"/>
                <w:szCs w:val="18"/>
              </w:rPr>
              <w:t xml:space="preserve">RELATED STRATEGIC PLAN OUTCOME 3: </w:t>
            </w:r>
            <w:r w:rsidRPr="00FB3A50">
              <w:rPr>
                <w:sz w:val="18"/>
                <w:szCs w:val="18"/>
              </w:rPr>
              <w:t>Building resilience to shocks and crises</w:t>
            </w:r>
            <w:r w:rsidR="00801717" w:rsidRPr="00FB3A50">
              <w:rPr>
                <w:sz w:val="18"/>
                <w:szCs w:val="18"/>
              </w:rPr>
              <w:t>.</w:t>
            </w:r>
          </w:p>
        </w:tc>
      </w:tr>
      <w:tr w:rsidR="00060F7A" w:rsidRPr="00AF0164" w14:paraId="36CB8CD1" w14:textId="77777777" w:rsidTr="002E7C2A">
        <w:trPr>
          <w:jc w:val="center"/>
        </w:trPr>
        <w:tc>
          <w:tcPr>
            <w:tcW w:w="1083" w:type="pct"/>
            <w:tcMar>
              <w:top w:w="72" w:type="dxa"/>
              <w:left w:w="144" w:type="dxa"/>
              <w:bottom w:w="72" w:type="dxa"/>
              <w:right w:w="144" w:type="dxa"/>
            </w:tcMar>
          </w:tcPr>
          <w:p w14:paraId="40646504" w14:textId="77777777" w:rsidR="00060F7A" w:rsidRPr="00FB3A50" w:rsidRDefault="00060F7A" w:rsidP="00FB3A50">
            <w:pPr>
              <w:rPr>
                <w:b/>
                <w:bCs/>
                <w:sz w:val="18"/>
                <w:szCs w:val="18"/>
              </w:rPr>
            </w:pPr>
            <w:r w:rsidRPr="00FB3A50">
              <w:rPr>
                <w:b/>
                <w:bCs/>
                <w:sz w:val="18"/>
                <w:szCs w:val="18"/>
              </w:rPr>
              <w:t>Proportion of DTCs with a local land use and sustainable development plan</w:t>
            </w:r>
          </w:p>
          <w:p w14:paraId="66841993" w14:textId="77777777" w:rsidR="00060F7A" w:rsidRPr="00AF0164" w:rsidRDefault="00060F7A" w:rsidP="002E7C2A">
            <w:pPr>
              <w:jc w:val="both"/>
              <w:rPr>
                <w:sz w:val="18"/>
                <w:szCs w:val="18"/>
              </w:rPr>
            </w:pPr>
            <w:r w:rsidRPr="00FB3A50">
              <w:rPr>
                <w:i/>
                <w:iCs/>
                <w:sz w:val="18"/>
                <w:szCs w:val="18"/>
              </w:rPr>
              <w:t>Baseline</w:t>
            </w:r>
            <w:r w:rsidRPr="00AF0164">
              <w:rPr>
                <w:sz w:val="18"/>
                <w:szCs w:val="18"/>
              </w:rPr>
              <w:t>: 0</w:t>
            </w:r>
          </w:p>
          <w:p w14:paraId="74D61569" w14:textId="77777777" w:rsidR="00060F7A" w:rsidRPr="00AF0164" w:rsidRDefault="00060F7A" w:rsidP="002E7C2A">
            <w:pPr>
              <w:jc w:val="both"/>
              <w:rPr>
                <w:sz w:val="18"/>
                <w:szCs w:val="18"/>
              </w:rPr>
            </w:pPr>
            <w:r w:rsidRPr="00FB3A50">
              <w:rPr>
                <w:i/>
                <w:iCs/>
                <w:sz w:val="18"/>
                <w:szCs w:val="18"/>
              </w:rPr>
              <w:t>Target</w:t>
            </w:r>
            <w:r w:rsidRPr="00AF0164">
              <w:rPr>
                <w:sz w:val="18"/>
                <w:szCs w:val="18"/>
              </w:rPr>
              <w:t>: 70%</w:t>
            </w:r>
          </w:p>
          <w:p w14:paraId="54004465" w14:textId="77777777" w:rsidR="00060F7A" w:rsidRPr="00AF0164" w:rsidRDefault="00060F7A" w:rsidP="002E7C2A">
            <w:pPr>
              <w:jc w:val="both"/>
              <w:rPr>
                <w:sz w:val="18"/>
                <w:szCs w:val="18"/>
              </w:rPr>
            </w:pPr>
          </w:p>
          <w:p w14:paraId="294CBC39" w14:textId="77777777" w:rsidR="00060F7A" w:rsidRPr="00AF0164" w:rsidRDefault="00060F7A" w:rsidP="002E7C2A">
            <w:pPr>
              <w:jc w:val="both"/>
              <w:rPr>
                <w:sz w:val="18"/>
                <w:szCs w:val="18"/>
              </w:rPr>
            </w:pPr>
          </w:p>
          <w:p w14:paraId="7FDD8EE6" w14:textId="77777777" w:rsidR="00060F7A" w:rsidRPr="00AF0164" w:rsidRDefault="00060F7A" w:rsidP="002E7C2A">
            <w:pPr>
              <w:jc w:val="both"/>
              <w:rPr>
                <w:sz w:val="18"/>
                <w:szCs w:val="18"/>
              </w:rPr>
            </w:pPr>
          </w:p>
          <w:p w14:paraId="71C01699" w14:textId="77777777" w:rsidR="00060F7A" w:rsidRPr="00AF0164" w:rsidRDefault="00060F7A" w:rsidP="002E7C2A">
            <w:pPr>
              <w:jc w:val="both"/>
              <w:rPr>
                <w:sz w:val="18"/>
                <w:szCs w:val="18"/>
              </w:rPr>
            </w:pPr>
          </w:p>
          <w:p w14:paraId="712FCDF6" w14:textId="77777777" w:rsidR="00060F7A" w:rsidRPr="00AF0164" w:rsidRDefault="00060F7A" w:rsidP="002E7C2A">
            <w:pPr>
              <w:jc w:val="both"/>
              <w:rPr>
                <w:sz w:val="18"/>
                <w:szCs w:val="18"/>
              </w:rPr>
            </w:pPr>
          </w:p>
          <w:p w14:paraId="51FD433D" w14:textId="77777777" w:rsidR="00060F7A" w:rsidRPr="00AF0164" w:rsidRDefault="00060F7A" w:rsidP="002E7C2A">
            <w:pPr>
              <w:jc w:val="both"/>
              <w:rPr>
                <w:sz w:val="18"/>
                <w:szCs w:val="18"/>
              </w:rPr>
            </w:pPr>
          </w:p>
          <w:p w14:paraId="4B1122BD" w14:textId="77777777" w:rsidR="00801717" w:rsidRDefault="00801717" w:rsidP="002E7C2A">
            <w:pPr>
              <w:rPr>
                <w:b/>
                <w:bCs/>
                <w:sz w:val="18"/>
                <w:szCs w:val="18"/>
              </w:rPr>
            </w:pPr>
            <w:bookmarkStart w:id="5" w:name="_Hlk72157570"/>
          </w:p>
          <w:p w14:paraId="0C7AD389" w14:textId="77777777" w:rsidR="00801717" w:rsidRDefault="00801717" w:rsidP="002E7C2A">
            <w:pPr>
              <w:rPr>
                <w:b/>
                <w:bCs/>
                <w:sz w:val="18"/>
                <w:szCs w:val="18"/>
              </w:rPr>
            </w:pPr>
          </w:p>
          <w:p w14:paraId="4B5265DF" w14:textId="77777777" w:rsidR="00801717" w:rsidRDefault="00801717" w:rsidP="002E7C2A">
            <w:pPr>
              <w:rPr>
                <w:b/>
                <w:bCs/>
                <w:sz w:val="18"/>
                <w:szCs w:val="18"/>
              </w:rPr>
            </w:pPr>
          </w:p>
          <w:p w14:paraId="7C095226" w14:textId="5F11DCD9" w:rsidR="00060F7A" w:rsidRPr="00FB3A50" w:rsidRDefault="00060F7A" w:rsidP="002E7C2A">
            <w:pPr>
              <w:rPr>
                <w:b/>
                <w:bCs/>
                <w:sz w:val="18"/>
                <w:szCs w:val="18"/>
              </w:rPr>
            </w:pPr>
            <w:r w:rsidRPr="00FB3A50">
              <w:rPr>
                <w:b/>
                <w:bCs/>
                <w:sz w:val="18"/>
                <w:szCs w:val="18"/>
              </w:rPr>
              <w:t xml:space="preserve">Area of sustainably managed forest </w:t>
            </w:r>
          </w:p>
          <w:p w14:paraId="0CA17797" w14:textId="77777777" w:rsidR="00060F7A" w:rsidRPr="00AF0164" w:rsidRDefault="00060F7A" w:rsidP="002E7C2A">
            <w:pPr>
              <w:jc w:val="both"/>
              <w:rPr>
                <w:sz w:val="18"/>
                <w:szCs w:val="18"/>
              </w:rPr>
            </w:pPr>
            <w:r w:rsidRPr="00FB3A50">
              <w:rPr>
                <w:i/>
                <w:iCs/>
                <w:sz w:val="18"/>
                <w:szCs w:val="18"/>
              </w:rPr>
              <w:t>Baseline</w:t>
            </w:r>
            <w:r w:rsidRPr="00AF0164">
              <w:rPr>
                <w:sz w:val="18"/>
                <w:szCs w:val="18"/>
              </w:rPr>
              <w:t xml:space="preserve"> (2020): 6 530 489 ha</w:t>
            </w:r>
          </w:p>
          <w:p w14:paraId="29759208" w14:textId="5EA9B1BB" w:rsidR="00060F7A" w:rsidRPr="00AF0164" w:rsidRDefault="00060F7A" w:rsidP="002E7C2A">
            <w:pPr>
              <w:jc w:val="both"/>
              <w:rPr>
                <w:sz w:val="18"/>
                <w:szCs w:val="18"/>
              </w:rPr>
            </w:pPr>
            <w:r w:rsidRPr="00FB3A50">
              <w:rPr>
                <w:i/>
                <w:iCs/>
                <w:sz w:val="18"/>
                <w:szCs w:val="18"/>
              </w:rPr>
              <w:t>Target</w:t>
            </w:r>
            <w:r w:rsidRPr="00AF0164">
              <w:rPr>
                <w:sz w:val="18"/>
                <w:szCs w:val="18"/>
              </w:rPr>
              <w:t xml:space="preserve"> (2026): </w:t>
            </w:r>
            <w:r w:rsidR="00857ED8">
              <w:rPr>
                <w:sz w:val="18"/>
                <w:szCs w:val="18"/>
              </w:rPr>
              <w:t>7</w:t>
            </w:r>
            <w:r w:rsidR="00FA7F5C" w:rsidRPr="00AF0164">
              <w:rPr>
                <w:sz w:val="18"/>
                <w:szCs w:val="18"/>
              </w:rPr>
              <w:t xml:space="preserve">,000,000 ha </w:t>
            </w:r>
          </w:p>
          <w:bookmarkEnd w:id="5"/>
          <w:p w14:paraId="1E6FFCE6" w14:textId="77777777" w:rsidR="00060F7A" w:rsidRPr="00AF0164" w:rsidRDefault="00060F7A" w:rsidP="002E7C2A">
            <w:pPr>
              <w:jc w:val="both"/>
              <w:rPr>
                <w:sz w:val="18"/>
                <w:szCs w:val="18"/>
              </w:rPr>
            </w:pPr>
          </w:p>
          <w:p w14:paraId="4945BBAD" w14:textId="77777777" w:rsidR="00060F7A" w:rsidRPr="00AF0164" w:rsidRDefault="00060F7A" w:rsidP="002E7C2A">
            <w:pPr>
              <w:jc w:val="both"/>
              <w:rPr>
                <w:sz w:val="18"/>
                <w:szCs w:val="18"/>
              </w:rPr>
            </w:pPr>
          </w:p>
          <w:p w14:paraId="133DB790" w14:textId="77777777" w:rsidR="00060F7A" w:rsidRPr="00AF0164" w:rsidRDefault="00060F7A" w:rsidP="002E7C2A">
            <w:pPr>
              <w:jc w:val="both"/>
              <w:rPr>
                <w:sz w:val="18"/>
                <w:szCs w:val="18"/>
              </w:rPr>
            </w:pPr>
          </w:p>
          <w:p w14:paraId="41B7CF60" w14:textId="77777777" w:rsidR="00060F7A" w:rsidRPr="00AF0164" w:rsidRDefault="00060F7A" w:rsidP="002E7C2A">
            <w:pPr>
              <w:jc w:val="both"/>
              <w:rPr>
                <w:sz w:val="18"/>
                <w:szCs w:val="18"/>
              </w:rPr>
            </w:pPr>
          </w:p>
          <w:p w14:paraId="439B7B54" w14:textId="77777777" w:rsidR="00060F7A" w:rsidRPr="00AF0164" w:rsidRDefault="00060F7A" w:rsidP="002E7C2A">
            <w:pPr>
              <w:jc w:val="both"/>
              <w:rPr>
                <w:sz w:val="18"/>
                <w:szCs w:val="18"/>
              </w:rPr>
            </w:pPr>
          </w:p>
          <w:p w14:paraId="3ED71D1B" w14:textId="77777777" w:rsidR="00060F7A" w:rsidRPr="00AF0164" w:rsidRDefault="00060F7A" w:rsidP="002E7C2A">
            <w:pPr>
              <w:jc w:val="both"/>
              <w:rPr>
                <w:sz w:val="18"/>
                <w:szCs w:val="18"/>
              </w:rPr>
            </w:pPr>
          </w:p>
          <w:p w14:paraId="58EC9140" w14:textId="64AF3B70" w:rsidR="00060F7A" w:rsidRPr="00FB3A50" w:rsidRDefault="00060F7A" w:rsidP="00FB3A50">
            <w:pPr>
              <w:rPr>
                <w:b/>
                <w:bCs/>
                <w:sz w:val="18"/>
                <w:szCs w:val="18"/>
              </w:rPr>
            </w:pPr>
            <w:r w:rsidRPr="00FB3A50">
              <w:rPr>
                <w:b/>
                <w:bCs/>
                <w:sz w:val="18"/>
                <w:szCs w:val="18"/>
              </w:rPr>
              <w:t>Percentage of agricultural households resilient to climate and other weather shocks</w:t>
            </w:r>
          </w:p>
          <w:p w14:paraId="068D36AB" w14:textId="77777777" w:rsidR="00060F7A" w:rsidRPr="00AF0164" w:rsidRDefault="00060F7A" w:rsidP="002E7C2A">
            <w:pPr>
              <w:jc w:val="both"/>
              <w:rPr>
                <w:bCs/>
                <w:sz w:val="18"/>
                <w:szCs w:val="18"/>
              </w:rPr>
            </w:pPr>
            <w:r w:rsidRPr="00FB3A50">
              <w:rPr>
                <w:bCs/>
                <w:i/>
                <w:iCs/>
                <w:sz w:val="18"/>
                <w:szCs w:val="18"/>
              </w:rPr>
              <w:lastRenderedPageBreak/>
              <w:t>Baseline</w:t>
            </w:r>
            <w:r w:rsidRPr="00AF0164">
              <w:rPr>
                <w:bCs/>
                <w:sz w:val="18"/>
                <w:szCs w:val="18"/>
              </w:rPr>
              <w:t xml:space="preserve"> (2020): 5%</w:t>
            </w:r>
          </w:p>
          <w:p w14:paraId="7276FF9B" w14:textId="77777777" w:rsidR="00060F7A" w:rsidRPr="00AF0164" w:rsidRDefault="00060F7A" w:rsidP="002E7C2A">
            <w:pPr>
              <w:jc w:val="both"/>
              <w:rPr>
                <w:b/>
                <w:sz w:val="18"/>
                <w:szCs w:val="18"/>
              </w:rPr>
            </w:pPr>
            <w:r w:rsidRPr="00FB3A50">
              <w:rPr>
                <w:bCs/>
                <w:i/>
                <w:iCs/>
                <w:sz w:val="18"/>
                <w:szCs w:val="18"/>
              </w:rPr>
              <w:t>Target</w:t>
            </w:r>
            <w:r w:rsidRPr="00AF0164">
              <w:rPr>
                <w:bCs/>
                <w:sz w:val="18"/>
                <w:szCs w:val="18"/>
              </w:rPr>
              <w:t xml:space="preserve"> (2026):</w:t>
            </w:r>
            <w:r w:rsidRPr="00AF0164">
              <w:rPr>
                <w:b/>
                <w:sz w:val="18"/>
                <w:szCs w:val="18"/>
              </w:rPr>
              <w:t xml:space="preserve"> </w:t>
            </w:r>
            <w:r w:rsidRPr="00AF0164">
              <w:rPr>
                <w:bCs/>
                <w:sz w:val="18"/>
                <w:szCs w:val="18"/>
              </w:rPr>
              <w:t>15%</w:t>
            </w:r>
          </w:p>
        </w:tc>
        <w:tc>
          <w:tcPr>
            <w:tcW w:w="824" w:type="pct"/>
          </w:tcPr>
          <w:p w14:paraId="5A38D412" w14:textId="69499FFB" w:rsidR="00060F7A" w:rsidRPr="00AF0164" w:rsidRDefault="00060F7A" w:rsidP="001A494E">
            <w:pPr>
              <w:rPr>
                <w:sz w:val="18"/>
                <w:szCs w:val="18"/>
              </w:rPr>
            </w:pPr>
            <w:r w:rsidRPr="00AF0164">
              <w:rPr>
                <w:b/>
                <w:sz w:val="18"/>
                <w:szCs w:val="18"/>
              </w:rPr>
              <w:lastRenderedPageBreak/>
              <w:t xml:space="preserve">Data </w:t>
            </w:r>
            <w:r w:rsidR="00801717">
              <w:rPr>
                <w:b/>
                <w:sz w:val="18"/>
                <w:szCs w:val="18"/>
              </w:rPr>
              <w:t>s</w:t>
            </w:r>
            <w:r w:rsidRPr="00AF0164">
              <w:rPr>
                <w:b/>
                <w:sz w:val="18"/>
                <w:szCs w:val="18"/>
              </w:rPr>
              <w:t>ource:</w:t>
            </w:r>
            <w:r w:rsidRPr="00AF0164">
              <w:rPr>
                <w:sz w:val="18"/>
                <w:szCs w:val="18"/>
              </w:rPr>
              <w:t xml:space="preserve">  INS</w:t>
            </w:r>
            <w:r w:rsidR="00801717">
              <w:rPr>
                <w:sz w:val="18"/>
                <w:szCs w:val="18"/>
              </w:rPr>
              <w:t xml:space="preserve">, </w:t>
            </w:r>
            <w:r w:rsidRPr="00AF0164">
              <w:rPr>
                <w:sz w:val="18"/>
                <w:szCs w:val="18"/>
              </w:rPr>
              <w:t>MINEPDED</w:t>
            </w:r>
            <w:r w:rsidR="00801717">
              <w:rPr>
                <w:sz w:val="18"/>
                <w:szCs w:val="18"/>
              </w:rPr>
              <w:t xml:space="preserve">, </w:t>
            </w:r>
            <w:r w:rsidRPr="00AF0164">
              <w:rPr>
                <w:sz w:val="18"/>
                <w:szCs w:val="18"/>
              </w:rPr>
              <w:t>MINAT</w:t>
            </w:r>
          </w:p>
          <w:p w14:paraId="512C8CA2" w14:textId="77777777" w:rsidR="00060F7A" w:rsidRPr="00AF0164" w:rsidRDefault="00060F7A" w:rsidP="001A494E">
            <w:pPr>
              <w:rPr>
                <w:b/>
                <w:sz w:val="18"/>
                <w:szCs w:val="18"/>
              </w:rPr>
            </w:pPr>
            <w:r w:rsidRPr="00AF0164">
              <w:rPr>
                <w:b/>
                <w:sz w:val="18"/>
                <w:szCs w:val="18"/>
              </w:rPr>
              <w:t>Frequency:</w:t>
            </w:r>
            <w:r w:rsidRPr="00AF0164">
              <w:rPr>
                <w:sz w:val="18"/>
                <w:szCs w:val="18"/>
              </w:rPr>
              <w:t xml:space="preserve"> Annual </w:t>
            </w:r>
          </w:p>
          <w:p w14:paraId="351BF161" w14:textId="77777777" w:rsidR="00060F7A" w:rsidRPr="00AF0164" w:rsidRDefault="00060F7A" w:rsidP="001A494E">
            <w:pPr>
              <w:rPr>
                <w:b/>
                <w:sz w:val="18"/>
                <w:szCs w:val="18"/>
              </w:rPr>
            </w:pPr>
            <w:r w:rsidRPr="00AF0164">
              <w:rPr>
                <w:b/>
                <w:sz w:val="18"/>
                <w:szCs w:val="18"/>
              </w:rPr>
              <w:t xml:space="preserve">Responsibility: </w:t>
            </w:r>
            <w:r w:rsidRPr="00AF0164">
              <w:rPr>
                <w:bCs/>
                <w:sz w:val="18"/>
                <w:szCs w:val="18"/>
              </w:rPr>
              <w:t>MINEPDED, MINAT</w:t>
            </w:r>
          </w:p>
          <w:p w14:paraId="0C07D781" w14:textId="77777777" w:rsidR="00060F7A" w:rsidRPr="00AF0164" w:rsidRDefault="00060F7A" w:rsidP="002E7C2A">
            <w:pPr>
              <w:jc w:val="both"/>
              <w:rPr>
                <w:b/>
                <w:sz w:val="18"/>
                <w:szCs w:val="18"/>
              </w:rPr>
            </w:pPr>
          </w:p>
          <w:p w14:paraId="23E32B5C" w14:textId="77777777" w:rsidR="00060F7A" w:rsidRPr="00AF0164" w:rsidRDefault="00060F7A" w:rsidP="002E7C2A">
            <w:pPr>
              <w:jc w:val="both"/>
              <w:rPr>
                <w:b/>
                <w:sz w:val="18"/>
                <w:szCs w:val="18"/>
              </w:rPr>
            </w:pPr>
          </w:p>
          <w:p w14:paraId="5D032470" w14:textId="77777777" w:rsidR="00060F7A" w:rsidRPr="00AF0164" w:rsidRDefault="00060F7A" w:rsidP="002E7C2A">
            <w:pPr>
              <w:jc w:val="both"/>
              <w:rPr>
                <w:b/>
                <w:sz w:val="18"/>
                <w:szCs w:val="18"/>
              </w:rPr>
            </w:pPr>
          </w:p>
          <w:p w14:paraId="5C99C97B" w14:textId="77777777" w:rsidR="00060F7A" w:rsidRPr="00AF0164" w:rsidRDefault="00060F7A" w:rsidP="002E7C2A">
            <w:pPr>
              <w:jc w:val="both"/>
              <w:rPr>
                <w:b/>
                <w:sz w:val="18"/>
                <w:szCs w:val="18"/>
              </w:rPr>
            </w:pPr>
          </w:p>
          <w:p w14:paraId="12D36A00" w14:textId="77777777" w:rsidR="00060F7A" w:rsidRPr="00AF0164" w:rsidRDefault="00060F7A" w:rsidP="002E7C2A">
            <w:pPr>
              <w:jc w:val="both"/>
              <w:rPr>
                <w:b/>
                <w:sz w:val="18"/>
                <w:szCs w:val="18"/>
              </w:rPr>
            </w:pPr>
          </w:p>
          <w:p w14:paraId="53962E35" w14:textId="77777777" w:rsidR="00060F7A" w:rsidRPr="00AF0164" w:rsidRDefault="00060F7A" w:rsidP="002E7C2A">
            <w:pPr>
              <w:jc w:val="both"/>
              <w:rPr>
                <w:b/>
                <w:sz w:val="18"/>
                <w:szCs w:val="18"/>
              </w:rPr>
            </w:pPr>
          </w:p>
          <w:p w14:paraId="43778789" w14:textId="77777777" w:rsidR="00060F7A" w:rsidRPr="00AF0164" w:rsidRDefault="00060F7A" w:rsidP="002E7C2A">
            <w:pPr>
              <w:jc w:val="both"/>
              <w:rPr>
                <w:b/>
                <w:sz w:val="18"/>
                <w:szCs w:val="18"/>
              </w:rPr>
            </w:pPr>
          </w:p>
          <w:p w14:paraId="5B977C44" w14:textId="77777777" w:rsidR="00060F7A" w:rsidRPr="00AF0164" w:rsidRDefault="00060F7A" w:rsidP="002E7C2A">
            <w:pPr>
              <w:jc w:val="both"/>
              <w:rPr>
                <w:b/>
                <w:sz w:val="18"/>
                <w:szCs w:val="18"/>
              </w:rPr>
            </w:pPr>
          </w:p>
          <w:p w14:paraId="5D873350" w14:textId="77777777" w:rsidR="00060F7A" w:rsidRPr="00AF0164" w:rsidRDefault="00060F7A" w:rsidP="002E7C2A">
            <w:pPr>
              <w:jc w:val="both"/>
              <w:rPr>
                <w:b/>
                <w:sz w:val="18"/>
                <w:szCs w:val="18"/>
              </w:rPr>
            </w:pPr>
          </w:p>
          <w:p w14:paraId="26C87282" w14:textId="6AC6A5C1" w:rsidR="00060F7A" w:rsidRPr="00AF0164" w:rsidRDefault="00060F7A" w:rsidP="000455CF">
            <w:pPr>
              <w:rPr>
                <w:sz w:val="18"/>
                <w:szCs w:val="18"/>
              </w:rPr>
            </w:pPr>
            <w:r w:rsidRPr="00AF0164">
              <w:rPr>
                <w:b/>
                <w:sz w:val="18"/>
                <w:szCs w:val="18"/>
              </w:rPr>
              <w:t xml:space="preserve">Data </w:t>
            </w:r>
            <w:r w:rsidR="00801717">
              <w:rPr>
                <w:b/>
                <w:sz w:val="18"/>
                <w:szCs w:val="18"/>
              </w:rPr>
              <w:t>s</w:t>
            </w:r>
            <w:r w:rsidRPr="00AF0164">
              <w:rPr>
                <w:b/>
                <w:sz w:val="18"/>
                <w:szCs w:val="18"/>
              </w:rPr>
              <w:t>ource:</w:t>
            </w:r>
            <w:r w:rsidRPr="00FB3A50">
              <w:rPr>
                <w:bCs/>
                <w:sz w:val="18"/>
                <w:szCs w:val="18"/>
              </w:rPr>
              <w:t xml:space="preserve"> Report </w:t>
            </w:r>
            <w:r w:rsidR="00801717">
              <w:rPr>
                <w:bCs/>
                <w:sz w:val="18"/>
                <w:szCs w:val="18"/>
              </w:rPr>
              <w:t>on n</w:t>
            </w:r>
            <w:r w:rsidRPr="00FB3A50">
              <w:rPr>
                <w:bCs/>
                <w:sz w:val="18"/>
                <w:szCs w:val="18"/>
              </w:rPr>
              <w:t xml:space="preserve">ational </w:t>
            </w:r>
            <w:r w:rsidR="00801717">
              <w:rPr>
                <w:bCs/>
                <w:sz w:val="18"/>
                <w:szCs w:val="18"/>
              </w:rPr>
              <w:t>s</w:t>
            </w:r>
            <w:r w:rsidRPr="00FB3A50">
              <w:rPr>
                <w:bCs/>
                <w:sz w:val="18"/>
                <w:szCs w:val="18"/>
              </w:rPr>
              <w:t xml:space="preserve">trategy for development of the </w:t>
            </w:r>
            <w:r w:rsidR="00801717">
              <w:rPr>
                <w:bCs/>
                <w:sz w:val="18"/>
                <w:szCs w:val="18"/>
              </w:rPr>
              <w:t>r</w:t>
            </w:r>
            <w:r w:rsidRPr="00FB3A50">
              <w:rPr>
                <w:bCs/>
                <w:sz w:val="18"/>
                <w:szCs w:val="18"/>
              </w:rPr>
              <w:t xml:space="preserve">ural </w:t>
            </w:r>
            <w:r w:rsidR="00801717">
              <w:rPr>
                <w:bCs/>
                <w:sz w:val="18"/>
                <w:szCs w:val="18"/>
              </w:rPr>
              <w:t>s</w:t>
            </w:r>
            <w:r w:rsidRPr="00FB3A50">
              <w:rPr>
                <w:bCs/>
                <w:sz w:val="18"/>
                <w:szCs w:val="18"/>
              </w:rPr>
              <w:t>ector</w:t>
            </w:r>
            <w:r w:rsidRPr="00AF0164">
              <w:rPr>
                <w:b/>
                <w:sz w:val="18"/>
                <w:szCs w:val="18"/>
              </w:rPr>
              <w:t xml:space="preserve">, </w:t>
            </w:r>
            <w:r w:rsidR="00801717">
              <w:rPr>
                <w:sz w:val="18"/>
                <w:szCs w:val="18"/>
              </w:rPr>
              <w:t>r</w:t>
            </w:r>
            <w:r w:rsidRPr="00AF0164">
              <w:rPr>
                <w:sz w:val="18"/>
                <w:szCs w:val="18"/>
              </w:rPr>
              <w:t>eport MINEPDED, MINFOF</w:t>
            </w:r>
          </w:p>
          <w:p w14:paraId="72DDB506" w14:textId="77777777" w:rsidR="00060F7A" w:rsidRPr="00AF0164" w:rsidRDefault="00060F7A" w:rsidP="002E7C2A">
            <w:pPr>
              <w:jc w:val="both"/>
              <w:rPr>
                <w:b/>
                <w:sz w:val="18"/>
                <w:szCs w:val="18"/>
              </w:rPr>
            </w:pPr>
            <w:r w:rsidRPr="00AF0164">
              <w:rPr>
                <w:b/>
                <w:sz w:val="18"/>
                <w:szCs w:val="18"/>
              </w:rPr>
              <w:t>Frequency:</w:t>
            </w:r>
            <w:r w:rsidRPr="00AF0164">
              <w:rPr>
                <w:sz w:val="18"/>
                <w:szCs w:val="18"/>
              </w:rPr>
              <w:t xml:space="preserve"> Annual </w:t>
            </w:r>
          </w:p>
          <w:p w14:paraId="3E76922D" w14:textId="51C95669" w:rsidR="00060F7A" w:rsidRPr="00AF0164" w:rsidRDefault="00060F7A" w:rsidP="002E7C2A">
            <w:pPr>
              <w:jc w:val="both"/>
              <w:rPr>
                <w:b/>
                <w:sz w:val="18"/>
                <w:szCs w:val="18"/>
              </w:rPr>
            </w:pPr>
            <w:r w:rsidRPr="00AF0164">
              <w:rPr>
                <w:b/>
                <w:sz w:val="18"/>
                <w:szCs w:val="18"/>
              </w:rPr>
              <w:t>Responsibility:</w:t>
            </w:r>
            <w:r w:rsidR="00801717">
              <w:rPr>
                <w:b/>
                <w:sz w:val="18"/>
                <w:szCs w:val="18"/>
              </w:rPr>
              <w:t xml:space="preserve"> </w:t>
            </w:r>
            <w:r w:rsidR="00801717" w:rsidRPr="00FB3A50">
              <w:rPr>
                <w:bCs/>
                <w:sz w:val="18"/>
                <w:szCs w:val="18"/>
              </w:rPr>
              <w:t>TBC</w:t>
            </w:r>
          </w:p>
          <w:p w14:paraId="65D2B0DF" w14:textId="77777777" w:rsidR="00060F7A" w:rsidRPr="00AF0164" w:rsidRDefault="00060F7A" w:rsidP="002E7C2A">
            <w:pPr>
              <w:jc w:val="both"/>
              <w:rPr>
                <w:b/>
                <w:sz w:val="18"/>
                <w:szCs w:val="18"/>
              </w:rPr>
            </w:pPr>
          </w:p>
          <w:p w14:paraId="5ED843C3" w14:textId="77777777" w:rsidR="00060F7A" w:rsidRPr="00AF0164" w:rsidRDefault="00060F7A" w:rsidP="002E7C2A">
            <w:pPr>
              <w:jc w:val="both"/>
              <w:rPr>
                <w:b/>
                <w:sz w:val="18"/>
                <w:szCs w:val="18"/>
              </w:rPr>
            </w:pPr>
          </w:p>
          <w:p w14:paraId="29AC6722" w14:textId="77777777" w:rsidR="00060F7A" w:rsidRPr="00AF0164" w:rsidRDefault="00060F7A" w:rsidP="002E7C2A">
            <w:pPr>
              <w:jc w:val="both"/>
              <w:rPr>
                <w:b/>
                <w:sz w:val="18"/>
                <w:szCs w:val="18"/>
              </w:rPr>
            </w:pPr>
          </w:p>
          <w:p w14:paraId="7FFEFD5A" w14:textId="563CEAFB" w:rsidR="00060F7A" w:rsidRPr="00AF0164" w:rsidRDefault="00060F7A" w:rsidP="008C3B54">
            <w:pPr>
              <w:rPr>
                <w:sz w:val="18"/>
                <w:szCs w:val="18"/>
              </w:rPr>
            </w:pPr>
            <w:r w:rsidRPr="00AF0164">
              <w:rPr>
                <w:b/>
                <w:sz w:val="18"/>
                <w:szCs w:val="18"/>
              </w:rPr>
              <w:t xml:space="preserve">Data </w:t>
            </w:r>
            <w:r w:rsidR="00801717">
              <w:rPr>
                <w:b/>
                <w:sz w:val="18"/>
                <w:szCs w:val="18"/>
              </w:rPr>
              <w:t>s</w:t>
            </w:r>
            <w:r w:rsidRPr="00AF0164">
              <w:rPr>
                <w:b/>
                <w:sz w:val="18"/>
                <w:szCs w:val="18"/>
              </w:rPr>
              <w:t>ource:</w:t>
            </w:r>
            <w:r w:rsidR="00801717">
              <w:rPr>
                <w:bCs/>
                <w:sz w:val="18"/>
                <w:szCs w:val="18"/>
              </w:rPr>
              <w:t xml:space="preserve"> </w:t>
            </w:r>
            <w:r w:rsidRPr="00AF0164">
              <w:rPr>
                <w:bCs/>
                <w:sz w:val="18"/>
                <w:szCs w:val="18"/>
              </w:rPr>
              <w:t xml:space="preserve">Report </w:t>
            </w:r>
            <w:r w:rsidR="00801717">
              <w:rPr>
                <w:bCs/>
                <w:sz w:val="18"/>
                <w:szCs w:val="18"/>
              </w:rPr>
              <w:t>on n</w:t>
            </w:r>
            <w:r w:rsidRPr="00AF0164">
              <w:rPr>
                <w:bCs/>
                <w:sz w:val="18"/>
                <w:szCs w:val="18"/>
              </w:rPr>
              <w:t xml:space="preserve">ational </w:t>
            </w:r>
            <w:r w:rsidR="00801717">
              <w:rPr>
                <w:bCs/>
                <w:sz w:val="18"/>
                <w:szCs w:val="18"/>
              </w:rPr>
              <w:t>s</w:t>
            </w:r>
            <w:r w:rsidRPr="00AF0164">
              <w:rPr>
                <w:bCs/>
                <w:sz w:val="18"/>
                <w:szCs w:val="18"/>
              </w:rPr>
              <w:t xml:space="preserve">trategy for development of the </w:t>
            </w:r>
            <w:r w:rsidR="00801717">
              <w:rPr>
                <w:bCs/>
                <w:sz w:val="18"/>
                <w:szCs w:val="18"/>
              </w:rPr>
              <w:t>r</w:t>
            </w:r>
            <w:r w:rsidRPr="00AF0164">
              <w:rPr>
                <w:bCs/>
                <w:sz w:val="18"/>
                <w:szCs w:val="18"/>
              </w:rPr>
              <w:t xml:space="preserve">ural </w:t>
            </w:r>
            <w:r w:rsidR="00801717">
              <w:rPr>
                <w:bCs/>
                <w:sz w:val="18"/>
                <w:szCs w:val="18"/>
              </w:rPr>
              <w:lastRenderedPageBreak/>
              <w:t>s</w:t>
            </w:r>
            <w:r w:rsidRPr="00AF0164">
              <w:rPr>
                <w:bCs/>
                <w:sz w:val="18"/>
                <w:szCs w:val="18"/>
              </w:rPr>
              <w:t>ector,</w:t>
            </w:r>
            <w:r w:rsidRPr="00AF0164">
              <w:rPr>
                <w:sz w:val="18"/>
                <w:szCs w:val="18"/>
              </w:rPr>
              <w:t xml:space="preserve"> </w:t>
            </w:r>
            <w:r w:rsidR="00801717">
              <w:rPr>
                <w:sz w:val="18"/>
                <w:szCs w:val="18"/>
              </w:rPr>
              <w:t>a</w:t>
            </w:r>
            <w:r w:rsidRPr="00AF0164">
              <w:rPr>
                <w:sz w:val="18"/>
                <w:szCs w:val="18"/>
              </w:rPr>
              <w:t xml:space="preserve">nnual </w:t>
            </w:r>
            <w:r w:rsidR="00801717">
              <w:rPr>
                <w:sz w:val="18"/>
                <w:szCs w:val="18"/>
              </w:rPr>
              <w:t>r</w:t>
            </w:r>
            <w:r w:rsidRPr="00AF0164">
              <w:rPr>
                <w:sz w:val="18"/>
                <w:szCs w:val="18"/>
              </w:rPr>
              <w:t>eport MINEPDED, MINFOF</w:t>
            </w:r>
          </w:p>
          <w:p w14:paraId="744A7003" w14:textId="77777777" w:rsidR="00060F7A" w:rsidRPr="00AF0164" w:rsidRDefault="00060F7A" w:rsidP="002E7C2A">
            <w:pPr>
              <w:jc w:val="both"/>
              <w:rPr>
                <w:b/>
                <w:sz w:val="18"/>
                <w:szCs w:val="18"/>
              </w:rPr>
            </w:pPr>
            <w:r w:rsidRPr="00AF0164">
              <w:rPr>
                <w:b/>
                <w:sz w:val="18"/>
                <w:szCs w:val="18"/>
              </w:rPr>
              <w:t>Frequency:</w:t>
            </w:r>
            <w:r w:rsidRPr="00AF0164">
              <w:rPr>
                <w:sz w:val="18"/>
                <w:szCs w:val="18"/>
              </w:rPr>
              <w:t xml:space="preserve"> Annual </w:t>
            </w:r>
          </w:p>
          <w:p w14:paraId="66B808EA" w14:textId="6E4140E1" w:rsidR="00060F7A" w:rsidRPr="00AF0164" w:rsidRDefault="00060F7A" w:rsidP="002E7C2A">
            <w:pPr>
              <w:jc w:val="both"/>
              <w:rPr>
                <w:b/>
                <w:sz w:val="18"/>
                <w:szCs w:val="18"/>
              </w:rPr>
            </w:pPr>
            <w:r w:rsidRPr="00AF0164">
              <w:rPr>
                <w:b/>
                <w:sz w:val="18"/>
                <w:szCs w:val="18"/>
              </w:rPr>
              <w:t>Responsibility:</w:t>
            </w:r>
            <w:r w:rsidR="00801717">
              <w:rPr>
                <w:b/>
                <w:sz w:val="18"/>
                <w:szCs w:val="18"/>
              </w:rPr>
              <w:t xml:space="preserve"> </w:t>
            </w:r>
            <w:r w:rsidR="00801717" w:rsidRPr="00FB3A50">
              <w:rPr>
                <w:bCs/>
                <w:sz w:val="18"/>
                <w:szCs w:val="18"/>
              </w:rPr>
              <w:t>TBC</w:t>
            </w:r>
          </w:p>
          <w:p w14:paraId="3D3AF384" w14:textId="77777777" w:rsidR="00060F7A" w:rsidRPr="00AF0164" w:rsidRDefault="00060F7A" w:rsidP="002E7C2A">
            <w:pPr>
              <w:jc w:val="both"/>
              <w:rPr>
                <w:b/>
                <w:sz w:val="18"/>
                <w:szCs w:val="18"/>
              </w:rPr>
            </w:pPr>
          </w:p>
          <w:p w14:paraId="199CE81F" w14:textId="77777777" w:rsidR="00060F7A" w:rsidRPr="00AF0164" w:rsidRDefault="00060F7A" w:rsidP="002E7C2A">
            <w:pPr>
              <w:jc w:val="both"/>
              <w:rPr>
                <w:b/>
                <w:sz w:val="18"/>
                <w:szCs w:val="18"/>
              </w:rPr>
            </w:pPr>
          </w:p>
          <w:p w14:paraId="3381A695" w14:textId="7A0F7E7D" w:rsidR="00060F7A" w:rsidRPr="00AF0164" w:rsidRDefault="00060F7A" w:rsidP="00361D57">
            <w:pPr>
              <w:rPr>
                <w:bCs/>
                <w:sz w:val="18"/>
                <w:szCs w:val="18"/>
              </w:rPr>
            </w:pPr>
            <w:r w:rsidRPr="00AF0164">
              <w:rPr>
                <w:b/>
                <w:sz w:val="18"/>
                <w:szCs w:val="18"/>
              </w:rPr>
              <w:t xml:space="preserve">Data </w:t>
            </w:r>
            <w:r w:rsidR="00801717">
              <w:rPr>
                <w:b/>
                <w:sz w:val="18"/>
                <w:szCs w:val="18"/>
              </w:rPr>
              <w:t>s</w:t>
            </w:r>
            <w:r w:rsidRPr="00AF0164">
              <w:rPr>
                <w:b/>
                <w:sz w:val="18"/>
                <w:szCs w:val="18"/>
              </w:rPr>
              <w:t>ource</w:t>
            </w:r>
            <w:r w:rsidRPr="00AF0164">
              <w:rPr>
                <w:sz w:val="18"/>
                <w:szCs w:val="18"/>
              </w:rPr>
              <w:t>:  MINATMINDDEVEL, CVUC</w:t>
            </w:r>
          </w:p>
          <w:p w14:paraId="0FE07A3F" w14:textId="77777777" w:rsidR="00060F7A" w:rsidRPr="00AF0164" w:rsidRDefault="00060F7A" w:rsidP="002E7C2A">
            <w:pPr>
              <w:jc w:val="both"/>
              <w:rPr>
                <w:b/>
                <w:sz w:val="18"/>
                <w:szCs w:val="18"/>
              </w:rPr>
            </w:pPr>
            <w:r w:rsidRPr="00AF0164">
              <w:rPr>
                <w:b/>
                <w:sz w:val="18"/>
                <w:szCs w:val="18"/>
              </w:rPr>
              <w:t xml:space="preserve">Frequency: </w:t>
            </w:r>
            <w:r w:rsidRPr="00AF0164">
              <w:rPr>
                <w:sz w:val="18"/>
                <w:szCs w:val="18"/>
              </w:rPr>
              <w:t>Annual</w:t>
            </w:r>
            <w:r w:rsidRPr="00AF0164">
              <w:rPr>
                <w:b/>
                <w:sz w:val="18"/>
                <w:szCs w:val="18"/>
              </w:rPr>
              <w:t xml:space="preserve"> </w:t>
            </w:r>
          </w:p>
          <w:p w14:paraId="31BE8DBE" w14:textId="3F748369" w:rsidR="00060F7A" w:rsidRPr="00AF0164" w:rsidRDefault="00060F7A" w:rsidP="00FB3A50">
            <w:pPr>
              <w:rPr>
                <w:bCs/>
                <w:sz w:val="18"/>
                <w:szCs w:val="18"/>
              </w:rPr>
            </w:pPr>
            <w:r w:rsidRPr="00AF0164">
              <w:rPr>
                <w:b/>
                <w:sz w:val="18"/>
                <w:szCs w:val="18"/>
              </w:rPr>
              <w:t>Responsibility:</w:t>
            </w:r>
            <w:r w:rsidR="00801717">
              <w:rPr>
                <w:bCs/>
                <w:sz w:val="18"/>
                <w:szCs w:val="18"/>
              </w:rPr>
              <w:t xml:space="preserve"> </w:t>
            </w:r>
            <w:r w:rsidRPr="00AF0164">
              <w:rPr>
                <w:bCs/>
                <w:sz w:val="18"/>
                <w:szCs w:val="18"/>
              </w:rPr>
              <w:t>MINAT, MINDDEVEL, MINEPAT, UNDP</w:t>
            </w:r>
          </w:p>
        </w:tc>
        <w:tc>
          <w:tcPr>
            <w:tcW w:w="1443" w:type="pct"/>
            <w:gridSpan w:val="2"/>
            <w:shd w:val="clear" w:color="auto" w:fill="FFFFFF" w:themeFill="background1"/>
          </w:tcPr>
          <w:p w14:paraId="7650771B" w14:textId="73E232AD" w:rsidR="00060F7A" w:rsidRPr="00AF0164" w:rsidRDefault="00060F7A" w:rsidP="00FB3A50">
            <w:pPr>
              <w:rPr>
                <w:sz w:val="18"/>
                <w:szCs w:val="18"/>
              </w:rPr>
            </w:pPr>
            <w:r w:rsidRPr="00AF0164">
              <w:rPr>
                <w:b/>
                <w:bCs/>
                <w:sz w:val="18"/>
                <w:szCs w:val="18"/>
              </w:rPr>
              <w:lastRenderedPageBreak/>
              <w:t>Output 4.1</w:t>
            </w:r>
            <w:r w:rsidR="00801717" w:rsidRPr="00FB3A50">
              <w:rPr>
                <w:b/>
                <w:bCs/>
                <w:sz w:val="18"/>
                <w:szCs w:val="18"/>
              </w:rPr>
              <w:t>.</w:t>
            </w:r>
            <w:r w:rsidRPr="00AF0164">
              <w:rPr>
                <w:sz w:val="18"/>
                <w:szCs w:val="18"/>
              </w:rPr>
              <w:t xml:space="preserve"> Capacities of key actors and institutions strengthened to access climate finance for the implementation of the Paris Climate Agreement and the Sendai framework.</w:t>
            </w:r>
          </w:p>
          <w:p w14:paraId="07F632C9" w14:textId="77777777" w:rsidR="00060F7A" w:rsidRPr="00AF0164" w:rsidRDefault="00060F7A" w:rsidP="002E7C2A">
            <w:pPr>
              <w:jc w:val="both"/>
              <w:rPr>
                <w:sz w:val="18"/>
                <w:szCs w:val="18"/>
              </w:rPr>
            </w:pPr>
          </w:p>
          <w:p w14:paraId="0B06F2C2" w14:textId="068B5A94" w:rsidR="00060F7A" w:rsidRPr="00AF0164" w:rsidRDefault="00060F7A" w:rsidP="00FB3A50">
            <w:pPr>
              <w:rPr>
                <w:bCs/>
                <w:sz w:val="18"/>
                <w:szCs w:val="18"/>
              </w:rPr>
            </w:pPr>
            <w:r w:rsidRPr="00AF0164">
              <w:rPr>
                <w:b/>
                <w:sz w:val="18"/>
                <w:szCs w:val="18"/>
              </w:rPr>
              <w:t>Indicator 4.1.1.</w:t>
            </w:r>
            <w:r w:rsidR="00801717">
              <w:rPr>
                <w:b/>
                <w:sz w:val="18"/>
                <w:szCs w:val="18"/>
              </w:rPr>
              <w:t xml:space="preserve"> </w:t>
            </w:r>
            <w:r w:rsidRPr="00AF0164">
              <w:rPr>
                <w:bCs/>
                <w:sz w:val="18"/>
                <w:szCs w:val="18"/>
              </w:rPr>
              <w:t xml:space="preserve">Number of legal and institutional framework developed for effective implementation of climate agreements </w:t>
            </w:r>
          </w:p>
          <w:p w14:paraId="249BB69F" w14:textId="77777777" w:rsidR="00060F7A" w:rsidRPr="00FB3A50" w:rsidRDefault="00060F7A" w:rsidP="00FB3A50">
            <w:pPr>
              <w:jc w:val="both"/>
              <w:rPr>
                <w:bCs/>
                <w:sz w:val="18"/>
                <w:szCs w:val="18"/>
              </w:rPr>
            </w:pPr>
            <w:r w:rsidRPr="00FB3A50">
              <w:rPr>
                <w:bCs/>
                <w:i/>
                <w:iCs/>
                <w:sz w:val="18"/>
                <w:szCs w:val="18"/>
              </w:rPr>
              <w:t>Baseline</w:t>
            </w:r>
            <w:r w:rsidRPr="00FB3A50">
              <w:rPr>
                <w:bCs/>
                <w:sz w:val="18"/>
                <w:szCs w:val="18"/>
              </w:rPr>
              <w:t xml:space="preserve"> (2020): 0</w:t>
            </w:r>
          </w:p>
          <w:p w14:paraId="36848BC3" w14:textId="77777777" w:rsidR="001A494E"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 2</w:t>
            </w:r>
          </w:p>
          <w:p w14:paraId="667FA7B8" w14:textId="266E2679" w:rsidR="00060F7A" w:rsidRPr="00AF0164" w:rsidRDefault="00060F7A" w:rsidP="00FB3A50">
            <w:pPr>
              <w:rPr>
                <w:bCs/>
                <w:sz w:val="18"/>
                <w:szCs w:val="18"/>
              </w:rPr>
            </w:pPr>
            <w:r w:rsidRPr="00FB3A50">
              <w:rPr>
                <w:bCs/>
                <w:i/>
                <w:iCs/>
                <w:sz w:val="18"/>
                <w:szCs w:val="18"/>
              </w:rPr>
              <w:t>Data source</w:t>
            </w:r>
            <w:r w:rsidRPr="00AF0164">
              <w:rPr>
                <w:bCs/>
                <w:sz w:val="18"/>
                <w:szCs w:val="18"/>
              </w:rPr>
              <w:t>:</w:t>
            </w:r>
            <w:r w:rsidRPr="00AF0164">
              <w:rPr>
                <w:sz w:val="18"/>
                <w:szCs w:val="18"/>
              </w:rPr>
              <w:t xml:space="preserve"> </w:t>
            </w:r>
            <w:r w:rsidRPr="00AF0164">
              <w:rPr>
                <w:bCs/>
                <w:sz w:val="18"/>
                <w:szCs w:val="18"/>
              </w:rPr>
              <w:t xml:space="preserve">MINEPDED </w:t>
            </w:r>
            <w:r w:rsidR="00801717">
              <w:rPr>
                <w:bCs/>
                <w:sz w:val="18"/>
                <w:szCs w:val="18"/>
              </w:rPr>
              <w:t>r</w:t>
            </w:r>
            <w:r w:rsidRPr="00AF0164">
              <w:rPr>
                <w:bCs/>
                <w:sz w:val="18"/>
                <w:szCs w:val="18"/>
              </w:rPr>
              <w:t>eport</w:t>
            </w:r>
            <w:r w:rsidR="00410265">
              <w:rPr>
                <w:bCs/>
                <w:sz w:val="18"/>
                <w:szCs w:val="18"/>
              </w:rPr>
              <w:t>,</w:t>
            </w:r>
            <w:r w:rsidRPr="00AF0164">
              <w:rPr>
                <w:bCs/>
                <w:sz w:val="18"/>
                <w:szCs w:val="18"/>
              </w:rPr>
              <w:t xml:space="preserve"> climate policy document</w:t>
            </w:r>
          </w:p>
          <w:p w14:paraId="4A522D69"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E1A4C91" w14:textId="278FFC03" w:rsidR="00060F7A" w:rsidRPr="00AF0164" w:rsidRDefault="00060F7A" w:rsidP="002E7C2A">
            <w:pPr>
              <w:jc w:val="both"/>
              <w:rPr>
                <w:b/>
                <w:strike/>
                <w:sz w:val="18"/>
                <w:szCs w:val="18"/>
              </w:rPr>
            </w:pPr>
          </w:p>
          <w:p w14:paraId="61F844D2" w14:textId="7E9767D9" w:rsidR="00060F7A" w:rsidRPr="00AF0164" w:rsidRDefault="00060F7A" w:rsidP="00FB3A50">
            <w:pPr>
              <w:rPr>
                <w:bCs/>
                <w:sz w:val="18"/>
                <w:szCs w:val="18"/>
              </w:rPr>
            </w:pPr>
            <w:r w:rsidRPr="00AF0164">
              <w:rPr>
                <w:b/>
                <w:sz w:val="18"/>
                <w:szCs w:val="18"/>
              </w:rPr>
              <w:t>Indicator 4.1.2</w:t>
            </w:r>
            <w:r w:rsidR="00801717">
              <w:rPr>
                <w:bCs/>
                <w:sz w:val="18"/>
                <w:szCs w:val="18"/>
              </w:rPr>
              <w:t xml:space="preserve">. </w:t>
            </w:r>
            <w:r w:rsidRPr="00AF0164">
              <w:rPr>
                <w:bCs/>
                <w:sz w:val="18"/>
                <w:szCs w:val="18"/>
              </w:rPr>
              <w:t>Number of SSC and development partnerships with funding on climate action and environmental management</w:t>
            </w:r>
          </w:p>
          <w:p w14:paraId="0C750695" w14:textId="77777777" w:rsidR="00060F7A" w:rsidRPr="00FB3A50" w:rsidRDefault="00060F7A" w:rsidP="00FB3A50">
            <w:pPr>
              <w:jc w:val="both"/>
              <w:rPr>
                <w:bCs/>
                <w:sz w:val="18"/>
                <w:szCs w:val="18"/>
              </w:rPr>
            </w:pPr>
            <w:r w:rsidRPr="00FB3A50">
              <w:rPr>
                <w:bCs/>
                <w:i/>
                <w:iCs/>
                <w:sz w:val="18"/>
                <w:szCs w:val="18"/>
              </w:rPr>
              <w:t>Baseline</w:t>
            </w:r>
            <w:r w:rsidRPr="00FB3A50">
              <w:rPr>
                <w:bCs/>
                <w:sz w:val="18"/>
                <w:szCs w:val="18"/>
              </w:rPr>
              <w:t xml:space="preserve"> (2020): 0</w:t>
            </w:r>
          </w:p>
          <w:p w14:paraId="008A30E3" w14:textId="77777777" w:rsidR="00060F7A" w:rsidRPr="00FB3A50" w:rsidRDefault="00060F7A" w:rsidP="00FB3A50">
            <w:pPr>
              <w:jc w:val="both"/>
              <w:rPr>
                <w:bCs/>
                <w:sz w:val="18"/>
                <w:szCs w:val="18"/>
              </w:rPr>
            </w:pPr>
            <w:r w:rsidRPr="00FB3A50">
              <w:rPr>
                <w:bCs/>
                <w:i/>
                <w:iCs/>
                <w:sz w:val="18"/>
                <w:szCs w:val="18"/>
              </w:rPr>
              <w:t>Target</w:t>
            </w:r>
            <w:r w:rsidRPr="00FB3A50">
              <w:rPr>
                <w:bCs/>
                <w:sz w:val="18"/>
                <w:szCs w:val="18"/>
              </w:rPr>
              <w:t xml:space="preserve"> (2026): 3 </w:t>
            </w:r>
          </w:p>
          <w:p w14:paraId="50823521" w14:textId="77777777" w:rsidR="00060F7A" w:rsidRPr="00FB3A50" w:rsidRDefault="00060F7A" w:rsidP="00FB3A50">
            <w:pPr>
              <w:jc w:val="both"/>
              <w:rPr>
                <w:bCs/>
                <w:sz w:val="18"/>
                <w:szCs w:val="18"/>
              </w:rPr>
            </w:pPr>
            <w:r w:rsidRPr="00FB3A50">
              <w:rPr>
                <w:bCs/>
                <w:i/>
                <w:iCs/>
                <w:sz w:val="18"/>
                <w:szCs w:val="18"/>
              </w:rPr>
              <w:t>Data source</w:t>
            </w:r>
            <w:r w:rsidRPr="00FB3A50">
              <w:rPr>
                <w:bCs/>
                <w:sz w:val="18"/>
                <w:szCs w:val="18"/>
              </w:rPr>
              <w:t>: Project reports</w:t>
            </w:r>
          </w:p>
          <w:p w14:paraId="2E3D0377" w14:textId="77777777" w:rsidR="00060F7A" w:rsidRPr="00FB3A50" w:rsidRDefault="00060F7A" w:rsidP="00FB3A50">
            <w:pPr>
              <w:jc w:val="both"/>
              <w:rPr>
                <w:b/>
                <w:sz w:val="18"/>
                <w:szCs w:val="18"/>
              </w:rPr>
            </w:pPr>
            <w:r w:rsidRPr="00FB3A50">
              <w:rPr>
                <w:bCs/>
                <w:i/>
                <w:iCs/>
                <w:sz w:val="18"/>
                <w:szCs w:val="18"/>
              </w:rPr>
              <w:t>Frequency</w:t>
            </w:r>
            <w:r w:rsidRPr="00FB3A50">
              <w:rPr>
                <w:bCs/>
                <w:sz w:val="18"/>
                <w:szCs w:val="18"/>
              </w:rPr>
              <w:t>: Annual</w:t>
            </w:r>
          </w:p>
          <w:p w14:paraId="75BAAE50" w14:textId="77777777" w:rsidR="00060F7A" w:rsidRPr="00AF0164" w:rsidRDefault="00060F7A" w:rsidP="002E7C2A">
            <w:pPr>
              <w:jc w:val="both"/>
              <w:rPr>
                <w:b/>
                <w:sz w:val="18"/>
                <w:szCs w:val="18"/>
              </w:rPr>
            </w:pPr>
          </w:p>
          <w:p w14:paraId="15BE3B36" w14:textId="42B32A42" w:rsidR="00060F7A" w:rsidRPr="00AF0164" w:rsidRDefault="00060F7A" w:rsidP="002E7C2A">
            <w:pPr>
              <w:rPr>
                <w:bCs/>
                <w:sz w:val="18"/>
                <w:szCs w:val="18"/>
              </w:rPr>
            </w:pPr>
            <w:r w:rsidRPr="00AF0164">
              <w:rPr>
                <w:b/>
                <w:sz w:val="18"/>
                <w:szCs w:val="18"/>
              </w:rPr>
              <w:t xml:space="preserve">Indicator 4.1.3. </w:t>
            </w:r>
            <w:r w:rsidRPr="00AF0164">
              <w:rPr>
                <w:bCs/>
                <w:sz w:val="18"/>
                <w:szCs w:val="18"/>
              </w:rPr>
              <w:t xml:space="preserve">Number of institutional actors whose capacities are strengthened in programming and financial resource mobilization. </w:t>
            </w:r>
          </w:p>
          <w:p w14:paraId="3DF23BBE" w14:textId="6D8C2470" w:rsidR="00060F7A" w:rsidRPr="00FB3A50" w:rsidRDefault="00060F7A" w:rsidP="00FB3A50">
            <w:pPr>
              <w:jc w:val="both"/>
              <w:rPr>
                <w:bCs/>
                <w:sz w:val="18"/>
                <w:szCs w:val="18"/>
              </w:rPr>
            </w:pPr>
            <w:r w:rsidRPr="00FB3A50">
              <w:rPr>
                <w:bCs/>
                <w:i/>
                <w:iCs/>
                <w:sz w:val="18"/>
                <w:szCs w:val="18"/>
              </w:rPr>
              <w:t>Baseline</w:t>
            </w:r>
            <w:r w:rsidRPr="00FB3A50">
              <w:rPr>
                <w:bCs/>
                <w:sz w:val="18"/>
                <w:szCs w:val="18"/>
              </w:rPr>
              <w:t xml:space="preserve"> (2020):</w:t>
            </w:r>
            <w:r w:rsidR="00801717">
              <w:rPr>
                <w:bCs/>
                <w:sz w:val="18"/>
                <w:szCs w:val="18"/>
              </w:rPr>
              <w:t xml:space="preserve"> TBC</w:t>
            </w:r>
          </w:p>
          <w:p w14:paraId="10EAB98C" w14:textId="1A9782C4"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 </w:t>
            </w:r>
            <w:r w:rsidR="0098405E">
              <w:rPr>
                <w:bCs/>
                <w:sz w:val="18"/>
                <w:szCs w:val="18"/>
              </w:rPr>
              <w:t>500</w:t>
            </w:r>
          </w:p>
          <w:p w14:paraId="17DCFB51" w14:textId="77777777" w:rsidR="00060F7A" w:rsidRPr="00AF0164" w:rsidRDefault="00060F7A" w:rsidP="00FB3A50">
            <w:pPr>
              <w:rPr>
                <w:bCs/>
                <w:sz w:val="18"/>
                <w:szCs w:val="18"/>
              </w:rPr>
            </w:pPr>
            <w:r w:rsidRPr="00FB3A50">
              <w:rPr>
                <w:bCs/>
                <w:i/>
                <w:iCs/>
                <w:sz w:val="18"/>
                <w:szCs w:val="18"/>
              </w:rPr>
              <w:lastRenderedPageBreak/>
              <w:t>Data source</w:t>
            </w:r>
            <w:r w:rsidRPr="00AF0164">
              <w:rPr>
                <w:bCs/>
                <w:sz w:val="18"/>
                <w:szCs w:val="18"/>
              </w:rPr>
              <w:t>: MINFI, MINEPAT, MINDDEVEL</w:t>
            </w:r>
          </w:p>
          <w:p w14:paraId="13A20288" w14:textId="77777777" w:rsidR="00060F7A" w:rsidRPr="00AF0164" w:rsidRDefault="00060F7A" w:rsidP="002E7C2A">
            <w:pPr>
              <w:jc w:val="both"/>
              <w:rPr>
                <w:bCs/>
                <w:sz w:val="18"/>
                <w:szCs w:val="18"/>
              </w:rPr>
            </w:pPr>
            <w:r w:rsidRPr="00AF0164">
              <w:rPr>
                <w:bCs/>
                <w:sz w:val="18"/>
                <w:szCs w:val="18"/>
              </w:rPr>
              <w:t>Training reports</w:t>
            </w:r>
          </w:p>
          <w:p w14:paraId="4947E669" w14:textId="6E6904D5"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shd w:val="clear" w:color="auto" w:fill="FFFFFF" w:themeFill="background1"/>
          </w:tcPr>
          <w:p w14:paraId="665F1D2A" w14:textId="77777777" w:rsidR="00060F7A" w:rsidRPr="00AF0164" w:rsidRDefault="00060F7A" w:rsidP="001A494E">
            <w:pPr>
              <w:rPr>
                <w:b/>
                <w:sz w:val="18"/>
                <w:szCs w:val="18"/>
              </w:rPr>
            </w:pPr>
            <w:r w:rsidRPr="00AF0164">
              <w:rPr>
                <w:sz w:val="18"/>
                <w:szCs w:val="18"/>
              </w:rPr>
              <w:lastRenderedPageBreak/>
              <w:t>MINEPDED, MINFI, MINEPAT, MINDDEVEL, ONACC, World Bank, GCF</w:t>
            </w:r>
          </w:p>
        </w:tc>
        <w:tc>
          <w:tcPr>
            <w:tcW w:w="464" w:type="pct"/>
          </w:tcPr>
          <w:p w14:paraId="05213BA2" w14:textId="77777777" w:rsidR="00801717" w:rsidRDefault="00060F7A" w:rsidP="002E7C2A">
            <w:pPr>
              <w:jc w:val="both"/>
              <w:rPr>
                <w:b/>
                <w:sz w:val="18"/>
                <w:szCs w:val="18"/>
              </w:rPr>
            </w:pPr>
            <w:r w:rsidRPr="00AF0164">
              <w:rPr>
                <w:b/>
                <w:sz w:val="18"/>
                <w:szCs w:val="18"/>
              </w:rPr>
              <w:t>Regular:</w:t>
            </w:r>
          </w:p>
          <w:p w14:paraId="69EEB7FC" w14:textId="08546024" w:rsidR="00060F7A" w:rsidRPr="00AF0164" w:rsidRDefault="00801717" w:rsidP="002E7C2A">
            <w:pPr>
              <w:jc w:val="both"/>
              <w:rPr>
                <w:b/>
                <w:sz w:val="18"/>
                <w:szCs w:val="18"/>
              </w:rPr>
            </w:pPr>
            <w:r>
              <w:rPr>
                <w:b/>
                <w:sz w:val="18"/>
                <w:szCs w:val="18"/>
              </w:rPr>
              <w:t>$</w:t>
            </w:r>
            <w:r w:rsidR="00060F7A" w:rsidRPr="00AF0164">
              <w:rPr>
                <w:b/>
                <w:sz w:val="18"/>
                <w:szCs w:val="18"/>
              </w:rPr>
              <w:t>1</w:t>
            </w:r>
            <w:r>
              <w:rPr>
                <w:b/>
                <w:sz w:val="18"/>
                <w:szCs w:val="18"/>
              </w:rPr>
              <w:t>,</w:t>
            </w:r>
            <w:r w:rsidR="00060F7A" w:rsidRPr="00AF0164">
              <w:rPr>
                <w:b/>
                <w:sz w:val="18"/>
                <w:szCs w:val="18"/>
              </w:rPr>
              <w:t>200</w:t>
            </w:r>
            <w:r>
              <w:rPr>
                <w:b/>
                <w:sz w:val="18"/>
                <w:szCs w:val="18"/>
              </w:rPr>
              <w:t>,</w:t>
            </w:r>
            <w:r w:rsidR="00060F7A" w:rsidRPr="00AF0164">
              <w:rPr>
                <w:b/>
                <w:sz w:val="18"/>
                <w:szCs w:val="18"/>
              </w:rPr>
              <w:t>000</w:t>
            </w:r>
          </w:p>
          <w:p w14:paraId="061535B0" w14:textId="77777777" w:rsidR="00060F7A" w:rsidRPr="00AF0164" w:rsidRDefault="00060F7A" w:rsidP="002E7C2A">
            <w:pPr>
              <w:jc w:val="both"/>
              <w:rPr>
                <w:b/>
                <w:sz w:val="18"/>
                <w:szCs w:val="18"/>
              </w:rPr>
            </w:pPr>
          </w:p>
          <w:p w14:paraId="76B94D11" w14:textId="77777777" w:rsidR="00060F7A" w:rsidRPr="00AF0164" w:rsidRDefault="00060F7A" w:rsidP="002E7C2A">
            <w:pPr>
              <w:jc w:val="both"/>
              <w:rPr>
                <w:b/>
                <w:sz w:val="18"/>
                <w:szCs w:val="18"/>
              </w:rPr>
            </w:pPr>
            <w:r w:rsidRPr="00AF0164">
              <w:rPr>
                <w:b/>
                <w:sz w:val="18"/>
                <w:szCs w:val="18"/>
              </w:rPr>
              <w:t xml:space="preserve">Other: </w:t>
            </w:r>
          </w:p>
          <w:p w14:paraId="3DCE84DB" w14:textId="178C186E" w:rsidR="00060F7A" w:rsidRPr="00AF0164" w:rsidRDefault="00801717" w:rsidP="002E7C2A">
            <w:pPr>
              <w:jc w:val="both"/>
              <w:rPr>
                <w:b/>
                <w:sz w:val="18"/>
                <w:szCs w:val="18"/>
              </w:rPr>
            </w:pPr>
            <w:r>
              <w:rPr>
                <w:b/>
                <w:sz w:val="18"/>
                <w:szCs w:val="18"/>
              </w:rPr>
              <w:t>$</w:t>
            </w:r>
            <w:r w:rsidR="00060F7A" w:rsidRPr="00AF0164">
              <w:rPr>
                <w:b/>
                <w:sz w:val="18"/>
                <w:szCs w:val="18"/>
              </w:rPr>
              <w:t>24</w:t>
            </w:r>
            <w:r>
              <w:rPr>
                <w:b/>
                <w:sz w:val="18"/>
                <w:szCs w:val="18"/>
              </w:rPr>
              <w:t>,</w:t>
            </w:r>
            <w:r w:rsidR="00060F7A" w:rsidRPr="00AF0164">
              <w:rPr>
                <w:b/>
                <w:sz w:val="18"/>
                <w:szCs w:val="18"/>
              </w:rPr>
              <w:t>276</w:t>
            </w:r>
            <w:r>
              <w:rPr>
                <w:b/>
                <w:sz w:val="18"/>
                <w:szCs w:val="18"/>
              </w:rPr>
              <w:t>,</w:t>
            </w:r>
            <w:r w:rsidR="00060F7A" w:rsidRPr="00AF0164">
              <w:rPr>
                <w:b/>
                <w:sz w:val="18"/>
                <w:szCs w:val="18"/>
              </w:rPr>
              <w:t>000</w:t>
            </w:r>
          </w:p>
        </w:tc>
      </w:tr>
      <w:tr w:rsidR="00060F7A" w:rsidRPr="00AF0164" w14:paraId="37EE745B" w14:textId="77777777" w:rsidTr="002E7C2A">
        <w:trPr>
          <w:jc w:val="center"/>
        </w:trPr>
        <w:tc>
          <w:tcPr>
            <w:tcW w:w="1083" w:type="pct"/>
            <w:tcMar>
              <w:top w:w="72" w:type="dxa"/>
              <w:left w:w="144" w:type="dxa"/>
              <w:bottom w:w="72" w:type="dxa"/>
              <w:right w:w="144" w:type="dxa"/>
            </w:tcMar>
          </w:tcPr>
          <w:p w14:paraId="39E5FDCD" w14:textId="77777777" w:rsidR="00060F7A" w:rsidRPr="00AF0164" w:rsidRDefault="00060F7A" w:rsidP="002E7C2A">
            <w:pPr>
              <w:jc w:val="both"/>
              <w:rPr>
                <w:b/>
                <w:sz w:val="18"/>
                <w:szCs w:val="18"/>
              </w:rPr>
            </w:pPr>
          </w:p>
        </w:tc>
        <w:tc>
          <w:tcPr>
            <w:tcW w:w="824" w:type="pct"/>
          </w:tcPr>
          <w:p w14:paraId="47466D13" w14:textId="77777777" w:rsidR="00060F7A" w:rsidRPr="00AF0164" w:rsidRDefault="00060F7A" w:rsidP="002E7C2A">
            <w:pPr>
              <w:jc w:val="both"/>
              <w:rPr>
                <w:b/>
                <w:sz w:val="18"/>
                <w:szCs w:val="18"/>
              </w:rPr>
            </w:pPr>
          </w:p>
        </w:tc>
        <w:tc>
          <w:tcPr>
            <w:tcW w:w="1443" w:type="pct"/>
            <w:gridSpan w:val="2"/>
          </w:tcPr>
          <w:p w14:paraId="73D3564E" w14:textId="7491F55F" w:rsidR="00060F7A" w:rsidRPr="00AF0164" w:rsidRDefault="00060F7A" w:rsidP="00FB3A50">
            <w:pPr>
              <w:rPr>
                <w:bCs/>
                <w:sz w:val="18"/>
                <w:szCs w:val="18"/>
              </w:rPr>
            </w:pPr>
            <w:r w:rsidRPr="00AF0164">
              <w:rPr>
                <w:b/>
                <w:sz w:val="18"/>
                <w:szCs w:val="18"/>
              </w:rPr>
              <w:t>Output 4.2</w:t>
            </w:r>
            <w:r w:rsidR="00801717">
              <w:rPr>
                <w:b/>
                <w:sz w:val="18"/>
                <w:szCs w:val="18"/>
              </w:rPr>
              <w:t xml:space="preserve">. </w:t>
            </w:r>
            <w:r w:rsidRPr="00AF0164">
              <w:rPr>
                <w:sz w:val="18"/>
                <w:szCs w:val="18"/>
              </w:rPr>
              <w:t>The resilience of populations to the adverse effects of climate change and natural disasters is improved through the implementation of techniques for adaptation, mitigation (renewable energy, good agroforestry practices, etc.) and risk management related to natural disasters.</w:t>
            </w:r>
          </w:p>
          <w:p w14:paraId="0DA2D777" w14:textId="77777777" w:rsidR="00060F7A" w:rsidRPr="00AF0164" w:rsidRDefault="00060F7A" w:rsidP="002E7C2A">
            <w:pPr>
              <w:jc w:val="both"/>
              <w:rPr>
                <w:bCs/>
                <w:sz w:val="18"/>
                <w:szCs w:val="18"/>
              </w:rPr>
            </w:pPr>
          </w:p>
          <w:p w14:paraId="3B309DB6" w14:textId="00988682" w:rsidR="00060F7A" w:rsidRPr="00AF0164" w:rsidRDefault="00060F7A" w:rsidP="00FB3A50">
            <w:pPr>
              <w:rPr>
                <w:bCs/>
                <w:sz w:val="18"/>
                <w:szCs w:val="18"/>
              </w:rPr>
            </w:pPr>
            <w:r w:rsidRPr="00AF0164">
              <w:rPr>
                <w:b/>
                <w:sz w:val="18"/>
                <w:szCs w:val="18"/>
              </w:rPr>
              <w:t xml:space="preserve">Indicator 4.2.1. </w:t>
            </w:r>
            <w:r w:rsidRPr="00AF0164">
              <w:rPr>
                <w:bCs/>
                <w:sz w:val="18"/>
                <w:szCs w:val="18"/>
              </w:rPr>
              <w:t xml:space="preserve">Number of key actors (at central, regional, and communal levels) that have promoted innovative solutions for the implementation of adaptation and mitigation measures to </w:t>
            </w:r>
            <w:r w:rsidR="00801717">
              <w:rPr>
                <w:bCs/>
                <w:sz w:val="18"/>
                <w:szCs w:val="18"/>
              </w:rPr>
              <w:t>climate change</w:t>
            </w:r>
          </w:p>
          <w:p w14:paraId="531F32C5" w14:textId="3BC17CE9"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15</w:t>
            </w:r>
          </w:p>
          <w:p w14:paraId="6EEB9FBB" w14:textId="71C55E59"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30</w:t>
            </w:r>
          </w:p>
          <w:p w14:paraId="605BC5EA" w14:textId="77777777" w:rsidR="00060F7A" w:rsidRPr="00AF0164" w:rsidRDefault="00060F7A" w:rsidP="00FB3A50">
            <w:pPr>
              <w:rPr>
                <w:bCs/>
                <w:sz w:val="18"/>
                <w:szCs w:val="18"/>
              </w:rPr>
            </w:pPr>
            <w:r w:rsidRPr="00FB3A50">
              <w:rPr>
                <w:bCs/>
                <w:i/>
                <w:iCs/>
                <w:sz w:val="18"/>
                <w:szCs w:val="18"/>
              </w:rPr>
              <w:t>Data source</w:t>
            </w:r>
            <w:r w:rsidRPr="00AF0164">
              <w:rPr>
                <w:bCs/>
                <w:sz w:val="18"/>
                <w:szCs w:val="18"/>
              </w:rPr>
              <w:t>: MINEPDED, MINFOF,</w:t>
            </w:r>
          </w:p>
          <w:p w14:paraId="3BC47AF3" w14:textId="766CCBC4" w:rsidR="00060F7A" w:rsidRPr="00AF0164" w:rsidRDefault="00060F7A" w:rsidP="002E7C2A">
            <w:pPr>
              <w:jc w:val="both"/>
              <w:rPr>
                <w:bCs/>
                <w:sz w:val="18"/>
                <w:szCs w:val="18"/>
              </w:rPr>
            </w:pPr>
            <w:r w:rsidRPr="00AF0164">
              <w:rPr>
                <w:bCs/>
                <w:sz w:val="18"/>
                <w:szCs w:val="18"/>
              </w:rPr>
              <w:t xml:space="preserve">MINDDEVEL, </w:t>
            </w:r>
            <w:r w:rsidR="00801717">
              <w:rPr>
                <w:bCs/>
                <w:sz w:val="18"/>
                <w:szCs w:val="18"/>
              </w:rPr>
              <w:t>a</w:t>
            </w:r>
            <w:r w:rsidRPr="00AF0164">
              <w:rPr>
                <w:bCs/>
                <w:sz w:val="18"/>
                <w:szCs w:val="18"/>
              </w:rPr>
              <w:t>ctivity reports</w:t>
            </w:r>
          </w:p>
          <w:p w14:paraId="7BAD870D"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B230890" w14:textId="77777777" w:rsidR="00060F7A" w:rsidRPr="00AF0164" w:rsidRDefault="00060F7A" w:rsidP="002E7C2A">
            <w:pPr>
              <w:jc w:val="both"/>
              <w:rPr>
                <w:bCs/>
                <w:sz w:val="18"/>
                <w:szCs w:val="18"/>
              </w:rPr>
            </w:pPr>
          </w:p>
          <w:p w14:paraId="1A0C6C7C" w14:textId="04614A74" w:rsidR="00060F7A" w:rsidRPr="00AF0164" w:rsidRDefault="00060F7A" w:rsidP="00FB3A50">
            <w:pPr>
              <w:rPr>
                <w:bCs/>
                <w:sz w:val="18"/>
                <w:szCs w:val="18"/>
              </w:rPr>
            </w:pPr>
            <w:r w:rsidRPr="00AF0164">
              <w:rPr>
                <w:b/>
                <w:sz w:val="18"/>
                <w:szCs w:val="18"/>
              </w:rPr>
              <w:t xml:space="preserve">Indicator 4.2.2. </w:t>
            </w:r>
            <w:r w:rsidRPr="00AF0164">
              <w:rPr>
                <w:bCs/>
                <w:sz w:val="18"/>
                <w:szCs w:val="18"/>
              </w:rPr>
              <w:t xml:space="preserve">Number of </w:t>
            </w:r>
            <w:r w:rsidRPr="00AF0164">
              <w:rPr>
                <w:bCs/>
                <w:sz w:val="18"/>
                <w:szCs w:val="18"/>
                <w:shd w:val="clear" w:color="auto" w:fill="FFFFFF" w:themeFill="background1"/>
              </w:rPr>
              <w:t>trained DTCs</w:t>
            </w:r>
            <w:r w:rsidRPr="00AF0164">
              <w:rPr>
                <w:bCs/>
                <w:sz w:val="18"/>
                <w:szCs w:val="18"/>
              </w:rPr>
              <w:t xml:space="preserve"> able to use management and governance tools (prevention and response) of natural disaster risks </w:t>
            </w:r>
          </w:p>
          <w:p w14:paraId="69AA814C" w14:textId="58478AE4"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0</w:t>
            </w:r>
          </w:p>
          <w:p w14:paraId="4D2F3FE9" w14:textId="4BA8434A"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10</w:t>
            </w:r>
          </w:p>
          <w:p w14:paraId="28B3BECA" w14:textId="23720960" w:rsidR="00060F7A" w:rsidRPr="00AF0164" w:rsidRDefault="00060F7A" w:rsidP="00FB3A50">
            <w:pPr>
              <w:jc w:val="both"/>
              <w:rPr>
                <w:bCs/>
                <w:sz w:val="18"/>
                <w:szCs w:val="18"/>
              </w:rPr>
            </w:pPr>
            <w:r w:rsidRPr="00FB3A50">
              <w:rPr>
                <w:bCs/>
                <w:i/>
                <w:iCs/>
                <w:sz w:val="18"/>
                <w:szCs w:val="18"/>
              </w:rPr>
              <w:t>Data source</w:t>
            </w:r>
            <w:r w:rsidRPr="00AF0164">
              <w:rPr>
                <w:bCs/>
                <w:sz w:val="18"/>
                <w:szCs w:val="18"/>
              </w:rPr>
              <w:t>:</w:t>
            </w:r>
            <w:r w:rsidRPr="00AF0164">
              <w:rPr>
                <w:sz w:val="18"/>
                <w:szCs w:val="18"/>
              </w:rPr>
              <w:t xml:space="preserve"> </w:t>
            </w:r>
            <w:r w:rsidRPr="00AF0164">
              <w:rPr>
                <w:bCs/>
                <w:sz w:val="18"/>
                <w:szCs w:val="18"/>
              </w:rPr>
              <w:t xml:space="preserve">MINAT/DPC, MINDDEVEL, MINFOF, </w:t>
            </w:r>
            <w:r w:rsidR="00801717">
              <w:rPr>
                <w:bCs/>
                <w:sz w:val="18"/>
                <w:szCs w:val="18"/>
              </w:rPr>
              <w:t>t</w:t>
            </w:r>
            <w:r w:rsidRPr="00AF0164">
              <w:rPr>
                <w:bCs/>
                <w:sz w:val="18"/>
                <w:szCs w:val="18"/>
              </w:rPr>
              <w:t>raining reports</w:t>
            </w:r>
          </w:p>
          <w:p w14:paraId="12AB0980" w14:textId="3C9F4EB6"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69B5F7A" w14:textId="77777777" w:rsidR="001A494E" w:rsidRPr="00AF0164" w:rsidRDefault="001A494E" w:rsidP="001A494E">
            <w:pPr>
              <w:ind w:left="720"/>
              <w:jc w:val="both"/>
              <w:rPr>
                <w:bCs/>
                <w:sz w:val="18"/>
                <w:szCs w:val="18"/>
              </w:rPr>
            </w:pPr>
          </w:p>
          <w:p w14:paraId="46983D3B" w14:textId="1DBAC1BE" w:rsidR="00060F7A" w:rsidRPr="00AF0164" w:rsidRDefault="00060F7A" w:rsidP="00FB3A50">
            <w:pPr>
              <w:rPr>
                <w:bCs/>
                <w:sz w:val="18"/>
                <w:szCs w:val="18"/>
              </w:rPr>
            </w:pPr>
            <w:r w:rsidRPr="00AF0164">
              <w:rPr>
                <w:b/>
                <w:sz w:val="18"/>
                <w:szCs w:val="18"/>
              </w:rPr>
              <w:t xml:space="preserve">Indicator 4.2.3. </w:t>
            </w:r>
            <w:r w:rsidRPr="00AF0164">
              <w:rPr>
                <w:bCs/>
                <w:sz w:val="18"/>
                <w:szCs w:val="18"/>
              </w:rPr>
              <w:t xml:space="preserve">Number of community leaders from at-risk areas with adequate capacity to apply adaptation and mitigation techniques to </w:t>
            </w:r>
            <w:r w:rsidR="00801717">
              <w:rPr>
                <w:bCs/>
                <w:sz w:val="18"/>
                <w:szCs w:val="18"/>
              </w:rPr>
              <w:t>climate change</w:t>
            </w:r>
          </w:p>
          <w:p w14:paraId="5971D015" w14:textId="77777777" w:rsidR="00060F7A" w:rsidRPr="00AF0164" w:rsidRDefault="00060F7A" w:rsidP="00FB3A50">
            <w:pPr>
              <w:jc w:val="both"/>
              <w:rPr>
                <w:bCs/>
                <w:sz w:val="18"/>
                <w:szCs w:val="18"/>
              </w:rPr>
            </w:pPr>
            <w:r w:rsidRPr="00FB3A50">
              <w:rPr>
                <w:bCs/>
                <w:i/>
                <w:iCs/>
                <w:sz w:val="18"/>
                <w:szCs w:val="18"/>
              </w:rPr>
              <w:lastRenderedPageBreak/>
              <w:t>Baseline</w:t>
            </w:r>
            <w:r w:rsidRPr="00AF0164">
              <w:rPr>
                <w:bCs/>
                <w:sz w:val="18"/>
                <w:szCs w:val="18"/>
              </w:rPr>
              <w:t xml:space="preserve"> (2020):140</w:t>
            </w:r>
          </w:p>
          <w:p w14:paraId="7E4892B0" w14:textId="77777777"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(2026):240</w:t>
            </w:r>
          </w:p>
          <w:p w14:paraId="41305AB4" w14:textId="20A76B25" w:rsidR="00060F7A" w:rsidRPr="00AF0164" w:rsidRDefault="00060F7A" w:rsidP="00FB3A50">
            <w:pPr>
              <w:jc w:val="both"/>
              <w:rPr>
                <w:bCs/>
                <w:sz w:val="18"/>
                <w:szCs w:val="18"/>
              </w:rPr>
            </w:pPr>
            <w:r w:rsidRPr="00FB3A50">
              <w:rPr>
                <w:bCs/>
                <w:i/>
                <w:iCs/>
                <w:sz w:val="18"/>
                <w:szCs w:val="18"/>
              </w:rPr>
              <w:t>Data source</w:t>
            </w:r>
            <w:r w:rsidRPr="00AF0164">
              <w:rPr>
                <w:bCs/>
                <w:sz w:val="18"/>
                <w:szCs w:val="18"/>
              </w:rPr>
              <w:t>:</w:t>
            </w:r>
            <w:r w:rsidRPr="00AF0164">
              <w:rPr>
                <w:sz w:val="18"/>
                <w:szCs w:val="18"/>
              </w:rPr>
              <w:t xml:space="preserve"> </w:t>
            </w:r>
            <w:r w:rsidRPr="00AF0164">
              <w:rPr>
                <w:bCs/>
                <w:sz w:val="18"/>
                <w:szCs w:val="18"/>
              </w:rPr>
              <w:t xml:space="preserve">Project </w:t>
            </w:r>
            <w:r w:rsidR="00801717">
              <w:rPr>
                <w:bCs/>
                <w:sz w:val="18"/>
                <w:szCs w:val="18"/>
              </w:rPr>
              <w:t>r</w:t>
            </w:r>
            <w:r w:rsidRPr="00AF0164">
              <w:rPr>
                <w:bCs/>
                <w:sz w:val="18"/>
                <w:szCs w:val="18"/>
              </w:rPr>
              <w:t xml:space="preserve">eports </w:t>
            </w:r>
          </w:p>
          <w:p w14:paraId="77149377"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tcPr>
          <w:p w14:paraId="6B6A2188" w14:textId="72279BA2" w:rsidR="00060F7A" w:rsidRPr="00AF0164" w:rsidRDefault="00060F7A" w:rsidP="00502D52">
            <w:pPr>
              <w:rPr>
                <w:bCs/>
                <w:sz w:val="18"/>
                <w:szCs w:val="18"/>
              </w:rPr>
            </w:pPr>
            <w:r w:rsidRPr="00AF0164">
              <w:rPr>
                <w:sz w:val="18"/>
                <w:szCs w:val="18"/>
              </w:rPr>
              <w:lastRenderedPageBreak/>
              <w:t>MINFOF, MINDDEVEL, MINAT, World</w:t>
            </w:r>
            <w:r w:rsidR="002F03C8">
              <w:rPr>
                <w:sz w:val="18"/>
                <w:szCs w:val="18"/>
              </w:rPr>
              <w:t xml:space="preserve"> </w:t>
            </w:r>
            <w:r w:rsidRPr="00AF0164">
              <w:rPr>
                <w:sz w:val="18"/>
                <w:szCs w:val="18"/>
              </w:rPr>
              <w:t>Bank, FAO, UNESCO, A</w:t>
            </w:r>
            <w:r w:rsidR="006E12AF">
              <w:rPr>
                <w:sz w:val="18"/>
                <w:szCs w:val="18"/>
              </w:rPr>
              <w:t>f</w:t>
            </w:r>
            <w:r w:rsidRPr="00AF0164">
              <w:rPr>
                <w:sz w:val="18"/>
                <w:szCs w:val="18"/>
              </w:rPr>
              <w:t>DB</w:t>
            </w:r>
          </w:p>
        </w:tc>
        <w:tc>
          <w:tcPr>
            <w:tcW w:w="464" w:type="pct"/>
          </w:tcPr>
          <w:p w14:paraId="61954E6C" w14:textId="77777777" w:rsidR="00060F7A" w:rsidRPr="00AF0164" w:rsidRDefault="00060F7A" w:rsidP="002E7C2A">
            <w:pPr>
              <w:jc w:val="both"/>
              <w:rPr>
                <w:b/>
                <w:sz w:val="18"/>
                <w:szCs w:val="18"/>
              </w:rPr>
            </w:pPr>
          </w:p>
        </w:tc>
      </w:tr>
      <w:tr w:rsidR="00060F7A" w:rsidRPr="00AF0164" w14:paraId="37A4B3FA" w14:textId="77777777" w:rsidTr="002E7C2A">
        <w:trPr>
          <w:jc w:val="center"/>
        </w:trPr>
        <w:tc>
          <w:tcPr>
            <w:tcW w:w="1083" w:type="pct"/>
            <w:tcMar>
              <w:top w:w="72" w:type="dxa"/>
              <w:left w:w="144" w:type="dxa"/>
              <w:bottom w:w="72" w:type="dxa"/>
              <w:right w:w="144" w:type="dxa"/>
            </w:tcMar>
          </w:tcPr>
          <w:p w14:paraId="51F288D8" w14:textId="77777777" w:rsidR="00060F7A" w:rsidRPr="00AF0164" w:rsidRDefault="00060F7A" w:rsidP="002E7C2A">
            <w:pPr>
              <w:jc w:val="both"/>
              <w:rPr>
                <w:b/>
                <w:sz w:val="18"/>
                <w:szCs w:val="18"/>
              </w:rPr>
            </w:pPr>
          </w:p>
        </w:tc>
        <w:tc>
          <w:tcPr>
            <w:tcW w:w="824" w:type="pct"/>
          </w:tcPr>
          <w:p w14:paraId="6078B2BD" w14:textId="77777777" w:rsidR="00060F7A" w:rsidRPr="00AF0164" w:rsidRDefault="00060F7A" w:rsidP="002E7C2A">
            <w:pPr>
              <w:jc w:val="both"/>
              <w:rPr>
                <w:b/>
                <w:sz w:val="18"/>
                <w:szCs w:val="18"/>
              </w:rPr>
            </w:pPr>
          </w:p>
        </w:tc>
        <w:tc>
          <w:tcPr>
            <w:tcW w:w="1443" w:type="pct"/>
            <w:gridSpan w:val="2"/>
          </w:tcPr>
          <w:p w14:paraId="116DE88F" w14:textId="545A2FD1" w:rsidR="00060F7A" w:rsidRPr="00AF0164" w:rsidRDefault="00060F7A" w:rsidP="00FB3A50">
            <w:pPr>
              <w:rPr>
                <w:bCs/>
                <w:sz w:val="18"/>
                <w:szCs w:val="18"/>
              </w:rPr>
            </w:pPr>
            <w:r w:rsidRPr="00AF0164">
              <w:rPr>
                <w:b/>
                <w:sz w:val="18"/>
                <w:szCs w:val="18"/>
              </w:rPr>
              <w:t>Output 4.3</w:t>
            </w:r>
            <w:r w:rsidR="00801717">
              <w:rPr>
                <w:b/>
                <w:sz w:val="18"/>
                <w:szCs w:val="18"/>
              </w:rPr>
              <w:t>.</w:t>
            </w:r>
            <w:r w:rsidRPr="00AF0164">
              <w:rPr>
                <w:b/>
                <w:sz w:val="18"/>
                <w:szCs w:val="18"/>
              </w:rPr>
              <w:t xml:space="preserve"> </w:t>
            </w:r>
            <w:r w:rsidRPr="00AF0164">
              <w:rPr>
                <w:sz w:val="18"/>
                <w:szCs w:val="18"/>
              </w:rPr>
              <w:t>Key institutions have the capacity to improve climate services including assessment of the economic costs of action and inaction related to climate change and natural disasters (decision support tools, informing policies).</w:t>
            </w:r>
          </w:p>
          <w:p w14:paraId="407F7F01" w14:textId="77777777" w:rsidR="00060F7A" w:rsidRPr="00AF0164" w:rsidRDefault="00060F7A" w:rsidP="002E7C2A">
            <w:pPr>
              <w:jc w:val="both"/>
              <w:rPr>
                <w:bCs/>
                <w:sz w:val="18"/>
                <w:szCs w:val="18"/>
              </w:rPr>
            </w:pPr>
          </w:p>
          <w:p w14:paraId="76382705" w14:textId="56C63B19" w:rsidR="00060F7A" w:rsidRPr="00AF0164" w:rsidRDefault="00060F7A" w:rsidP="00060F7A">
            <w:pPr>
              <w:rPr>
                <w:bCs/>
                <w:sz w:val="18"/>
                <w:szCs w:val="18"/>
              </w:rPr>
            </w:pPr>
            <w:r w:rsidRPr="00AF0164">
              <w:rPr>
                <w:b/>
                <w:sz w:val="18"/>
                <w:szCs w:val="18"/>
              </w:rPr>
              <w:t>Indicator 4.3.1.</w:t>
            </w:r>
            <w:r w:rsidR="00801717">
              <w:rPr>
                <w:bCs/>
                <w:sz w:val="18"/>
                <w:szCs w:val="18"/>
              </w:rPr>
              <w:t xml:space="preserve"> </w:t>
            </w:r>
            <w:r w:rsidRPr="00AF0164">
              <w:rPr>
                <w:bCs/>
                <w:sz w:val="18"/>
                <w:szCs w:val="18"/>
              </w:rPr>
              <w:t>Number of climate/economic models developed to inform policy</w:t>
            </w:r>
            <w:r w:rsidR="00801717">
              <w:rPr>
                <w:bCs/>
                <w:sz w:val="18"/>
                <w:szCs w:val="18"/>
              </w:rPr>
              <w:t>-</w:t>
            </w:r>
            <w:r w:rsidRPr="00AF0164">
              <w:rPr>
                <w:bCs/>
                <w:sz w:val="18"/>
                <w:szCs w:val="18"/>
              </w:rPr>
              <w:t>makers of the costs, benefits and potential trade-offs of environmental policies and climate change mitigation scenarios</w:t>
            </w:r>
          </w:p>
          <w:p w14:paraId="633DECF7" w14:textId="58EDF341" w:rsidR="00060F7A" w:rsidRPr="00AF0164" w:rsidRDefault="00060F7A" w:rsidP="00FB3A50">
            <w:pPr>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0</w:t>
            </w:r>
          </w:p>
          <w:p w14:paraId="59B8AD33" w14:textId="3B99F59B" w:rsidR="00060F7A" w:rsidRPr="00AF0164" w:rsidRDefault="00060F7A" w:rsidP="00FB3A50">
            <w:pPr>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5</w:t>
            </w:r>
          </w:p>
          <w:p w14:paraId="1CD965D4" w14:textId="207BCCC8" w:rsidR="00060F7A" w:rsidRPr="00AF0164" w:rsidRDefault="00060F7A" w:rsidP="00FB3A50">
            <w:pPr>
              <w:rPr>
                <w:bCs/>
                <w:sz w:val="18"/>
                <w:szCs w:val="18"/>
              </w:rPr>
            </w:pPr>
            <w:r w:rsidRPr="00FB3A50">
              <w:rPr>
                <w:bCs/>
                <w:i/>
                <w:iCs/>
                <w:sz w:val="18"/>
                <w:szCs w:val="18"/>
              </w:rPr>
              <w:t>Data source</w:t>
            </w:r>
            <w:r w:rsidRPr="00AF0164">
              <w:rPr>
                <w:bCs/>
                <w:sz w:val="18"/>
                <w:szCs w:val="18"/>
              </w:rPr>
              <w:t xml:space="preserve">: </w:t>
            </w:r>
            <w:r w:rsidR="00565755">
              <w:rPr>
                <w:bCs/>
                <w:sz w:val="18"/>
                <w:szCs w:val="18"/>
              </w:rPr>
              <w:t>R</w:t>
            </w:r>
            <w:r w:rsidRPr="00AF0164">
              <w:rPr>
                <w:bCs/>
                <w:sz w:val="18"/>
                <w:szCs w:val="18"/>
              </w:rPr>
              <w:t xml:space="preserve">eport MINEPDED </w:t>
            </w:r>
          </w:p>
          <w:p w14:paraId="5B2449DC" w14:textId="77777777" w:rsidR="00060F7A" w:rsidRPr="00AF0164" w:rsidRDefault="00060F7A" w:rsidP="00FB3A50">
            <w:pPr>
              <w:rPr>
                <w:bCs/>
                <w:sz w:val="18"/>
                <w:szCs w:val="18"/>
              </w:rPr>
            </w:pPr>
            <w:r w:rsidRPr="00FB3A50">
              <w:rPr>
                <w:bCs/>
                <w:i/>
                <w:iCs/>
                <w:sz w:val="18"/>
                <w:szCs w:val="18"/>
              </w:rPr>
              <w:t>Frequency</w:t>
            </w:r>
            <w:r w:rsidRPr="00AF0164">
              <w:rPr>
                <w:bCs/>
                <w:sz w:val="18"/>
                <w:szCs w:val="18"/>
              </w:rPr>
              <w:t>: Annual</w:t>
            </w:r>
          </w:p>
          <w:p w14:paraId="1A326094" w14:textId="77777777" w:rsidR="00060F7A" w:rsidRPr="00AF0164" w:rsidRDefault="00060F7A" w:rsidP="00060F7A">
            <w:pPr>
              <w:rPr>
                <w:bCs/>
                <w:sz w:val="18"/>
                <w:szCs w:val="18"/>
              </w:rPr>
            </w:pPr>
          </w:p>
          <w:p w14:paraId="19AFD793" w14:textId="2072D9A3" w:rsidR="00060F7A" w:rsidRPr="00AF0164" w:rsidRDefault="00060F7A" w:rsidP="00060F7A">
            <w:pPr>
              <w:rPr>
                <w:bCs/>
                <w:sz w:val="18"/>
                <w:szCs w:val="18"/>
              </w:rPr>
            </w:pPr>
            <w:r w:rsidRPr="00AF0164">
              <w:rPr>
                <w:b/>
                <w:sz w:val="18"/>
                <w:szCs w:val="18"/>
              </w:rPr>
              <w:t>Indicator 4.3.2</w:t>
            </w:r>
            <w:r w:rsidRPr="00AF0164">
              <w:rPr>
                <w:bCs/>
                <w:sz w:val="18"/>
                <w:szCs w:val="18"/>
              </w:rPr>
              <w:t>. Number of policy/strategy and plans incorporating climate/economic model outputs</w:t>
            </w:r>
          </w:p>
          <w:p w14:paraId="09EDD2A9" w14:textId="1269AA2C" w:rsidR="00060F7A" w:rsidRPr="00AF0164" w:rsidRDefault="00060F7A" w:rsidP="00FB3A50">
            <w:pPr>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1</w:t>
            </w:r>
          </w:p>
          <w:p w14:paraId="03B74FFA" w14:textId="7AB20284" w:rsidR="00060F7A" w:rsidRPr="00AF0164" w:rsidRDefault="00060F7A" w:rsidP="00FB3A50">
            <w:pPr>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5</w:t>
            </w:r>
          </w:p>
          <w:p w14:paraId="2A83CE3D" w14:textId="3869AD94" w:rsidR="00060F7A" w:rsidRPr="00AF0164" w:rsidRDefault="00060F7A" w:rsidP="00FB3A50">
            <w:pPr>
              <w:rPr>
                <w:bCs/>
                <w:sz w:val="18"/>
                <w:szCs w:val="18"/>
              </w:rPr>
            </w:pPr>
            <w:r w:rsidRPr="00FB3A50">
              <w:rPr>
                <w:bCs/>
                <w:i/>
                <w:iCs/>
                <w:sz w:val="18"/>
                <w:szCs w:val="18"/>
              </w:rPr>
              <w:t>Data source</w:t>
            </w:r>
            <w:r w:rsidRPr="00AF0164">
              <w:rPr>
                <w:bCs/>
                <w:sz w:val="18"/>
                <w:szCs w:val="18"/>
              </w:rPr>
              <w:t xml:space="preserve">: Annual </w:t>
            </w:r>
            <w:r w:rsidR="00801717">
              <w:rPr>
                <w:bCs/>
                <w:sz w:val="18"/>
                <w:szCs w:val="18"/>
              </w:rPr>
              <w:t>r</w:t>
            </w:r>
            <w:r w:rsidRPr="00AF0164">
              <w:rPr>
                <w:bCs/>
                <w:sz w:val="18"/>
                <w:szCs w:val="18"/>
              </w:rPr>
              <w:t>eport, MINEPDED, MINFOF, MINEPAT</w:t>
            </w:r>
          </w:p>
          <w:p w14:paraId="1D8BB847" w14:textId="77777777" w:rsidR="00060F7A" w:rsidRPr="00AF0164" w:rsidRDefault="00060F7A" w:rsidP="00FB3A50">
            <w:pPr>
              <w:rPr>
                <w:bCs/>
                <w:sz w:val="18"/>
                <w:szCs w:val="18"/>
              </w:rPr>
            </w:pPr>
            <w:r w:rsidRPr="00FB3A50">
              <w:rPr>
                <w:bCs/>
                <w:i/>
                <w:iCs/>
                <w:sz w:val="18"/>
                <w:szCs w:val="18"/>
              </w:rPr>
              <w:t>Frequency</w:t>
            </w:r>
            <w:r w:rsidRPr="00AF0164">
              <w:rPr>
                <w:bCs/>
                <w:sz w:val="18"/>
                <w:szCs w:val="18"/>
              </w:rPr>
              <w:t>: Annual</w:t>
            </w:r>
          </w:p>
          <w:p w14:paraId="0E5CF555" w14:textId="77777777" w:rsidR="00060F7A" w:rsidRPr="00AF0164" w:rsidRDefault="00060F7A" w:rsidP="002E7C2A">
            <w:pPr>
              <w:ind w:left="720"/>
              <w:jc w:val="both"/>
              <w:rPr>
                <w:bCs/>
                <w:sz w:val="18"/>
                <w:szCs w:val="18"/>
              </w:rPr>
            </w:pPr>
          </w:p>
          <w:p w14:paraId="1F3C7494" w14:textId="2920D24E" w:rsidR="00060F7A" w:rsidRPr="00AF0164" w:rsidRDefault="001A494E" w:rsidP="00FB3A50">
            <w:pPr>
              <w:rPr>
                <w:bCs/>
                <w:sz w:val="18"/>
                <w:szCs w:val="18"/>
              </w:rPr>
            </w:pPr>
            <w:r w:rsidRPr="00AF0164">
              <w:rPr>
                <w:b/>
                <w:sz w:val="18"/>
                <w:szCs w:val="18"/>
              </w:rPr>
              <w:t>O</w:t>
            </w:r>
            <w:r w:rsidR="00060F7A" w:rsidRPr="00AF0164">
              <w:rPr>
                <w:b/>
                <w:sz w:val="18"/>
                <w:szCs w:val="18"/>
              </w:rPr>
              <w:t>utput 4.4</w:t>
            </w:r>
            <w:r w:rsidR="00801717">
              <w:rPr>
                <w:b/>
                <w:sz w:val="18"/>
                <w:szCs w:val="18"/>
              </w:rPr>
              <w:t>.</w:t>
            </w:r>
            <w:r w:rsidR="00060F7A" w:rsidRPr="00AF0164">
              <w:rPr>
                <w:sz w:val="18"/>
                <w:szCs w:val="18"/>
              </w:rPr>
              <w:t xml:space="preserve"> Community actors and DTCs in at-risk areas can use knowledge and innovations to value environmental, biodiversity and ecosystem services as well as the restoration of degraded lands.</w:t>
            </w:r>
          </w:p>
          <w:p w14:paraId="6D511C2B" w14:textId="77777777" w:rsidR="00060F7A" w:rsidRPr="00AF0164" w:rsidRDefault="00060F7A" w:rsidP="002E7C2A">
            <w:pPr>
              <w:jc w:val="both"/>
              <w:rPr>
                <w:bCs/>
                <w:sz w:val="18"/>
                <w:szCs w:val="18"/>
              </w:rPr>
            </w:pPr>
          </w:p>
          <w:p w14:paraId="5BB2859F" w14:textId="4A8ADC8E" w:rsidR="00060F7A" w:rsidRPr="00AF0164" w:rsidRDefault="00060F7A" w:rsidP="00060F7A">
            <w:pPr>
              <w:rPr>
                <w:bCs/>
                <w:sz w:val="18"/>
                <w:szCs w:val="18"/>
              </w:rPr>
            </w:pPr>
            <w:r w:rsidRPr="00AF0164">
              <w:rPr>
                <w:b/>
                <w:sz w:val="18"/>
                <w:szCs w:val="18"/>
              </w:rPr>
              <w:t xml:space="preserve">Indicator 4.4.1. </w:t>
            </w:r>
            <w:r w:rsidRPr="00AF0164">
              <w:rPr>
                <w:bCs/>
                <w:sz w:val="18"/>
                <w:szCs w:val="18"/>
              </w:rPr>
              <w:t>Number of good practice documents integrating knowledge and innovation management for improved mechanisms for valuing environmental services, biodiversity, and ecosystems.</w:t>
            </w:r>
          </w:p>
          <w:p w14:paraId="6ABD0318" w14:textId="77777777"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(2020):0</w:t>
            </w:r>
          </w:p>
          <w:p w14:paraId="702CA3DB" w14:textId="77777777"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(2026):10</w:t>
            </w:r>
          </w:p>
          <w:p w14:paraId="7B96F739" w14:textId="77777777"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w:t>
            </w:r>
            <w:r w:rsidRPr="00AF0164">
              <w:rPr>
                <w:sz w:val="18"/>
                <w:szCs w:val="18"/>
              </w:rPr>
              <w:t>Activity report</w:t>
            </w:r>
          </w:p>
          <w:p w14:paraId="699750D9" w14:textId="77777777" w:rsidR="00060F7A" w:rsidRPr="00AF0164" w:rsidRDefault="00060F7A" w:rsidP="00FB3A50">
            <w:pPr>
              <w:jc w:val="both"/>
              <w:rPr>
                <w:bCs/>
                <w:strike/>
                <w:sz w:val="18"/>
                <w:szCs w:val="18"/>
              </w:rPr>
            </w:pPr>
            <w:r w:rsidRPr="00FB3A50">
              <w:rPr>
                <w:bCs/>
                <w:i/>
                <w:iCs/>
                <w:sz w:val="18"/>
                <w:szCs w:val="18"/>
              </w:rPr>
              <w:t>Frequency</w:t>
            </w:r>
            <w:r w:rsidRPr="00AF0164">
              <w:rPr>
                <w:bCs/>
                <w:sz w:val="18"/>
                <w:szCs w:val="18"/>
              </w:rPr>
              <w:t>: Annual</w:t>
            </w:r>
          </w:p>
          <w:p w14:paraId="6D057A82" w14:textId="77777777" w:rsidR="00060F7A" w:rsidRPr="00AF0164" w:rsidRDefault="00060F7A" w:rsidP="002E7C2A">
            <w:pPr>
              <w:jc w:val="both"/>
              <w:rPr>
                <w:bCs/>
                <w:sz w:val="18"/>
                <w:szCs w:val="18"/>
              </w:rPr>
            </w:pPr>
          </w:p>
          <w:p w14:paraId="0639B9BA" w14:textId="374EDB19" w:rsidR="00060F7A" w:rsidRPr="00AF0164" w:rsidRDefault="00060F7A" w:rsidP="00FB3A50">
            <w:pPr>
              <w:rPr>
                <w:bCs/>
                <w:sz w:val="18"/>
                <w:szCs w:val="18"/>
              </w:rPr>
            </w:pPr>
            <w:r w:rsidRPr="00AF0164">
              <w:rPr>
                <w:b/>
                <w:bCs/>
                <w:sz w:val="18"/>
                <w:szCs w:val="18"/>
              </w:rPr>
              <w:lastRenderedPageBreak/>
              <w:t xml:space="preserve">Indicator 4.4.2. </w:t>
            </w:r>
            <w:r w:rsidRPr="00AF0164">
              <w:rPr>
                <w:sz w:val="18"/>
                <w:szCs w:val="18"/>
              </w:rPr>
              <w:t>Number of community actors and pilot DTCs with operational mechanisms in place and knowledge to value environmental, biodiversity and ecosystem services</w:t>
            </w:r>
          </w:p>
          <w:p w14:paraId="6F96C8A5" w14:textId="07F6EAE9"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10</w:t>
            </w:r>
          </w:p>
          <w:p w14:paraId="069C4500" w14:textId="77777777"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 60</w:t>
            </w:r>
          </w:p>
          <w:p w14:paraId="340FC992" w14:textId="67381C15"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w:t>
            </w:r>
            <w:r w:rsidRPr="00AF0164">
              <w:rPr>
                <w:sz w:val="18"/>
                <w:szCs w:val="18"/>
              </w:rPr>
              <w:t xml:space="preserve">Project </w:t>
            </w:r>
            <w:r w:rsidR="00801717">
              <w:rPr>
                <w:sz w:val="18"/>
                <w:szCs w:val="18"/>
              </w:rPr>
              <w:t>r</w:t>
            </w:r>
            <w:r w:rsidRPr="00AF0164">
              <w:rPr>
                <w:sz w:val="18"/>
                <w:szCs w:val="18"/>
              </w:rPr>
              <w:t>eport</w:t>
            </w:r>
          </w:p>
          <w:p w14:paraId="5CB4C532"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tcPr>
          <w:p w14:paraId="1DFE033B" w14:textId="72D4AFD2" w:rsidR="00060F7A" w:rsidRPr="00AF0164" w:rsidRDefault="00060F7A" w:rsidP="00215A6C">
            <w:pPr>
              <w:rPr>
                <w:bCs/>
                <w:sz w:val="18"/>
                <w:szCs w:val="18"/>
              </w:rPr>
            </w:pPr>
            <w:r w:rsidRPr="00AF0164">
              <w:rPr>
                <w:sz w:val="18"/>
                <w:szCs w:val="18"/>
              </w:rPr>
              <w:lastRenderedPageBreak/>
              <w:t>MINEPDED, MINFOF, MINEPAT, ONACC, NIS,</w:t>
            </w:r>
            <w:r w:rsidR="00DB2B51">
              <w:rPr>
                <w:sz w:val="18"/>
                <w:szCs w:val="18"/>
              </w:rPr>
              <w:t xml:space="preserve"> GEF, </w:t>
            </w:r>
            <w:r w:rsidRPr="00AF0164">
              <w:rPr>
                <w:sz w:val="18"/>
                <w:szCs w:val="18"/>
              </w:rPr>
              <w:t>World Bank</w:t>
            </w:r>
            <w:r w:rsidR="00452522">
              <w:rPr>
                <w:sz w:val="18"/>
                <w:szCs w:val="18"/>
              </w:rPr>
              <w:t>, COMIFAC</w:t>
            </w:r>
          </w:p>
          <w:p w14:paraId="34CEAFC6" w14:textId="77777777" w:rsidR="00060F7A" w:rsidRPr="00AF0164" w:rsidRDefault="00060F7A" w:rsidP="002E7C2A">
            <w:pPr>
              <w:jc w:val="both"/>
              <w:rPr>
                <w:b/>
                <w:sz w:val="18"/>
                <w:szCs w:val="18"/>
              </w:rPr>
            </w:pPr>
          </w:p>
          <w:p w14:paraId="783A0163" w14:textId="77777777" w:rsidR="00060F7A" w:rsidRPr="00AF0164" w:rsidRDefault="00060F7A" w:rsidP="002E7C2A">
            <w:pPr>
              <w:jc w:val="both"/>
              <w:rPr>
                <w:b/>
                <w:sz w:val="18"/>
                <w:szCs w:val="18"/>
              </w:rPr>
            </w:pPr>
          </w:p>
          <w:p w14:paraId="64543796" w14:textId="77777777" w:rsidR="00060F7A" w:rsidRPr="00AF0164" w:rsidRDefault="00060F7A" w:rsidP="002E7C2A">
            <w:pPr>
              <w:jc w:val="both"/>
              <w:rPr>
                <w:b/>
                <w:sz w:val="18"/>
                <w:szCs w:val="18"/>
              </w:rPr>
            </w:pPr>
          </w:p>
          <w:p w14:paraId="0DE562D1" w14:textId="77777777" w:rsidR="00060F7A" w:rsidRPr="00AF0164" w:rsidRDefault="00060F7A" w:rsidP="002E7C2A">
            <w:pPr>
              <w:jc w:val="both"/>
              <w:rPr>
                <w:b/>
                <w:sz w:val="18"/>
                <w:szCs w:val="18"/>
              </w:rPr>
            </w:pPr>
          </w:p>
          <w:p w14:paraId="340C9FED" w14:textId="77777777" w:rsidR="00060F7A" w:rsidRPr="00AF0164" w:rsidRDefault="00060F7A" w:rsidP="002E7C2A">
            <w:pPr>
              <w:jc w:val="both"/>
              <w:rPr>
                <w:b/>
                <w:sz w:val="18"/>
                <w:szCs w:val="18"/>
              </w:rPr>
            </w:pPr>
          </w:p>
          <w:p w14:paraId="6360232F" w14:textId="77777777" w:rsidR="00060F7A" w:rsidRPr="00AF0164" w:rsidRDefault="00060F7A" w:rsidP="002E7C2A">
            <w:pPr>
              <w:jc w:val="both"/>
              <w:rPr>
                <w:b/>
                <w:sz w:val="18"/>
                <w:szCs w:val="18"/>
              </w:rPr>
            </w:pPr>
          </w:p>
          <w:p w14:paraId="7A32A4FA" w14:textId="77777777" w:rsidR="00060F7A" w:rsidRPr="00AF0164" w:rsidRDefault="00060F7A" w:rsidP="002E7C2A">
            <w:pPr>
              <w:jc w:val="both"/>
              <w:rPr>
                <w:b/>
                <w:sz w:val="18"/>
                <w:szCs w:val="18"/>
              </w:rPr>
            </w:pPr>
          </w:p>
          <w:p w14:paraId="03F00209" w14:textId="77777777" w:rsidR="00060F7A" w:rsidRPr="00AF0164" w:rsidRDefault="00060F7A" w:rsidP="002E7C2A">
            <w:pPr>
              <w:jc w:val="both"/>
              <w:rPr>
                <w:b/>
                <w:sz w:val="18"/>
                <w:szCs w:val="18"/>
              </w:rPr>
            </w:pPr>
          </w:p>
          <w:p w14:paraId="298AC672" w14:textId="77777777" w:rsidR="00060F7A" w:rsidRPr="00AF0164" w:rsidRDefault="00060F7A" w:rsidP="002E7C2A">
            <w:pPr>
              <w:jc w:val="both"/>
              <w:rPr>
                <w:b/>
                <w:sz w:val="18"/>
                <w:szCs w:val="18"/>
              </w:rPr>
            </w:pPr>
          </w:p>
          <w:p w14:paraId="4BEBDF93" w14:textId="77777777" w:rsidR="00060F7A" w:rsidRPr="00AF0164" w:rsidRDefault="00060F7A" w:rsidP="002E7C2A">
            <w:pPr>
              <w:jc w:val="both"/>
              <w:rPr>
                <w:b/>
                <w:sz w:val="18"/>
                <w:szCs w:val="18"/>
              </w:rPr>
            </w:pPr>
          </w:p>
          <w:p w14:paraId="32ECF447" w14:textId="77777777" w:rsidR="00060F7A" w:rsidRPr="00AF0164" w:rsidRDefault="00060F7A" w:rsidP="002E7C2A">
            <w:pPr>
              <w:jc w:val="both"/>
              <w:rPr>
                <w:b/>
                <w:sz w:val="18"/>
                <w:szCs w:val="18"/>
              </w:rPr>
            </w:pPr>
          </w:p>
          <w:p w14:paraId="47641485" w14:textId="77777777" w:rsidR="00060F7A" w:rsidRPr="00AF0164" w:rsidRDefault="00060F7A" w:rsidP="002E7C2A">
            <w:pPr>
              <w:jc w:val="both"/>
              <w:rPr>
                <w:b/>
                <w:sz w:val="18"/>
                <w:szCs w:val="18"/>
              </w:rPr>
            </w:pPr>
          </w:p>
          <w:p w14:paraId="65740C27" w14:textId="77777777" w:rsidR="00060F7A" w:rsidRPr="00AF0164" w:rsidRDefault="00060F7A" w:rsidP="002E7C2A">
            <w:pPr>
              <w:jc w:val="both"/>
              <w:rPr>
                <w:b/>
                <w:sz w:val="18"/>
                <w:szCs w:val="18"/>
              </w:rPr>
            </w:pPr>
          </w:p>
          <w:p w14:paraId="30032C34" w14:textId="77777777" w:rsidR="00060F7A" w:rsidRPr="00AF0164" w:rsidRDefault="00060F7A" w:rsidP="002E7C2A">
            <w:pPr>
              <w:jc w:val="both"/>
              <w:rPr>
                <w:b/>
                <w:sz w:val="18"/>
                <w:szCs w:val="18"/>
              </w:rPr>
            </w:pPr>
          </w:p>
          <w:p w14:paraId="04C3A049" w14:textId="77777777" w:rsidR="00060F7A" w:rsidRPr="00AF0164" w:rsidRDefault="00060F7A" w:rsidP="002E7C2A">
            <w:pPr>
              <w:jc w:val="both"/>
              <w:rPr>
                <w:b/>
                <w:sz w:val="18"/>
                <w:szCs w:val="18"/>
              </w:rPr>
            </w:pPr>
          </w:p>
          <w:p w14:paraId="5FE8B861" w14:textId="77777777" w:rsidR="00060F7A" w:rsidRPr="00AF0164" w:rsidRDefault="00060F7A" w:rsidP="002E7C2A">
            <w:pPr>
              <w:jc w:val="both"/>
              <w:rPr>
                <w:b/>
                <w:sz w:val="18"/>
                <w:szCs w:val="18"/>
              </w:rPr>
            </w:pPr>
          </w:p>
          <w:p w14:paraId="7DF6535A" w14:textId="77777777" w:rsidR="00060F7A" w:rsidRPr="00AF0164" w:rsidRDefault="00060F7A" w:rsidP="002E7C2A">
            <w:pPr>
              <w:jc w:val="both"/>
              <w:rPr>
                <w:b/>
                <w:sz w:val="18"/>
                <w:szCs w:val="18"/>
              </w:rPr>
            </w:pPr>
          </w:p>
          <w:p w14:paraId="6DE89609" w14:textId="77777777" w:rsidR="00060F7A" w:rsidRPr="00AF0164" w:rsidRDefault="00060F7A" w:rsidP="002E7C2A">
            <w:pPr>
              <w:jc w:val="both"/>
              <w:rPr>
                <w:b/>
                <w:sz w:val="18"/>
                <w:szCs w:val="18"/>
              </w:rPr>
            </w:pPr>
          </w:p>
          <w:p w14:paraId="0ED0B84E" w14:textId="77777777" w:rsidR="00060F7A" w:rsidRPr="00AF0164" w:rsidRDefault="00060F7A" w:rsidP="002E7C2A">
            <w:pPr>
              <w:jc w:val="both"/>
              <w:rPr>
                <w:b/>
                <w:sz w:val="18"/>
                <w:szCs w:val="18"/>
              </w:rPr>
            </w:pPr>
          </w:p>
          <w:p w14:paraId="783B4480" w14:textId="77777777" w:rsidR="00060F7A" w:rsidRPr="00AF0164" w:rsidRDefault="00060F7A" w:rsidP="002E7C2A">
            <w:pPr>
              <w:jc w:val="both"/>
              <w:rPr>
                <w:b/>
                <w:sz w:val="18"/>
                <w:szCs w:val="18"/>
              </w:rPr>
            </w:pPr>
          </w:p>
          <w:p w14:paraId="14BFDD3C" w14:textId="77777777" w:rsidR="00060F7A" w:rsidRPr="00AF0164" w:rsidRDefault="00060F7A" w:rsidP="002E7C2A">
            <w:pPr>
              <w:jc w:val="both"/>
              <w:rPr>
                <w:b/>
                <w:sz w:val="18"/>
                <w:szCs w:val="18"/>
              </w:rPr>
            </w:pPr>
          </w:p>
          <w:p w14:paraId="1F970EA8" w14:textId="77777777" w:rsidR="00060F7A" w:rsidRPr="00AF0164" w:rsidRDefault="00060F7A" w:rsidP="002E7C2A">
            <w:pPr>
              <w:jc w:val="both"/>
              <w:rPr>
                <w:b/>
                <w:sz w:val="18"/>
                <w:szCs w:val="18"/>
              </w:rPr>
            </w:pPr>
          </w:p>
          <w:p w14:paraId="0119FDEE" w14:textId="77777777" w:rsidR="00060F7A" w:rsidRPr="00AF0164" w:rsidRDefault="00060F7A" w:rsidP="002E7C2A">
            <w:pPr>
              <w:jc w:val="both"/>
              <w:rPr>
                <w:b/>
                <w:sz w:val="18"/>
                <w:szCs w:val="18"/>
              </w:rPr>
            </w:pPr>
          </w:p>
          <w:p w14:paraId="5D2F3E18" w14:textId="77777777" w:rsidR="00060F7A" w:rsidRPr="00AF0164" w:rsidRDefault="00060F7A" w:rsidP="002E7C2A">
            <w:pPr>
              <w:jc w:val="both"/>
              <w:rPr>
                <w:b/>
                <w:sz w:val="18"/>
                <w:szCs w:val="18"/>
              </w:rPr>
            </w:pPr>
          </w:p>
          <w:p w14:paraId="786E061E" w14:textId="77777777" w:rsidR="00060F7A" w:rsidRPr="00AF0164" w:rsidRDefault="00060F7A" w:rsidP="002E7C2A">
            <w:pPr>
              <w:jc w:val="both"/>
              <w:rPr>
                <w:b/>
                <w:sz w:val="18"/>
                <w:szCs w:val="18"/>
              </w:rPr>
            </w:pPr>
          </w:p>
          <w:p w14:paraId="2FEDABAE" w14:textId="77777777" w:rsidR="00060F7A" w:rsidRPr="00AF0164" w:rsidRDefault="00060F7A" w:rsidP="002E7C2A">
            <w:pPr>
              <w:jc w:val="both"/>
              <w:rPr>
                <w:b/>
                <w:sz w:val="18"/>
                <w:szCs w:val="18"/>
              </w:rPr>
            </w:pPr>
          </w:p>
          <w:p w14:paraId="4BDFF293" w14:textId="77777777" w:rsidR="00060F7A" w:rsidRPr="00AF0164" w:rsidRDefault="00060F7A" w:rsidP="002E7C2A">
            <w:pPr>
              <w:jc w:val="both"/>
              <w:rPr>
                <w:b/>
                <w:sz w:val="18"/>
                <w:szCs w:val="18"/>
              </w:rPr>
            </w:pPr>
          </w:p>
          <w:p w14:paraId="6969CC5D" w14:textId="77777777" w:rsidR="00060F7A" w:rsidRPr="00AF0164" w:rsidRDefault="00060F7A" w:rsidP="002E7C2A">
            <w:pPr>
              <w:jc w:val="both"/>
              <w:rPr>
                <w:b/>
                <w:sz w:val="18"/>
                <w:szCs w:val="18"/>
              </w:rPr>
            </w:pPr>
          </w:p>
          <w:p w14:paraId="1AD1F942" w14:textId="77777777" w:rsidR="00060F7A" w:rsidRPr="00AF0164" w:rsidRDefault="00060F7A" w:rsidP="002E7C2A">
            <w:pPr>
              <w:jc w:val="both"/>
              <w:rPr>
                <w:b/>
                <w:sz w:val="18"/>
                <w:szCs w:val="18"/>
              </w:rPr>
            </w:pPr>
          </w:p>
          <w:p w14:paraId="04541AEB" w14:textId="77777777" w:rsidR="00060F7A" w:rsidRPr="00AF0164" w:rsidRDefault="00060F7A" w:rsidP="002E7C2A">
            <w:pPr>
              <w:jc w:val="both"/>
              <w:rPr>
                <w:b/>
                <w:sz w:val="18"/>
                <w:szCs w:val="18"/>
              </w:rPr>
            </w:pPr>
          </w:p>
          <w:p w14:paraId="299956DB" w14:textId="77777777" w:rsidR="00060F7A" w:rsidRPr="00AF0164" w:rsidRDefault="00060F7A" w:rsidP="002E7C2A">
            <w:pPr>
              <w:jc w:val="both"/>
              <w:rPr>
                <w:b/>
                <w:sz w:val="18"/>
                <w:szCs w:val="18"/>
              </w:rPr>
            </w:pPr>
          </w:p>
          <w:p w14:paraId="7AA5CCD9" w14:textId="77777777" w:rsidR="00060F7A" w:rsidRPr="00AF0164" w:rsidRDefault="00060F7A" w:rsidP="002E7C2A">
            <w:pPr>
              <w:jc w:val="both"/>
              <w:rPr>
                <w:b/>
                <w:sz w:val="18"/>
                <w:szCs w:val="18"/>
              </w:rPr>
            </w:pPr>
          </w:p>
          <w:p w14:paraId="45B09100" w14:textId="77777777" w:rsidR="00060F7A" w:rsidRPr="00AF0164" w:rsidRDefault="00060F7A" w:rsidP="002E7C2A">
            <w:pPr>
              <w:jc w:val="both"/>
              <w:rPr>
                <w:b/>
                <w:sz w:val="18"/>
                <w:szCs w:val="18"/>
              </w:rPr>
            </w:pPr>
          </w:p>
          <w:p w14:paraId="21B783B2" w14:textId="77777777" w:rsidR="00060F7A" w:rsidRPr="00AF0164" w:rsidRDefault="00060F7A" w:rsidP="002E7C2A">
            <w:pPr>
              <w:jc w:val="both"/>
              <w:rPr>
                <w:b/>
                <w:sz w:val="18"/>
                <w:szCs w:val="18"/>
              </w:rPr>
            </w:pPr>
          </w:p>
          <w:p w14:paraId="1843FD36" w14:textId="77777777" w:rsidR="00060F7A" w:rsidRPr="00AF0164" w:rsidRDefault="00060F7A" w:rsidP="002E7C2A">
            <w:pPr>
              <w:jc w:val="both"/>
              <w:rPr>
                <w:b/>
                <w:sz w:val="18"/>
                <w:szCs w:val="18"/>
              </w:rPr>
            </w:pPr>
          </w:p>
          <w:p w14:paraId="0355C747" w14:textId="77777777" w:rsidR="00060F7A" w:rsidRPr="00AF0164" w:rsidRDefault="00060F7A" w:rsidP="002E7C2A">
            <w:pPr>
              <w:jc w:val="both"/>
              <w:rPr>
                <w:b/>
                <w:sz w:val="18"/>
                <w:szCs w:val="18"/>
              </w:rPr>
            </w:pPr>
          </w:p>
          <w:p w14:paraId="0CCAAD49" w14:textId="22E95A0A" w:rsidR="00060F7A" w:rsidRPr="00AF0164" w:rsidRDefault="00060F7A" w:rsidP="00060F7A">
            <w:pPr>
              <w:rPr>
                <w:b/>
                <w:sz w:val="18"/>
                <w:szCs w:val="18"/>
              </w:rPr>
            </w:pPr>
            <w:r w:rsidRPr="00AF0164">
              <w:rPr>
                <w:sz w:val="18"/>
                <w:szCs w:val="18"/>
              </w:rPr>
              <w:t>MINFOF, FAO, MINEPDED, MINDDEVEL, World Bank</w:t>
            </w:r>
            <w:r w:rsidRPr="00AF0164">
              <w:rPr>
                <w:b/>
                <w:sz w:val="18"/>
                <w:szCs w:val="18"/>
              </w:rPr>
              <w:t xml:space="preserve"> </w:t>
            </w:r>
          </w:p>
        </w:tc>
        <w:tc>
          <w:tcPr>
            <w:tcW w:w="464" w:type="pct"/>
          </w:tcPr>
          <w:p w14:paraId="56668FBA" w14:textId="77777777" w:rsidR="00060F7A" w:rsidRPr="00AF0164" w:rsidRDefault="00060F7A" w:rsidP="002E7C2A">
            <w:pPr>
              <w:jc w:val="both"/>
              <w:rPr>
                <w:b/>
                <w:sz w:val="18"/>
                <w:szCs w:val="18"/>
              </w:rPr>
            </w:pPr>
          </w:p>
        </w:tc>
      </w:tr>
    </w:tbl>
    <w:p w14:paraId="551B3307" w14:textId="24E88A65" w:rsidR="00B8310D" w:rsidRPr="00AF0164" w:rsidRDefault="00361D57" w:rsidP="00361D57">
      <w:pPr>
        <w:pStyle w:val="Heading4"/>
        <w:spacing w:after="120"/>
        <w:jc w:val="center"/>
        <w:rPr>
          <w:rFonts w:ascii="Times New Roman" w:hAnsi="Times New Roman"/>
          <w:sz w:val="24"/>
          <w:szCs w:val="24"/>
        </w:rPr>
      </w:pPr>
      <w:r w:rsidRPr="00AF0164">
        <w:rPr>
          <w:noProof/>
        </w:rPr>
        <w:drawing>
          <wp:inline distT="0" distB="0" distL="0" distR="0" wp14:anchorId="08120C40" wp14:editId="376CB8A2">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AF0164" w:rsidSect="004509B5">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8346" w14:textId="77777777" w:rsidR="00D74B60" w:rsidRDefault="00D74B60" w:rsidP="00441061">
      <w:r>
        <w:separator/>
      </w:r>
    </w:p>
  </w:endnote>
  <w:endnote w:type="continuationSeparator" w:id="0">
    <w:p w14:paraId="154048E1" w14:textId="77777777" w:rsidR="00D74B60" w:rsidRDefault="00D74B60" w:rsidP="00441061">
      <w:r>
        <w:continuationSeparator/>
      </w:r>
    </w:p>
  </w:endnote>
  <w:endnote w:type="continuationNotice" w:id="1">
    <w:p w14:paraId="3B8E557D" w14:textId="77777777" w:rsidR="00D74B60" w:rsidRDefault="00D74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178A1FBE" w:rsidR="00C11983" w:rsidRPr="005841A3" w:rsidRDefault="00C11983" w:rsidP="002A7740">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2009164" w:rsidR="00C11983" w:rsidRPr="00C34404" w:rsidRDefault="00C11983" w:rsidP="002A7740">
    <w:pPr>
      <w:pStyle w:val="Footer"/>
      <w:ind w:right="81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38F0" w14:textId="77777777" w:rsidR="00C11983" w:rsidRPr="005841A3" w:rsidRDefault="00C11983" w:rsidP="00843BD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0A86" w14:textId="77777777" w:rsidR="00C11983" w:rsidRPr="00C34404" w:rsidRDefault="00C11983" w:rsidP="00E532DC">
    <w:pPr>
      <w:pStyle w:val="Footer"/>
      <w:ind w:right="-5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589D" w14:textId="77777777" w:rsidR="00D74B60" w:rsidRDefault="00D74B60" w:rsidP="00441061">
      <w:r>
        <w:separator/>
      </w:r>
    </w:p>
  </w:footnote>
  <w:footnote w:type="continuationSeparator" w:id="0">
    <w:p w14:paraId="7C2656E8" w14:textId="77777777" w:rsidR="00D74B60" w:rsidRDefault="00D74B60" w:rsidP="00441061">
      <w:r>
        <w:continuationSeparator/>
      </w:r>
    </w:p>
  </w:footnote>
  <w:footnote w:type="continuationNotice" w:id="1">
    <w:p w14:paraId="0193FE8B" w14:textId="77777777" w:rsidR="00D74B60" w:rsidRDefault="00D74B60"/>
  </w:footnote>
  <w:footnote w:id="2">
    <w:p w14:paraId="0899FEDC" w14:textId="24A3E8B1"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FB3A50">
        <w:rPr>
          <w:rFonts w:ascii="Times New Roman" w:hAnsi="Times New Roman"/>
          <w:i/>
          <w:iCs/>
          <w:sz w:val="17"/>
          <w:szCs w:val="17"/>
          <w:lang w:val="en-US"/>
        </w:rPr>
        <w:t>Human Development Report</w:t>
      </w:r>
      <w:r w:rsidRPr="00237420">
        <w:rPr>
          <w:rFonts w:ascii="Times New Roman" w:hAnsi="Times New Roman"/>
          <w:sz w:val="17"/>
          <w:szCs w:val="17"/>
          <w:lang w:val="en-US"/>
        </w:rPr>
        <w:t>, UNDP,</w:t>
      </w:r>
      <w:r>
        <w:rPr>
          <w:rFonts w:ascii="Times New Roman" w:hAnsi="Times New Roman"/>
          <w:sz w:val="17"/>
          <w:szCs w:val="17"/>
          <w:lang w:val="en-US"/>
        </w:rPr>
        <w:t xml:space="preserve"> </w:t>
      </w:r>
      <w:r w:rsidRPr="00237420">
        <w:rPr>
          <w:rFonts w:ascii="Times New Roman" w:hAnsi="Times New Roman"/>
          <w:sz w:val="17"/>
          <w:szCs w:val="17"/>
          <w:lang w:val="en-US"/>
        </w:rPr>
        <w:t>2020</w:t>
      </w:r>
      <w:r>
        <w:rPr>
          <w:rFonts w:ascii="Times New Roman" w:hAnsi="Times New Roman"/>
          <w:sz w:val="17"/>
          <w:szCs w:val="17"/>
          <w:lang w:val="en-US"/>
        </w:rPr>
        <w:t>.</w:t>
      </w:r>
    </w:p>
  </w:footnote>
  <w:footnote w:id="3">
    <w:p w14:paraId="615F9127" w14:textId="3F229C4D"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237420">
        <w:rPr>
          <w:rFonts w:ascii="Times New Roman" w:hAnsi="Times New Roman"/>
          <w:sz w:val="17"/>
          <w:szCs w:val="17"/>
          <w:lang w:val="en-US"/>
        </w:rPr>
        <w:t>National Development Strategy, 2020-2030</w:t>
      </w:r>
      <w:r>
        <w:rPr>
          <w:rFonts w:ascii="Times New Roman" w:hAnsi="Times New Roman"/>
          <w:sz w:val="17"/>
          <w:szCs w:val="17"/>
          <w:lang w:val="en-US"/>
        </w:rPr>
        <w:t>.</w:t>
      </w:r>
    </w:p>
  </w:footnote>
  <w:footnote w:id="4">
    <w:p w14:paraId="41582A44" w14:textId="27E0E340"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237420">
        <w:rPr>
          <w:rFonts w:ascii="Times New Roman" w:hAnsi="Times New Roman"/>
          <w:sz w:val="17"/>
          <w:szCs w:val="17"/>
          <w:lang w:val="en-US"/>
        </w:rPr>
        <w:t xml:space="preserve">Government </w:t>
      </w:r>
      <w:r>
        <w:rPr>
          <w:rFonts w:ascii="Times New Roman" w:hAnsi="Times New Roman"/>
          <w:sz w:val="17"/>
          <w:szCs w:val="17"/>
          <w:lang w:val="en-US"/>
        </w:rPr>
        <w:t>s</w:t>
      </w:r>
      <w:r w:rsidRPr="00237420">
        <w:rPr>
          <w:rFonts w:ascii="Times New Roman" w:hAnsi="Times New Roman"/>
          <w:sz w:val="17"/>
          <w:szCs w:val="17"/>
          <w:lang w:val="en-US"/>
        </w:rPr>
        <w:t xml:space="preserve">urvey </w:t>
      </w:r>
      <w:r>
        <w:rPr>
          <w:rFonts w:ascii="Times New Roman" w:hAnsi="Times New Roman"/>
          <w:sz w:val="17"/>
          <w:szCs w:val="17"/>
          <w:lang w:val="en-US"/>
        </w:rPr>
        <w:t>r</w:t>
      </w:r>
      <w:r w:rsidRPr="00237420">
        <w:rPr>
          <w:rFonts w:ascii="Times New Roman" w:hAnsi="Times New Roman"/>
          <w:sz w:val="17"/>
          <w:szCs w:val="17"/>
          <w:lang w:val="en-US"/>
        </w:rPr>
        <w:t>eport, May 2020</w:t>
      </w:r>
      <w:r>
        <w:rPr>
          <w:rFonts w:ascii="Times New Roman" w:hAnsi="Times New Roman"/>
          <w:sz w:val="17"/>
          <w:szCs w:val="17"/>
          <w:lang w:val="en-US"/>
        </w:rPr>
        <w:t>.</w:t>
      </w:r>
    </w:p>
  </w:footnote>
  <w:footnote w:id="5">
    <w:p w14:paraId="2DFBC981" w14:textId="3AD8662B"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237420">
        <w:rPr>
          <w:rFonts w:ascii="Times New Roman" w:hAnsi="Times New Roman"/>
          <w:sz w:val="17"/>
          <w:szCs w:val="17"/>
          <w:lang w:val="en-US"/>
        </w:rPr>
        <w:t xml:space="preserve">UNHCR Cameroon </w:t>
      </w:r>
      <w:r>
        <w:rPr>
          <w:rFonts w:ascii="Times New Roman" w:hAnsi="Times New Roman"/>
          <w:sz w:val="17"/>
          <w:szCs w:val="17"/>
          <w:lang w:val="en-US"/>
        </w:rPr>
        <w:t>multi-country office f</w:t>
      </w:r>
      <w:r w:rsidRPr="00237420">
        <w:rPr>
          <w:rFonts w:ascii="Times New Roman" w:hAnsi="Times New Roman"/>
          <w:sz w:val="17"/>
          <w:szCs w:val="17"/>
          <w:lang w:val="en-US"/>
        </w:rPr>
        <w:t>actsheet</w:t>
      </w:r>
      <w:r>
        <w:rPr>
          <w:rFonts w:ascii="Times New Roman" w:hAnsi="Times New Roman"/>
          <w:sz w:val="17"/>
          <w:szCs w:val="17"/>
          <w:lang w:val="en-US"/>
        </w:rPr>
        <w:t xml:space="preserve">, </w:t>
      </w:r>
      <w:r w:rsidRPr="00237420">
        <w:rPr>
          <w:rFonts w:ascii="Times New Roman" w:hAnsi="Times New Roman"/>
          <w:sz w:val="17"/>
          <w:szCs w:val="17"/>
          <w:lang w:val="en-US"/>
        </w:rPr>
        <w:t>March 2021</w:t>
      </w:r>
      <w:r>
        <w:rPr>
          <w:rFonts w:ascii="Times New Roman" w:hAnsi="Times New Roman"/>
          <w:sz w:val="17"/>
          <w:szCs w:val="17"/>
          <w:lang w:val="en-US"/>
        </w:rPr>
        <w:t>.</w:t>
      </w:r>
    </w:p>
  </w:footnote>
  <w:footnote w:id="6">
    <w:p w14:paraId="1CA5FA6E" w14:textId="6B613A0A" w:rsidR="00C11983" w:rsidRPr="000B726A" w:rsidRDefault="00C11983">
      <w:pPr>
        <w:pStyle w:val="FootnoteText"/>
        <w:rPr>
          <w:rFonts w:ascii="Times New Roman" w:hAnsi="Times New Roman"/>
          <w:sz w:val="16"/>
          <w:szCs w:val="16"/>
          <w:lang w:val="en-US"/>
        </w:rPr>
      </w:pPr>
      <w:r w:rsidRPr="008C2970">
        <w:rPr>
          <w:rStyle w:val="FootnoteReference"/>
          <w:rFonts w:ascii="Times New Roman" w:hAnsi="Times New Roman"/>
          <w:sz w:val="16"/>
          <w:szCs w:val="16"/>
        </w:rPr>
        <w:footnoteRef/>
      </w:r>
      <w:r w:rsidRPr="008C3B54">
        <w:rPr>
          <w:rFonts w:ascii="Times New Roman" w:hAnsi="Times New Roman"/>
          <w:sz w:val="16"/>
          <w:szCs w:val="16"/>
          <w:lang w:val="en-US"/>
        </w:rPr>
        <w:t xml:space="preserve"> </w:t>
      </w:r>
      <w:r w:rsidRPr="00FB3A50">
        <w:rPr>
          <w:rFonts w:ascii="Times New Roman" w:hAnsi="Times New Roman"/>
          <w:i/>
          <w:iCs/>
          <w:sz w:val="16"/>
          <w:szCs w:val="16"/>
          <w:lang w:val="en-US"/>
        </w:rPr>
        <w:t>Forestry Outlook Study for Africa</w:t>
      </w:r>
      <w:r w:rsidRPr="00FB3A50">
        <w:rPr>
          <w:rFonts w:ascii="Times New Roman" w:hAnsi="Times New Roman"/>
          <w:sz w:val="16"/>
          <w:szCs w:val="16"/>
          <w:lang w:val="en-US"/>
        </w:rPr>
        <w:t xml:space="preserve"> (F</w:t>
      </w:r>
      <w:r>
        <w:rPr>
          <w:rFonts w:ascii="Times New Roman" w:hAnsi="Times New Roman"/>
          <w:sz w:val="16"/>
          <w:szCs w:val="16"/>
          <w:lang w:val="en-US"/>
        </w:rPr>
        <w:t>OSA) (</w:t>
      </w:r>
      <w:r w:rsidRPr="000B726A">
        <w:rPr>
          <w:rFonts w:ascii="Times New Roman" w:hAnsi="Times New Roman"/>
          <w:sz w:val="16"/>
          <w:szCs w:val="16"/>
          <w:lang w:val="en-US"/>
        </w:rPr>
        <w:t>document national de prospective</w:t>
      </w:r>
      <w:r>
        <w:rPr>
          <w:rFonts w:ascii="Times New Roman" w:hAnsi="Times New Roman"/>
          <w:sz w:val="16"/>
          <w:szCs w:val="16"/>
          <w:lang w:val="en-US"/>
        </w:rPr>
        <w:t>)</w:t>
      </w:r>
      <w:r w:rsidRPr="008C3B54">
        <w:rPr>
          <w:rFonts w:ascii="Times New Roman" w:hAnsi="Times New Roman"/>
          <w:sz w:val="16"/>
          <w:szCs w:val="16"/>
          <w:lang w:val="en-US"/>
        </w:rPr>
        <w:t xml:space="preserve"> – Cameroon</w:t>
      </w:r>
      <w:r>
        <w:rPr>
          <w:rFonts w:ascii="Times New Roman" w:hAnsi="Times New Roman"/>
          <w:sz w:val="16"/>
          <w:szCs w:val="16"/>
          <w:lang w:val="en-US"/>
        </w:rPr>
        <w:t>, FAO.</w:t>
      </w:r>
      <w:r w:rsidRPr="008C3B54">
        <w:rPr>
          <w:rFonts w:ascii="Times New Roman" w:hAnsi="Times New Roman"/>
          <w:sz w:val="16"/>
          <w:szCs w:val="16"/>
          <w:lang w:val="en-US"/>
        </w:rPr>
        <w:t xml:space="preserve"> </w:t>
      </w:r>
    </w:p>
  </w:footnote>
  <w:footnote w:id="7">
    <w:p w14:paraId="4D12B2A2" w14:textId="120CECFF" w:rsidR="00C11983" w:rsidRPr="008C2970" w:rsidRDefault="00C11983">
      <w:pPr>
        <w:pStyle w:val="FootnoteText"/>
        <w:rPr>
          <w:rFonts w:ascii="Times New Roman" w:hAnsi="Times New Roman"/>
          <w:sz w:val="16"/>
          <w:szCs w:val="16"/>
          <w:lang w:val="en-US"/>
        </w:rPr>
      </w:pPr>
      <w:r w:rsidRPr="008C2970">
        <w:rPr>
          <w:rStyle w:val="FootnoteReference"/>
          <w:rFonts w:ascii="Times New Roman" w:hAnsi="Times New Roman"/>
          <w:sz w:val="16"/>
          <w:szCs w:val="16"/>
        </w:rPr>
        <w:footnoteRef/>
      </w:r>
      <w:r w:rsidRPr="008C2970">
        <w:rPr>
          <w:rFonts w:ascii="Times New Roman" w:hAnsi="Times New Roman"/>
          <w:sz w:val="16"/>
          <w:szCs w:val="16"/>
        </w:rPr>
        <w:t xml:space="preserve"> </w:t>
      </w:r>
      <w:r w:rsidRPr="008C2970">
        <w:rPr>
          <w:rFonts w:ascii="Times New Roman" w:hAnsi="Times New Roman"/>
          <w:sz w:val="16"/>
          <w:szCs w:val="16"/>
          <w:lang w:val="en-US"/>
        </w:rPr>
        <w:t xml:space="preserve">National </w:t>
      </w:r>
      <w:r>
        <w:rPr>
          <w:rFonts w:ascii="Times New Roman" w:hAnsi="Times New Roman"/>
          <w:sz w:val="16"/>
          <w:szCs w:val="16"/>
          <w:lang w:val="en-US"/>
        </w:rPr>
        <w:t>r</w:t>
      </w:r>
      <w:r w:rsidRPr="008C2970">
        <w:rPr>
          <w:rFonts w:ascii="Times New Roman" w:hAnsi="Times New Roman"/>
          <w:sz w:val="16"/>
          <w:szCs w:val="16"/>
          <w:lang w:val="en-US"/>
        </w:rPr>
        <w:t xml:space="preserve">eport on the </w:t>
      </w:r>
      <w:r>
        <w:rPr>
          <w:rFonts w:ascii="Times New Roman" w:hAnsi="Times New Roman"/>
          <w:sz w:val="16"/>
          <w:szCs w:val="16"/>
          <w:lang w:val="en-US"/>
        </w:rPr>
        <w:t>s</w:t>
      </w:r>
      <w:r w:rsidRPr="008C2970">
        <w:rPr>
          <w:rFonts w:ascii="Times New Roman" w:hAnsi="Times New Roman"/>
          <w:sz w:val="16"/>
          <w:szCs w:val="16"/>
          <w:lang w:val="en-US"/>
        </w:rPr>
        <w:t xml:space="preserve">tate of the </w:t>
      </w:r>
      <w:r>
        <w:rPr>
          <w:rFonts w:ascii="Times New Roman" w:hAnsi="Times New Roman"/>
          <w:sz w:val="16"/>
          <w:szCs w:val="16"/>
          <w:lang w:val="en-US"/>
        </w:rPr>
        <w:t>p</w:t>
      </w:r>
      <w:r w:rsidRPr="008C2970">
        <w:rPr>
          <w:rFonts w:ascii="Times New Roman" w:hAnsi="Times New Roman"/>
          <w:sz w:val="16"/>
          <w:szCs w:val="16"/>
          <w:lang w:val="en-US"/>
        </w:rPr>
        <w:t>opulation</w:t>
      </w:r>
      <w:r>
        <w:rPr>
          <w:rFonts w:ascii="Times New Roman" w:hAnsi="Times New Roman"/>
          <w:sz w:val="16"/>
          <w:szCs w:val="16"/>
          <w:lang w:val="en-US"/>
        </w:rPr>
        <w:t xml:space="preserve">, </w:t>
      </w:r>
      <w:r w:rsidRPr="008C2970">
        <w:rPr>
          <w:rFonts w:ascii="Times New Roman" w:hAnsi="Times New Roman"/>
          <w:sz w:val="16"/>
          <w:szCs w:val="16"/>
          <w:lang w:val="en-US"/>
        </w:rPr>
        <w:t>BUCREP</w:t>
      </w:r>
      <w:r>
        <w:rPr>
          <w:rFonts w:ascii="Times New Roman" w:hAnsi="Times New Roman"/>
          <w:sz w:val="16"/>
          <w:szCs w:val="16"/>
          <w:lang w:val="en-US"/>
        </w:rPr>
        <w:t xml:space="preserve">, </w:t>
      </w:r>
      <w:r w:rsidRPr="008C2970">
        <w:rPr>
          <w:rFonts w:ascii="Times New Roman" w:hAnsi="Times New Roman"/>
          <w:sz w:val="16"/>
          <w:szCs w:val="16"/>
          <w:lang w:val="en-US"/>
        </w:rPr>
        <w:t>2018</w:t>
      </w:r>
      <w:r>
        <w:rPr>
          <w:rFonts w:ascii="Times New Roman" w:hAnsi="Times New Roman"/>
          <w:sz w:val="16"/>
          <w:szCs w:val="16"/>
          <w:lang w:val="en-US"/>
        </w:rPr>
        <w:t>.</w:t>
      </w:r>
    </w:p>
  </w:footnote>
  <w:footnote w:id="8">
    <w:p w14:paraId="708E1800" w14:textId="11FA4DA0" w:rsidR="00C11983" w:rsidRPr="008C2970" w:rsidRDefault="00C11983">
      <w:pPr>
        <w:pStyle w:val="FootnoteText"/>
        <w:rPr>
          <w:rFonts w:ascii="Times New Roman" w:hAnsi="Times New Roman"/>
          <w:sz w:val="16"/>
          <w:szCs w:val="16"/>
          <w:lang w:val="fr-FR"/>
        </w:rPr>
      </w:pPr>
      <w:r w:rsidRPr="008C2970">
        <w:rPr>
          <w:rStyle w:val="FootnoteReference"/>
          <w:rFonts w:ascii="Times New Roman" w:hAnsi="Times New Roman"/>
          <w:sz w:val="16"/>
          <w:szCs w:val="16"/>
        </w:rPr>
        <w:footnoteRef/>
      </w:r>
      <w:r w:rsidRPr="008C2970">
        <w:rPr>
          <w:rFonts w:ascii="Times New Roman" w:hAnsi="Times New Roman"/>
          <w:sz w:val="16"/>
          <w:szCs w:val="16"/>
          <w:lang w:val="fr-FR"/>
        </w:rPr>
        <w:t xml:space="preserve"> </w:t>
      </w:r>
      <w:r w:rsidRPr="00FB3A50">
        <w:rPr>
          <w:rFonts w:ascii="Times New Roman" w:hAnsi="Times New Roman"/>
          <w:i/>
          <w:iCs/>
          <w:sz w:val="16"/>
          <w:szCs w:val="16"/>
          <w:lang w:val="fr-FR"/>
        </w:rPr>
        <w:t>Genre, inclusion financière et pauvreté au Cameroun</w:t>
      </w:r>
      <w:r w:rsidRPr="008C2970">
        <w:rPr>
          <w:rFonts w:ascii="Times New Roman" w:hAnsi="Times New Roman"/>
          <w:sz w:val="16"/>
          <w:szCs w:val="16"/>
          <w:lang w:val="fr-FR"/>
        </w:rPr>
        <w:t>, I</w:t>
      </w:r>
      <w:r>
        <w:rPr>
          <w:rFonts w:ascii="Times New Roman" w:hAnsi="Times New Roman"/>
          <w:sz w:val="16"/>
          <w:szCs w:val="16"/>
          <w:lang w:val="fr-FR"/>
        </w:rPr>
        <w:t xml:space="preserve">nstitut national de statistique, </w:t>
      </w:r>
      <w:r w:rsidRPr="008C2970">
        <w:rPr>
          <w:rFonts w:ascii="Times New Roman" w:hAnsi="Times New Roman"/>
          <w:sz w:val="16"/>
          <w:szCs w:val="16"/>
          <w:lang w:val="fr-FR"/>
        </w:rPr>
        <w:t>Mai</w:t>
      </w:r>
      <w:r>
        <w:rPr>
          <w:rFonts w:ascii="Times New Roman" w:hAnsi="Times New Roman"/>
          <w:sz w:val="16"/>
          <w:szCs w:val="16"/>
          <w:lang w:val="fr-FR"/>
        </w:rPr>
        <w:t xml:space="preserve"> </w:t>
      </w:r>
      <w:r w:rsidRPr="008C2970">
        <w:rPr>
          <w:rFonts w:ascii="Times New Roman" w:hAnsi="Times New Roman"/>
          <w:sz w:val="16"/>
          <w:szCs w:val="16"/>
          <w:lang w:val="fr-FR"/>
        </w:rPr>
        <w:t>2020</w:t>
      </w:r>
      <w:r>
        <w:rPr>
          <w:rFonts w:ascii="Times New Roman" w:hAnsi="Times New Roman"/>
          <w:sz w:val="16"/>
          <w:szCs w:val="16"/>
          <w:lang w:val="fr-FR"/>
        </w:rPr>
        <w:t>.</w:t>
      </w:r>
    </w:p>
  </w:footnote>
  <w:footnote w:id="9">
    <w:p w14:paraId="3F0E7915" w14:textId="4A80BF67" w:rsidR="00C11983" w:rsidRPr="00A0784B" w:rsidRDefault="00C11983">
      <w:pPr>
        <w:pStyle w:val="FootnoteText"/>
        <w:rPr>
          <w:lang w:val="en-US"/>
        </w:rPr>
      </w:pPr>
      <w:r w:rsidRPr="008C2970">
        <w:rPr>
          <w:rStyle w:val="FootnoteReference"/>
          <w:rFonts w:ascii="Times New Roman" w:hAnsi="Times New Roman"/>
          <w:sz w:val="16"/>
          <w:szCs w:val="16"/>
        </w:rPr>
        <w:footnoteRef/>
      </w:r>
      <w:r w:rsidRPr="008C2970">
        <w:rPr>
          <w:rFonts w:ascii="Times New Roman" w:hAnsi="Times New Roman"/>
          <w:sz w:val="16"/>
          <w:szCs w:val="16"/>
        </w:rPr>
        <w:t xml:space="preserve"> </w:t>
      </w:r>
      <w:r w:rsidRPr="008C2970">
        <w:rPr>
          <w:rFonts w:ascii="Times New Roman" w:hAnsi="Times New Roman"/>
          <w:sz w:val="16"/>
          <w:szCs w:val="16"/>
          <w:lang w:val="en-US"/>
        </w:rPr>
        <w:t>Sight</w:t>
      </w:r>
      <w:r>
        <w:rPr>
          <w:rFonts w:ascii="Times New Roman" w:hAnsi="Times New Roman"/>
          <w:sz w:val="16"/>
          <w:szCs w:val="16"/>
          <w:lang w:val="en-US"/>
        </w:rPr>
        <w:t>s</w:t>
      </w:r>
      <w:r w:rsidRPr="008C2970">
        <w:rPr>
          <w:rFonts w:ascii="Times New Roman" w:hAnsi="Times New Roman"/>
          <w:sz w:val="16"/>
          <w:szCs w:val="16"/>
          <w:lang w:val="en-US"/>
        </w:rPr>
        <w:t>avers, 2016</w:t>
      </w:r>
      <w:r>
        <w:rPr>
          <w:rFonts w:ascii="Times New Roman" w:hAnsi="Times New Roman"/>
          <w:sz w:val="16"/>
          <w:szCs w:val="16"/>
          <w:lang w:val="en-US"/>
        </w:rPr>
        <w:t>.</w:t>
      </w:r>
    </w:p>
  </w:footnote>
  <w:footnote w:id="10">
    <w:p w14:paraId="0B00C986" w14:textId="3BC681BE" w:rsidR="00C11983" w:rsidRPr="00A60741" w:rsidRDefault="00C11983">
      <w:pPr>
        <w:pStyle w:val="FootnoteText"/>
        <w:rPr>
          <w:lang w:val="en-US"/>
        </w:rPr>
      </w:pPr>
      <w:r>
        <w:rPr>
          <w:rStyle w:val="FootnoteReference"/>
        </w:rPr>
        <w:footnoteRef/>
      </w:r>
      <w:r>
        <w:t xml:space="preserve"> </w:t>
      </w:r>
      <w:r w:rsidRPr="00353315">
        <w:rPr>
          <w:rFonts w:ascii="Times New Roman" w:hAnsi="Times New Roman"/>
          <w:sz w:val="16"/>
          <w:szCs w:val="16"/>
        </w:rPr>
        <w:t xml:space="preserve">National COVID-19 response plan, National COVID-19 vaccine deployment plan, National </w:t>
      </w:r>
      <w:r>
        <w:rPr>
          <w:rFonts w:ascii="Times New Roman" w:hAnsi="Times New Roman"/>
          <w:sz w:val="16"/>
          <w:szCs w:val="16"/>
        </w:rPr>
        <w:t>i</w:t>
      </w:r>
      <w:r w:rsidRPr="00353315">
        <w:rPr>
          <w:rFonts w:ascii="Times New Roman" w:hAnsi="Times New Roman"/>
          <w:sz w:val="16"/>
          <w:szCs w:val="16"/>
        </w:rPr>
        <w:t xml:space="preserve">nclusive </w:t>
      </w:r>
      <w:r>
        <w:rPr>
          <w:rFonts w:ascii="Times New Roman" w:hAnsi="Times New Roman"/>
          <w:sz w:val="16"/>
          <w:szCs w:val="16"/>
        </w:rPr>
        <w:t>f</w:t>
      </w:r>
      <w:r w:rsidRPr="00353315">
        <w:rPr>
          <w:rFonts w:ascii="Times New Roman" w:hAnsi="Times New Roman"/>
          <w:sz w:val="16"/>
          <w:szCs w:val="16"/>
        </w:rPr>
        <w:t xml:space="preserve">inance </w:t>
      </w:r>
      <w:r>
        <w:rPr>
          <w:rFonts w:ascii="Times New Roman" w:hAnsi="Times New Roman"/>
          <w:sz w:val="16"/>
          <w:szCs w:val="16"/>
        </w:rPr>
        <w:t>s</w:t>
      </w:r>
      <w:r w:rsidRPr="00353315">
        <w:rPr>
          <w:rFonts w:ascii="Times New Roman" w:hAnsi="Times New Roman"/>
          <w:sz w:val="16"/>
          <w:szCs w:val="16"/>
        </w:rPr>
        <w:t xml:space="preserve">trategy, Special </w:t>
      </w:r>
      <w:r>
        <w:rPr>
          <w:rFonts w:ascii="Times New Roman" w:hAnsi="Times New Roman"/>
          <w:sz w:val="16"/>
          <w:szCs w:val="16"/>
        </w:rPr>
        <w:t>t</w:t>
      </w:r>
      <w:r w:rsidRPr="00353315">
        <w:rPr>
          <w:rFonts w:ascii="Times New Roman" w:hAnsi="Times New Roman"/>
          <w:sz w:val="16"/>
          <w:szCs w:val="16"/>
        </w:rPr>
        <w:t xml:space="preserve">hree-year </w:t>
      </w:r>
      <w:r>
        <w:rPr>
          <w:rFonts w:ascii="Times New Roman" w:hAnsi="Times New Roman"/>
          <w:sz w:val="16"/>
          <w:szCs w:val="16"/>
        </w:rPr>
        <w:t>y</w:t>
      </w:r>
      <w:r w:rsidRPr="00353315">
        <w:rPr>
          <w:rFonts w:ascii="Times New Roman" w:hAnsi="Times New Roman"/>
          <w:sz w:val="16"/>
          <w:szCs w:val="16"/>
        </w:rPr>
        <w:t xml:space="preserve">outh </w:t>
      </w:r>
      <w:r w:rsidR="000A701E">
        <w:rPr>
          <w:rFonts w:ascii="Times New Roman" w:hAnsi="Times New Roman"/>
          <w:sz w:val="16"/>
          <w:szCs w:val="16"/>
        </w:rPr>
        <w:t>p</w:t>
      </w:r>
      <w:r w:rsidRPr="00353315">
        <w:rPr>
          <w:rFonts w:ascii="Times New Roman" w:hAnsi="Times New Roman"/>
          <w:sz w:val="16"/>
          <w:szCs w:val="16"/>
        </w:rPr>
        <w:t xml:space="preserve">lan, National </w:t>
      </w:r>
      <w:r>
        <w:rPr>
          <w:rFonts w:ascii="Times New Roman" w:hAnsi="Times New Roman"/>
          <w:sz w:val="16"/>
          <w:szCs w:val="16"/>
        </w:rPr>
        <w:t>g</w:t>
      </w:r>
      <w:r w:rsidRPr="00353315">
        <w:rPr>
          <w:rFonts w:ascii="Times New Roman" w:hAnsi="Times New Roman"/>
          <w:sz w:val="16"/>
          <w:szCs w:val="16"/>
        </w:rPr>
        <w:t xml:space="preserve">ender </w:t>
      </w:r>
      <w:r>
        <w:rPr>
          <w:rFonts w:ascii="Times New Roman" w:hAnsi="Times New Roman"/>
          <w:sz w:val="16"/>
          <w:szCs w:val="16"/>
        </w:rPr>
        <w:t>p</w:t>
      </w:r>
      <w:r w:rsidRPr="00353315">
        <w:rPr>
          <w:rFonts w:ascii="Times New Roman" w:hAnsi="Times New Roman"/>
          <w:sz w:val="16"/>
          <w:szCs w:val="16"/>
        </w:rPr>
        <w:t>olicy, National Development Strategy</w:t>
      </w:r>
      <w:r>
        <w:rPr>
          <w:rFonts w:ascii="Times New Roman" w:hAnsi="Times New Roman"/>
          <w:sz w:val="16"/>
          <w:szCs w:val="16"/>
        </w:rPr>
        <w:t>,</w:t>
      </w:r>
      <w:r w:rsidRPr="00353315">
        <w:rPr>
          <w:rFonts w:ascii="Times New Roman" w:hAnsi="Times New Roman"/>
          <w:sz w:val="16"/>
          <w:szCs w:val="16"/>
        </w:rPr>
        <w:t>2020 -2030</w:t>
      </w:r>
      <w:r>
        <w:rPr>
          <w:rFonts w:ascii="Times New Roman" w:hAnsi="Times New Roman"/>
          <w:sz w:val="16"/>
          <w:szCs w:val="16"/>
        </w:rPr>
        <w:t>.</w:t>
      </w:r>
    </w:p>
  </w:footnote>
  <w:footnote w:id="11">
    <w:p w14:paraId="5E55F240" w14:textId="77777777" w:rsidR="00C11983" w:rsidRPr="00104A63" w:rsidRDefault="00C11983" w:rsidP="00060F7A">
      <w:pPr>
        <w:pStyle w:val="FootnoteText"/>
        <w:rPr>
          <w:rFonts w:ascii="Times New Roman" w:hAnsi="Times New Roman"/>
          <w:sz w:val="16"/>
          <w:szCs w:val="16"/>
          <w:lang w:val="en-US"/>
        </w:rPr>
      </w:pPr>
      <w:r w:rsidRPr="00104A63">
        <w:rPr>
          <w:rStyle w:val="FootnoteReference"/>
          <w:rFonts w:ascii="Times New Roman" w:hAnsi="Times New Roman"/>
          <w:sz w:val="16"/>
          <w:szCs w:val="16"/>
        </w:rPr>
        <w:footnoteRef/>
      </w:r>
      <w:r w:rsidRPr="00104A63">
        <w:rPr>
          <w:rFonts w:ascii="Times New Roman" w:hAnsi="Times New Roman"/>
          <w:sz w:val="16"/>
          <w:szCs w:val="16"/>
        </w:rPr>
        <w:t xml:space="preserve"> </w:t>
      </w:r>
      <w:r w:rsidRPr="00104A63">
        <w:rPr>
          <w:rFonts w:ascii="Times New Roman" w:hAnsi="Times New Roman"/>
          <w:color w:val="000000" w:themeColor="text1"/>
          <w:sz w:val="16"/>
          <w:szCs w:val="16"/>
        </w:rPr>
        <w:t xml:space="preserve">Ministry of Finance  </w:t>
      </w:r>
    </w:p>
  </w:footnote>
  <w:footnote w:id="12">
    <w:p w14:paraId="223B740B" w14:textId="77777777" w:rsidR="00C11983" w:rsidRPr="00104A63" w:rsidRDefault="00C11983" w:rsidP="00060F7A">
      <w:pPr>
        <w:pStyle w:val="FootnoteText"/>
        <w:tabs>
          <w:tab w:val="left" w:pos="1056"/>
        </w:tabs>
        <w:rPr>
          <w:rFonts w:ascii="Times New Roman" w:hAnsi="Times New Roman"/>
          <w:sz w:val="16"/>
          <w:szCs w:val="16"/>
          <w:lang w:val="en-US"/>
        </w:rPr>
      </w:pPr>
      <w:r w:rsidRPr="00104A63">
        <w:rPr>
          <w:rStyle w:val="FootnoteReference"/>
          <w:rFonts w:ascii="Times New Roman" w:hAnsi="Times New Roman"/>
          <w:sz w:val="16"/>
          <w:szCs w:val="16"/>
        </w:rPr>
        <w:footnoteRef/>
      </w:r>
      <w:r w:rsidRPr="00104A63">
        <w:rPr>
          <w:rFonts w:ascii="Times New Roman" w:hAnsi="Times New Roman"/>
          <w:sz w:val="16"/>
          <w:szCs w:val="16"/>
        </w:rPr>
        <w:t xml:space="preserve"> </w:t>
      </w:r>
      <w:r w:rsidRPr="00104A63">
        <w:rPr>
          <w:rFonts w:ascii="Times New Roman" w:hAnsi="Times New Roman"/>
          <w:color w:val="000000" w:themeColor="text1"/>
          <w:sz w:val="16"/>
          <w:szCs w:val="16"/>
        </w:rPr>
        <w:t>Ministry of Economy, Planning and Regional Development</w:t>
      </w:r>
      <w:r w:rsidRPr="00104A63">
        <w:rPr>
          <w:rFonts w:ascii="Times New Roman" w:hAnsi="Times New Roman"/>
          <w:sz w:val="16"/>
          <w:szCs w:val="16"/>
        </w:rPr>
        <w:tab/>
      </w:r>
    </w:p>
  </w:footnote>
  <w:footnote w:id="13">
    <w:p w14:paraId="636FCA85" w14:textId="2617AF6D" w:rsidR="00C11983" w:rsidRPr="00DC672A" w:rsidRDefault="00C11983" w:rsidP="00DC672A">
      <w:pPr>
        <w:rPr>
          <w:color w:val="000000" w:themeColor="text1"/>
          <w:sz w:val="16"/>
          <w:szCs w:val="16"/>
        </w:rPr>
      </w:pPr>
      <w:r w:rsidRPr="00104A63">
        <w:rPr>
          <w:rStyle w:val="FootnoteReference"/>
          <w:sz w:val="16"/>
          <w:szCs w:val="16"/>
        </w:rPr>
        <w:footnoteRef/>
      </w:r>
      <w:r w:rsidRPr="00104A63">
        <w:rPr>
          <w:sz w:val="16"/>
          <w:szCs w:val="16"/>
        </w:rPr>
        <w:t xml:space="preserve"> </w:t>
      </w:r>
      <w:r w:rsidRPr="00104A63">
        <w:rPr>
          <w:color w:val="000000" w:themeColor="text1"/>
          <w:sz w:val="16"/>
          <w:szCs w:val="16"/>
        </w:rPr>
        <w:t>Ministry of Agriculture and Rural Development</w:t>
      </w:r>
    </w:p>
  </w:footnote>
  <w:footnote w:id="14">
    <w:p w14:paraId="2A08135A" w14:textId="3DBD21E9" w:rsidR="00C11983" w:rsidRPr="00DC672A" w:rsidRDefault="00C11983" w:rsidP="00DC672A">
      <w:pPr>
        <w:rPr>
          <w:color w:val="000000" w:themeColor="text1"/>
          <w:sz w:val="16"/>
          <w:szCs w:val="16"/>
        </w:rPr>
      </w:pPr>
      <w:r w:rsidRPr="00C925E8">
        <w:rPr>
          <w:rStyle w:val="FootnoteReference"/>
          <w:sz w:val="16"/>
          <w:szCs w:val="16"/>
        </w:rPr>
        <w:footnoteRef/>
      </w:r>
      <w:r w:rsidRPr="00C925E8">
        <w:rPr>
          <w:sz w:val="16"/>
          <w:szCs w:val="16"/>
        </w:rPr>
        <w:t xml:space="preserve"> </w:t>
      </w:r>
      <w:r w:rsidRPr="00C925E8">
        <w:rPr>
          <w:color w:val="000000" w:themeColor="text1"/>
          <w:sz w:val="16"/>
          <w:szCs w:val="16"/>
        </w:rPr>
        <w:t>Ministry of Trade</w:t>
      </w:r>
    </w:p>
  </w:footnote>
  <w:footnote w:id="15">
    <w:p w14:paraId="12DB3525" w14:textId="77777777" w:rsidR="00C11983" w:rsidRPr="00C925E8" w:rsidRDefault="00C11983" w:rsidP="00060F7A">
      <w:pPr>
        <w:pStyle w:val="FootnoteText"/>
        <w:rPr>
          <w:lang w:val="en-US"/>
        </w:rPr>
      </w:pPr>
      <w:r w:rsidRPr="00C925E8">
        <w:rPr>
          <w:rStyle w:val="FootnoteReference"/>
          <w:rFonts w:ascii="Times New Roman" w:hAnsi="Times New Roman"/>
          <w:sz w:val="16"/>
          <w:szCs w:val="16"/>
        </w:rPr>
        <w:footnoteRef/>
      </w:r>
      <w:r w:rsidRPr="00C925E8">
        <w:rPr>
          <w:rFonts w:ascii="Times New Roman" w:hAnsi="Times New Roman"/>
          <w:sz w:val="16"/>
          <w:szCs w:val="16"/>
        </w:rPr>
        <w:t xml:space="preserve"> </w:t>
      </w:r>
      <w:r w:rsidRPr="00C925E8">
        <w:rPr>
          <w:rFonts w:ascii="Times New Roman" w:hAnsi="Times New Roman"/>
          <w:color w:val="000000" w:themeColor="text1"/>
          <w:sz w:val="16"/>
          <w:szCs w:val="16"/>
        </w:rPr>
        <w:t>Ministry of Employment and Vocational Training</w:t>
      </w:r>
    </w:p>
  </w:footnote>
  <w:footnote w:id="16">
    <w:p w14:paraId="7E9290EC" w14:textId="295D7BE5" w:rsidR="00C11983" w:rsidRPr="00C925E8" w:rsidRDefault="00C11983" w:rsidP="00060F7A">
      <w:pPr>
        <w:pStyle w:val="FootnoteText"/>
        <w:rPr>
          <w:rFonts w:ascii="Times New Roman" w:hAnsi="Times New Roman"/>
          <w:sz w:val="16"/>
          <w:szCs w:val="16"/>
          <w:lang w:val="en-US"/>
        </w:rPr>
      </w:pPr>
      <w:r w:rsidRPr="00C925E8">
        <w:rPr>
          <w:rStyle w:val="FootnoteReference"/>
          <w:rFonts w:ascii="Times New Roman" w:hAnsi="Times New Roman"/>
          <w:sz w:val="16"/>
          <w:szCs w:val="16"/>
        </w:rPr>
        <w:footnoteRef/>
      </w:r>
      <w:r w:rsidRPr="00C925E8">
        <w:rPr>
          <w:rFonts w:ascii="Times New Roman" w:hAnsi="Times New Roman"/>
          <w:sz w:val="16"/>
          <w:szCs w:val="16"/>
        </w:rPr>
        <w:t xml:space="preserve"> </w:t>
      </w:r>
      <w:r w:rsidRPr="00C925E8">
        <w:rPr>
          <w:rFonts w:ascii="Times New Roman" w:hAnsi="Times New Roman"/>
          <w:color w:val="000000" w:themeColor="text1"/>
          <w:sz w:val="16"/>
          <w:szCs w:val="16"/>
          <w:shd w:val="clear" w:color="auto" w:fill="FFFFFF"/>
        </w:rPr>
        <w:t xml:space="preserve">Ministry of small and medium-sized </w:t>
      </w:r>
      <w:r w:rsidR="00F95921">
        <w:rPr>
          <w:rFonts w:ascii="Times New Roman" w:hAnsi="Times New Roman"/>
          <w:color w:val="000000" w:themeColor="text1"/>
          <w:sz w:val="16"/>
          <w:szCs w:val="16"/>
          <w:shd w:val="clear" w:color="auto" w:fill="FFFFFF"/>
        </w:rPr>
        <w:t>E</w:t>
      </w:r>
      <w:r w:rsidRPr="00C925E8">
        <w:rPr>
          <w:rFonts w:ascii="Times New Roman" w:hAnsi="Times New Roman"/>
          <w:color w:val="000000" w:themeColor="text1"/>
          <w:sz w:val="16"/>
          <w:szCs w:val="16"/>
          <w:shd w:val="clear" w:color="auto" w:fill="FFFFFF"/>
        </w:rPr>
        <w:t xml:space="preserve">nterprises, </w:t>
      </w:r>
      <w:r w:rsidR="00F95921">
        <w:rPr>
          <w:rFonts w:ascii="Times New Roman" w:hAnsi="Times New Roman"/>
          <w:color w:val="000000" w:themeColor="text1"/>
          <w:sz w:val="16"/>
          <w:szCs w:val="16"/>
          <w:shd w:val="clear" w:color="auto" w:fill="FFFFFF"/>
        </w:rPr>
        <w:t>S</w:t>
      </w:r>
      <w:r w:rsidRPr="00C925E8">
        <w:rPr>
          <w:rFonts w:ascii="Times New Roman" w:hAnsi="Times New Roman"/>
          <w:color w:val="000000" w:themeColor="text1"/>
          <w:sz w:val="16"/>
          <w:szCs w:val="16"/>
          <w:shd w:val="clear" w:color="auto" w:fill="FFFFFF"/>
        </w:rPr>
        <w:t xml:space="preserve">ocial </w:t>
      </w:r>
      <w:r w:rsidR="00F95921">
        <w:rPr>
          <w:rFonts w:ascii="Times New Roman" w:hAnsi="Times New Roman"/>
          <w:color w:val="000000" w:themeColor="text1"/>
          <w:sz w:val="16"/>
          <w:szCs w:val="16"/>
          <w:shd w:val="clear" w:color="auto" w:fill="FFFFFF"/>
        </w:rPr>
        <w:t>E</w:t>
      </w:r>
      <w:r w:rsidRPr="00C925E8">
        <w:rPr>
          <w:rFonts w:ascii="Times New Roman" w:hAnsi="Times New Roman"/>
          <w:color w:val="000000" w:themeColor="text1"/>
          <w:sz w:val="16"/>
          <w:szCs w:val="16"/>
          <w:shd w:val="clear" w:color="auto" w:fill="FFFFFF"/>
        </w:rPr>
        <w:t xml:space="preserve">conomy and </w:t>
      </w:r>
      <w:r w:rsidR="00F95921">
        <w:rPr>
          <w:rFonts w:ascii="Times New Roman" w:hAnsi="Times New Roman"/>
          <w:color w:val="000000" w:themeColor="text1"/>
          <w:sz w:val="16"/>
          <w:szCs w:val="16"/>
          <w:shd w:val="clear" w:color="auto" w:fill="FFFFFF"/>
        </w:rPr>
        <w:t>H</w:t>
      </w:r>
      <w:r w:rsidRPr="00C925E8">
        <w:rPr>
          <w:rFonts w:ascii="Times New Roman" w:hAnsi="Times New Roman"/>
          <w:color w:val="000000" w:themeColor="text1"/>
          <w:sz w:val="16"/>
          <w:szCs w:val="16"/>
          <w:shd w:val="clear" w:color="auto" w:fill="FFFFFF"/>
        </w:rPr>
        <w:t>andicrafts</w:t>
      </w:r>
    </w:p>
  </w:footnote>
  <w:footnote w:id="17">
    <w:p w14:paraId="57CEAEAF" w14:textId="77777777" w:rsidR="00C11983" w:rsidRPr="00C925E8" w:rsidRDefault="00C11983" w:rsidP="00060F7A">
      <w:pPr>
        <w:pStyle w:val="FootnoteText"/>
        <w:rPr>
          <w:rFonts w:ascii="Times New Roman" w:hAnsi="Times New Roman"/>
          <w:sz w:val="16"/>
          <w:szCs w:val="16"/>
          <w:lang w:val="en-US"/>
        </w:rPr>
      </w:pPr>
      <w:r w:rsidRPr="00C925E8">
        <w:rPr>
          <w:rStyle w:val="FootnoteReference"/>
          <w:rFonts w:ascii="Times New Roman" w:hAnsi="Times New Roman"/>
          <w:sz w:val="16"/>
          <w:szCs w:val="16"/>
        </w:rPr>
        <w:footnoteRef/>
      </w:r>
      <w:r w:rsidRPr="00C925E8">
        <w:rPr>
          <w:rFonts w:ascii="Times New Roman" w:hAnsi="Times New Roman"/>
          <w:sz w:val="16"/>
          <w:szCs w:val="16"/>
        </w:rPr>
        <w:t xml:space="preserve"> </w:t>
      </w:r>
      <w:r w:rsidRPr="00C925E8">
        <w:rPr>
          <w:rFonts w:ascii="Times New Roman" w:hAnsi="Times New Roman"/>
          <w:color w:val="000000" w:themeColor="text1"/>
          <w:sz w:val="16"/>
          <w:szCs w:val="16"/>
        </w:rPr>
        <w:t>Ministry for Women Empowerment</w:t>
      </w:r>
    </w:p>
  </w:footnote>
  <w:footnote w:id="18">
    <w:p w14:paraId="22585117" w14:textId="75B1B8EB" w:rsidR="00C11983" w:rsidRPr="00C925E8" w:rsidRDefault="00C11983" w:rsidP="00060F7A">
      <w:pPr>
        <w:rPr>
          <w:color w:val="000000" w:themeColor="text1"/>
          <w:sz w:val="16"/>
          <w:szCs w:val="16"/>
        </w:rPr>
      </w:pPr>
      <w:r w:rsidRPr="00C925E8">
        <w:rPr>
          <w:rStyle w:val="FootnoteReference"/>
          <w:sz w:val="16"/>
          <w:szCs w:val="16"/>
        </w:rPr>
        <w:footnoteRef/>
      </w:r>
      <w:r w:rsidRPr="00C925E8">
        <w:rPr>
          <w:sz w:val="16"/>
          <w:szCs w:val="16"/>
        </w:rPr>
        <w:t xml:space="preserve">  </w:t>
      </w:r>
      <w:r w:rsidRPr="00C925E8">
        <w:rPr>
          <w:color w:val="000000" w:themeColor="text1"/>
          <w:sz w:val="16"/>
          <w:szCs w:val="16"/>
        </w:rPr>
        <w:t>Ministry of Mines, Industry and Technological Development</w:t>
      </w:r>
    </w:p>
    <w:p w14:paraId="312BAD35" w14:textId="77777777" w:rsidR="00C11983" w:rsidRPr="00C925E8" w:rsidRDefault="00C11983" w:rsidP="00060F7A">
      <w:pPr>
        <w:pStyle w:val="FootnoteText"/>
      </w:pPr>
    </w:p>
  </w:footnote>
  <w:footnote w:id="19">
    <w:p w14:paraId="73A09986" w14:textId="3A5FE309" w:rsidR="00C11983" w:rsidRPr="00F27B51" w:rsidRDefault="00C11983" w:rsidP="00060F7A">
      <w:pPr>
        <w:pStyle w:val="FootnoteText"/>
        <w:rPr>
          <w:rFonts w:ascii="Times New Roman" w:hAnsi="Times New Roman"/>
          <w:sz w:val="17"/>
          <w:szCs w:val="17"/>
          <w:lang w:val="en-US"/>
        </w:rPr>
      </w:pPr>
      <w:r w:rsidRPr="00F27B51">
        <w:rPr>
          <w:rStyle w:val="FootnoteReference"/>
          <w:rFonts w:ascii="Times New Roman" w:hAnsi="Times New Roman"/>
          <w:sz w:val="17"/>
          <w:szCs w:val="17"/>
        </w:rPr>
        <w:footnoteRef/>
      </w:r>
      <w:r w:rsidRPr="00F27B51">
        <w:rPr>
          <w:rFonts w:ascii="Times New Roman" w:hAnsi="Times New Roman"/>
          <w:sz w:val="17"/>
          <w:szCs w:val="17"/>
        </w:rPr>
        <w:t xml:space="preserve"> </w:t>
      </w:r>
      <w:r w:rsidRPr="00F27B51">
        <w:rPr>
          <w:rFonts w:ascii="Times New Roman" w:hAnsi="Times New Roman"/>
          <w:sz w:val="17"/>
          <w:szCs w:val="17"/>
          <w:lang w:val="en-US"/>
        </w:rPr>
        <w:t>W</w:t>
      </w:r>
      <w:r>
        <w:rPr>
          <w:rFonts w:ascii="Times New Roman" w:hAnsi="Times New Roman"/>
          <w:sz w:val="17"/>
          <w:szCs w:val="17"/>
          <w:lang w:val="en-US"/>
        </w:rPr>
        <w:t xml:space="preserve">orld </w:t>
      </w:r>
      <w:r w:rsidRPr="00F27B51">
        <w:rPr>
          <w:rFonts w:ascii="Times New Roman" w:hAnsi="Times New Roman"/>
          <w:sz w:val="17"/>
          <w:szCs w:val="17"/>
          <w:lang w:val="en-US"/>
        </w:rPr>
        <w:t>B</w:t>
      </w:r>
      <w:r>
        <w:rPr>
          <w:rFonts w:ascii="Times New Roman" w:hAnsi="Times New Roman"/>
          <w:sz w:val="17"/>
          <w:szCs w:val="17"/>
          <w:lang w:val="en-US"/>
        </w:rPr>
        <w:t>ank</w:t>
      </w:r>
      <w:r w:rsidRPr="00F27B51">
        <w:rPr>
          <w:rFonts w:ascii="Times New Roman" w:hAnsi="Times New Roman"/>
          <w:sz w:val="17"/>
          <w:szCs w:val="17"/>
          <w:lang w:val="en-US"/>
        </w:rPr>
        <w:t>,</w:t>
      </w:r>
      <w:r>
        <w:rPr>
          <w:rFonts w:ascii="Times New Roman" w:hAnsi="Times New Roman"/>
          <w:sz w:val="17"/>
          <w:szCs w:val="17"/>
          <w:lang w:val="en-US"/>
        </w:rPr>
        <w:t xml:space="preserve"> </w:t>
      </w:r>
      <w:r w:rsidRPr="00F27B51">
        <w:rPr>
          <w:rFonts w:ascii="Times New Roman" w:hAnsi="Times New Roman"/>
          <w:sz w:val="17"/>
          <w:szCs w:val="17"/>
          <w:lang w:val="en-US"/>
        </w:rPr>
        <w:t>IDB and BADEA</w:t>
      </w:r>
      <w:r>
        <w:rPr>
          <w:rFonts w:ascii="Times New Roman" w:hAnsi="Times New Roman"/>
          <w:sz w:val="17"/>
          <w:szCs w:val="17"/>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1983" w:rsidRPr="00617935" w14:paraId="7167EABD" w14:textId="77777777" w:rsidTr="002524AB">
      <w:trPr>
        <w:trHeight w:hRule="exact" w:val="864"/>
      </w:trPr>
      <w:tc>
        <w:tcPr>
          <w:tcW w:w="4838" w:type="dxa"/>
          <w:shd w:val="clear" w:color="auto" w:fill="auto"/>
          <w:vAlign w:val="bottom"/>
        </w:tcPr>
        <w:p w14:paraId="3A74FF89" w14:textId="77777777" w:rsidR="00C11983" w:rsidRPr="00617935" w:rsidRDefault="00C11983" w:rsidP="002A7740">
          <w:pPr>
            <w:tabs>
              <w:tab w:val="center" w:pos="4320"/>
              <w:tab w:val="right" w:pos="8640"/>
            </w:tabs>
            <w:spacing w:after="80"/>
            <w:rPr>
              <w:b/>
              <w:noProof/>
              <w:sz w:val="17"/>
              <w:lang w:val="en-US"/>
            </w:rPr>
          </w:pPr>
        </w:p>
      </w:tc>
      <w:tc>
        <w:tcPr>
          <w:tcW w:w="5033" w:type="dxa"/>
          <w:shd w:val="clear" w:color="auto" w:fill="auto"/>
          <w:vAlign w:val="bottom"/>
        </w:tcPr>
        <w:p w14:paraId="357C0210" w14:textId="1AB497DD" w:rsidR="00C11983" w:rsidRPr="00617935" w:rsidRDefault="00C11983" w:rsidP="002A7740">
          <w:pPr>
            <w:tabs>
              <w:tab w:val="center" w:pos="4320"/>
              <w:tab w:val="right" w:pos="8640"/>
            </w:tabs>
            <w:jc w:val="right"/>
            <w:rPr>
              <w:b/>
              <w:noProof/>
              <w:sz w:val="17"/>
              <w:lang w:val="en-US"/>
            </w:rPr>
          </w:pPr>
          <w:r w:rsidRPr="00617935">
            <w:rPr>
              <w:b/>
              <w:noProof/>
              <w:sz w:val="17"/>
              <w:lang w:val="en-US"/>
            </w:rPr>
            <w:t>DP/DCP/</w:t>
          </w:r>
          <w:r>
            <w:rPr>
              <w:b/>
              <w:noProof/>
              <w:sz w:val="17"/>
              <w:lang w:val="en-US"/>
            </w:rPr>
            <w:t>CMR</w:t>
          </w:r>
          <w:r w:rsidRPr="00617935">
            <w:rPr>
              <w:b/>
              <w:noProof/>
              <w:sz w:val="17"/>
              <w:lang w:val="en-US"/>
            </w:rPr>
            <w:t>/4</w:t>
          </w:r>
        </w:p>
      </w:tc>
    </w:tr>
  </w:tbl>
  <w:p w14:paraId="2440D553" w14:textId="77999C71" w:rsidR="00C11983" w:rsidRPr="002A7740" w:rsidRDefault="00C11983" w:rsidP="00C07D99">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11983" w:rsidRPr="00657A41" w14:paraId="71316048" w14:textId="77777777" w:rsidTr="002524AB">
      <w:trPr>
        <w:trHeight w:hRule="exact" w:val="864"/>
      </w:trPr>
      <w:tc>
        <w:tcPr>
          <w:tcW w:w="1267" w:type="dxa"/>
          <w:tcBorders>
            <w:bottom w:val="single" w:sz="4" w:space="0" w:color="auto"/>
          </w:tcBorders>
          <w:shd w:val="clear" w:color="auto" w:fill="auto"/>
          <w:vAlign w:val="bottom"/>
        </w:tcPr>
        <w:p w14:paraId="322E9D7B" w14:textId="77777777" w:rsidR="00C11983" w:rsidRPr="00657A41" w:rsidRDefault="00C11983" w:rsidP="00361D57">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415C32E1" w14:textId="5D9F92E2" w:rsidR="00C11983" w:rsidRPr="00657A41" w:rsidRDefault="00C11983" w:rsidP="00361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0918A840" w14:textId="77777777" w:rsidR="00C11983" w:rsidRPr="00657A41" w:rsidRDefault="00C11983" w:rsidP="00361D57">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11FB4FCF" w14:textId="3B353432" w:rsidR="00C11983" w:rsidRPr="00657A41" w:rsidRDefault="00C11983" w:rsidP="00361D57">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CMR</w:t>
          </w:r>
          <w:r w:rsidRPr="00657A41">
            <w:rPr>
              <w:spacing w:val="4"/>
              <w:w w:val="103"/>
              <w:kern w:val="14"/>
              <w:position w:val="-4"/>
            </w:rPr>
            <w:t>/4</w:t>
          </w:r>
        </w:p>
      </w:tc>
    </w:tr>
    <w:tr w:rsidR="00C11983" w:rsidRPr="00657A41" w14:paraId="64BB7ED1" w14:textId="77777777" w:rsidTr="002524AB">
      <w:trPr>
        <w:gridAfter w:val="1"/>
        <w:wAfter w:w="28" w:type="dxa"/>
        <w:trHeight w:hRule="exact" w:val="2880"/>
      </w:trPr>
      <w:tc>
        <w:tcPr>
          <w:tcW w:w="1267" w:type="dxa"/>
          <w:tcBorders>
            <w:top w:val="single" w:sz="4" w:space="0" w:color="auto"/>
            <w:bottom w:val="single" w:sz="12" w:space="0" w:color="auto"/>
          </w:tcBorders>
          <w:shd w:val="clear" w:color="auto" w:fill="auto"/>
        </w:tcPr>
        <w:p w14:paraId="0E47B12E" w14:textId="77777777" w:rsidR="00C11983" w:rsidRPr="00657A41" w:rsidRDefault="00C11983" w:rsidP="00361D57">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07FCFC55" wp14:editId="0F690BA5">
                <wp:extent cx="702945" cy="592455"/>
                <wp:effectExtent l="0" t="0" r="1905" b="0"/>
                <wp:docPr id="1"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F64F179" w14:textId="77777777" w:rsidR="00C11983" w:rsidRPr="00657A41" w:rsidRDefault="00C11983" w:rsidP="00361D57">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19AC5689" w14:textId="3A921BA7" w:rsidR="00C11983" w:rsidRPr="00657A41" w:rsidRDefault="000A701E" w:rsidP="00361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F3381B">
            <w:rPr>
              <w:b/>
              <w:sz w:val="34"/>
            </w:rPr>
            <w:t>Executive Board of the</w:t>
          </w:r>
          <w:r w:rsidRPr="00F3381B">
            <w:rPr>
              <w:b/>
              <w:sz w:val="34"/>
            </w:rPr>
            <w:br/>
            <w:t>United Nations Development</w:t>
          </w:r>
          <w:r w:rsidRPr="00F3381B">
            <w:rPr>
              <w:b/>
              <w:sz w:val="34"/>
            </w:rPr>
            <w:br/>
            <w:t>Programme, the United Nations</w:t>
          </w:r>
          <w:r>
            <w:rPr>
              <w:b/>
              <w:sz w:val="34"/>
            </w:rPr>
            <w:t xml:space="preserve"> </w:t>
          </w:r>
          <w:r w:rsidRPr="00F3381B">
            <w:rPr>
              <w:b/>
              <w:sz w:val="34"/>
            </w:rPr>
            <w:t>Population Fund and the United Nations Office for Project Services</w:t>
          </w:r>
        </w:p>
      </w:tc>
      <w:tc>
        <w:tcPr>
          <w:tcW w:w="245" w:type="dxa"/>
          <w:tcBorders>
            <w:top w:val="single" w:sz="4" w:space="0" w:color="auto"/>
            <w:bottom w:val="single" w:sz="12" w:space="0" w:color="auto"/>
          </w:tcBorders>
          <w:shd w:val="clear" w:color="auto" w:fill="auto"/>
        </w:tcPr>
        <w:p w14:paraId="03808730" w14:textId="77777777" w:rsidR="00C11983" w:rsidRPr="00657A41" w:rsidRDefault="00C11983" w:rsidP="00361D57">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74CEDF80" w14:textId="77777777" w:rsidR="00C11983" w:rsidRPr="00657A41" w:rsidRDefault="00C11983" w:rsidP="00361D57">
          <w:pPr>
            <w:suppressAutoHyphens/>
            <w:spacing w:before="240" w:line="240" w:lineRule="exact"/>
            <w:rPr>
              <w:spacing w:val="4"/>
              <w:w w:val="103"/>
              <w:kern w:val="14"/>
            </w:rPr>
          </w:pPr>
          <w:r w:rsidRPr="00657A41">
            <w:rPr>
              <w:spacing w:val="4"/>
              <w:w w:val="103"/>
              <w:kern w:val="14"/>
            </w:rPr>
            <w:t>Distr.: General</w:t>
          </w:r>
        </w:p>
        <w:p w14:paraId="3F613201" w14:textId="696AE68A" w:rsidR="00C11983" w:rsidRPr="00657A41" w:rsidRDefault="000B304C" w:rsidP="00361D57">
          <w:pPr>
            <w:suppressAutoHyphens/>
            <w:spacing w:line="240" w:lineRule="exact"/>
            <w:rPr>
              <w:spacing w:val="4"/>
              <w:w w:val="103"/>
              <w:kern w:val="14"/>
            </w:rPr>
          </w:pPr>
          <w:r>
            <w:rPr>
              <w:spacing w:val="4"/>
              <w:w w:val="103"/>
              <w:kern w:val="14"/>
            </w:rPr>
            <w:t>7</w:t>
          </w:r>
          <w:r w:rsidR="00C11983">
            <w:rPr>
              <w:spacing w:val="4"/>
              <w:w w:val="103"/>
              <w:kern w:val="14"/>
            </w:rPr>
            <w:t xml:space="preserve"> </w:t>
          </w:r>
          <w:r w:rsidR="000A701E">
            <w:rPr>
              <w:spacing w:val="4"/>
              <w:w w:val="103"/>
              <w:kern w:val="14"/>
            </w:rPr>
            <w:t>June</w:t>
          </w:r>
          <w:r w:rsidR="000A701E" w:rsidRPr="00657A41">
            <w:rPr>
              <w:spacing w:val="4"/>
              <w:w w:val="103"/>
              <w:kern w:val="14"/>
            </w:rPr>
            <w:t xml:space="preserve"> </w:t>
          </w:r>
          <w:r w:rsidR="00C11983" w:rsidRPr="00657A41">
            <w:rPr>
              <w:spacing w:val="4"/>
              <w:w w:val="103"/>
              <w:kern w:val="14"/>
            </w:rPr>
            <w:t>2021</w:t>
          </w:r>
        </w:p>
        <w:p w14:paraId="0EC817A0" w14:textId="77777777" w:rsidR="00C11983" w:rsidRPr="00657A41" w:rsidRDefault="00C11983" w:rsidP="00361D57">
          <w:pPr>
            <w:suppressAutoHyphens/>
            <w:spacing w:line="240" w:lineRule="exact"/>
            <w:rPr>
              <w:spacing w:val="4"/>
              <w:w w:val="103"/>
              <w:kern w:val="14"/>
            </w:rPr>
          </w:pPr>
        </w:p>
        <w:p w14:paraId="2D3EFEA3" w14:textId="77777777" w:rsidR="00C11983" w:rsidRPr="00657A41" w:rsidRDefault="00C11983" w:rsidP="00361D57">
          <w:pPr>
            <w:suppressAutoHyphens/>
            <w:spacing w:line="240" w:lineRule="exact"/>
            <w:rPr>
              <w:spacing w:val="4"/>
              <w:w w:val="103"/>
              <w:kern w:val="14"/>
            </w:rPr>
          </w:pPr>
          <w:r w:rsidRPr="00657A41">
            <w:rPr>
              <w:spacing w:val="4"/>
              <w:w w:val="103"/>
              <w:kern w:val="14"/>
            </w:rPr>
            <w:t>Original: English</w:t>
          </w:r>
        </w:p>
      </w:tc>
    </w:tr>
  </w:tbl>
  <w:p w14:paraId="104E5325" w14:textId="77777777" w:rsidR="00C11983" w:rsidRPr="009A7136" w:rsidRDefault="00C1198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2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1983" w:rsidRPr="00657A41" w14:paraId="3A77052C" w14:textId="77777777" w:rsidTr="002A7740">
      <w:trPr>
        <w:trHeight w:hRule="exact" w:val="864"/>
      </w:trPr>
      <w:tc>
        <w:tcPr>
          <w:tcW w:w="4838" w:type="dxa"/>
          <w:shd w:val="clear" w:color="auto" w:fill="auto"/>
          <w:vAlign w:val="bottom"/>
        </w:tcPr>
        <w:p w14:paraId="164CD259" w14:textId="30BD7851" w:rsidR="00C11983" w:rsidRPr="00657A41" w:rsidRDefault="00C11983" w:rsidP="009A7136">
          <w:pPr>
            <w:tabs>
              <w:tab w:val="center" w:pos="4320"/>
              <w:tab w:val="right" w:pos="8640"/>
            </w:tabs>
            <w:spacing w:after="80"/>
            <w:rPr>
              <w:b/>
              <w:noProof/>
              <w:sz w:val="17"/>
              <w:lang w:val="en-US"/>
            </w:rPr>
          </w:pPr>
          <w:bookmarkStart w:id="4" w:name="_Hlk72161445"/>
          <w:r w:rsidRPr="00657A41">
            <w:rPr>
              <w:b/>
              <w:noProof/>
              <w:sz w:val="17"/>
              <w:lang w:val="en-US"/>
            </w:rPr>
            <w:t>DP/DCP/</w:t>
          </w:r>
          <w:r>
            <w:rPr>
              <w:b/>
              <w:noProof/>
              <w:sz w:val="17"/>
              <w:lang w:val="en-US"/>
            </w:rPr>
            <w:t>CMR</w:t>
          </w:r>
          <w:r w:rsidRPr="00657A41">
            <w:rPr>
              <w:b/>
              <w:noProof/>
              <w:sz w:val="17"/>
              <w:lang w:val="en-US"/>
            </w:rPr>
            <w:t>/4</w:t>
          </w:r>
        </w:p>
      </w:tc>
      <w:tc>
        <w:tcPr>
          <w:tcW w:w="5033" w:type="dxa"/>
          <w:shd w:val="clear" w:color="auto" w:fill="auto"/>
          <w:vAlign w:val="bottom"/>
        </w:tcPr>
        <w:p w14:paraId="1C2E621F" w14:textId="77777777" w:rsidR="00C11983" w:rsidRPr="00657A41" w:rsidRDefault="00C11983" w:rsidP="009A7136">
          <w:pPr>
            <w:tabs>
              <w:tab w:val="center" w:pos="4320"/>
              <w:tab w:val="right" w:pos="8640"/>
            </w:tabs>
            <w:jc w:val="right"/>
            <w:rPr>
              <w:b/>
              <w:noProof/>
              <w:sz w:val="17"/>
              <w:lang w:val="en-US"/>
            </w:rPr>
          </w:pPr>
        </w:p>
      </w:tc>
    </w:tr>
    <w:bookmarkEnd w:id="4"/>
  </w:tbl>
  <w:p w14:paraId="54DF3D3E" w14:textId="77777777" w:rsidR="00C11983" w:rsidRPr="009A7136" w:rsidRDefault="00C11983" w:rsidP="002E7C2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C11983" w:rsidRDefault="00C11983">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6084C591">
              <wp:simplePos x="0" y="0"/>
              <wp:positionH relativeFrom="column">
                <wp:posOffset>-74296</wp:posOffset>
              </wp:positionH>
              <wp:positionV relativeFrom="paragraph">
                <wp:posOffset>-302895</wp:posOffset>
              </wp:positionV>
              <wp:extent cx="8721725" cy="6400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1725" cy="640080"/>
                      </a:xfrm>
                      <a:prstGeom prst="rect">
                        <a:avLst/>
                      </a:prstGeom>
                      <a:solidFill>
                        <a:srgbClr val="FFFFFF"/>
                      </a:solidFill>
                      <a:ln>
                        <a:noFill/>
                      </a:ln>
                      <a:extLs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tbl>
                          <w:tblPr>
                            <w:tblW w:w="137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32"/>
                          </w:tblGrid>
                          <w:tr w:rsidR="00C11983" w:rsidRPr="005841A3" w14:paraId="2440D571" w14:textId="77777777" w:rsidTr="00843BD6">
                            <w:trPr>
                              <w:trHeight w:hRule="exact" w:val="864"/>
                            </w:trPr>
                            <w:tc>
                              <w:tcPr>
                                <w:tcW w:w="4838" w:type="dxa"/>
                                <w:tcBorders>
                                  <w:bottom w:val="single" w:sz="4" w:space="0" w:color="auto"/>
                                </w:tcBorders>
                                <w:vAlign w:val="bottom"/>
                              </w:tcPr>
                              <w:p w14:paraId="2440D56F" w14:textId="02A92CC0" w:rsidR="00C11983" w:rsidRPr="007C6F85" w:rsidRDefault="00C11983" w:rsidP="005841A3">
                                <w:pPr>
                                  <w:pStyle w:val="Header"/>
                                  <w:spacing w:after="80"/>
                                  <w:rPr>
                                    <w:rFonts w:ascii="Times New Roman" w:hAnsi="Times New Roman"/>
                                    <w:b/>
                                    <w:sz w:val="17"/>
                                    <w:szCs w:val="17"/>
                                  </w:rPr>
                                </w:pPr>
                                <w:r>
                                  <w:rPr>
                                    <w:rFonts w:ascii="Times New Roman" w:hAnsi="Times New Roman"/>
                                    <w:b/>
                                    <w:sz w:val="17"/>
                                    <w:szCs w:val="17"/>
                                  </w:rPr>
                                  <w:t>DP/DCP/CMR/4</w:t>
                                </w:r>
                              </w:p>
                            </w:tc>
                            <w:tc>
                              <w:tcPr>
                                <w:tcW w:w="8932" w:type="dxa"/>
                                <w:tcBorders>
                                  <w:bottom w:val="single" w:sz="4" w:space="0" w:color="auto"/>
                                </w:tcBorders>
                                <w:vAlign w:val="bottom"/>
                              </w:tcPr>
                              <w:p w14:paraId="2440D570" w14:textId="77777777" w:rsidR="00C11983" w:rsidRPr="007C6F85" w:rsidRDefault="00C11983">
                                <w:pPr>
                                  <w:pStyle w:val="Header"/>
                                  <w:rPr>
                                    <w:rFonts w:ascii="Times New Roman" w:hAnsi="Times New Roman"/>
                                    <w:sz w:val="17"/>
                                    <w:szCs w:val="17"/>
                                    <w:lang w:val="en-US" w:eastAsia="en-US"/>
                                  </w:rPr>
                                </w:pPr>
                              </w:p>
                            </w:tc>
                          </w:tr>
                        </w:tbl>
                        <w:p w14:paraId="2440D572" w14:textId="77777777" w:rsidR="00C11983" w:rsidRDefault="00C1198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85pt;margin-top:-23.85pt;width:686.7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" o:allowincell="f" stroked="f">
              <v:textbox inset="0,0,0,0">
                <w:txbxContent>
                  <w:tbl>
                    <w:tblPr>
                      <w:tblW w:w="137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32"/>
                    </w:tblGrid>
                    <w:tr w:rsidR="00C11983" w:rsidRPr="005841A3" w14:paraId="2440D571" w14:textId="77777777" w:rsidTr="00843BD6">
                      <w:trPr>
                        <w:trHeight w:hRule="exact" w:val="864"/>
                      </w:trPr>
                      <w:tc>
                        <w:tcPr>
                          <w:tcW w:w="4838" w:type="dxa"/>
                          <w:tcBorders>
                            <w:bottom w:val="single" w:sz="4" w:space="0" w:color="auto"/>
                          </w:tcBorders>
                          <w:vAlign w:val="bottom"/>
                        </w:tcPr>
                        <w:p w14:paraId="2440D56F" w14:textId="02A92CC0" w:rsidR="00C11983" w:rsidRPr="007C6F85" w:rsidRDefault="00C11983" w:rsidP="005841A3">
                          <w:pPr>
                            <w:pStyle w:val="Header"/>
                            <w:spacing w:after="80"/>
                            <w:rPr>
                              <w:rFonts w:ascii="Times New Roman" w:hAnsi="Times New Roman"/>
                              <w:b/>
                              <w:sz w:val="17"/>
                              <w:szCs w:val="17"/>
                            </w:rPr>
                          </w:pPr>
                          <w:r>
                            <w:rPr>
                              <w:rFonts w:ascii="Times New Roman" w:hAnsi="Times New Roman"/>
                              <w:b/>
                              <w:sz w:val="17"/>
                              <w:szCs w:val="17"/>
                            </w:rPr>
                            <w:t>DP/DCP/CMR/4</w:t>
                          </w:r>
                        </w:p>
                      </w:tc>
                      <w:tc>
                        <w:tcPr>
                          <w:tcW w:w="8932" w:type="dxa"/>
                          <w:tcBorders>
                            <w:bottom w:val="single" w:sz="4" w:space="0" w:color="auto"/>
                          </w:tcBorders>
                          <w:vAlign w:val="bottom"/>
                        </w:tcPr>
                        <w:p w14:paraId="2440D570" w14:textId="77777777" w:rsidR="00C11983" w:rsidRPr="007C6F85" w:rsidRDefault="00C11983">
                          <w:pPr>
                            <w:pStyle w:val="Header"/>
                            <w:rPr>
                              <w:rFonts w:ascii="Times New Roman" w:hAnsi="Times New Roman"/>
                              <w:sz w:val="17"/>
                              <w:szCs w:val="17"/>
                              <w:lang w:val="en-US" w:eastAsia="en-US"/>
                            </w:rPr>
                          </w:pPr>
                        </w:p>
                      </w:tc>
                    </w:tr>
                  </w:tbl>
                  <w:p w14:paraId="2440D572" w14:textId="77777777" w:rsidR="00C11983" w:rsidRDefault="00C11983"/>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922"/>
    </w:tblGrid>
    <w:tr w:rsidR="00C11983" w:rsidRPr="00617935" w14:paraId="6960750C" w14:textId="77777777" w:rsidTr="002A7740">
      <w:trPr>
        <w:trHeight w:hRule="exact" w:val="864"/>
      </w:trPr>
      <w:tc>
        <w:tcPr>
          <w:tcW w:w="4668" w:type="dxa"/>
          <w:shd w:val="clear" w:color="auto" w:fill="auto"/>
          <w:vAlign w:val="bottom"/>
        </w:tcPr>
        <w:p w14:paraId="03CA6847" w14:textId="77777777" w:rsidR="00C11983" w:rsidRPr="00617935" w:rsidRDefault="00C11983" w:rsidP="002A7740">
          <w:pPr>
            <w:tabs>
              <w:tab w:val="center" w:pos="4320"/>
              <w:tab w:val="right" w:pos="8640"/>
            </w:tabs>
            <w:spacing w:after="80"/>
            <w:rPr>
              <w:b/>
              <w:noProof/>
              <w:sz w:val="17"/>
              <w:lang w:val="en-US"/>
            </w:rPr>
          </w:pPr>
        </w:p>
      </w:tc>
      <w:tc>
        <w:tcPr>
          <w:tcW w:w="8922" w:type="dxa"/>
          <w:shd w:val="clear" w:color="auto" w:fill="auto"/>
          <w:vAlign w:val="bottom"/>
        </w:tcPr>
        <w:p w14:paraId="070F19E1" w14:textId="569D245B" w:rsidR="00C11983" w:rsidRPr="00617935" w:rsidRDefault="00C11983" w:rsidP="002A7740">
          <w:pPr>
            <w:tabs>
              <w:tab w:val="center" w:pos="4320"/>
              <w:tab w:val="right" w:pos="8640"/>
            </w:tabs>
            <w:jc w:val="right"/>
            <w:rPr>
              <w:b/>
              <w:noProof/>
              <w:sz w:val="17"/>
              <w:lang w:val="en-US"/>
            </w:rPr>
          </w:pPr>
          <w:r w:rsidRPr="00617935">
            <w:rPr>
              <w:b/>
              <w:noProof/>
              <w:sz w:val="17"/>
              <w:lang w:val="en-US"/>
            </w:rPr>
            <w:t>DP/DCP/</w:t>
          </w:r>
          <w:r>
            <w:rPr>
              <w:b/>
              <w:noProof/>
              <w:sz w:val="17"/>
              <w:lang w:val="en-US"/>
            </w:rPr>
            <w:t>CMR</w:t>
          </w:r>
          <w:r w:rsidRPr="00617935">
            <w:rPr>
              <w:b/>
              <w:noProof/>
              <w:sz w:val="17"/>
              <w:lang w:val="en-US"/>
            </w:rPr>
            <w:t>/4</w:t>
          </w:r>
        </w:p>
      </w:tc>
    </w:tr>
  </w:tbl>
  <w:p w14:paraId="0FCA7CB2" w14:textId="77777777" w:rsidR="00C11983" w:rsidRPr="00E532DC" w:rsidRDefault="00C11983" w:rsidP="00C07D99">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6FC"/>
    <w:multiLevelType w:val="hybridMultilevel"/>
    <w:tmpl w:val="986E5C48"/>
    <w:lvl w:ilvl="0" w:tplc="2C0C0001">
      <w:start w:val="1"/>
      <w:numFmt w:val="bullet"/>
      <w:lvlText w:val=""/>
      <w:lvlJc w:val="left"/>
      <w:pPr>
        <w:ind w:left="927" w:hanging="360"/>
      </w:pPr>
      <w:rPr>
        <w:rFonts w:ascii="Symbol" w:hAnsi="Symbol" w:hint="default"/>
      </w:rPr>
    </w:lvl>
    <w:lvl w:ilvl="1" w:tplc="2C0C0003" w:tentative="1">
      <w:start w:val="1"/>
      <w:numFmt w:val="bullet"/>
      <w:lvlText w:val="o"/>
      <w:lvlJc w:val="left"/>
      <w:pPr>
        <w:ind w:left="-675" w:hanging="360"/>
      </w:pPr>
      <w:rPr>
        <w:rFonts w:ascii="Courier New" w:hAnsi="Courier New" w:cs="Courier New" w:hint="default"/>
      </w:rPr>
    </w:lvl>
    <w:lvl w:ilvl="2" w:tplc="2C0C0005" w:tentative="1">
      <w:start w:val="1"/>
      <w:numFmt w:val="bullet"/>
      <w:lvlText w:val=""/>
      <w:lvlJc w:val="left"/>
      <w:pPr>
        <w:ind w:left="45" w:hanging="360"/>
      </w:pPr>
      <w:rPr>
        <w:rFonts w:ascii="Wingdings" w:hAnsi="Wingdings" w:hint="default"/>
      </w:rPr>
    </w:lvl>
    <w:lvl w:ilvl="3" w:tplc="2C0C0001" w:tentative="1">
      <w:start w:val="1"/>
      <w:numFmt w:val="bullet"/>
      <w:lvlText w:val=""/>
      <w:lvlJc w:val="left"/>
      <w:pPr>
        <w:ind w:left="765" w:hanging="360"/>
      </w:pPr>
      <w:rPr>
        <w:rFonts w:ascii="Symbol" w:hAnsi="Symbol" w:hint="default"/>
      </w:rPr>
    </w:lvl>
    <w:lvl w:ilvl="4" w:tplc="2C0C0003" w:tentative="1">
      <w:start w:val="1"/>
      <w:numFmt w:val="bullet"/>
      <w:lvlText w:val="o"/>
      <w:lvlJc w:val="left"/>
      <w:pPr>
        <w:ind w:left="1485" w:hanging="360"/>
      </w:pPr>
      <w:rPr>
        <w:rFonts w:ascii="Courier New" w:hAnsi="Courier New" w:cs="Courier New" w:hint="default"/>
      </w:rPr>
    </w:lvl>
    <w:lvl w:ilvl="5" w:tplc="2C0C0005" w:tentative="1">
      <w:start w:val="1"/>
      <w:numFmt w:val="bullet"/>
      <w:lvlText w:val=""/>
      <w:lvlJc w:val="left"/>
      <w:pPr>
        <w:ind w:left="2205" w:hanging="360"/>
      </w:pPr>
      <w:rPr>
        <w:rFonts w:ascii="Wingdings" w:hAnsi="Wingdings" w:hint="default"/>
      </w:rPr>
    </w:lvl>
    <w:lvl w:ilvl="6" w:tplc="2C0C0001" w:tentative="1">
      <w:start w:val="1"/>
      <w:numFmt w:val="bullet"/>
      <w:lvlText w:val=""/>
      <w:lvlJc w:val="left"/>
      <w:pPr>
        <w:ind w:left="2925" w:hanging="360"/>
      </w:pPr>
      <w:rPr>
        <w:rFonts w:ascii="Symbol" w:hAnsi="Symbol" w:hint="default"/>
      </w:rPr>
    </w:lvl>
    <w:lvl w:ilvl="7" w:tplc="2C0C0003" w:tentative="1">
      <w:start w:val="1"/>
      <w:numFmt w:val="bullet"/>
      <w:lvlText w:val="o"/>
      <w:lvlJc w:val="left"/>
      <w:pPr>
        <w:ind w:left="3645" w:hanging="360"/>
      </w:pPr>
      <w:rPr>
        <w:rFonts w:ascii="Courier New" w:hAnsi="Courier New" w:cs="Courier New" w:hint="default"/>
      </w:rPr>
    </w:lvl>
    <w:lvl w:ilvl="8" w:tplc="2C0C0005" w:tentative="1">
      <w:start w:val="1"/>
      <w:numFmt w:val="bullet"/>
      <w:lvlText w:val=""/>
      <w:lvlJc w:val="left"/>
      <w:pPr>
        <w:ind w:left="4365" w:hanging="360"/>
      </w:pPr>
      <w:rPr>
        <w:rFonts w:ascii="Wingdings" w:hAnsi="Wingdings" w:hint="default"/>
      </w:rPr>
    </w:lvl>
  </w:abstractNum>
  <w:abstractNum w:abstractNumId="1" w15:restartNumberingAfterBreak="0">
    <w:nsid w:val="03741DE1"/>
    <w:multiLevelType w:val="hybridMultilevel"/>
    <w:tmpl w:val="052E1D9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 w15:restartNumberingAfterBreak="0">
    <w:nsid w:val="16E50C55"/>
    <w:multiLevelType w:val="hybridMultilevel"/>
    <w:tmpl w:val="BBDEED12"/>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 w15:restartNumberingAfterBreak="0">
    <w:nsid w:val="1C8D75D8"/>
    <w:multiLevelType w:val="hybridMultilevel"/>
    <w:tmpl w:val="85D6DBC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 w15:restartNumberingAfterBreak="0">
    <w:nsid w:val="1F581931"/>
    <w:multiLevelType w:val="hybridMultilevel"/>
    <w:tmpl w:val="22FEBFC0"/>
    <w:lvl w:ilvl="0" w:tplc="B41413FE">
      <w:start w:val="1"/>
      <w:numFmt w:val="upperRoman"/>
      <w:lvlText w:val="%1."/>
      <w:lvlJc w:val="left"/>
      <w:pPr>
        <w:ind w:left="1800" w:hanging="72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A14579"/>
    <w:multiLevelType w:val="hybridMultilevel"/>
    <w:tmpl w:val="E416CD3A"/>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 w15:restartNumberingAfterBreak="0">
    <w:nsid w:val="24840A15"/>
    <w:multiLevelType w:val="hybridMultilevel"/>
    <w:tmpl w:val="139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6CDC"/>
    <w:multiLevelType w:val="hybridMultilevel"/>
    <w:tmpl w:val="141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287B"/>
    <w:multiLevelType w:val="hybridMultilevel"/>
    <w:tmpl w:val="8766EB1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 w15:restartNumberingAfterBreak="0">
    <w:nsid w:val="35EE335A"/>
    <w:multiLevelType w:val="hybridMultilevel"/>
    <w:tmpl w:val="894828C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0" w15:restartNumberingAfterBreak="0">
    <w:nsid w:val="37B604F6"/>
    <w:multiLevelType w:val="hybridMultilevel"/>
    <w:tmpl w:val="B7FA6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BB690D"/>
    <w:multiLevelType w:val="hybridMultilevel"/>
    <w:tmpl w:val="A4A612C0"/>
    <w:lvl w:ilvl="0" w:tplc="2C0C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A53BBE"/>
    <w:multiLevelType w:val="hybridMultilevel"/>
    <w:tmpl w:val="4F028C5E"/>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4" w15:restartNumberingAfterBreak="0">
    <w:nsid w:val="48731A65"/>
    <w:multiLevelType w:val="hybridMultilevel"/>
    <w:tmpl w:val="9C90A780"/>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5" w15:restartNumberingAfterBreak="0">
    <w:nsid w:val="49503C70"/>
    <w:multiLevelType w:val="hybridMultilevel"/>
    <w:tmpl w:val="C6C28F6A"/>
    <w:lvl w:ilvl="0" w:tplc="2C0C0001">
      <w:start w:val="1"/>
      <w:numFmt w:val="bullet"/>
      <w:lvlText w:val=""/>
      <w:lvlJc w:val="left"/>
      <w:pPr>
        <w:ind w:left="825" w:hanging="360"/>
      </w:pPr>
      <w:rPr>
        <w:rFonts w:ascii="Symbol" w:hAnsi="Symbol" w:hint="default"/>
      </w:rPr>
    </w:lvl>
    <w:lvl w:ilvl="1" w:tplc="2C0C0003" w:tentative="1">
      <w:start w:val="1"/>
      <w:numFmt w:val="bullet"/>
      <w:lvlText w:val="o"/>
      <w:lvlJc w:val="left"/>
      <w:pPr>
        <w:ind w:left="1545" w:hanging="360"/>
      </w:pPr>
      <w:rPr>
        <w:rFonts w:ascii="Courier New" w:hAnsi="Courier New" w:cs="Courier New" w:hint="default"/>
      </w:rPr>
    </w:lvl>
    <w:lvl w:ilvl="2" w:tplc="2C0C0005" w:tentative="1">
      <w:start w:val="1"/>
      <w:numFmt w:val="bullet"/>
      <w:lvlText w:val=""/>
      <w:lvlJc w:val="left"/>
      <w:pPr>
        <w:ind w:left="2265" w:hanging="360"/>
      </w:pPr>
      <w:rPr>
        <w:rFonts w:ascii="Wingdings" w:hAnsi="Wingdings" w:hint="default"/>
      </w:rPr>
    </w:lvl>
    <w:lvl w:ilvl="3" w:tplc="2C0C0001" w:tentative="1">
      <w:start w:val="1"/>
      <w:numFmt w:val="bullet"/>
      <w:lvlText w:val=""/>
      <w:lvlJc w:val="left"/>
      <w:pPr>
        <w:ind w:left="2985" w:hanging="360"/>
      </w:pPr>
      <w:rPr>
        <w:rFonts w:ascii="Symbol" w:hAnsi="Symbol" w:hint="default"/>
      </w:rPr>
    </w:lvl>
    <w:lvl w:ilvl="4" w:tplc="2C0C0003" w:tentative="1">
      <w:start w:val="1"/>
      <w:numFmt w:val="bullet"/>
      <w:lvlText w:val="o"/>
      <w:lvlJc w:val="left"/>
      <w:pPr>
        <w:ind w:left="3705" w:hanging="360"/>
      </w:pPr>
      <w:rPr>
        <w:rFonts w:ascii="Courier New" w:hAnsi="Courier New" w:cs="Courier New" w:hint="default"/>
      </w:rPr>
    </w:lvl>
    <w:lvl w:ilvl="5" w:tplc="2C0C0005" w:tentative="1">
      <w:start w:val="1"/>
      <w:numFmt w:val="bullet"/>
      <w:lvlText w:val=""/>
      <w:lvlJc w:val="left"/>
      <w:pPr>
        <w:ind w:left="4425" w:hanging="360"/>
      </w:pPr>
      <w:rPr>
        <w:rFonts w:ascii="Wingdings" w:hAnsi="Wingdings" w:hint="default"/>
      </w:rPr>
    </w:lvl>
    <w:lvl w:ilvl="6" w:tplc="2C0C0001" w:tentative="1">
      <w:start w:val="1"/>
      <w:numFmt w:val="bullet"/>
      <w:lvlText w:val=""/>
      <w:lvlJc w:val="left"/>
      <w:pPr>
        <w:ind w:left="5145" w:hanging="360"/>
      </w:pPr>
      <w:rPr>
        <w:rFonts w:ascii="Symbol" w:hAnsi="Symbol" w:hint="default"/>
      </w:rPr>
    </w:lvl>
    <w:lvl w:ilvl="7" w:tplc="2C0C0003" w:tentative="1">
      <w:start w:val="1"/>
      <w:numFmt w:val="bullet"/>
      <w:lvlText w:val="o"/>
      <w:lvlJc w:val="left"/>
      <w:pPr>
        <w:ind w:left="5865" w:hanging="360"/>
      </w:pPr>
      <w:rPr>
        <w:rFonts w:ascii="Courier New" w:hAnsi="Courier New" w:cs="Courier New" w:hint="default"/>
      </w:rPr>
    </w:lvl>
    <w:lvl w:ilvl="8" w:tplc="2C0C0005" w:tentative="1">
      <w:start w:val="1"/>
      <w:numFmt w:val="bullet"/>
      <w:lvlText w:val=""/>
      <w:lvlJc w:val="left"/>
      <w:pPr>
        <w:ind w:left="6585" w:hanging="360"/>
      </w:pPr>
      <w:rPr>
        <w:rFonts w:ascii="Wingdings" w:hAnsi="Wingdings" w:hint="default"/>
      </w:rPr>
    </w:lvl>
  </w:abstractNum>
  <w:abstractNum w:abstractNumId="16" w15:restartNumberingAfterBreak="0">
    <w:nsid w:val="49CB3B6C"/>
    <w:multiLevelType w:val="hybridMultilevel"/>
    <w:tmpl w:val="5B982BF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7" w15:restartNumberingAfterBreak="0">
    <w:nsid w:val="4C4D68C7"/>
    <w:multiLevelType w:val="hybridMultilevel"/>
    <w:tmpl w:val="32AA1200"/>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8" w15:restartNumberingAfterBreak="0">
    <w:nsid w:val="50F33F4B"/>
    <w:multiLevelType w:val="hybridMultilevel"/>
    <w:tmpl w:val="D802421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15:restartNumberingAfterBreak="0">
    <w:nsid w:val="529033FA"/>
    <w:multiLevelType w:val="hybridMultilevel"/>
    <w:tmpl w:val="7BE0C3F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0" w15:restartNumberingAfterBreak="0">
    <w:nsid w:val="541E5B1E"/>
    <w:multiLevelType w:val="hybridMultilevel"/>
    <w:tmpl w:val="9B5EDC6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1" w15:restartNumberingAfterBreak="0">
    <w:nsid w:val="55927FE8"/>
    <w:multiLevelType w:val="hybridMultilevel"/>
    <w:tmpl w:val="8E781B70"/>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2" w15:restartNumberingAfterBreak="0">
    <w:nsid w:val="57AF2841"/>
    <w:multiLevelType w:val="hybridMultilevel"/>
    <w:tmpl w:val="451838B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3" w15:restartNumberingAfterBreak="0">
    <w:nsid w:val="59653679"/>
    <w:multiLevelType w:val="hybridMultilevel"/>
    <w:tmpl w:val="205A7C5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4" w15:restartNumberingAfterBreak="0">
    <w:nsid w:val="60653FC6"/>
    <w:multiLevelType w:val="hybridMultilevel"/>
    <w:tmpl w:val="AEC89A5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5" w15:restartNumberingAfterBreak="0">
    <w:nsid w:val="63FF783C"/>
    <w:multiLevelType w:val="hybridMultilevel"/>
    <w:tmpl w:val="E2CEA83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6"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E2C77"/>
    <w:multiLevelType w:val="hybridMultilevel"/>
    <w:tmpl w:val="33328E36"/>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8" w15:restartNumberingAfterBreak="0">
    <w:nsid w:val="73B41611"/>
    <w:multiLevelType w:val="hybridMultilevel"/>
    <w:tmpl w:val="690C6F5A"/>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9" w15:restartNumberingAfterBreak="0">
    <w:nsid w:val="75F74B13"/>
    <w:multiLevelType w:val="hybridMultilevel"/>
    <w:tmpl w:val="9B6E66CA"/>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0" w15:restartNumberingAfterBreak="0">
    <w:nsid w:val="7B1A58EA"/>
    <w:multiLevelType w:val="hybridMultilevel"/>
    <w:tmpl w:val="B18CDEDA"/>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1" w15:restartNumberingAfterBreak="0">
    <w:nsid w:val="7BB34B68"/>
    <w:multiLevelType w:val="hybridMultilevel"/>
    <w:tmpl w:val="988E251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2" w15:restartNumberingAfterBreak="0">
    <w:nsid w:val="7C175EF7"/>
    <w:multiLevelType w:val="hybridMultilevel"/>
    <w:tmpl w:val="DFFAF952"/>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9"/>
  </w:num>
  <w:num w:numId="4">
    <w:abstractNumId w:val="14"/>
  </w:num>
  <w:num w:numId="5">
    <w:abstractNumId w:val="32"/>
  </w:num>
  <w:num w:numId="6">
    <w:abstractNumId w:val="29"/>
  </w:num>
  <w:num w:numId="7">
    <w:abstractNumId w:val="24"/>
  </w:num>
  <w:num w:numId="8">
    <w:abstractNumId w:val="1"/>
  </w:num>
  <w:num w:numId="9">
    <w:abstractNumId w:val="3"/>
  </w:num>
  <w:num w:numId="10">
    <w:abstractNumId w:val="13"/>
  </w:num>
  <w:num w:numId="11">
    <w:abstractNumId w:val="8"/>
  </w:num>
  <w:num w:numId="12">
    <w:abstractNumId w:val="25"/>
  </w:num>
  <w:num w:numId="13">
    <w:abstractNumId w:val="18"/>
  </w:num>
  <w:num w:numId="14">
    <w:abstractNumId w:val="16"/>
  </w:num>
  <w:num w:numId="15">
    <w:abstractNumId w:val="19"/>
  </w:num>
  <w:num w:numId="16">
    <w:abstractNumId w:val="28"/>
  </w:num>
  <w:num w:numId="17">
    <w:abstractNumId w:val="0"/>
  </w:num>
  <w:num w:numId="18">
    <w:abstractNumId w:val="22"/>
  </w:num>
  <w:num w:numId="19">
    <w:abstractNumId w:val="23"/>
  </w:num>
  <w:num w:numId="20">
    <w:abstractNumId w:val="17"/>
  </w:num>
  <w:num w:numId="21">
    <w:abstractNumId w:val="27"/>
  </w:num>
  <w:num w:numId="22">
    <w:abstractNumId w:val="31"/>
  </w:num>
  <w:num w:numId="23">
    <w:abstractNumId w:val="21"/>
  </w:num>
  <w:num w:numId="24">
    <w:abstractNumId w:val="6"/>
  </w:num>
  <w:num w:numId="25">
    <w:abstractNumId w:val="7"/>
  </w:num>
  <w:num w:numId="26">
    <w:abstractNumId w:val="15"/>
  </w:num>
  <w:num w:numId="27">
    <w:abstractNumId w:val="5"/>
  </w:num>
  <w:num w:numId="28">
    <w:abstractNumId w:val="30"/>
  </w:num>
  <w:num w:numId="29">
    <w:abstractNumId w:val="2"/>
  </w:num>
  <w:num w:numId="30">
    <w:abstractNumId w:val="10"/>
  </w:num>
  <w:num w:numId="31">
    <w:abstractNumId w:val="11"/>
  </w:num>
  <w:num w:numId="32">
    <w:abstractNumId w:val="12"/>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jc3NjK1MDUAAiUdpeDU4uLM/DyQAsNaAKIljS4sAAAA"/>
  </w:docVars>
  <w:rsids>
    <w:rsidRoot w:val="00D9153B"/>
    <w:rsid w:val="00000942"/>
    <w:rsid w:val="000010B5"/>
    <w:rsid w:val="00001314"/>
    <w:rsid w:val="000027C5"/>
    <w:rsid w:val="000027D2"/>
    <w:rsid w:val="00003066"/>
    <w:rsid w:val="0000312F"/>
    <w:rsid w:val="0000333A"/>
    <w:rsid w:val="0000340E"/>
    <w:rsid w:val="00003E8B"/>
    <w:rsid w:val="00005E26"/>
    <w:rsid w:val="00005EDC"/>
    <w:rsid w:val="000060DF"/>
    <w:rsid w:val="00006E59"/>
    <w:rsid w:val="00012FE9"/>
    <w:rsid w:val="0001309E"/>
    <w:rsid w:val="000133DE"/>
    <w:rsid w:val="00013459"/>
    <w:rsid w:val="00013D40"/>
    <w:rsid w:val="00013E98"/>
    <w:rsid w:val="00015133"/>
    <w:rsid w:val="000153EB"/>
    <w:rsid w:val="00015FDE"/>
    <w:rsid w:val="00016217"/>
    <w:rsid w:val="00016296"/>
    <w:rsid w:val="00016861"/>
    <w:rsid w:val="00017D05"/>
    <w:rsid w:val="000200CF"/>
    <w:rsid w:val="000205F1"/>
    <w:rsid w:val="000205F9"/>
    <w:rsid w:val="00020B71"/>
    <w:rsid w:val="0002121B"/>
    <w:rsid w:val="000215B2"/>
    <w:rsid w:val="00021ACC"/>
    <w:rsid w:val="00022047"/>
    <w:rsid w:val="00022328"/>
    <w:rsid w:val="00022644"/>
    <w:rsid w:val="00023267"/>
    <w:rsid w:val="000236B8"/>
    <w:rsid w:val="00023862"/>
    <w:rsid w:val="00023AEE"/>
    <w:rsid w:val="00026533"/>
    <w:rsid w:val="000274B9"/>
    <w:rsid w:val="0002758B"/>
    <w:rsid w:val="000276A0"/>
    <w:rsid w:val="00030679"/>
    <w:rsid w:val="00030DF2"/>
    <w:rsid w:val="00030E57"/>
    <w:rsid w:val="0003257C"/>
    <w:rsid w:val="000330DB"/>
    <w:rsid w:val="00033F22"/>
    <w:rsid w:val="0003429F"/>
    <w:rsid w:val="0003562A"/>
    <w:rsid w:val="00036095"/>
    <w:rsid w:val="0003610C"/>
    <w:rsid w:val="00036665"/>
    <w:rsid w:val="000367E0"/>
    <w:rsid w:val="00036914"/>
    <w:rsid w:val="00036AF4"/>
    <w:rsid w:val="00037E91"/>
    <w:rsid w:val="000405C4"/>
    <w:rsid w:val="00041C10"/>
    <w:rsid w:val="00042E1D"/>
    <w:rsid w:val="00043139"/>
    <w:rsid w:val="00043804"/>
    <w:rsid w:val="00043D3F"/>
    <w:rsid w:val="000441A1"/>
    <w:rsid w:val="000444EB"/>
    <w:rsid w:val="000455CF"/>
    <w:rsid w:val="00045777"/>
    <w:rsid w:val="00050869"/>
    <w:rsid w:val="00051E3C"/>
    <w:rsid w:val="00052683"/>
    <w:rsid w:val="000532F9"/>
    <w:rsid w:val="00055596"/>
    <w:rsid w:val="00055FB6"/>
    <w:rsid w:val="00056014"/>
    <w:rsid w:val="000561C1"/>
    <w:rsid w:val="00056204"/>
    <w:rsid w:val="000570D1"/>
    <w:rsid w:val="000571A9"/>
    <w:rsid w:val="0005728C"/>
    <w:rsid w:val="00060290"/>
    <w:rsid w:val="00060F7A"/>
    <w:rsid w:val="000611AB"/>
    <w:rsid w:val="00061964"/>
    <w:rsid w:val="00063E24"/>
    <w:rsid w:val="00064DA5"/>
    <w:rsid w:val="00065612"/>
    <w:rsid w:val="000656A3"/>
    <w:rsid w:val="000661AB"/>
    <w:rsid w:val="0006626C"/>
    <w:rsid w:val="00071CFA"/>
    <w:rsid w:val="00072229"/>
    <w:rsid w:val="00072446"/>
    <w:rsid w:val="000728F8"/>
    <w:rsid w:val="00073CF1"/>
    <w:rsid w:val="00074383"/>
    <w:rsid w:val="00074BD0"/>
    <w:rsid w:val="00074D9A"/>
    <w:rsid w:val="00074DB9"/>
    <w:rsid w:val="000753C4"/>
    <w:rsid w:val="00075660"/>
    <w:rsid w:val="00075DF0"/>
    <w:rsid w:val="000762CA"/>
    <w:rsid w:val="00077632"/>
    <w:rsid w:val="000803A4"/>
    <w:rsid w:val="000806E3"/>
    <w:rsid w:val="00081B50"/>
    <w:rsid w:val="00082398"/>
    <w:rsid w:val="00082426"/>
    <w:rsid w:val="00082720"/>
    <w:rsid w:val="000828EF"/>
    <w:rsid w:val="0008339E"/>
    <w:rsid w:val="000846A9"/>
    <w:rsid w:val="0008569B"/>
    <w:rsid w:val="000858F2"/>
    <w:rsid w:val="00085DD3"/>
    <w:rsid w:val="0008601B"/>
    <w:rsid w:val="00086212"/>
    <w:rsid w:val="00086889"/>
    <w:rsid w:val="000907DD"/>
    <w:rsid w:val="00090AD1"/>
    <w:rsid w:val="00090F4F"/>
    <w:rsid w:val="00091476"/>
    <w:rsid w:val="00091984"/>
    <w:rsid w:val="00091F52"/>
    <w:rsid w:val="00092879"/>
    <w:rsid w:val="00092B5C"/>
    <w:rsid w:val="00094E87"/>
    <w:rsid w:val="000954CF"/>
    <w:rsid w:val="00095705"/>
    <w:rsid w:val="000958E0"/>
    <w:rsid w:val="000969FB"/>
    <w:rsid w:val="00097FB2"/>
    <w:rsid w:val="000A080B"/>
    <w:rsid w:val="000A151D"/>
    <w:rsid w:val="000A23FB"/>
    <w:rsid w:val="000A24C5"/>
    <w:rsid w:val="000A2EB3"/>
    <w:rsid w:val="000A30A1"/>
    <w:rsid w:val="000A3A38"/>
    <w:rsid w:val="000A3F7F"/>
    <w:rsid w:val="000A47FD"/>
    <w:rsid w:val="000A5AD6"/>
    <w:rsid w:val="000A701E"/>
    <w:rsid w:val="000A7192"/>
    <w:rsid w:val="000B0228"/>
    <w:rsid w:val="000B030E"/>
    <w:rsid w:val="000B06E9"/>
    <w:rsid w:val="000B0C22"/>
    <w:rsid w:val="000B1AC6"/>
    <w:rsid w:val="000B2E16"/>
    <w:rsid w:val="000B2F9F"/>
    <w:rsid w:val="000B304C"/>
    <w:rsid w:val="000B3175"/>
    <w:rsid w:val="000B31C9"/>
    <w:rsid w:val="000B3283"/>
    <w:rsid w:val="000B3A13"/>
    <w:rsid w:val="000B4BB2"/>
    <w:rsid w:val="000B6379"/>
    <w:rsid w:val="000B6B39"/>
    <w:rsid w:val="000B726A"/>
    <w:rsid w:val="000C01C5"/>
    <w:rsid w:val="000C0ADE"/>
    <w:rsid w:val="000C1FAA"/>
    <w:rsid w:val="000C460C"/>
    <w:rsid w:val="000C4E54"/>
    <w:rsid w:val="000C500C"/>
    <w:rsid w:val="000C52E2"/>
    <w:rsid w:val="000C5B6B"/>
    <w:rsid w:val="000C65CF"/>
    <w:rsid w:val="000C76B0"/>
    <w:rsid w:val="000C7BBE"/>
    <w:rsid w:val="000C7BE3"/>
    <w:rsid w:val="000C7DA8"/>
    <w:rsid w:val="000D10BE"/>
    <w:rsid w:val="000D1F78"/>
    <w:rsid w:val="000D20CA"/>
    <w:rsid w:val="000D2475"/>
    <w:rsid w:val="000D2A5A"/>
    <w:rsid w:val="000D3C85"/>
    <w:rsid w:val="000D442C"/>
    <w:rsid w:val="000D4DC4"/>
    <w:rsid w:val="000D4F1F"/>
    <w:rsid w:val="000D68B6"/>
    <w:rsid w:val="000D6E94"/>
    <w:rsid w:val="000D7BAF"/>
    <w:rsid w:val="000E061B"/>
    <w:rsid w:val="000E0C5F"/>
    <w:rsid w:val="000E1635"/>
    <w:rsid w:val="000E165B"/>
    <w:rsid w:val="000E25BF"/>
    <w:rsid w:val="000E262D"/>
    <w:rsid w:val="000E2BF2"/>
    <w:rsid w:val="000E2C0C"/>
    <w:rsid w:val="000E44A3"/>
    <w:rsid w:val="000E55D6"/>
    <w:rsid w:val="000E5F74"/>
    <w:rsid w:val="000E612D"/>
    <w:rsid w:val="000E66F4"/>
    <w:rsid w:val="000E697E"/>
    <w:rsid w:val="000E6AB1"/>
    <w:rsid w:val="000E745A"/>
    <w:rsid w:val="000E7E9E"/>
    <w:rsid w:val="000F0044"/>
    <w:rsid w:val="000F08C0"/>
    <w:rsid w:val="000F0EFD"/>
    <w:rsid w:val="000F1C33"/>
    <w:rsid w:val="000F2173"/>
    <w:rsid w:val="000F22CC"/>
    <w:rsid w:val="000F2B18"/>
    <w:rsid w:val="000F360A"/>
    <w:rsid w:val="000F4C02"/>
    <w:rsid w:val="000F5541"/>
    <w:rsid w:val="000F6921"/>
    <w:rsid w:val="000F6A03"/>
    <w:rsid w:val="000F703B"/>
    <w:rsid w:val="000F72ED"/>
    <w:rsid w:val="000F7505"/>
    <w:rsid w:val="000F7A4C"/>
    <w:rsid w:val="000F7CDC"/>
    <w:rsid w:val="001001E5"/>
    <w:rsid w:val="00100352"/>
    <w:rsid w:val="001007C7"/>
    <w:rsid w:val="001007E1"/>
    <w:rsid w:val="00102764"/>
    <w:rsid w:val="00103698"/>
    <w:rsid w:val="001036EC"/>
    <w:rsid w:val="00104A63"/>
    <w:rsid w:val="00105449"/>
    <w:rsid w:val="0010586E"/>
    <w:rsid w:val="001065A5"/>
    <w:rsid w:val="001068DB"/>
    <w:rsid w:val="00106EF8"/>
    <w:rsid w:val="00107371"/>
    <w:rsid w:val="00107743"/>
    <w:rsid w:val="0010798A"/>
    <w:rsid w:val="001079CD"/>
    <w:rsid w:val="00107F8B"/>
    <w:rsid w:val="001101A2"/>
    <w:rsid w:val="00111489"/>
    <w:rsid w:val="00111776"/>
    <w:rsid w:val="00111792"/>
    <w:rsid w:val="00111797"/>
    <w:rsid w:val="00111B19"/>
    <w:rsid w:val="001124B9"/>
    <w:rsid w:val="00113306"/>
    <w:rsid w:val="001135D7"/>
    <w:rsid w:val="00114886"/>
    <w:rsid w:val="00114A64"/>
    <w:rsid w:val="00114C97"/>
    <w:rsid w:val="001153AB"/>
    <w:rsid w:val="00115F59"/>
    <w:rsid w:val="00116C1A"/>
    <w:rsid w:val="00117426"/>
    <w:rsid w:val="00121554"/>
    <w:rsid w:val="00121F3E"/>
    <w:rsid w:val="0012229E"/>
    <w:rsid w:val="00122917"/>
    <w:rsid w:val="001232D2"/>
    <w:rsid w:val="00123849"/>
    <w:rsid w:val="00123A5E"/>
    <w:rsid w:val="00125010"/>
    <w:rsid w:val="001251C8"/>
    <w:rsid w:val="00125266"/>
    <w:rsid w:val="00125B82"/>
    <w:rsid w:val="0012781C"/>
    <w:rsid w:val="0013029E"/>
    <w:rsid w:val="001305E6"/>
    <w:rsid w:val="001315CD"/>
    <w:rsid w:val="00131B76"/>
    <w:rsid w:val="00132282"/>
    <w:rsid w:val="0013239A"/>
    <w:rsid w:val="00132D93"/>
    <w:rsid w:val="001334D3"/>
    <w:rsid w:val="00134AFD"/>
    <w:rsid w:val="001351DD"/>
    <w:rsid w:val="001359E8"/>
    <w:rsid w:val="00135CEB"/>
    <w:rsid w:val="0013651F"/>
    <w:rsid w:val="001370C1"/>
    <w:rsid w:val="0013761A"/>
    <w:rsid w:val="00137B10"/>
    <w:rsid w:val="00137B81"/>
    <w:rsid w:val="00140BCF"/>
    <w:rsid w:val="00143AC3"/>
    <w:rsid w:val="0014423A"/>
    <w:rsid w:val="00145E61"/>
    <w:rsid w:val="00147042"/>
    <w:rsid w:val="0014704E"/>
    <w:rsid w:val="001471A7"/>
    <w:rsid w:val="00147F63"/>
    <w:rsid w:val="001506F6"/>
    <w:rsid w:val="001508E6"/>
    <w:rsid w:val="00150FEE"/>
    <w:rsid w:val="0015146D"/>
    <w:rsid w:val="00154032"/>
    <w:rsid w:val="0015428F"/>
    <w:rsid w:val="001547D3"/>
    <w:rsid w:val="00155546"/>
    <w:rsid w:val="001559BD"/>
    <w:rsid w:val="001563AE"/>
    <w:rsid w:val="00157D97"/>
    <w:rsid w:val="00157F09"/>
    <w:rsid w:val="00157F79"/>
    <w:rsid w:val="00161E46"/>
    <w:rsid w:val="001629AF"/>
    <w:rsid w:val="00163154"/>
    <w:rsid w:val="00163E84"/>
    <w:rsid w:val="0016553D"/>
    <w:rsid w:val="00165A12"/>
    <w:rsid w:val="00165B2C"/>
    <w:rsid w:val="001668AA"/>
    <w:rsid w:val="001675B1"/>
    <w:rsid w:val="0016789D"/>
    <w:rsid w:val="00167C87"/>
    <w:rsid w:val="00170346"/>
    <w:rsid w:val="00171CBF"/>
    <w:rsid w:val="00171F01"/>
    <w:rsid w:val="0017217D"/>
    <w:rsid w:val="00172829"/>
    <w:rsid w:val="00172EE3"/>
    <w:rsid w:val="001734FA"/>
    <w:rsid w:val="00174F19"/>
    <w:rsid w:val="00175FB8"/>
    <w:rsid w:val="001762C1"/>
    <w:rsid w:val="00176A2D"/>
    <w:rsid w:val="00177D9B"/>
    <w:rsid w:val="00177E7E"/>
    <w:rsid w:val="001802DF"/>
    <w:rsid w:val="001807E3"/>
    <w:rsid w:val="00180BB5"/>
    <w:rsid w:val="00181268"/>
    <w:rsid w:val="00182ED4"/>
    <w:rsid w:val="0018356F"/>
    <w:rsid w:val="00183DE8"/>
    <w:rsid w:val="00183EAE"/>
    <w:rsid w:val="001840A8"/>
    <w:rsid w:val="001853F6"/>
    <w:rsid w:val="00186DFF"/>
    <w:rsid w:val="001874A7"/>
    <w:rsid w:val="001876C5"/>
    <w:rsid w:val="00187D68"/>
    <w:rsid w:val="00187E41"/>
    <w:rsid w:val="00190155"/>
    <w:rsid w:val="001906B5"/>
    <w:rsid w:val="00190EAD"/>
    <w:rsid w:val="00191080"/>
    <w:rsid w:val="001913A7"/>
    <w:rsid w:val="00192198"/>
    <w:rsid w:val="00193F66"/>
    <w:rsid w:val="00194163"/>
    <w:rsid w:val="00194359"/>
    <w:rsid w:val="00194C6B"/>
    <w:rsid w:val="00194C71"/>
    <w:rsid w:val="00194FEB"/>
    <w:rsid w:val="00195F95"/>
    <w:rsid w:val="00196516"/>
    <w:rsid w:val="001970A4"/>
    <w:rsid w:val="001970D1"/>
    <w:rsid w:val="00197AD1"/>
    <w:rsid w:val="00197D23"/>
    <w:rsid w:val="001A080C"/>
    <w:rsid w:val="001A08FF"/>
    <w:rsid w:val="001A0D82"/>
    <w:rsid w:val="001A17DA"/>
    <w:rsid w:val="001A22A6"/>
    <w:rsid w:val="001A22D2"/>
    <w:rsid w:val="001A494E"/>
    <w:rsid w:val="001A4966"/>
    <w:rsid w:val="001A6CEF"/>
    <w:rsid w:val="001A7DD2"/>
    <w:rsid w:val="001B0020"/>
    <w:rsid w:val="001B1755"/>
    <w:rsid w:val="001B3ADD"/>
    <w:rsid w:val="001B3F87"/>
    <w:rsid w:val="001B4026"/>
    <w:rsid w:val="001B4D26"/>
    <w:rsid w:val="001B4F10"/>
    <w:rsid w:val="001B503B"/>
    <w:rsid w:val="001B5677"/>
    <w:rsid w:val="001B598C"/>
    <w:rsid w:val="001B6419"/>
    <w:rsid w:val="001B701F"/>
    <w:rsid w:val="001B76A6"/>
    <w:rsid w:val="001C07F8"/>
    <w:rsid w:val="001C1147"/>
    <w:rsid w:val="001C2D7D"/>
    <w:rsid w:val="001C2F59"/>
    <w:rsid w:val="001C594E"/>
    <w:rsid w:val="001C6C08"/>
    <w:rsid w:val="001C7690"/>
    <w:rsid w:val="001D0646"/>
    <w:rsid w:val="001D16FF"/>
    <w:rsid w:val="001D1B55"/>
    <w:rsid w:val="001D2056"/>
    <w:rsid w:val="001D220F"/>
    <w:rsid w:val="001D42D1"/>
    <w:rsid w:val="001D538B"/>
    <w:rsid w:val="001D544B"/>
    <w:rsid w:val="001D547F"/>
    <w:rsid w:val="001D5F99"/>
    <w:rsid w:val="001D64E5"/>
    <w:rsid w:val="001D6E69"/>
    <w:rsid w:val="001D6EB8"/>
    <w:rsid w:val="001D7A55"/>
    <w:rsid w:val="001D7F7D"/>
    <w:rsid w:val="001E05EC"/>
    <w:rsid w:val="001E1ACD"/>
    <w:rsid w:val="001E2165"/>
    <w:rsid w:val="001E2CCD"/>
    <w:rsid w:val="001E4809"/>
    <w:rsid w:val="001E4F4F"/>
    <w:rsid w:val="001E54E1"/>
    <w:rsid w:val="001E70BC"/>
    <w:rsid w:val="001E784E"/>
    <w:rsid w:val="001F0882"/>
    <w:rsid w:val="001F1D36"/>
    <w:rsid w:val="001F27F4"/>
    <w:rsid w:val="001F27F5"/>
    <w:rsid w:val="001F3DC0"/>
    <w:rsid w:val="001F4C5A"/>
    <w:rsid w:val="001F4EA9"/>
    <w:rsid w:val="001F4F73"/>
    <w:rsid w:val="001F4FD2"/>
    <w:rsid w:val="001F5C14"/>
    <w:rsid w:val="001F6425"/>
    <w:rsid w:val="001F6772"/>
    <w:rsid w:val="001F6972"/>
    <w:rsid w:val="001F7421"/>
    <w:rsid w:val="001F7F91"/>
    <w:rsid w:val="00200195"/>
    <w:rsid w:val="00200B5F"/>
    <w:rsid w:val="00201EEF"/>
    <w:rsid w:val="00202476"/>
    <w:rsid w:val="00202B10"/>
    <w:rsid w:val="00202B58"/>
    <w:rsid w:val="0020382B"/>
    <w:rsid w:val="00203962"/>
    <w:rsid w:val="002047C8"/>
    <w:rsid w:val="002052B3"/>
    <w:rsid w:val="00205453"/>
    <w:rsid w:val="002058F9"/>
    <w:rsid w:val="00206213"/>
    <w:rsid w:val="0020636B"/>
    <w:rsid w:val="002064E9"/>
    <w:rsid w:val="0020650A"/>
    <w:rsid w:val="00207523"/>
    <w:rsid w:val="0020778B"/>
    <w:rsid w:val="00207F32"/>
    <w:rsid w:val="00211A38"/>
    <w:rsid w:val="002126D8"/>
    <w:rsid w:val="00212B1F"/>
    <w:rsid w:val="00213340"/>
    <w:rsid w:val="00213D7C"/>
    <w:rsid w:val="00214513"/>
    <w:rsid w:val="0021478D"/>
    <w:rsid w:val="002154F8"/>
    <w:rsid w:val="002155B7"/>
    <w:rsid w:val="00215A6C"/>
    <w:rsid w:val="00216A43"/>
    <w:rsid w:val="0021766A"/>
    <w:rsid w:val="002178D1"/>
    <w:rsid w:val="00217C60"/>
    <w:rsid w:val="00220428"/>
    <w:rsid w:val="00220C88"/>
    <w:rsid w:val="00221B1C"/>
    <w:rsid w:val="002225D3"/>
    <w:rsid w:val="00222A35"/>
    <w:rsid w:val="0022301D"/>
    <w:rsid w:val="002236F0"/>
    <w:rsid w:val="00223B0E"/>
    <w:rsid w:val="00224719"/>
    <w:rsid w:val="00224ADB"/>
    <w:rsid w:val="00224B2C"/>
    <w:rsid w:val="0022589A"/>
    <w:rsid w:val="00226F3A"/>
    <w:rsid w:val="002270C3"/>
    <w:rsid w:val="002270F8"/>
    <w:rsid w:val="002272E2"/>
    <w:rsid w:val="00227390"/>
    <w:rsid w:val="0022740E"/>
    <w:rsid w:val="0022753F"/>
    <w:rsid w:val="00227E55"/>
    <w:rsid w:val="00230479"/>
    <w:rsid w:val="0023051E"/>
    <w:rsid w:val="002311B5"/>
    <w:rsid w:val="002321E0"/>
    <w:rsid w:val="0023230B"/>
    <w:rsid w:val="00232387"/>
    <w:rsid w:val="00232AA0"/>
    <w:rsid w:val="00234CDF"/>
    <w:rsid w:val="00235714"/>
    <w:rsid w:val="0023646E"/>
    <w:rsid w:val="00236608"/>
    <w:rsid w:val="0023666F"/>
    <w:rsid w:val="00236B91"/>
    <w:rsid w:val="00236BF6"/>
    <w:rsid w:val="00237420"/>
    <w:rsid w:val="00241A25"/>
    <w:rsid w:val="00241EA1"/>
    <w:rsid w:val="002424C0"/>
    <w:rsid w:val="00242617"/>
    <w:rsid w:val="00242B31"/>
    <w:rsid w:val="00242CAA"/>
    <w:rsid w:val="00243D5C"/>
    <w:rsid w:val="002447F7"/>
    <w:rsid w:val="0024503B"/>
    <w:rsid w:val="002450AA"/>
    <w:rsid w:val="002454FB"/>
    <w:rsid w:val="0024573D"/>
    <w:rsid w:val="002458C7"/>
    <w:rsid w:val="00245D74"/>
    <w:rsid w:val="002469D1"/>
    <w:rsid w:val="00246D03"/>
    <w:rsid w:val="00246DDF"/>
    <w:rsid w:val="002500F8"/>
    <w:rsid w:val="002511F0"/>
    <w:rsid w:val="00251836"/>
    <w:rsid w:val="002524AB"/>
    <w:rsid w:val="00253F7E"/>
    <w:rsid w:val="00256E19"/>
    <w:rsid w:val="002573CC"/>
    <w:rsid w:val="00260FAA"/>
    <w:rsid w:val="002610B8"/>
    <w:rsid w:val="00262338"/>
    <w:rsid w:val="00262595"/>
    <w:rsid w:val="00262DEC"/>
    <w:rsid w:val="0026310A"/>
    <w:rsid w:val="00263694"/>
    <w:rsid w:val="00263938"/>
    <w:rsid w:val="00264090"/>
    <w:rsid w:val="002646D7"/>
    <w:rsid w:val="00264990"/>
    <w:rsid w:val="00266024"/>
    <w:rsid w:val="00266C34"/>
    <w:rsid w:val="00266D20"/>
    <w:rsid w:val="002671D7"/>
    <w:rsid w:val="002674E8"/>
    <w:rsid w:val="0027025E"/>
    <w:rsid w:val="00271E3E"/>
    <w:rsid w:val="002722EE"/>
    <w:rsid w:val="0027259C"/>
    <w:rsid w:val="00272B77"/>
    <w:rsid w:val="00273543"/>
    <w:rsid w:val="002738CB"/>
    <w:rsid w:val="00273F38"/>
    <w:rsid w:val="002740AC"/>
    <w:rsid w:val="00274C82"/>
    <w:rsid w:val="00275731"/>
    <w:rsid w:val="0027654D"/>
    <w:rsid w:val="002767CE"/>
    <w:rsid w:val="00277801"/>
    <w:rsid w:val="002810DF"/>
    <w:rsid w:val="0028121F"/>
    <w:rsid w:val="002812AB"/>
    <w:rsid w:val="002816D8"/>
    <w:rsid w:val="00281F8F"/>
    <w:rsid w:val="00282081"/>
    <w:rsid w:val="00282A8C"/>
    <w:rsid w:val="002836BA"/>
    <w:rsid w:val="002845D2"/>
    <w:rsid w:val="00284DCB"/>
    <w:rsid w:val="002854EE"/>
    <w:rsid w:val="0028565C"/>
    <w:rsid w:val="00286638"/>
    <w:rsid w:val="002875DE"/>
    <w:rsid w:val="00287E07"/>
    <w:rsid w:val="00290325"/>
    <w:rsid w:val="00290EB3"/>
    <w:rsid w:val="00292846"/>
    <w:rsid w:val="00292A90"/>
    <w:rsid w:val="00294D81"/>
    <w:rsid w:val="0029626B"/>
    <w:rsid w:val="002971D6"/>
    <w:rsid w:val="002A0628"/>
    <w:rsid w:val="002A1D0B"/>
    <w:rsid w:val="002A248A"/>
    <w:rsid w:val="002A2F08"/>
    <w:rsid w:val="002A30E9"/>
    <w:rsid w:val="002A3641"/>
    <w:rsid w:val="002A495F"/>
    <w:rsid w:val="002A4CE1"/>
    <w:rsid w:val="002A4F82"/>
    <w:rsid w:val="002A5BF5"/>
    <w:rsid w:val="002A706F"/>
    <w:rsid w:val="002A70EA"/>
    <w:rsid w:val="002A7363"/>
    <w:rsid w:val="002A7740"/>
    <w:rsid w:val="002A7F43"/>
    <w:rsid w:val="002B086A"/>
    <w:rsid w:val="002B2060"/>
    <w:rsid w:val="002B2D93"/>
    <w:rsid w:val="002B365E"/>
    <w:rsid w:val="002B370F"/>
    <w:rsid w:val="002B3A5D"/>
    <w:rsid w:val="002B3E6C"/>
    <w:rsid w:val="002B4134"/>
    <w:rsid w:val="002B489A"/>
    <w:rsid w:val="002B4FF4"/>
    <w:rsid w:val="002B6293"/>
    <w:rsid w:val="002B6341"/>
    <w:rsid w:val="002B690D"/>
    <w:rsid w:val="002B72EB"/>
    <w:rsid w:val="002B7881"/>
    <w:rsid w:val="002B7B40"/>
    <w:rsid w:val="002C031A"/>
    <w:rsid w:val="002C0526"/>
    <w:rsid w:val="002C07BF"/>
    <w:rsid w:val="002C0EC3"/>
    <w:rsid w:val="002C1020"/>
    <w:rsid w:val="002C1C25"/>
    <w:rsid w:val="002C277B"/>
    <w:rsid w:val="002C27A8"/>
    <w:rsid w:val="002C27B8"/>
    <w:rsid w:val="002C333E"/>
    <w:rsid w:val="002C36C8"/>
    <w:rsid w:val="002C49BB"/>
    <w:rsid w:val="002C4EC9"/>
    <w:rsid w:val="002C51A0"/>
    <w:rsid w:val="002C57E0"/>
    <w:rsid w:val="002C68D8"/>
    <w:rsid w:val="002C73ED"/>
    <w:rsid w:val="002C7971"/>
    <w:rsid w:val="002C7BCA"/>
    <w:rsid w:val="002C7E36"/>
    <w:rsid w:val="002D0584"/>
    <w:rsid w:val="002D22A4"/>
    <w:rsid w:val="002D2E2A"/>
    <w:rsid w:val="002D3EF5"/>
    <w:rsid w:val="002D4274"/>
    <w:rsid w:val="002D47F1"/>
    <w:rsid w:val="002D4F19"/>
    <w:rsid w:val="002D50F7"/>
    <w:rsid w:val="002D5295"/>
    <w:rsid w:val="002D52BF"/>
    <w:rsid w:val="002D6258"/>
    <w:rsid w:val="002D6630"/>
    <w:rsid w:val="002D68FA"/>
    <w:rsid w:val="002D6C04"/>
    <w:rsid w:val="002D70B6"/>
    <w:rsid w:val="002D72CD"/>
    <w:rsid w:val="002D7ECA"/>
    <w:rsid w:val="002E0141"/>
    <w:rsid w:val="002E0B5D"/>
    <w:rsid w:val="002E0B76"/>
    <w:rsid w:val="002E0DC3"/>
    <w:rsid w:val="002E1495"/>
    <w:rsid w:val="002E19D3"/>
    <w:rsid w:val="002E2466"/>
    <w:rsid w:val="002E2900"/>
    <w:rsid w:val="002E3C0D"/>
    <w:rsid w:val="002E3DB4"/>
    <w:rsid w:val="002E43EC"/>
    <w:rsid w:val="002E4883"/>
    <w:rsid w:val="002E49E9"/>
    <w:rsid w:val="002E5B3C"/>
    <w:rsid w:val="002E63C6"/>
    <w:rsid w:val="002E6512"/>
    <w:rsid w:val="002E6F25"/>
    <w:rsid w:val="002E781D"/>
    <w:rsid w:val="002E7A79"/>
    <w:rsid w:val="002E7C2A"/>
    <w:rsid w:val="002E7F61"/>
    <w:rsid w:val="002F03C8"/>
    <w:rsid w:val="002F0B9E"/>
    <w:rsid w:val="002F0E73"/>
    <w:rsid w:val="002F14A5"/>
    <w:rsid w:val="002F1D9E"/>
    <w:rsid w:val="002F1F60"/>
    <w:rsid w:val="002F2C6E"/>
    <w:rsid w:val="002F3C88"/>
    <w:rsid w:val="002F4067"/>
    <w:rsid w:val="002F47EB"/>
    <w:rsid w:val="002F5270"/>
    <w:rsid w:val="002F63D6"/>
    <w:rsid w:val="002F7282"/>
    <w:rsid w:val="002F7339"/>
    <w:rsid w:val="002F7461"/>
    <w:rsid w:val="002F765C"/>
    <w:rsid w:val="002F7BC4"/>
    <w:rsid w:val="0030061B"/>
    <w:rsid w:val="003025E2"/>
    <w:rsid w:val="00303BA6"/>
    <w:rsid w:val="00303CB0"/>
    <w:rsid w:val="00304197"/>
    <w:rsid w:val="003041BB"/>
    <w:rsid w:val="00304A82"/>
    <w:rsid w:val="00306114"/>
    <w:rsid w:val="0030648E"/>
    <w:rsid w:val="00306D24"/>
    <w:rsid w:val="00307002"/>
    <w:rsid w:val="00307712"/>
    <w:rsid w:val="003109DC"/>
    <w:rsid w:val="00310C50"/>
    <w:rsid w:val="003114E8"/>
    <w:rsid w:val="0031189D"/>
    <w:rsid w:val="0031258F"/>
    <w:rsid w:val="00312CE2"/>
    <w:rsid w:val="003139D8"/>
    <w:rsid w:val="0031404A"/>
    <w:rsid w:val="0031419F"/>
    <w:rsid w:val="003142C3"/>
    <w:rsid w:val="00314B7C"/>
    <w:rsid w:val="00314E49"/>
    <w:rsid w:val="00315445"/>
    <w:rsid w:val="00315BA1"/>
    <w:rsid w:val="003161EB"/>
    <w:rsid w:val="00317183"/>
    <w:rsid w:val="00317C79"/>
    <w:rsid w:val="003204AE"/>
    <w:rsid w:val="003208EF"/>
    <w:rsid w:val="003209B4"/>
    <w:rsid w:val="00320DD1"/>
    <w:rsid w:val="003219DA"/>
    <w:rsid w:val="00323D35"/>
    <w:rsid w:val="00323E63"/>
    <w:rsid w:val="003247D5"/>
    <w:rsid w:val="00324846"/>
    <w:rsid w:val="00324ABD"/>
    <w:rsid w:val="00324D9B"/>
    <w:rsid w:val="00325938"/>
    <w:rsid w:val="003272A6"/>
    <w:rsid w:val="003273CB"/>
    <w:rsid w:val="0033125E"/>
    <w:rsid w:val="003328AC"/>
    <w:rsid w:val="00332ED2"/>
    <w:rsid w:val="00333141"/>
    <w:rsid w:val="0033325E"/>
    <w:rsid w:val="0033559F"/>
    <w:rsid w:val="00335A93"/>
    <w:rsid w:val="00335C99"/>
    <w:rsid w:val="00335EF2"/>
    <w:rsid w:val="00336913"/>
    <w:rsid w:val="00336CAF"/>
    <w:rsid w:val="0033718C"/>
    <w:rsid w:val="00337407"/>
    <w:rsid w:val="00337BB8"/>
    <w:rsid w:val="00340891"/>
    <w:rsid w:val="00340E02"/>
    <w:rsid w:val="00341D8A"/>
    <w:rsid w:val="00341F33"/>
    <w:rsid w:val="00342E94"/>
    <w:rsid w:val="00343405"/>
    <w:rsid w:val="00343D26"/>
    <w:rsid w:val="00343E6E"/>
    <w:rsid w:val="00343E9A"/>
    <w:rsid w:val="00343F7F"/>
    <w:rsid w:val="003450C8"/>
    <w:rsid w:val="0034567D"/>
    <w:rsid w:val="00345BA7"/>
    <w:rsid w:val="00347760"/>
    <w:rsid w:val="0034782B"/>
    <w:rsid w:val="00350980"/>
    <w:rsid w:val="00351E5C"/>
    <w:rsid w:val="00351F5A"/>
    <w:rsid w:val="00353315"/>
    <w:rsid w:val="003538F7"/>
    <w:rsid w:val="0035580F"/>
    <w:rsid w:val="00355CA9"/>
    <w:rsid w:val="00355FE1"/>
    <w:rsid w:val="003569BD"/>
    <w:rsid w:val="00356A56"/>
    <w:rsid w:val="00356B55"/>
    <w:rsid w:val="003577EF"/>
    <w:rsid w:val="003579DC"/>
    <w:rsid w:val="00357C5E"/>
    <w:rsid w:val="00357CB4"/>
    <w:rsid w:val="00357FB3"/>
    <w:rsid w:val="003604EE"/>
    <w:rsid w:val="0036160D"/>
    <w:rsid w:val="00361D57"/>
    <w:rsid w:val="00362302"/>
    <w:rsid w:val="0036286B"/>
    <w:rsid w:val="00362966"/>
    <w:rsid w:val="00363371"/>
    <w:rsid w:val="003634FF"/>
    <w:rsid w:val="00363EED"/>
    <w:rsid w:val="003644AC"/>
    <w:rsid w:val="00364989"/>
    <w:rsid w:val="00365589"/>
    <w:rsid w:val="003664C0"/>
    <w:rsid w:val="00366769"/>
    <w:rsid w:val="00367A28"/>
    <w:rsid w:val="00367E04"/>
    <w:rsid w:val="00371892"/>
    <w:rsid w:val="0037213B"/>
    <w:rsid w:val="00372D9B"/>
    <w:rsid w:val="003745C6"/>
    <w:rsid w:val="003746DB"/>
    <w:rsid w:val="00375940"/>
    <w:rsid w:val="003761F2"/>
    <w:rsid w:val="00376A05"/>
    <w:rsid w:val="003774FE"/>
    <w:rsid w:val="00377F06"/>
    <w:rsid w:val="00380328"/>
    <w:rsid w:val="0038103B"/>
    <w:rsid w:val="00383A2E"/>
    <w:rsid w:val="003849B5"/>
    <w:rsid w:val="00384BE5"/>
    <w:rsid w:val="00384E2A"/>
    <w:rsid w:val="003864FC"/>
    <w:rsid w:val="00386626"/>
    <w:rsid w:val="00390121"/>
    <w:rsid w:val="00390E30"/>
    <w:rsid w:val="003920A0"/>
    <w:rsid w:val="003922CE"/>
    <w:rsid w:val="00392420"/>
    <w:rsid w:val="00392823"/>
    <w:rsid w:val="003938AC"/>
    <w:rsid w:val="00393ABE"/>
    <w:rsid w:val="0039458D"/>
    <w:rsid w:val="00394705"/>
    <w:rsid w:val="00394D61"/>
    <w:rsid w:val="00395201"/>
    <w:rsid w:val="00395442"/>
    <w:rsid w:val="00397190"/>
    <w:rsid w:val="003A05FC"/>
    <w:rsid w:val="003A0639"/>
    <w:rsid w:val="003A149B"/>
    <w:rsid w:val="003A18C7"/>
    <w:rsid w:val="003A1F5A"/>
    <w:rsid w:val="003A20C4"/>
    <w:rsid w:val="003A2ECE"/>
    <w:rsid w:val="003A3644"/>
    <w:rsid w:val="003A4252"/>
    <w:rsid w:val="003A539A"/>
    <w:rsid w:val="003A62A4"/>
    <w:rsid w:val="003A66B4"/>
    <w:rsid w:val="003A7320"/>
    <w:rsid w:val="003A7476"/>
    <w:rsid w:val="003A7968"/>
    <w:rsid w:val="003A7B12"/>
    <w:rsid w:val="003A7D86"/>
    <w:rsid w:val="003A7F66"/>
    <w:rsid w:val="003B0AA1"/>
    <w:rsid w:val="003B19DE"/>
    <w:rsid w:val="003B243D"/>
    <w:rsid w:val="003B304F"/>
    <w:rsid w:val="003B3233"/>
    <w:rsid w:val="003B33C9"/>
    <w:rsid w:val="003B4055"/>
    <w:rsid w:val="003B4706"/>
    <w:rsid w:val="003B5D18"/>
    <w:rsid w:val="003B795D"/>
    <w:rsid w:val="003C0CFF"/>
    <w:rsid w:val="003C121A"/>
    <w:rsid w:val="003C2215"/>
    <w:rsid w:val="003C26A6"/>
    <w:rsid w:val="003C26C1"/>
    <w:rsid w:val="003C296C"/>
    <w:rsid w:val="003C2FB8"/>
    <w:rsid w:val="003C4504"/>
    <w:rsid w:val="003C5230"/>
    <w:rsid w:val="003C5C11"/>
    <w:rsid w:val="003C6A4A"/>
    <w:rsid w:val="003C6A5A"/>
    <w:rsid w:val="003C6AAD"/>
    <w:rsid w:val="003C7153"/>
    <w:rsid w:val="003C76E4"/>
    <w:rsid w:val="003C775E"/>
    <w:rsid w:val="003C7E76"/>
    <w:rsid w:val="003D04E7"/>
    <w:rsid w:val="003D1674"/>
    <w:rsid w:val="003D1D4D"/>
    <w:rsid w:val="003D22F5"/>
    <w:rsid w:val="003D2687"/>
    <w:rsid w:val="003D2D68"/>
    <w:rsid w:val="003D3682"/>
    <w:rsid w:val="003D37DD"/>
    <w:rsid w:val="003D3B42"/>
    <w:rsid w:val="003D45DF"/>
    <w:rsid w:val="003D4709"/>
    <w:rsid w:val="003D470B"/>
    <w:rsid w:val="003D47C6"/>
    <w:rsid w:val="003D4E42"/>
    <w:rsid w:val="003D4E7B"/>
    <w:rsid w:val="003D5490"/>
    <w:rsid w:val="003D5CE7"/>
    <w:rsid w:val="003D6B9E"/>
    <w:rsid w:val="003D7439"/>
    <w:rsid w:val="003D7D8D"/>
    <w:rsid w:val="003D7E38"/>
    <w:rsid w:val="003D7EAC"/>
    <w:rsid w:val="003E09CB"/>
    <w:rsid w:val="003E0A46"/>
    <w:rsid w:val="003E12EF"/>
    <w:rsid w:val="003E1AFA"/>
    <w:rsid w:val="003E375F"/>
    <w:rsid w:val="003E379A"/>
    <w:rsid w:val="003E3F44"/>
    <w:rsid w:val="003E44E5"/>
    <w:rsid w:val="003E4BF6"/>
    <w:rsid w:val="003E52B0"/>
    <w:rsid w:val="003E56FC"/>
    <w:rsid w:val="003E5A7E"/>
    <w:rsid w:val="003E5CC2"/>
    <w:rsid w:val="003E64DC"/>
    <w:rsid w:val="003E6DC7"/>
    <w:rsid w:val="003E6F06"/>
    <w:rsid w:val="003E7728"/>
    <w:rsid w:val="003E7A43"/>
    <w:rsid w:val="003E7BD3"/>
    <w:rsid w:val="003F0384"/>
    <w:rsid w:val="003F0B58"/>
    <w:rsid w:val="003F0D40"/>
    <w:rsid w:val="003F0E23"/>
    <w:rsid w:val="003F2236"/>
    <w:rsid w:val="003F27B7"/>
    <w:rsid w:val="003F4051"/>
    <w:rsid w:val="003F4CF4"/>
    <w:rsid w:val="003F5812"/>
    <w:rsid w:val="003F582D"/>
    <w:rsid w:val="003F5878"/>
    <w:rsid w:val="003F625A"/>
    <w:rsid w:val="003F6AA4"/>
    <w:rsid w:val="003F6EA1"/>
    <w:rsid w:val="003F7679"/>
    <w:rsid w:val="00400182"/>
    <w:rsid w:val="00400E4A"/>
    <w:rsid w:val="00401B23"/>
    <w:rsid w:val="004021FA"/>
    <w:rsid w:val="004028E7"/>
    <w:rsid w:val="00402E9A"/>
    <w:rsid w:val="00403FA8"/>
    <w:rsid w:val="00404040"/>
    <w:rsid w:val="004040B1"/>
    <w:rsid w:val="00404213"/>
    <w:rsid w:val="004048AC"/>
    <w:rsid w:val="00404B8E"/>
    <w:rsid w:val="00404C86"/>
    <w:rsid w:val="004068C2"/>
    <w:rsid w:val="00406E61"/>
    <w:rsid w:val="00407DD6"/>
    <w:rsid w:val="00410265"/>
    <w:rsid w:val="00411603"/>
    <w:rsid w:val="00411923"/>
    <w:rsid w:val="00411FC0"/>
    <w:rsid w:val="00412559"/>
    <w:rsid w:val="004126F0"/>
    <w:rsid w:val="004131B9"/>
    <w:rsid w:val="00413D75"/>
    <w:rsid w:val="004140DD"/>
    <w:rsid w:val="004145F0"/>
    <w:rsid w:val="00415D9D"/>
    <w:rsid w:val="00415E7F"/>
    <w:rsid w:val="00416415"/>
    <w:rsid w:val="00416954"/>
    <w:rsid w:val="00417BFF"/>
    <w:rsid w:val="00420288"/>
    <w:rsid w:val="00421C2E"/>
    <w:rsid w:val="00421C78"/>
    <w:rsid w:val="004224CE"/>
    <w:rsid w:val="00423D5E"/>
    <w:rsid w:val="004240B4"/>
    <w:rsid w:val="00424A78"/>
    <w:rsid w:val="004254DB"/>
    <w:rsid w:val="004254FD"/>
    <w:rsid w:val="004259AE"/>
    <w:rsid w:val="004267BB"/>
    <w:rsid w:val="00426E4B"/>
    <w:rsid w:val="00427EEA"/>
    <w:rsid w:val="0043148F"/>
    <w:rsid w:val="00431836"/>
    <w:rsid w:val="004321E6"/>
    <w:rsid w:val="0043278E"/>
    <w:rsid w:val="00432946"/>
    <w:rsid w:val="00432F97"/>
    <w:rsid w:val="004332A4"/>
    <w:rsid w:val="00434882"/>
    <w:rsid w:val="004359B8"/>
    <w:rsid w:val="004360AC"/>
    <w:rsid w:val="004366BA"/>
    <w:rsid w:val="00436B83"/>
    <w:rsid w:val="0043786E"/>
    <w:rsid w:val="00437A33"/>
    <w:rsid w:val="00440F35"/>
    <w:rsid w:val="00441061"/>
    <w:rsid w:val="00444446"/>
    <w:rsid w:val="004447AD"/>
    <w:rsid w:val="004454CC"/>
    <w:rsid w:val="0044560C"/>
    <w:rsid w:val="004462F5"/>
    <w:rsid w:val="004473F3"/>
    <w:rsid w:val="004500E2"/>
    <w:rsid w:val="004501C9"/>
    <w:rsid w:val="0045033F"/>
    <w:rsid w:val="004509B5"/>
    <w:rsid w:val="00450C70"/>
    <w:rsid w:val="00451973"/>
    <w:rsid w:val="00452522"/>
    <w:rsid w:val="00452BF5"/>
    <w:rsid w:val="00453344"/>
    <w:rsid w:val="00454E76"/>
    <w:rsid w:val="00455051"/>
    <w:rsid w:val="00455065"/>
    <w:rsid w:val="00456A23"/>
    <w:rsid w:val="00457080"/>
    <w:rsid w:val="0046087B"/>
    <w:rsid w:val="00460891"/>
    <w:rsid w:val="00463466"/>
    <w:rsid w:val="00463B7A"/>
    <w:rsid w:val="00463DF1"/>
    <w:rsid w:val="00464388"/>
    <w:rsid w:val="0046451B"/>
    <w:rsid w:val="0046498F"/>
    <w:rsid w:val="00464FB2"/>
    <w:rsid w:val="00465CB6"/>
    <w:rsid w:val="00465E2B"/>
    <w:rsid w:val="004661B6"/>
    <w:rsid w:val="004662A8"/>
    <w:rsid w:val="00466CDC"/>
    <w:rsid w:val="0046745E"/>
    <w:rsid w:val="00470522"/>
    <w:rsid w:val="0047053B"/>
    <w:rsid w:val="004724D4"/>
    <w:rsid w:val="004725ED"/>
    <w:rsid w:val="0047293A"/>
    <w:rsid w:val="0047310B"/>
    <w:rsid w:val="004736BE"/>
    <w:rsid w:val="0047556D"/>
    <w:rsid w:val="0047570A"/>
    <w:rsid w:val="00475789"/>
    <w:rsid w:val="004759C3"/>
    <w:rsid w:val="00476170"/>
    <w:rsid w:val="0047701C"/>
    <w:rsid w:val="00477193"/>
    <w:rsid w:val="00477A7C"/>
    <w:rsid w:val="004801D4"/>
    <w:rsid w:val="00480284"/>
    <w:rsid w:val="004820B0"/>
    <w:rsid w:val="00482117"/>
    <w:rsid w:val="00482742"/>
    <w:rsid w:val="004828EC"/>
    <w:rsid w:val="00482E2F"/>
    <w:rsid w:val="004833F7"/>
    <w:rsid w:val="00483CF7"/>
    <w:rsid w:val="00484BE0"/>
    <w:rsid w:val="004854F3"/>
    <w:rsid w:val="004859B4"/>
    <w:rsid w:val="00486ACD"/>
    <w:rsid w:val="00487A85"/>
    <w:rsid w:val="00490B8D"/>
    <w:rsid w:val="00491581"/>
    <w:rsid w:val="004924BD"/>
    <w:rsid w:val="0049255A"/>
    <w:rsid w:val="00492C65"/>
    <w:rsid w:val="00492F73"/>
    <w:rsid w:val="00493026"/>
    <w:rsid w:val="00493992"/>
    <w:rsid w:val="0049403F"/>
    <w:rsid w:val="00494323"/>
    <w:rsid w:val="00494349"/>
    <w:rsid w:val="00494485"/>
    <w:rsid w:val="0049682B"/>
    <w:rsid w:val="004970B1"/>
    <w:rsid w:val="0049762B"/>
    <w:rsid w:val="004A0D1A"/>
    <w:rsid w:val="004A0EB7"/>
    <w:rsid w:val="004A0F27"/>
    <w:rsid w:val="004A0F37"/>
    <w:rsid w:val="004A0F68"/>
    <w:rsid w:val="004A1EF4"/>
    <w:rsid w:val="004A2747"/>
    <w:rsid w:val="004A2BB8"/>
    <w:rsid w:val="004A3608"/>
    <w:rsid w:val="004A433B"/>
    <w:rsid w:val="004A4AEF"/>
    <w:rsid w:val="004A4FBD"/>
    <w:rsid w:val="004A5A94"/>
    <w:rsid w:val="004A5FFF"/>
    <w:rsid w:val="004A76FF"/>
    <w:rsid w:val="004A7810"/>
    <w:rsid w:val="004A7B74"/>
    <w:rsid w:val="004A7E93"/>
    <w:rsid w:val="004B021E"/>
    <w:rsid w:val="004B0A0D"/>
    <w:rsid w:val="004B0CD2"/>
    <w:rsid w:val="004B1EA7"/>
    <w:rsid w:val="004B2608"/>
    <w:rsid w:val="004B3CFB"/>
    <w:rsid w:val="004B4F08"/>
    <w:rsid w:val="004B5410"/>
    <w:rsid w:val="004B5A50"/>
    <w:rsid w:val="004B5B0C"/>
    <w:rsid w:val="004B5D6B"/>
    <w:rsid w:val="004B6CB8"/>
    <w:rsid w:val="004B74CB"/>
    <w:rsid w:val="004B76F8"/>
    <w:rsid w:val="004C0DC1"/>
    <w:rsid w:val="004C16C2"/>
    <w:rsid w:val="004C1FA6"/>
    <w:rsid w:val="004C2869"/>
    <w:rsid w:val="004C3E86"/>
    <w:rsid w:val="004C4C60"/>
    <w:rsid w:val="004C4D26"/>
    <w:rsid w:val="004C5634"/>
    <w:rsid w:val="004C5ABC"/>
    <w:rsid w:val="004C5CFD"/>
    <w:rsid w:val="004C6921"/>
    <w:rsid w:val="004D0037"/>
    <w:rsid w:val="004D0164"/>
    <w:rsid w:val="004D12C0"/>
    <w:rsid w:val="004D18EA"/>
    <w:rsid w:val="004D2462"/>
    <w:rsid w:val="004D2AB8"/>
    <w:rsid w:val="004D2B29"/>
    <w:rsid w:val="004D2E60"/>
    <w:rsid w:val="004D32B8"/>
    <w:rsid w:val="004D3713"/>
    <w:rsid w:val="004D47DE"/>
    <w:rsid w:val="004D604E"/>
    <w:rsid w:val="004D6254"/>
    <w:rsid w:val="004D70FD"/>
    <w:rsid w:val="004D7E99"/>
    <w:rsid w:val="004E00CE"/>
    <w:rsid w:val="004E0493"/>
    <w:rsid w:val="004E2BDB"/>
    <w:rsid w:val="004E2FB9"/>
    <w:rsid w:val="004E307B"/>
    <w:rsid w:val="004E392E"/>
    <w:rsid w:val="004E3A23"/>
    <w:rsid w:val="004E6440"/>
    <w:rsid w:val="004E658F"/>
    <w:rsid w:val="004E6AEC"/>
    <w:rsid w:val="004E734B"/>
    <w:rsid w:val="004E7EA6"/>
    <w:rsid w:val="004F0966"/>
    <w:rsid w:val="004F2A8F"/>
    <w:rsid w:val="004F2B54"/>
    <w:rsid w:val="004F50AF"/>
    <w:rsid w:val="004F5424"/>
    <w:rsid w:val="004F681B"/>
    <w:rsid w:val="004F681D"/>
    <w:rsid w:val="004F6E14"/>
    <w:rsid w:val="00501AA5"/>
    <w:rsid w:val="0050220E"/>
    <w:rsid w:val="0050228C"/>
    <w:rsid w:val="00502857"/>
    <w:rsid w:val="00502C94"/>
    <w:rsid w:val="00502D52"/>
    <w:rsid w:val="00503A98"/>
    <w:rsid w:val="005044A9"/>
    <w:rsid w:val="00504F68"/>
    <w:rsid w:val="005054DC"/>
    <w:rsid w:val="00505994"/>
    <w:rsid w:val="00505FD4"/>
    <w:rsid w:val="00505FF0"/>
    <w:rsid w:val="005062F0"/>
    <w:rsid w:val="0050683E"/>
    <w:rsid w:val="00506E25"/>
    <w:rsid w:val="00506E83"/>
    <w:rsid w:val="00507A41"/>
    <w:rsid w:val="0051092D"/>
    <w:rsid w:val="0051132C"/>
    <w:rsid w:val="005119D0"/>
    <w:rsid w:val="00511F87"/>
    <w:rsid w:val="00513483"/>
    <w:rsid w:val="00513673"/>
    <w:rsid w:val="005137DB"/>
    <w:rsid w:val="005149AB"/>
    <w:rsid w:val="00514A55"/>
    <w:rsid w:val="00514EF5"/>
    <w:rsid w:val="005157A9"/>
    <w:rsid w:val="005157CD"/>
    <w:rsid w:val="0051613F"/>
    <w:rsid w:val="005177CB"/>
    <w:rsid w:val="0051782D"/>
    <w:rsid w:val="0052008F"/>
    <w:rsid w:val="0052087E"/>
    <w:rsid w:val="00520BB1"/>
    <w:rsid w:val="0052290A"/>
    <w:rsid w:val="0052315E"/>
    <w:rsid w:val="00523B73"/>
    <w:rsid w:val="00526724"/>
    <w:rsid w:val="00527208"/>
    <w:rsid w:val="00530580"/>
    <w:rsid w:val="00530ED3"/>
    <w:rsid w:val="00531529"/>
    <w:rsid w:val="00531A06"/>
    <w:rsid w:val="00532C52"/>
    <w:rsid w:val="005330C4"/>
    <w:rsid w:val="00533D2D"/>
    <w:rsid w:val="00533D49"/>
    <w:rsid w:val="0053438E"/>
    <w:rsid w:val="005343C3"/>
    <w:rsid w:val="005343E5"/>
    <w:rsid w:val="00534573"/>
    <w:rsid w:val="005346B7"/>
    <w:rsid w:val="005355EE"/>
    <w:rsid w:val="00535B16"/>
    <w:rsid w:val="005366D0"/>
    <w:rsid w:val="00537B2B"/>
    <w:rsid w:val="00537E27"/>
    <w:rsid w:val="00540B4D"/>
    <w:rsid w:val="00540FFA"/>
    <w:rsid w:val="00541E02"/>
    <w:rsid w:val="00541F93"/>
    <w:rsid w:val="005421A5"/>
    <w:rsid w:val="00542930"/>
    <w:rsid w:val="005435B3"/>
    <w:rsid w:val="00543DE4"/>
    <w:rsid w:val="00543E2C"/>
    <w:rsid w:val="00543E88"/>
    <w:rsid w:val="005447D2"/>
    <w:rsid w:val="00545568"/>
    <w:rsid w:val="0054575B"/>
    <w:rsid w:val="00546594"/>
    <w:rsid w:val="00547031"/>
    <w:rsid w:val="00550298"/>
    <w:rsid w:val="00550849"/>
    <w:rsid w:val="00550866"/>
    <w:rsid w:val="0055116C"/>
    <w:rsid w:val="00551235"/>
    <w:rsid w:val="00551738"/>
    <w:rsid w:val="00551CC2"/>
    <w:rsid w:val="00553928"/>
    <w:rsid w:val="00554BF3"/>
    <w:rsid w:val="00555879"/>
    <w:rsid w:val="005558BB"/>
    <w:rsid w:val="0055655F"/>
    <w:rsid w:val="0055657D"/>
    <w:rsid w:val="005569E8"/>
    <w:rsid w:val="00556EB6"/>
    <w:rsid w:val="005579B9"/>
    <w:rsid w:val="00557F7E"/>
    <w:rsid w:val="00560D0D"/>
    <w:rsid w:val="00561C4C"/>
    <w:rsid w:val="005632F1"/>
    <w:rsid w:val="00563B81"/>
    <w:rsid w:val="005644AD"/>
    <w:rsid w:val="00565755"/>
    <w:rsid w:val="00565FB1"/>
    <w:rsid w:val="005662FB"/>
    <w:rsid w:val="00567781"/>
    <w:rsid w:val="005679A5"/>
    <w:rsid w:val="00567ECC"/>
    <w:rsid w:val="0057019C"/>
    <w:rsid w:val="00570879"/>
    <w:rsid w:val="005713B1"/>
    <w:rsid w:val="005718A8"/>
    <w:rsid w:val="0057217A"/>
    <w:rsid w:val="005730D8"/>
    <w:rsid w:val="0057363E"/>
    <w:rsid w:val="0057624B"/>
    <w:rsid w:val="0057644D"/>
    <w:rsid w:val="0057649A"/>
    <w:rsid w:val="0057727D"/>
    <w:rsid w:val="00577F22"/>
    <w:rsid w:val="0058119F"/>
    <w:rsid w:val="005819FD"/>
    <w:rsid w:val="00583090"/>
    <w:rsid w:val="005835F4"/>
    <w:rsid w:val="0058394C"/>
    <w:rsid w:val="00583EFE"/>
    <w:rsid w:val="00584076"/>
    <w:rsid w:val="005840FD"/>
    <w:rsid w:val="005841A3"/>
    <w:rsid w:val="005848CC"/>
    <w:rsid w:val="0058550A"/>
    <w:rsid w:val="00586D9A"/>
    <w:rsid w:val="00590EAE"/>
    <w:rsid w:val="0059112A"/>
    <w:rsid w:val="0059116B"/>
    <w:rsid w:val="0059174C"/>
    <w:rsid w:val="00591B65"/>
    <w:rsid w:val="00592A14"/>
    <w:rsid w:val="0059305D"/>
    <w:rsid w:val="0059306D"/>
    <w:rsid w:val="00593216"/>
    <w:rsid w:val="00594BC3"/>
    <w:rsid w:val="00594BF6"/>
    <w:rsid w:val="0059540A"/>
    <w:rsid w:val="00596BA8"/>
    <w:rsid w:val="00596CA7"/>
    <w:rsid w:val="00596DC8"/>
    <w:rsid w:val="00596E16"/>
    <w:rsid w:val="00597762"/>
    <w:rsid w:val="00597A78"/>
    <w:rsid w:val="00597D2E"/>
    <w:rsid w:val="00597D38"/>
    <w:rsid w:val="00597DC7"/>
    <w:rsid w:val="005A0194"/>
    <w:rsid w:val="005A02C7"/>
    <w:rsid w:val="005A10FB"/>
    <w:rsid w:val="005A16A3"/>
    <w:rsid w:val="005A1C48"/>
    <w:rsid w:val="005A253A"/>
    <w:rsid w:val="005A2AD8"/>
    <w:rsid w:val="005A3152"/>
    <w:rsid w:val="005A3900"/>
    <w:rsid w:val="005A3E1E"/>
    <w:rsid w:val="005A40AF"/>
    <w:rsid w:val="005A5057"/>
    <w:rsid w:val="005A5A30"/>
    <w:rsid w:val="005A64BF"/>
    <w:rsid w:val="005A78D2"/>
    <w:rsid w:val="005B0565"/>
    <w:rsid w:val="005B0646"/>
    <w:rsid w:val="005B094F"/>
    <w:rsid w:val="005B0D07"/>
    <w:rsid w:val="005B1651"/>
    <w:rsid w:val="005B1AA6"/>
    <w:rsid w:val="005B2C52"/>
    <w:rsid w:val="005B4421"/>
    <w:rsid w:val="005B46AC"/>
    <w:rsid w:val="005B4A26"/>
    <w:rsid w:val="005B513F"/>
    <w:rsid w:val="005B5ABB"/>
    <w:rsid w:val="005B5AF2"/>
    <w:rsid w:val="005B68B3"/>
    <w:rsid w:val="005B6985"/>
    <w:rsid w:val="005B6B1D"/>
    <w:rsid w:val="005B7483"/>
    <w:rsid w:val="005B7929"/>
    <w:rsid w:val="005C0643"/>
    <w:rsid w:val="005C218A"/>
    <w:rsid w:val="005C23AF"/>
    <w:rsid w:val="005C25D1"/>
    <w:rsid w:val="005C310E"/>
    <w:rsid w:val="005C33FD"/>
    <w:rsid w:val="005C35A9"/>
    <w:rsid w:val="005C365B"/>
    <w:rsid w:val="005C39FD"/>
    <w:rsid w:val="005C3BBB"/>
    <w:rsid w:val="005C42D4"/>
    <w:rsid w:val="005C4452"/>
    <w:rsid w:val="005C464B"/>
    <w:rsid w:val="005C4E5F"/>
    <w:rsid w:val="005C593E"/>
    <w:rsid w:val="005C66A9"/>
    <w:rsid w:val="005C6B74"/>
    <w:rsid w:val="005C74A0"/>
    <w:rsid w:val="005C74E3"/>
    <w:rsid w:val="005C754F"/>
    <w:rsid w:val="005C7800"/>
    <w:rsid w:val="005D00D0"/>
    <w:rsid w:val="005D052C"/>
    <w:rsid w:val="005D16FE"/>
    <w:rsid w:val="005D3F2F"/>
    <w:rsid w:val="005D4084"/>
    <w:rsid w:val="005D4418"/>
    <w:rsid w:val="005D4777"/>
    <w:rsid w:val="005D4C2B"/>
    <w:rsid w:val="005D52B1"/>
    <w:rsid w:val="005D54AE"/>
    <w:rsid w:val="005D5784"/>
    <w:rsid w:val="005D5D5B"/>
    <w:rsid w:val="005E1B28"/>
    <w:rsid w:val="005E1CB2"/>
    <w:rsid w:val="005E22CD"/>
    <w:rsid w:val="005E25C5"/>
    <w:rsid w:val="005E2FBB"/>
    <w:rsid w:val="005E3298"/>
    <w:rsid w:val="005E33A0"/>
    <w:rsid w:val="005E361B"/>
    <w:rsid w:val="005E3CAC"/>
    <w:rsid w:val="005E4945"/>
    <w:rsid w:val="005E539E"/>
    <w:rsid w:val="005E6251"/>
    <w:rsid w:val="005E6B93"/>
    <w:rsid w:val="005E7953"/>
    <w:rsid w:val="005E7E82"/>
    <w:rsid w:val="005F0C26"/>
    <w:rsid w:val="005F1B90"/>
    <w:rsid w:val="005F2952"/>
    <w:rsid w:val="005F2C42"/>
    <w:rsid w:val="005F3741"/>
    <w:rsid w:val="005F4A0F"/>
    <w:rsid w:val="005F5CF2"/>
    <w:rsid w:val="005F6863"/>
    <w:rsid w:val="005F6910"/>
    <w:rsid w:val="005F6BAB"/>
    <w:rsid w:val="005F6C28"/>
    <w:rsid w:val="005F6E33"/>
    <w:rsid w:val="005F7AB6"/>
    <w:rsid w:val="005F7E3C"/>
    <w:rsid w:val="006004D2"/>
    <w:rsid w:val="00600FA8"/>
    <w:rsid w:val="00601033"/>
    <w:rsid w:val="00603060"/>
    <w:rsid w:val="00603A5F"/>
    <w:rsid w:val="00604548"/>
    <w:rsid w:val="00604827"/>
    <w:rsid w:val="006063DA"/>
    <w:rsid w:val="006064EB"/>
    <w:rsid w:val="00606CD0"/>
    <w:rsid w:val="00606CE3"/>
    <w:rsid w:val="00607407"/>
    <w:rsid w:val="00611500"/>
    <w:rsid w:val="00611AC9"/>
    <w:rsid w:val="00611BE6"/>
    <w:rsid w:val="00611DD3"/>
    <w:rsid w:val="00611E35"/>
    <w:rsid w:val="00611EF0"/>
    <w:rsid w:val="00612219"/>
    <w:rsid w:val="00612B85"/>
    <w:rsid w:val="00612E04"/>
    <w:rsid w:val="00612F40"/>
    <w:rsid w:val="006132F4"/>
    <w:rsid w:val="00613C5E"/>
    <w:rsid w:val="00614D04"/>
    <w:rsid w:val="00616BBA"/>
    <w:rsid w:val="006173A4"/>
    <w:rsid w:val="006173DD"/>
    <w:rsid w:val="00617C44"/>
    <w:rsid w:val="00620086"/>
    <w:rsid w:val="00620AF3"/>
    <w:rsid w:val="0062142C"/>
    <w:rsid w:val="006219D8"/>
    <w:rsid w:val="00621B27"/>
    <w:rsid w:val="00622074"/>
    <w:rsid w:val="0062262C"/>
    <w:rsid w:val="00622CE4"/>
    <w:rsid w:val="006234A7"/>
    <w:rsid w:val="00623647"/>
    <w:rsid w:val="0062381E"/>
    <w:rsid w:val="00623B9A"/>
    <w:rsid w:val="00623F8E"/>
    <w:rsid w:val="006240A5"/>
    <w:rsid w:val="00625917"/>
    <w:rsid w:val="00626177"/>
    <w:rsid w:val="0062789F"/>
    <w:rsid w:val="006301BE"/>
    <w:rsid w:val="00630540"/>
    <w:rsid w:val="0063096E"/>
    <w:rsid w:val="0063155F"/>
    <w:rsid w:val="006319D1"/>
    <w:rsid w:val="00631DD6"/>
    <w:rsid w:val="00631F3B"/>
    <w:rsid w:val="00631FB1"/>
    <w:rsid w:val="00632A04"/>
    <w:rsid w:val="00632DB2"/>
    <w:rsid w:val="0063320A"/>
    <w:rsid w:val="00633349"/>
    <w:rsid w:val="00633D61"/>
    <w:rsid w:val="00633D63"/>
    <w:rsid w:val="0063402B"/>
    <w:rsid w:val="0063566E"/>
    <w:rsid w:val="00635B91"/>
    <w:rsid w:val="00636570"/>
    <w:rsid w:val="006367EA"/>
    <w:rsid w:val="00637859"/>
    <w:rsid w:val="00637901"/>
    <w:rsid w:val="00637E1B"/>
    <w:rsid w:val="006402A2"/>
    <w:rsid w:val="006402DF"/>
    <w:rsid w:val="0064164B"/>
    <w:rsid w:val="006429C4"/>
    <w:rsid w:val="0064337E"/>
    <w:rsid w:val="0064342D"/>
    <w:rsid w:val="0064416A"/>
    <w:rsid w:val="00644468"/>
    <w:rsid w:val="006450E1"/>
    <w:rsid w:val="0064547A"/>
    <w:rsid w:val="00645A97"/>
    <w:rsid w:val="00645F5E"/>
    <w:rsid w:val="0064663D"/>
    <w:rsid w:val="00646B11"/>
    <w:rsid w:val="00647B1E"/>
    <w:rsid w:val="00647C55"/>
    <w:rsid w:val="0065008B"/>
    <w:rsid w:val="00650AD4"/>
    <w:rsid w:val="00650B25"/>
    <w:rsid w:val="0065260D"/>
    <w:rsid w:val="006530A0"/>
    <w:rsid w:val="00653572"/>
    <w:rsid w:val="00653721"/>
    <w:rsid w:val="00653769"/>
    <w:rsid w:val="006538DA"/>
    <w:rsid w:val="00653A3B"/>
    <w:rsid w:val="00653FD9"/>
    <w:rsid w:val="006543A2"/>
    <w:rsid w:val="006545EB"/>
    <w:rsid w:val="00654B08"/>
    <w:rsid w:val="00654D42"/>
    <w:rsid w:val="00656328"/>
    <w:rsid w:val="00656EFC"/>
    <w:rsid w:val="006573D9"/>
    <w:rsid w:val="0065754B"/>
    <w:rsid w:val="00657A20"/>
    <w:rsid w:val="00660111"/>
    <w:rsid w:val="00660279"/>
    <w:rsid w:val="006603CD"/>
    <w:rsid w:val="00660A94"/>
    <w:rsid w:val="00661B98"/>
    <w:rsid w:val="006622B9"/>
    <w:rsid w:val="00662A29"/>
    <w:rsid w:val="00662E1E"/>
    <w:rsid w:val="00662E40"/>
    <w:rsid w:val="0066371E"/>
    <w:rsid w:val="00664271"/>
    <w:rsid w:val="00664364"/>
    <w:rsid w:val="0066455B"/>
    <w:rsid w:val="00664FAD"/>
    <w:rsid w:val="006654AE"/>
    <w:rsid w:val="00666005"/>
    <w:rsid w:val="00667F51"/>
    <w:rsid w:val="00670BC4"/>
    <w:rsid w:val="006718ED"/>
    <w:rsid w:val="006724AD"/>
    <w:rsid w:val="00672BAB"/>
    <w:rsid w:val="0067314A"/>
    <w:rsid w:val="0067338C"/>
    <w:rsid w:val="006736C6"/>
    <w:rsid w:val="006738D3"/>
    <w:rsid w:val="00673B81"/>
    <w:rsid w:val="00673D1E"/>
    <w:rsid w:val="00674482"/>
    <w:rsid w:val="0067557E"/>
    <w:rsid w:val="006755FD"/>
    <w:rsid w:val="00675E9D"/>
    <w:rsid w:val="006764A6"/>
    <w:rsid w:val="00676727"/>
    <w:rsid w:val="00676C4E"/>
    <w:rsid w:val="006772F7"/>
    <w:rsid w:val="006779CF"/>
    <w:rsid w:val="00677A8F"/>
    <w:rsid w:val="00677D63"/>
    <w:rsid w:val="00677F8A"/>
    <w:rsid w:val="006800FA"/>
    <w:rsid w:val="006802D1"/>
    <w:rsid w:val="00680889"/>
    <w:rsid w:val="0068182B"/>
    <w:rsid w:val="006821E3"/>
    <w:rsid w:val="0068261F"/>
    <w:rsid w:val="00682829"/>
    <w:rsid w:val="00683AD6"/>
    <w:rsid w:val="00683BEC"/>
    <w:rsid w:val="006842AE"/>
    <w:rsid w:val="006860C8"/>
    <w:rsid w:val="006875BA"/>
    <w:rsid w:val="00687FCE"/>
    <w:rsid w:val="006903AB"/>
    <w:rsid w:val="0069097D"/>
    <w:rsid w:val="00692A8B"/>
    <w:rsid w:val="00692F49"/>
    <w:rsid w:val="00693FEA"/>
    <w:rsid w:val="00694099"/>
    <w:rsid w:val="006941B9"/>
    <w:rsid w:val="006942E5"/>
    <w:rsid w:val="00694893"/>
    <w:rsid w:val="00694C68"/>
    <w:rsid w:val="00695876"/>
    <w:rsid w:val="00695E79"/>
    <w:rsid w:val="006A0704"/>
    <w:rsid w:val="006A2642"/>
    <w:rsid w:val="006A26B5"/>
    <w:rsid w:val="006A3077"/>
    <w:rsid w:val="006A49E6"/>
    <w:rsid w:val="006A5419"/>
    <w:rsid w:val="006A570E"/>
    <w:rsid w:val="006A5773"/>
    <w:rsid w:val="006A5804"/>
    <w:rsid w:val="006A58F0"/>
    <w:rsid w:val="006A5A3C"/>
    <w:rsid w:val="006A6262"/>
    <w:rsid w:val="006A6EA8"/>
    <w:rsid w:val="006A781E"/>
    <w:rsid w:val="006B0372"/>
    <w:rsid w:val="006B0764"/>
    <w:rsid w:val="006B081C"/>
    <w:rsid w:val="006B0A97"/>
    <w:rsid w:val="006B0FAD"/>
    <w:rsid w:val="006B1C19"/>
    <w:rsid w:val="006B3566"/>
    <w:rsid w:val="006B38F0"/>
    <w:rsid w:val="006B3B70"/>
    <w:rsid w:val="006B3DCC"/>
    <w:rsid w:val="006B4467"/>
    <w:rsid w:val="006B5026"/>
    <w:rsid w:val="006B5FF3"/>
    <w:rsid w:val="006B6A3C"/>
    <w:rsid w:val="006B6C46"/>
    <w:rsid w:val="006B6DA3"/>
    <w:rsid w:val="006B6E78"/>
    <w:rsid w:val="006B6F7D"/>
    <w:rsid w:val="006B7970"/>
    <w:rsid w:val="006C0039"/>
    <w:rsid w:val="006C1927"/>
    <w:rsid w:val="006C1F94"/>
    <w:rsid w:val="006C255F"/>
    <w:rsid w:val="006C2585"/>
    <w:rsid w:val="006C2693"/>
    <w:rsid w:val="006C2D38"/>
    <w:rsid w:val="006C3F3E"/>
    <w:rsid w:val="006C4008"/>
    <w:rsid w:val="006C4B22"/>
    <w:rsid w:val="006C4E2C"/>
    <w:rsid w:val="006C4EF0"/>
    <w:rsid w:val="006C581A"/>
    <w:rsid w:val="006C5931"/>
    <w:rsid w:val="006C5ED8"/>
    <w:rsid w:val="006C73EF"/>
    <w:rsid w:val="006D012F"/>
    <w:rsid w:val="006D1723"/>
    <w:rsid w:val="006D2276"/>
    <w:rsid w:val="006D5D3F"/>
    <w:rsid w:val="006D60ED"/>
    <w:rsid w:val="006D6272"/>
    <w:rsid w:val="006D7019"/>
    <w:rsid w:val="006E00B6"/>
    <w:rsid w:val="006E1166"/>
    <w:rsid w:val="006E12AF"/>
    <w:rsid w:val="006E1DC6"/>
    <w:rsid w:val="006E2346"/>
    <w:rsid w:val="006E24D9"/>
    <w:rsid w:val="006E25BA"/>
    <w:rsid w:val="006E4520"/>
    <w:rsid w:val="006E468D"/>
    <w:rsid w:val="006E4D8B"/>
    <w:rsid w:val="006E4DE3"/>
    <w:rsid w:val="006E552D"/>
    <w:rsid w:val="006E596E"/>
    <w:rsid w:val="006E5DFA"/>
    <w:rsid w:val="006E65E0"/>
    <w:rsid w:val="006E662E"/>
    <w:rsid w:val="006E6AC0"/>
    <w:rsid w:val="006F033F"/>
    <w:rsid w:val="006F05F0"/>
    <w:rsid w:val="006F1353"/>
    <w:rsid w:val="006F13F9"/>
    <w:rsid w:val="006F1C51"/>
    <w:rsid w:val="006F24D8"/>
    <w:rsid w:val="006F33B8"/>
    <w:rsid w:val="006F4C9C"/>
    <w:rsid w:val="006F4FC5"/>
    <w:rsid w:val="006F640F"/>
    <w:rsid w:val="006F762A"/>
    <w:rsid w:val="00701B6B"/>
    <w:rsid w:val="007026CB"/>
    <w:rsid w:val="0070295B"/>
    <w:rsid w:val="00702CA4"/>
    <w:rsid w:val="00702D07"/>
    <w:rsid w:val="00702DAA"/>
    <w:rsid w:val="0070384F"/>
    <w:rsid w:val="00703A9E"/>
    <w:rsid w:val="00703D6D"/>
    <w:rsid w:val="00704095"/>
    <w:rsid w:val="00704152"/>
    <w:rsid w:val="0070495A"/>
    <w:rsid w:val="00704B3A"/>
    <w:rsid w:val="00704FB5"/>
    <w:rsid w:val="0070652E"/>
    <w:rsid w:val="00706815"/>
    <w:rsid w:val="00706B71"/>
    <w:rsid w:val="00706F78"/>
    <w:rsid w:val="007073E3"/>
    <w:rsid w:val="00710214"/>
    <w:rsid w:val="0071022A"/>
    <w:rsid w:val="00710835"/>
    <w:rsid w:val="00710F72"/>
    <w:rsid w:val="00712657"/>
    <w:rsid w:val="0071277A"/>
    <w:rsid w:val="00712EE5"/>
    <w:rsid w:val="00713493"/>
    <w:rsid w:val="00713494"/>
    <w:rsid w:val="00713EA7"/>
    <w:rsid w:val="00714031"/>
    <w:rsid w:val="00714656"/>
    <w:rsid w:val="0071466E"/>
    <w:rsid w:val="00714A6C"/>
    <w:rsid w:val="00714CD3"/>
    <w:rsid w:val="00714E48"/>
    <w:rsid w:val="0071582C"/>
    <w:rsid w:val="00716174"/>
    <w:rsid w:val="00717BD9"/>
    <w:rsid w:val="007203D8"/>
    <w:rsid w:val="007205CF"/>
    <w:rsid w:val="007206A8"/>
    <w:rsid w:val="0072116D"/>
    <w:rsid w:val="0072226F"/>
    <w:rsid w:val="00722718"/>
    <w:rsid w:val="007237D3"/>
    <w:rsid w:val="007244F6"/>
    <w:rsid w:val="00724991"/>
    <w:rsid w:val="007249D0"/>
    <w:rsid w:val="00725B78"/>
    <w:rsid w:val="00727082"/>
    <w:rsid w:val="00730CE0"/>
    <w:rsid w:val="00730ED1"/>
    <w:rsid w:val="0073233C"/>
    <w:rsid w:val="00732A92"/>
    <w:rsid w:val="00732D0C"/>
    <w:rsid w:val="00733660"/>
    <w:rsid w:val="00733EAD"/>
    <w:rsid w:val="007340ED"/>
    <w:rsid w:val="00734EDC"/>
    <w:rsid w:val="00734F54"/>
    <w:rsid w:val="00735EC0"/>
    <w:rsid w:val="00736D93"/>
    <w:rsid w:val="00736F58"/>
    <w:rsid w:val="00737642"/>
    <w:rsid w:val="00737C04"/>
    <w:rsid w:val="00737F64"/>
    <w:rsid w:val="007409AC"/>
    <w:rsid w:val="00741F33"/>
    <w:rsid w:val="007422C9"/>
    <w:rsid w:val="00744110"/>
    <w:rsid w:val="00744595"/>
    <w:rsid w:val="00745357"/>
    <w:rsid w:val="0074695A"/>
    <w:rsid w:val="00747A52"/>
    <w:rsid w:val="00750F1E"/>
    <w:rsid w:val="00751C0D"/>
    <w:rsid w:val="00751C12"/>
    <w:rsid w:val="00751FE1"/>
    <w:rsid w:val="00752691"/>
    <w:rsid w:val="007528F2"/>
    <w:rsid w:val="00752DBF"/>
    <w:rsid w:val="00753DBF"/>
    <w:rsid w:val="00754138"/>
    <w:rsid w:val="007570DE"/>
    <w:rsid w:val="007575C4"/>
    <w:rsid w:val="00757D63"/>
    <w:rsid w:val="00757F37"/>
    <w:rsid w:val="007601C8"/>
    <w:rsid w:val="00761485"/>
    <w:rsid w:val="007615FD"/>
    <w:rsid w:val="0076176A"/>
    <w:rsid w:val="00762A1B"/>
    <w:rsid w:val="00762D6D"/>
    <w:rsid w:val="00763700"/>
    <w:rsid w:val="00763BF9"/>
    <w:rsid w:val="0076427C"/>
    <w:rsid w:val="00765217"/>
    <w:rsid w:val="007654AA"/>
    <w:rsid w:val="007659AA"/>
    <w:rsid w:val="00766334"/>
    <w:rsid w:val="007663BE"/>
    <w:rsid w:val="00766ABF"/>
    <w:rsid w:val="00767E9E"/>
    <w:rsid w:val="00767F2F"/>
    <w:rsid w:val="00772636"/>
    <w:rsid w:val="0077266C"/>
    <w:rsid w:val="00772802"/>
    <w:rsid w:val="00772D53"/>
    <w:rsid w:val="0077419F"/>
    <w:rsid w:val="00774896"/>
    <w:rsid w:val="00775066"/>
    <w:rsid w:val="007750F7"/>
    <w:rsid w:val="007757FA"/>
    <w:rsid w:val="00776281"/>
    <w:rsid w:val="00776406"/>
    <w:rsid w:val="0077671C"/>
    <w:rsid w:val="00777471"/>
    <w:rsid w:val="007778B9"/>
    <w:rsid w:val="0078005A"/>
    <w:rsid w:val="007809BB"/>
    <w:rsid w:val="00780A00"/>
    <w:rsid w:val="00781B6F"/>
    <w:rsid w:val="00781C9D"/>
    <w:rsid w:val="00781F9C"/>
    <w:rsid w:val="007820ED"/>
    <w:rsid w:val="00782DFD"/>
    <w:rsid w:val="00784424"/>
    <w:rsid w:val="007846C3"/>
    <w:rsid w:val="00785474"/>
    <w:rsid w:val="00786389"/>
    <w:rsid w:val="00786E8D"/>
    <w:rsid w:val="0078735C"/>
    <w:rsid w:val="0078772C"/>
    <w:rsid w:val="00787B99"/>
    <w:rsid w:val="00790366"/>
    <w:rsid w:val="007907C8"/>
    <w:rsid w:val="00792010"/>
    <w:rsid w:val="007925B6"/>
    <w:rsid w:val="007934F5"/>
    <w:rsid w:val="00793A0D"/>
    <w:rsid w:val="0079421C"/>
    <w:rsid w:val="00794836"/>
    <w:rsid w:val="00794F8A"/>
    <w:rsid w:val="0079526D"/>
    <w:rsid w:val="00795A2C"/>
    <w:rsid w:val="00797309"/>
    <w:rsid w:val="00797390"/>
    <w:rsid w:val="007A0397"/>
    <w:rsid w:val="007A05B6"/>
    <w:rsid w:val="007A1C0A"/>
    <w:rsid w:val="007A1C59"/>
    <w:rsid w:val="007A2A83"/>
    <w:rsid w:val="007A3B0A"/>
    <w:rsid w:val="007A4397"/>
    <w:rsid w:val="007A5A66"/>
    <w:rsid w:val="007A5B41"/>
    <w:rsid w:val="007A63A3"/>
    <w:rsid w:val="007A7684"/>
    <w:rsid w:val="007A77A9"/>
    <w:rsid w:val="007B002C"/>
    <w:rsid w:val="007B0FFB"/>
    <w:rsid w:val="007B1B07"/>
    <w:rsid w:val="007B3A76"/>
    <w:rsid w:val="007B5792"/>
    <w:rsid w:val="007B5FE5"/>
    <w:rsid w:val="007B645C"/>
    <w:rsid w:val="007B7A97"/>
    <w:rsid w:val="007C1A77"/>
    <w:rsid w:val="007C1D7F"/>
    <w:rsid w:val="007C1DAF"/>
    <w:rsid w:val="007C2493"/>
    <w:rsid w:val="007C2555"/>
    <w:rsid w:val="007C2934"/>
    <w:rsid w:val="007C31E2"/>
    <w:rsid w:val="007C4342"/>
    <w:rsid w:val="007C49B2"/>
    <w:rsid w:val="007C5CE1"/>
    <w:rsid w:val="007C6B33"/>
    <w:rsid w:val="007C6E06"/>
    <w:rsid w:val="007C6F85"/>
    <w:rsid w:val="007C7417"/>
    <w:rsid w:val="007D003D"/>
    <w:rsid w:val="007D0569"/>
    <w:rsid w:val="007D0F9E"/>
    <w:rsid w:val="007D16B1"/>
    <w:rsid w:val="007D19E4"/>
    <w:rsid w:val="007D1EF5"/>
    <w:rsid w:val="007D1F10"/>
    <w:rsid w:val="007D2001"/>
    <w:rsid w:val="007D203E"/>
    <w:rsid w:val="007D34AC"/>
    <w:rsid w:val="007D37D9"/>
    <w:rsid w:val="007D67CD"/>
    <w:rsid w:val="007D7400"/>
    <w:rsid w:val="007D7761"/>
    <w:rsid w:val="007D79FF"/>
    <w:rsid w:val="007E02A7"/>
    <w:rsid w:val="007E0C0A"/>
    <w:rsid w:val="007E13BF"/>
    <w:rsid w:val="007E1A4F"/>
    <w:rsid w:val="007E2FC6"/>
    <w:rsid w:val="007E3AD4"/>
    <w:rsid w:val="007E468A"/>
    <w:rsid w:val="007E4DC9"/>
    <w:rsid w:val="007E5006"/>
    <w:rsid w:val="007E51A5"/>
    <w:rsid w:val="007E5629"/>
    <w:rsid w:val="007E6A70"/>
    <w:rsid w:val="007E6AB1"/>
    <w:rsid w:val="007E7F4C"/>
    <w:rsid w:val="007F06A8"/>
    <w:rsid w:val="007F28D0"/>
    <w:rsid w:val="007F2EC6"/>
    <w:rsid w:val="007F2F2F"/>
    <w:rsid w:val="007F3018"/>
    <w:rsid w:val="007F42DC"/>
    <w:rsid w:val="007F47F5"/>
    <w:rsid w:val="007F6862"/>
    <w:rsid w:val="007F6BCD"/>
    <w:rsid w:val="007F6DB4"/>
    <w:rsid w:val="007F72EB"/>
    <w:rsid w:val="007F7B71"/>
    <w:rsid w:val="007F7D70"/>
    <w:rsid w:val="008013FC"/>
    <w:rsid w:val="00801717"/>
    <w:rsid w:val="00801F3B"/>
    <w:rsid w:val="008023C5"/>
    <w:rsid w:val="00803EFD"/>
    <w:rsid w:val="0080571F"/>
    <w:rsid w:val="008060C3"/>
    <w:rsid w:val="008063A1"/>
    <w:rsid w:val="00806463"/>
    <w:rsid w:val="00807D49"/>
    <w:rsid w:val="00807F00"/>
    <w:rsid w:val="0081006E"/>
    <w:rsid w:val="00812095"/>
    <w:rsid w:val="008125E5"/>
    <w:rsid w:val="00812813"/>
    <w:rsid w:val="008134BD"/>
    <w:rsid w:val="00813885"/>
    <w:rsid w:val="008139A5"/>
    <w:rsid w:val="00814656"/>
    <w:rsid w:val="00814783"/>
    <w:rsid w:val="008149C4"/>
    <w:rsid w:val="0081576F"/>
    <w:rsid w:val="00815FCF"/>
    <w:rsid w:val="00817B89"/>
    <w:rsid w:val="00820E45"/>
    <w:rsid w:val="00821E2C"/>
    <w:rsid w:val="00822835"/>
    <w:rsid w:val="008231B2"/>
    <w:rsid w:val="00823B72"/>
    <w:rsid w:val="00823F6D"/>
    <w:rsid w:val="008240E6"/>
    <w:rsid w:val="0082440D"/>
    <w:rsid w:val="0082459B"/>
    <w:rsid w:val="008255C0"/>
    <w:rsid w:val="008260E6"/>
    <w:rsid w:val="00826758"/>
    <w:rsid w:val="00826DEC"/>
    <w:rsid w:val="00827843"/>
    <w:rsid w:val="00827C4B"/>
    <w:rsid w:val="0083065B"/>
    <w:rsid w:val="00830AA1"/>
    <w:rsid w:val="008313D1"/>
    <w:rsid w:val="00833261"/>
    <w:rsid w:val="00833611"/>
    <w:rsid w:val="0083496A"/>
    <w:rsid w:val="008353E0"/>
    <w:rsid w:val="008365F0"/>
    <w:rsid w:val="00836F02"/>
    <w:rsid w:val="0083734F"/>
    <w:rsid w:val="00837D45"/>
    <w:rsid w:val="00841534"/>
    <w:rsid w:val="00842798"/>
    <w:rsid w:val="00842F13"/>
    <w:rsid w:val="00843BD6"/>
    <w:rsid w:val="00843CEB"/>
    <w:rsid w:val="00844495"/>
    <w:rsid w:val="00844F89"/>
    <w:rsid w:val="008461F5"/>
    <w:rsid w:val="008462F1"/>
    <w:rsid w:val="00846930"/>
    <w:rsid w:val="00846A45"/>
    <w:rsid w:val="008502F5"/>
    <w:rsid w:val="0085038B"/>
    <w:rsid w:val="0085076D"/>
    <w:rsid w:val="00850FDE"/>
    <w:rsid w:val="008513E1"/>
    <w:rsid w:val="008514E2"/>
    <w:rsid w:val="00852876"/>
    <w:rsid w:val="00852A6F"/>
    <w:rsid w:val="008542D2"/>
    <w:rsid w:val="008542ED"/>
    <w:rsid w:val="008543F5"/>
    <w:rsid w:val="00855004"/>
    <w:rsid w:val="0085694C"/>
    <w:rsid w:val="008572C4"/>
    <w:rsid w:val="0085733E"/>
    <w:rsid w:val="0085765A"/>
    <w:rsid w:val="00857ED8"/>
    <w:rsid w:val="008604A8"/>
    <w:rsid w:val="00860E64"/>
    <w:rsid w:val="00860FEC"/>
    <w:rsid w:val="008616F7"/>
    <w:rsid w:val="00861AFA"/>
    <w:rsid w:val="00861FA0"/>
    <w:rsid w:val="00862E83"/>
    <w:rsid w:val="00863C61"/>
    <w:rsid w:val="008644B7"/>
    <w:rsid w:val="00864BAD"/>
    <w:rsid w:val="00865522"/>
    <w:rsid w:val="00865ADF"/>
    <w:rsid w:val="00865C3E"/>
    <w:rsid w:val="0086644C"/>
    <w:rsid w:val="008666B4"/>
    <w:rsid w:val="008666B5"/>
    <w:rsid w:val="00866D7E"/>
    <w:rsid w:val="00867001"/>
    <w:rsid w:val="008703B3"/>
    <w:rsid w:val="00870B61"/>
    <w:rsid w:val="0087191A"/>
    <w:rsid w:val="00871F13"/>
    <w:rsid w:val="008724CC"/>
    <w:rsid w:val="00875D38"/>
    <w:rsid w:val="00876902"/>
    <w:rsid w:val="00876985"/>
    <w:rsid w:val="0087701F"/>
    <w:rsid w:val="008771AF"/>
    <w:rsid w:val="008774B3"/>
    <w:rsid w:val="008775E9"/>
    <w:rsid w:val="00877AB6"/>
    <w:rsid w:val="008808E6"/>
    <w:rsid w:val="00880E6A"/>
    <w:rsid w:val="00881E6B"/>
    <w:rsid w:val="00883780"/>
    <w:rsid w:val="00883B99"/>
    <w:rsid w:val="0088414E"/>
    <w:rsid w:val="00884F23"/>
    <w:rsid w:val="00885066"/>
    <w:rsid w:val="00885D37"/>
    <w:rsid w:val="00885F85"/>
    <w:rsid w:val="00886536"/>
    <w:rsid w:val="0088665E"/>
    <w:rsid w:val="00886830"/>
    <w:rsid w:val="00887F48"/>
    <w:rsid w:val="008903EC"/>
    <w:rsid w:val="00890413"/>
    <w:rsid w:val="00890FBA"/>
    <w:rsid w:val="00891463"/>
    <w:rsid w:val="00891D2D"/>
    <w:rsid w:val="008923C8"/>
    <w:rsid w:val="008924B5"/>
    <w:rsid w:val="00892934"/>
    <w:rsid w:val="00893260"/>
    <w:rsid w:val="008932A8"/>
    <w:rsid w:val="00893756"/>
    <w:rsid w:val="00894A9E"/>
    <w:rsid w:val="00894BAD"/>
    <w:rsid w:val="008950F6"/>
    <w:rsid w:val="008954E6"/>
    <w:rsid w:val="008954F7"/>
    <w:rsid w:val="00895687"/>
    <w:rsid w:val="00895760"/>
    <w:rsid w:val="0089612F"/>
    <w:rsid w:val="00896815"/>
    <w:rsid w:val="00896909"/>
    <w:rsid w:val="00897F4A"/>
    <w:rsid w:val="008A00AC"/>
    <w:rsid w:val="008A0744"/>
    <w:rsid w:val="008A0A6E"/>
    <w:rsid w:val="008A0D0F"/>
    <w:rsid w:val="008A1285"/>
    <w:rsid w:val="008A18EC"/>
    <w:rsid w:val="008A1F61"/>
    <w:rsid w:val="008A2FB3"/>
    <w:rsid w:val="008A398B"/>
    <w:rsid w:val="008A4D1C"/>
    <w:rsid w:val="008A5601"/>
    <w:rsid w:val="008A5624"/>
    <w:rsid w:val="008A5642"/>
    <w:rsid w:val="008A59AD"/>
    <w:rsid w:val="008A6EF0"/>
    <w:rsid w:val="008B0108"/>
    <w:rsid w:val="008B0EEB"/>
    <w:rsid w:val="008B0F3F"/>
    <w:rsid w:val="008B1F40"/>
    <w:rsid w:val="008B431D"/>
    <w:rsid w:val="008B4BAA"/>
    <w:rsid w:val="008B51FD"/>
    <w:rsid w:val="008B573A"/>
    <w:rsid w:val="008B5A1C"/>
    <w:rsid w:val="008B6269"/>
    <w:rsid w:val="008B6766"/>
    <w:rsid w:val="008B70F5"/>
    <w:rsid w:val="008B7186"/>
    <w:rsid w:val="008B7192"/>
    <w:rsid w:val="008B7F3E"/>
    <w:rsid w:val="008C1939"/>
    <w:rsid w:val="008C21F2"/>
    <w:rsid w:val="008C2970"/>
    <w:rsid w:val="008C3396"/>
    <w:rsid w:val="008C3B54"/>
    <w:rsid w:val="008C45C0"/>
    <w:rsid w:val="008C621C"/>
    <w:rsid w:val="008C6250"/>
    <w:rsid w:val="008C65E9"/>
    <w:rsid w:val="008C697C"/>
    <w:rsid w:val="008C69A9"/>
    <w:rsid w:val="008C6D90"/>
    <w:rsid w:val="008C7268"/>
    <w:rsid w:val="008C7448"/>
    <w:rsid w:val="008C75ED"/>
    <w:rsid w:val="008C7649"/>
    <w:rsid w:val="008D0A9A"/>
    <w:rsid w:val="008D2AB1"/>
    <w:rsid w:val="008D316C"/>
    <w:rsid w:val="008D4AC6"/>
    <w:rsid w:val="008D6BC0"/>
    <w:rsid w:val="008E03B0"/>
    <w:rsid w:val="008E0991"/>
    <w:rsid w:val="008E11C8"/>
    <w:rsid w:val="008E184B"/>
    <w:rsid w:val="008E1C17"/>
    <w:rsid w:val="008E1C93"/>
    <w:rsid w:val="008E1F0A"/>
    <w:rsid w:val="008E338E"/>
    <w:rsid w:val="008E35E7"/>
    <w:rsid w:val="008E4558"/>
    <w:rsid w:val="008E5100"/>
    <w:rsid w:val="008E57FE"/>
    <w:rsid w:val="008E7376"/>
    <w:rsid w:val="008E7E14"/>
    <w:rsid w:val="008F01F6"/>
    <w:rsid w:val="008F11E0"/>
    <w:rsid w:val="008F12ED"/>
    <w:rsid w:val="008F1818"/>
    <w:rsid w:val="008F1DFE"/>
    <w:rsid w:val="008F2665"/>
    <w:rsid w:val="008F2AD2"/>
    <w:rsid w:val="008F2E97"/>
    <w:rsid w:val="008F3DFA"/>
    <w:rsid w:val="008F507E"/>
    <w:rsid w:val="008F51DE"/>
    <w:rsid w:val="008F5251"/>
    <w:rsid w:val="008F537E"/>
    <w:rsid w:val="008F53FA"/>
    <w:rsid w:val="008F5E26"/>
    <w:rsid w:val="008F5FE3"/>
    <w:rsid w:val="008F6376"/>
    <w:rsid w:val="008F7593"/>
    <w:rsid w:val="008F76B3"/>
    <w:rsid w:val="00900CC2"/>
    <w:rsid w:val="00901770"/>
    <w:rsid w:val="009019FB"/>
    <w:rsid w:val="00901A4B"/>
    <w:rsid w:val="00901C43"/>
    <w:rsid w:val="00901EAB"/>
    <w:rsid w:val="00902AA5"/>
    <w:rsid w:val="00902E3F"/>
    <w:rsid w:val="00902F26"/>
    <w:rsid w:val="009037CE"/>
    <w:rsid w:val="0090384C"/>
    <w:rsid w:val="009052B7"/>
    <w:rsid w:val="00905B05"/>
    <w:rsid w:val="009066FF"/>
    <w:rsid w:val="00906A21"/>
    <w:rsid w:val="0090753C"/>
    <w:rsid w:val="0090759D"/>
    <w:rsid w:val="009078BC"/>
    <w:rsid w:val="00910841"/>
    <w:rsid w:val="009109B2"/>
    <w:rsid w:val="00910C7B"/>
    <w:rsid w:val="00910C7D"/>
    <w:rsid w:val="0091156F"/>
    <w:rsid w:val="00911B66"/>
    <w:rsid w:val="00911C3F"/>
    <w:rsid w:val="009125CE"/>
    <w:rsid w:val="00912A7E"/>
    <w:rsid w:val="00912F90"/>
    <w:rsid w:val="00913487"/>
    <w:rsid w:val="009135EA"/>
    <w:rsid w:val="00913AA8"/>
    <w:rsid w:val="00914DAB"/>
    <w:rsid w:val="009152A7"/>
    <w:rsid w:val="00915330"/>
    <w:rsid w:val="00916055"/>
    <w:rsid w:val="00916E69"/>
    <w:rsid w:val="00917525"/>
    <w:rsid w:val="0091752D"/>
    <w:rsid w:val="0091777D"/>
    <w:rsid w:val="00917979"/>
    <w:rsid w:val="00917C39"/>
    <w:rsid w:val="00917D61"/>
    <w:rsid w:val="0092057D"/>
    <w:rsid w:val="0092113B"/>
    <w:rsid w:val="009218DE"/>
    <w:rsid w:val="009220DB"/>
    <w:rsid w:val="00922D00"/>
    <w:rsid w:val="009233CC"/>
    <w:rsid w:val="00923F17"/>
    <w:rsid w:val="00923FD0"/>
    <w:rsid w:val="0092439A"/>
    <w:rsid w:val="009257F0"/>
    <w:rsid w:val="00925F5E"/>
    <w:rsid w:val="009266DA"/>
    <w:rsid w:val="0092752A"/>
    <w:rsid w:val="00927F35"/>
    <w:rsid w:val="00930DE8"/>
    <w:rsid w:val="009318DD"/>
    <w:rsid w:val="00931D1E"/>
    <w:rsid w:val="009352C3"/>
    <w:rsid w:val="00935413"/>
    <w:rsid w:val="00935767"/>
    <w:rsid w:val="00935F5D"/>
    <w:rsid w:val="0093669F"/>
    <w:rsid w:val="009368E0"/>
    <w:rsid w:val="009378F1"/>
    <w:rsid w:val="00937905"/>
    <w:rsid w:val="00937FBE"/>
    <w:rsid w:val="0094045D"/>
    <w:rsid w:val="0094063A"/>
    <w:rsid w:val="0094070C"/>
    <w:rsid w:val="00942211"/>
    <w:rsid w:val="0094242B"/>
    <w:rsid w:val="0094260B"/>
    <w:rsid w:val="00942661"/>
    <w:rsid w:val="00942ADA"/>
    <w:rsid w:val="00944438"/>
    <w:rsid w:val="009447B0"/>
    <w:rsid w:val="00944E8C"/>
    <w:rsid w:val="00945275"/>
    <w:rsid w:val="00945307"/>
    <w:rsid w:val="0094558D"/>
    <w:rsid w:val="0094613C"/>
    <w:rsid w:val="009462CA"/>
    <w:rsid w:val="00946500"/>
    <w:rsid w:val="0094697C"/>
    <w:rsid w:val="00946FCE"/>
    <w:rsid w:val="009471A4"/>
    <w:rsid w:val="0095021C"/>
    <w:rsid w:val="009515BC"/>
    <w:rsid w:val="00952FED"/>
    <w:rsid w:val="0095349A"/>
    <w:rsid w:val="00953B5B"/>
    <w:rsid w:val="00953ED0"/>
    <w:rsid w:val="00954383"/>
    <w:rsid w:val="0095492E"/>
    <w:rsid w:val="00955B51"/>
    <w:rsid w:val="00955F7D"/>
    <w:rsid w:val="00956302"/>
    <w:rsid w:val="00956C78"/>
    <w:rsid w:val="00957362"/>
    <w:rsid w:val="00957AE8"/>
    <w:rsid w:val="009613F5"/>
    <w:rsid w:val="0096242F"/>
    <w:rsid w:val="00962E3B"/>
    <w:rsid w:val="00962FF5"/>
    <w:rsid w:val="00963CFB"/>
    <w:rsid w:val="00963DF6"/>
    <w:rsid w:val="00964A4E"/>
    <w:rsid w:val="00965413"/>
    <w:rsid w:val="00965B02"/>
    <w:rsid w:val="00965C07"/>
    <w:rsid w:val="00965D2D"/>
    <w:rsid w:val="00966184"/>
    <w:rsid w:val="00967641"/>
    <w:rsid w:val="00970A16"/>
    <w:rsid w:val="00971847"/>
    <w:rsid w:val="0097226E"/>
    <w:rsid w:val="00972547"/>
    <w:rsid w:val="00972964"/>
    <w:rsid w:val="00973A0C"/>
    <w:rsid w:val="0097584F"/>
    <w:rsid w:val="00976437"/>
    <w:rsid w:val="0097762F"/>
    <w:rsid w:val="00977A3D"/>
    <w:rsid w:val="00977C0A"/>
    <w:rsid w:val="009816B8"/>
    <w:rsid w:val="009831CF"/>
    <w:rsid w:val="00983278"/>
    <w:rsid w:val="00983B45"/>
    <w:rsid w:val="00983B5C"/>
    <w:rsid w:val="0098405E"/>
    <w:rsid w:val="0098437C"/>
    <w:rsid w:val="00984B14"/>
    <w:rsid w:val="0098766F"/>
    <w:rsid w:val="00987CA8"/>
    <w:rsid w:val="0099014E"/>
    <w:rsid w:val="00992368"/>
    <w:rsid w:val="00993912"/>
    <w:rsid w:val="00993B7E"/>
    <w:rsid w:val="00993D94"/>
    <w:rsid w:val="00994050"/>
    <w:rsid w:val="00994547"/>
    <w:rsid w:val="00995526"/>
    <w:rsid w:val="009962CF"/>
    <w:rsid w:val="009969D6"/>
    <w:rsid w:val="00996E78"/>
    <w:rsid w:val="009973AC"/>
    <w:rsid w:val="00997D25"/>
    <w:rsid w:val="009A030C"/>
    <w:rsid w:val="009A1AD2"/>
    <w:rsid w:val="009A4543"/>
    <w:rsid w:val="009A4A9C"/>
    <w:rsid w:val="009A5DB1"/>
    <w:rsid w:val="009A684F"/>
    <w:rsid w:val="009A7136"/>
    <w:rsid w:val="009A748F"/>
    <w:rsid w:val="009A7B9B"/>
    <w:rsid w:val="009A7BC5"/>
    <w:rsid w:val="009A7C5A"/>
    <w:rsid w:val="009A7E51"/>
    <w:rsid w:val="009B0658"/>
    <w:rsid w:val="009B21B9"/>
    <w:rsid w:val="009B2FAD"/>
    <w:rsid w:val="009B3C2B"/>
    <w:rsid w:val="009B4839"/>
    <w:rsid w:val="009B4CD0"/>
    <w:rsid w:val="009B4DA7"/>
    <w:rsid w:val="009B6227"/>
    <w:rsid w:val="009C066C"/>
    <w:rsid w:val="009C21C6"/>
    <w:rsid w:val="009C32F1"/>
    <w:rsid w:val="009C331F"/>
    <w:rsid w:val="009C37D3"/>
    <w:rsid w:val="009C383B"/>
    <w:rsid w:val="009C3A80"/>
    <w:rsid w:val="009C3A8D"/>
    <w:rsid w:val="009C40BC"/>
    <w:rsid w:val="009C41EC"/>
    <w:rsid w:val="009C51DC"/>
    <w:rsid w:val="009C5238"/>
    <w:rsid w:val="009C5860"/>
    <w:rsid w:val="009C60B4"/>
    <w:rsid w:val="009C7304"/>
    <w:rsid w:val="009D0CDB"/>
    <w:rsid w:val="009D12B4"/>
    <w:rsid w:val="009D1DAE"/>
    <w:rsid w:val="009D1E70"/>
    <w:rsid w:val="009D2135"/>
    <w:rsid w:val="009D2FA7"/>
    <w:rsid w:val="009D3673"/>
    <w:rsid w:val="009D4166"/>
    <w:rsid w:val="009D4CAE"/>
    <w:rsid w:val="009D528C"/>
    <w:rsid w:val="009D55F9"/>
    <w:rsid w:val="009D5837"/>
    <w:rsid w:val="009D5A11"/>
    <w:rsid w:val="009D765F"/>
    <w:rsid w:val="009D7760"/>
    <w:rsid w:val="009D7800"/>
    <w:rsid w:val="009E10BB"/>
    <w:rsid w:val="009E16E6"/>
    <w:rsid w:val="009E1C0D"/>
    <w:rsid w:val="009E1E34"/>
    <w:rsid w:val="009E1E62"/>
    <w:rsid w:val="009E1F9C"/>
    <w:rsid w:val="009E2953"/>
    <w:rsid w:val="009E2E78"/>
    <w:rsid w:val="009E2F6B"/>
    <w:rsid w:val="009E2FAC"/>
    <w:rsid w:val="009E30CE"/>
    <w:rsid w:val="009E3939"/>
    <w:rsid w:val="009E40E3"/>
    <w:rsid w:val="009E47FF"/>
    <w:rsid w:val="009E4B84"/>
    <w:rsid w:val="009E4BA2"/>
    <w:rsid w:val="009E4CDF"/>
    <w:rsid w:val="009E57FB"/>
    <w:rsid w:val="009E5C67"/>
    <w:rsid w:val="009E5E05"/>
    <w:rsid w:val="009E5FF5"/>
    <w:rsid w:val="009E641A"/>
    <w:rsid w:val="009E7338"/>
    <w:rsid w:val="009E7354"/>
    <w:rsid w:val="009E7611"/>
    <w:rsid w:val="009E783B"/>
    <w:rsid w:val="009E7CAE"/>
    <w:rsid w:val="009E7DE3"/>
    <w:rsid w:val="009F04C3"/>
    <w:rsid w:val="009F0601"/>
    <w:rsid w:val="009F0760"/>
    <w:rsid w:val="009F0A04"/>
    <w:rsid w:val="009F1D0A"/>
    <w:rsid w:val="009F3B29"/>
    <w:rsid w:val="009F3E61"/>
    <w:rsid w:val="009F4860"/>
    <w:rsid w:val="009F6215"/>
    <w:rsid w:val="009F6D20"/>
    <w:rsid w:val="009F780B"/>
    <w:rsid w:val="009F7997"/>
    <w:rsid w:val="009F7D70"/>
    <w:rsid w:val="00A00057"/>
    <w:rsid w:val="00A00485"/>
    <w:rsid w:val="00A00E01"/>
    <w:rsid w:val="00A011E0"/>
    <w:rsid w:val="00A014C9"/>
    <w:rsid w:val="00A01A5F"/>
    <w:rsid w:val="00A025AC"/>
    <w:rsid w:val="00A02613"/>
    <w:rsid w:val="00A02C96"/>
    <w:rsid w:val="00A02E65"/>
    <w:rsid w:val="00A033D2"/>
    <w:rsid w:val="00A0340A"/>
    <w:rsid w:val="00A0371A"/>
    <w:rsid w:val="00A03844"/>
    <w:rsid w:val="00A0440C"/>
    <w:rsid w:val="00A047AE"/>
    <w:rsid w:val="00A04C82"/>
    <w:rsid w:val="00A0585F"/>
    <w:rsid w:val="00A058BF"/>
    <w:rsid w:val="00A059F1"/>
    <w:rsid w:val="00A05C3B"/>
    <w:rsid w:val="00A05DC4"/>
    <w:rsid w:val="00A0694A"/>
    <w:rsid w:val="00A06C48"/>
    <w:rsid w:val="00A077AC"/>
    <w:rsid w:val="00A077BB"/>
    <w:rsid w:val="00A0784B"/>
    <w:rsid w:val="00A07A33"/>
    <w:rsid w:val="00A07DF7"/>
    <w:rsid w:val="00A10480"/>
    <w:rsid w:val="00A10A30"/>
    <w:rsid w:val="00A10A8A"/>
    <w:rsid w:val="00A1137C"/>
    <w:rsid w:val="00A113D7"/>
    <w:rsid w:val="00A11C1E"/>
    <w:rsid w:val="00A11F0F"/>
    <w:rsid w:val="00A13877"/>
    <w:rsid w:val="00A13E23"/>
    <w:rsid w:val="00A14907"/>
    <w:rsid w:val="00A153B3"/>
    <w:rsid w:val="00A16079"/>
    <w:rsid w:val="00A16126"/>
    <w:rsid w:val="00A165DB"/>
    <w:rsid w:val="00A20043"/>
    <w:rsid w:val="00A204D5"/>
    <w:rsid w:val="00A2083D"/>
    <w:rsid w:val="00A208BF"/>
    <w:rsid w:val="00A2112A"/>
    <w:rsid w:val="00A21BED"/>
    <w:rsid w:val="00A21C6C"/>
    <w:rsid w:val="00A220C9"/>
    <w:rsid w:val="00A2365A"/>
    <w:rsid w:val="00A24133"/>
    <w:rsid w:val="00A242F1"/>
    <w:rsid w:val="00A2448A"/>
    <w:rsid w:val="00A24B81"/>
    <w:rsid w:val="00A2502F"/>
    <w:rsid w:val="00A25689"/>
    <w:rsid w:val="00A262BF"/>
    <w:rsid w:val="00A27809"/>
    <w:rsid w:val="00A30533"/>
    <w:rsid w:val="00A30748"/>
    <w:rsid w:val="00A317B0"/>
    <w:rsid w:val="00A3181D"/>
    <w:rsid w:val="00A31BF6"/>
    <w:rsid w:val="00A3276C"/>
    <w:rsid w:val="00A338CD"/>
    <w:rsid w:val="00A34591"/>
    <w:rsid w:val="00A34E44"/>
    <w:rsid w:val="00A350F8"/>
    <w:rsid w:val="00A3598E"/>
    <w:rsid w:val="00A35A02"/>
    <w:rsid w:val="00A35B8F"/>
    <w:rsid w:val="00A3640F"/>
    <w:rsid w:val="00A37ECF"/>
    <w:rsid w:val="00A40936"/>
    <w:rsid w:val="00A40CE2"/>
    <w:rsid w:val="00A4116C"/>
    <w:rsid w:val="00A41FFB"/>
    <w:rsid w:val="00A42FAE"/>
    <w:rsid w:val="00A431FA"/>
    <w:rsid w:val="00A43553"/>
    <w:rsid w:val="00A4371B"/>
    <w:rsid w:val="00A43ABF"/>
    <w:rsid w:val="00A44346"/>
    <w:rsid w:val="00A44416"/>
    <w:rsid w:val="00A44568"/>
    <w:rsid w:val="00A445ED"/>
    <w:rsid w:val="00A447CC"/>
    <w:rsid w:val="00A44ADC"/>
    <w:rsid w:val="00A44F12"/>
    <w:rsid w:val="00A451CF"/>
    <w:rsid w:val="00A456FD"/>
    <w:rsid w:val="00A47176"/>
    <w:rsid w:val="00A475C5"/>
    <w:rsid w:val="00A4768C"/>
    <w:rsid w:val="00A50610"/>
    <w:rsid w:val="00A506CC"/>
    <w:rsid w:val="00A5079A"/>
    <w:rsid w:val="00A50A68"/>
    <w:rsid w:val="00A50B76"/>
    <w:rsid w:val="00A50D3B"/>
    <w:rsid w:val="00A50E38"/>
    <w:rsid w:val="00A510C6"/>
    <w:rsid w:val="00A518AA"/>
    <w:rsid w:val="00A51A93"/>
    <w:rsid w:val="00A525E7"/>
    <w:rsid w:val="00A52F9E"/>
    <w:rsid w:val="00A539ED"/>
    <w:rsid w:val="00A53B7D"/>
    <w:rsid w:val="00A54E6B"/>
    <w:rsid w:val="00A5566C"/>
    <w:rsid w:val="00A55E85"/>
    <w:rsid w:val="00A562A5"/>
    <w:rsid w:val="00A56348"/>
    <w:rsid w:val="00A5703F"/>
    <w:rsid w:val="00A57D39"/>
    <w:rsid w:val="00A60741"/>
    <w:rsid w:val="00A60C4C"/>
    <w:rsid w:val="00A6141E"/>
    <w:rsid w:val="00A61612"/>
    <w:rsid w:val="00A61825"/>
    <w:rsid w:val="00A61AAD"/>
    <w:rsid w:val="00A620FB"/>
    <w:rsid w:val="00A62E51"/>
    <w:rsid w:val="00A630AF"/>
    <w:rsid w:val="00A6316B"/>
    <w:rsid w:val="00A63577"/>
    <w:rsid w:val="00A63BD0"/>
    <w:rsid w:val="00A64640"/>
    <w:rsid w:val="00A64C65"/>
    <w:rsid w:val="00A65316"/>
    <w:rsid w:val="00A65855"/>
    <w:rsid w:val="00A669C9"/>
    <w:rsid w:val="00A671B5"/>
    <w:rsid w:val="00A674FF"/>
    <w:rsid w:val="00A70285"/>
    <w:rsid w:val="00A70F69"/>
    <w:rsid w:val="00A72611"/>
    <w:rsid w:val="00A728EC"/>
    <w:rsid w:val="00A73ABB"/>
    <w:rsid w:val="00A73AC4"/>
    <w:rsid w:val="00A740BC"/>
    <w:rsid w:val="00A751A1"/>
    <w:rsid w:val="00A75CF9"/>
    <w:rsid w:val="00A76D2C"/>
    <w:rsid w:val="00A77746"/>
    <w:rsid w:val="00A80626"/>
    <w:rsid w:val="00A806AA"/>
    <w:rsid w:val="00A80A13"/>
    <w:rsid w:val="00A80C20"/>
    <w:rsid w:val="00A80F49"/>
    <w:rsid w:val="00A81B6E"/>
    <w:rsid w:val="00A83BF6"/>
    <w:rsid w:val="00A844E4"/>
    <w:rsid w:val="00A84BAC"/>
    <w:rsid w:val="00A85027"/>
    <w:rsid w:val="00A8631A"/>
    <w:rsid w:val="00A870F3"/>
    <w:rsid w:val="00A87B4F"/>
    <w:rsid w:val="00A87F31"/>
    <w:rsid w:val="00A90000"/>
    <w:rsid w:val="00A903A8"/>
    <w:rsid w:val="00A90D27"/>
    <w:rsid w:val="00A90D3E"/>
    <w:rsid w:val="00A90E70"/>
    <w:rsid w:val="00A9103B"/>
    <w:rsid w:val="00A91284"/>
    <w:rsid w:val="00A91734"/>
    <w:rsid w:val="00A918A7"/>
    <w:rsid w:val="00A92871"/>
    <w:rsid w:val="00A92DA9"/>
    <w:rsid w:val="00A93B6D"/>
    <w:rsid w:val="00A955EB"/>
    <w:rsid w:val="00A9591E"/>
    <w:rsid w:val="00AA1F49"/>
    <w:rsid w:val="00AA32CF"/>
    <w:rsid w:val="00AA3A2E"/>
    <w:rsid w:val="00AA4022"/>
    <w:rsid w:val="00AA4099"/>
    <w:rsid w:val="00AA4BE5"/>
    <w:rsid w:val="00AA4D5A"/>
    <w:rsid w:val="00AA588F"/>
    <w:rsid w:val="00AA5D53"/>
    <w:rsid w:val="00AA5D80"/>
    <w:rsid w:val="00AA63C3"/>
    <w:rsid w:val="00AA6913"/>
    <w:rsid w:val="00AA72D0"/>
    <w:rsid w:val="00AA73AC"/>
    <w:rsid w:val="00AA7ED9"/>
    <w:rsid w:val="00AB150B"/>
    <w:rsid w:val="00AB2190"/>
    <w:rsid w:val="00AB2AC4"/>
    <w:rsid w:val="00AB39EB"/>
    <w:rsid w:val="00AB3F27"/>
    <w:rsid w:val="00AB3FD9"/>
    <w:rsid w:val="00AB4436"/>
    <w:rsid w:val="00AB45BD"/>
    <w:rsid w:val="00AB47BF"/>
    <w:rsid w:val="00AB5259"/>
    <w:rsid w:val="00AB5C95"/>
    <w:rsid w:val="00AB6055"/>
    <w:rsid w:val="00AB6086"/>
    <w:rsid w:val="00AB61D4"/>
    <w:rsid w:val="00AB67FE"/>
    <w:rsid w:val="00AB6940"/>
    <w:rsid w:val="00AB6B30"/>
    <w:rsid w:val="00AB7DE7"/>
    <w:rsid w:val="00AC01D4"/>
    <w:rsid w:val="00AC03AB"/>
    <w:rsid w:val="00AC05F2"/>
    <w:rsid w:val="00AC0650"/>
    <w:rsid w:val="00AC1BE7"/>
    <w:rsid w:val="00AC275F"/>
    <w:rsid w:val="00AC2BDA"/>
    <w:rsid w:val="00AC32E9"/>
    <w:rsid w:val="00AC3EE4"/>
    <w:rsid w:val="00AC4F16"/>
    <w:rsid w:val="00AC50A4"/>
    <w:rsid w:val="00AC5A95"/>
    <w:rsid w:val="00AC6074"/>
    <w:rsid w:val="00AC61AB"/>
    <w:rsid w:val="00AC61CA"/>
    <w:rsid w:val="00AC6471"/>
    <w:rsid w:val="00AC684C"/>
    <w:rsid w:val="00AC7129"/>
    <w:rsid w:val="00AC77B5"/>
    <w:rsid w:val="00AD0AC5"/>
    <w:rsid w:val="00AD11FE"/>
    <w:rsid w:val="00AD1751"/>
    <w:rsid w:val="00AD211A"/>
    <w:rsid w:val="00AD2B6E"/>
    <w:rsid w:val="00AD340D"/>
    <w:rsid w:val="00AD3443"/>
    <w:rsid w:val="00AD3E9B"/>
    <w:rsid w:val="00AD4B1A"/>
    <w:rsid w:val="00AD4B3C"/>
    <w:rsid w:val="00AD4C80"/>
    <w:rsid w:val="00AD50D2"/>
    <w:rsid w:val="00AD5DB8"/>
    <w:rsid w:val="00AD6584"/>
    <w:rsid w:val="00AD66C0"/>
    <w:rsid w:val="00AD66DF"/>
    <w:rsid w:val="00AD68A5"/>
    <w:rsid w:val="00AD6A16"/>
    <w:rsid w:val="00AE033A"/>
    <w:rsid w:val="00AE03D9"/>
    <w:rsid w:val="00AE1039"/>
    <w:rsid w:val="00AE185D"/>
    <w:rsid w:val="00AE1BFE"/>
    <w:rsid w:val="00AE22F5"/>
    <w:rsid w:val="00AE299F"/>
    <w:rsid w:val="00AE2B19"/>
    <w:rsid w:val="00AE3842"/>
    <w:rsid w:val="00AE3D83"/>
    <w:rsid w:val="00AE4374"/>
    <w:rsid w:val="00AE45DF"/>
    <w:rsid w:val="00AE466A"/>
    <w:rsid w:val="00AE47E9"/>
    <w:rsid w:val="00AE485C"/>
    <w:rsid w:val="00AE4887"/>
    <w:rsid w:val="00AE7D4F"/>
    <w:rsid w:val="00AE7D61"/>
    <w:rsid w:val="00AE7FE4"/>
    <w:rsid w:val="00AF0117"/>
    <w:rsid w:val="00AF0164"/>
    <w:rsid w:val="00AF02DF"/>
    <w:rsid w:val="00AF0943"/>
    <w:rsid w:val="00AF17D3"/>
    <w:rsid w:val="00AF1D77"/>
    <w:rsid w:val="00AF1E50"/>
    <w:rsid w:val="00AF38BA"/>
    <w:rsid w:val="00AF3CEE"/>
    <w:rsid w:val="00AF4522"/>
    <w:rsid w:val="00AF4F67"/>
    <w:rsid w:val="00AF5811"/>
    <w:rsid w:val="00AF5887"/>
    <w:rsid w:val="00AF59D8"/>
    <w:rsid w:val="00AF6509"/>
    <w:rsid w:val="00AF6B63"/>
    <w:rsid w:val="00B00BBE"/>
    <w:rsid w:val="00B02C8E"/>
    <w:rsid w:val="00B0380B"/>
    <w:rsid w:val="00B0456E"/>
    <w:rsid w:val="00B047AE"/>
    <w:rsid w:val="00B04993"/>
    <w:rsid w:val="00B04CA6"/>
    <w:rsid w:val="00B0690C"/>
    <w:rsid w:val="00B06A05"/>
    <w:rsid w:val="00B06BF6"/>
    <w:rsid w:val="00B06F7F"/>
    <w:rsid w:val="00B0708C"/>
    <w:rsid w:val="00B07DDC"/>
    <w:rsid w:val="00B07E30"/>
    <w:rsid w:val="00B100F0"/>
    <w:rsid w:val="00B11AD6"/>
    <w:rsid w:val="00B13079"/>
    <w:rsid w:val="00B134F1"/>
    <w:rsid w:val="00B138EB"/>
    <w:rsid w:val="00B1402E"/>
    <w:rsid w:val="00B142FD"/>
    <w:rsid w:val="00B14865"/>
    <w:rsid w:val="00B150F1"/>
    <w:rsid w:val="00B15EE9"/>
    <w:rsid w:val="00B17221"/>
    <w:rsid w:val="00B21564"/>
    <w:rsid w:val="00B21675"/>
    <w:rsid w:val="00B21C27"/>
    <w:rsid w:val="00B21D50"/>
    <w:rsid w:val="00B2285A"/>
    <w:rsid w:val="00B229BE"/>
    <w:rsid w:val="00B22B17"/>
    <w:rsid w:val="00B22F9B"/>
    <w:rsid w:val="00B23747"/>
    <w:rsid w:val="00B23E0A"/>
    <w:rsid w:val="00B24090"/>
    <w:rsid w:val="00B242E7"/>
    <w:rsid w:val="00B247BA"/>
    <w:rsid w:val="00B257E3"/>
    <w:rsid w:val="00B260C7"/>
    <w:rsid w:val="00B27444"/>
    <w:rsid w:val="00B27457"/>
    <w:rsid w:val="00B27494"/>
    <w:rsid w:val="00B279B9"/>
    <w:rsid w:val="00B27BFD"/>
    <w:rsid w:val="00B27C15"/>
    <w:rsid w:val="00B30110"/>
    <w:rsid w:val="00B307CA"/>
    <w:rsid w:val="00B30D39"/>
    <w:rsid w:val="00B30FD0"/>
    <w:rsid w:val="00B31FE3"/>
    <w:rsid w:val="00B3351C"/>
    <w:rsid w:val="00B33C56"/>
    <w:rsid w:val="00B34F48"/>
    <w:rsid w:val="00B37E60"/>
    <w:rsid w:val="00B408F7"/>
    <w:rsid w:val="00B419CA"/>
    <w:rsid w:val="00B41F19"/>
    <w:rsid w:val="00B42D15"/>
    <w:rsid w:val="00B430BE"/>
    <w:rsid w:val="00B4344F"/>
    <w:rsid w:val="00B441AB"/>
    <w:rsid w:val="00B455A2"/>
    <w:rsid w:val="00B45DCD"/>
    <w:rsid w:val="00B45DF2"/>
    <w:rsid w:val="00B46422"/>
    <w:rsid w:val="00B467AE"/>
    <w:rsid w:val="00B4703D"/>
    <w:rsid w:val="00B47509"/>
    <w:rsid w:val="00B475E7"/>
    <w:rsid w:val="00B47D17"/>
    <w:rsid w:val="00B50D23"/>
    <w:rsid w:val="00B51490"/>
    <w:rsid w:val="00B519AC"/>
    <w:rsid w:val="00B51BA0"/>
    <w:rsid w:val="00B52B4A"/>
    <w:rsid w:val="00B535BD"/>
    <w:rsid w:val="00B53701"/>
    <w:rsid w:val="00B54295"/>
    <w:rsid w:val="00B5509D"/>
    <w:rsid w:val="00B56A26"/>
    <w:rsid w:val="00B573E6"/>
    <w:rsid w:val="00B57F1F"/>
    <w:rsid w:val="00B607FF"/>
    <w:rsid w:val="00B60D98"/>
    <w:rsid w:val="00B6110A"/>
    <w:rsid w:val="00B6176A"/>
    <w:rsid w:val="00B62773"/>
    <w:rsid w:val="00B6301A"/>
    <w:rsid w:val="00B630F9"/>
    <w:rsid w:val="00B64799"/>
    <w:rsid w:val="00B64CAD"/>
    <w:rsid w:val="00B651FA"/>
    <w:rsid w:val="00B65400"/>
    <w:rsid w:val="00B66751"/>
    <w:rsid w:val="00B66B7C"/>
    <w:rsid w:val="00B66CD7"/>
    <w:rsid w:val="00B675E8"/>
    <w:rsid w:val="00B67AA6"/>
    <w:rsid w:val="00B70294"/>
    <w:rsid w:val="00B7031D"/>
    <w:rsid w:val="00B7066C"/>
    <w:rsid w:val="00B712C7"/>
    <w:rsid w:val="00B717D8"/>
    <w:rsid w:val="00B718E0"/>
    <w:rsid w:val="00B71D46"/>
    <w:rsid w:val="00B72A92"/>
    <w:rsid w:val="00B72DF3"/>
    <w:rsid w:val="00B73481"/>
    <w:rsid w:val="00B734A0"/>
    <w:rsid w:val="00B73FE6"/>
    <w:rsid w:val="00B74146"/>
    <w:rsid w:val="00B7459B"/>
    <w:rsid w:val="00B747A3"/>
    <w:rsid w:val="00B752CC"/>
    <w:rsid w:val="00B75475"/>
    <w:rsid w:val="00B75A27"/>
    <w:rsid w:val="00B75E52"/>
    <w:rsid w:val="00B7610F"/>
    <w:rsid w:val="00B76899"/>
    <w:rsid w:val="00B76F6C"/>
    <w:rsid w:val="00B77176"/>
    <w:rsid w:val="00B774D0"/>
    <w:rsid w:val="00B8039B"/>
    <w:rsid w:val="00B80666"/>
    <w:rsid w:val="00B8080B"/>
    <w:rsid w:val="00B811EF"/>
    <w:rsid w:val="00B81568"/>
    <w:rsid w:val="00B81ACC"/>
    <w:rsid w:val="00B82445"/>
    <w:rsid w:val="00B8310D"/>
    <w:rsid w:val="00B831B9"/>
    <w:rsid w:val="00B85CF3"/>
    <w:rsid w:val="00B86EF1"/>
    <w:rsid w:val="00B903C0"/>
    <w:rsid w:val="00B90674"/>
    <w:rsid w:val="00B90725"/>
    <w:rsid w:val="00B90A47"/>
    <w:rsid w:val="00B90F64"/>
    <w:rsid w:val="00B91C11"/>
    <w:rsid w:val="00B91FFF"/>
    <w:rsid w:val="00B93364"/>
    <w:rsid w:val="00B934E3"/>
    <w:rsid w:val="00B935E8"/>
    <w:rsid w:val="00B94323"/>
    <w:rsid w:val="00B94444"/>
    <w:rsid w:val="00B9566B"/>
    <w:rsid w:val="00B95F92"/>
    <w:rsid w:val="00B961B7"/>
    <w:rsid w:val="00B963D4"/>
    <w:rsid w:val="00B96B76"/>
    <w:rsid w:val="00B9772B"/>
    <w:rsid w:val="00BA0775"/>
    <w:rsid w:val="00BA0A77"/>
    <w:rsid w:val="00BA0C0D"/>
    <w:rsid w:val="00BA19C6"/>
    <w:rsid w:val="00BA215D"/>
    <w:rsid w:val="00BA28E8"/>
    <w:rsid w:val="00BA2DEF"/>
    <w:rsid w:val="00BA35F2"/>
    <w:rsid w:val="00BA42FB"/>
    <w:rsid w:val="00BA45BB"/>
    <w:rsid w:val="00BA4768"/>
    <w:rsid w:val="00BA4861"/>
    <w:rsid w:val="00BA4A92"/>
    <w:rsid w:val="00BA4ECA"/>
    <w:rsid w:val="00BA510D"/>
    <w:rsid w:val="00BA516F"/>
    <w:rsid w:val="00BA518E"/>
    <w:rsid w:val="00BA60E5"/>
    <w:rsid w:val="00BA628C"/>
    <w:rsid w:val="00BA63D7"/>
    <w:rsid w:val="00BA662B"/>
    <w:rsid w:val="00BA7059"/>
    <w:rsid w:val="00BA755A"/>
    <w:rsid w:val="00BA7D39"/>
    <w:rsid w:val="00BB0051"/>
    <w:rsid w:val="00BB02C6"/>
    <w:rsid w:val="00BB060B"/>
    <w:rsid w:val="00BB0D98"/>
    <w:rsid w:val="00BB1082"/>
    <w:rsid w:val="00BB1225"/>
    <w:rsid w:val="00BB176D"/>
    <w:rsid w:val="00BB2127"/>
    <w:rsid w:val="00BB2955"/>
    <w:rsid w:val="00BB362C"/>
    <w:rsid w:val="00BB3805"/>
    <w:rsid w:val="00BB4589"/>
    <w:rsid w:val="00BB46AB"/>
    <w:rsid w:val="00BB4C4B"/>
    <w:rsid w:val="00BB52A5"/>
    <w:rsid w:val="00BB5893"/>
    <w:rsid w:val="00BB6740"/>
    <w:rsid w:val="00BB7EA1"/>
    <w:rsid w:val="00BB7F81"/>
    <w:rsid w:val="00BC0122"/>
    <w:rsid w:val="00BC0F9A"/>
    <w:rsid w:val="00BC1122"/>
    <w:rsid w:val="00BC18BF"/>
    <w:rsid w:val="00BC22A5"/>
    <w:rsid w:val="00BC269B"/>
    <w:rsid w:val="00BC27D2"/>
    <w:rsid w:val="00BC299D"/>
    <w:rsid w:val="00BC2FB2"/>
    <w:rsid w:val="00BC4447"/>
    <w:rsid w:val="00BC5391"/>
    <w:rsid w:val="00BC6D0F"/>
    <w:rsid w:val="00BC771A"/>
    <w:rsid w:val="00BC7C7A"/>
    <w:rsid w:val="00BD0F25"/>
    <w:rsid w:val="00BD1E5A"/>
    <w:rsid w:val="00BD35E1"/>
    <w:rsid w:val="00BD3A56"/>
    <w:rsid w:val="00BD3EF5"/>
    <w:rsid w:val="00BD427A"/>
    <w:rsid w:val="00BD54FC"/>
    <w:rsid w:val="00BD5917"/>
    <w:rsid w:val="00BD5A3C"/>
    <w:rsid w:val="00BD63C3"/>
    <w:rsid w:val="00BD67CE"/>
    <w:rsid w:val="00BD76A4"/>
    <w:rsid w:val="00BD7E58"/>
    <w:rsid w:val="00BE0186"/>
    <w:rsid w:val="00BE05CD"/>
    <w:rsid w:val="00BE0AF7"/>
    <w:rsid w:val="00BE1C8A"/>
    <w:rsid w:val="00BE243E"/>
    <w:rsid w:val="00BE4857"/>
    <w:rsid w:val="00BE4C72"/>
    <w:rsid w:val="00BE5229"/>
    <w:rsid w:val="00BE5847"/>
    <w:rsid w:val="00BE5BE0"/>
    <w:rsid w:val="00BE5D1D"/>
    <w:rsid w:val="00BE697B"/>
    <w:rsid w:val="00BE70E8"/>
    <w:rsid w:val="00BF0E76"/>
    <w:rsid w:val="00BF19DC"/>
    <w:rsid w:val="00BF2B3E"/>
    <w:rsid w:val="00BF2DAF"/>
    <w:rsid w:val="00BF4036"/>
    <w:rsid w:val="00BF4E1B"/>
    <w:rsid w:val="00BF5AB9"/>
    <w:rsid w:val="00BF609D"/>
    <w:rsid w:val="00BF7122"/>
    <w:rsid w:val="00BF77AC"/>
    <w:rsid w:val="00C00566"/>
    <w:rsid w:val="00C01083"/>
    <w:rsid w:val="00C025C9"/>
    <w:rsid w:val="00C0480F"/>
    <w:rsid w:val="00C04C9A"/>
    <w:rsid w:val="00C07D99"/>
    <w:rsid w:val="00C1043C"/>
    <w:rsid w:val="00C10B32"/>
    <w:rsid w:val="00C10D90"/>
    <w:rsid w:val="00C11983"/>
    <w:rsid w:val="00C12216"/>
    <w:rsid w:val="00C12873"/>
    <w:rsid w:val="00C12996"/>
    <w:rsid w:val="00C12A51"/>
    <w:rsid w:val="00C12C65"/>
    <w:rsid w:val="00C12CD1"/>
    <w:rsid w:val="00C12E11"/>
    <w:rsid w:val="00C12EEB"/>
    <w:rsid w:val="00C14F5F"/>
    <w:rsid w:val="00C15494"/>
    <w:rsid w:val="00C15636"/>
    <w:rsid w:val="00C1591E"/>
    <w:rsid w:val="00C15BA1"/>
    <w:rsid w:val="00C166B2"/>
    <w:rsid w:val="00C173EE"/>
    <w:rsid w:val="00C176C3"/>
    <w:rsid w:val="00C176FA"/>
    <w:rsid w:val="00C20D36"/>
    <w:rsid w:val="00C21038"/>
    <w:rsid w:val="00C21281"/>
    <w:rsid w:val="00C216E7"/>
    <w:rsid w:val="00C2286B"/>
    <w:rsid w:val="00C2396B"/>
    <w:rsid w:val="00C243A6"/>
    <w:rsid w:val="00C24A8E"/>
    <w:rsid w:val="00C24F74"/>
    <w:rsid w:val="00C256B5"/>
    <w:rsid w:val="00C2594A"/>
    <w:rsid w:val="00C25B17"/>
    <w:rsid w:val="00C26865"/>
    <w:rsid w:val="00C2785F"/>
    <w:rsid w:val="00C3000A"/>
    <w:rsid w:val="00C30BA6"/>
    <w:rsid w:val="00C30F00"/>
    <w:rsid w:val="00C3122F"/>
    <w:rsid w:val="00C31467"/>
    <w:rsid w:val="00C31BFF"/>
    <w:rsid w:val="00C32A1B"/>
    <w:rsid w:val="00C32AF4"/>
    <w:rsid w:val="00C33F0C"/>
    <w:rsid w:val="00C34404"/>
    <w:rsid w:val="00C347E1"/>
    <w:rsid w:val="00C34CCB"/>
    <w:rsid w:val="00C34D57"/>
    <w:rsid w:val="00C35515"/>
    <w:rsid w:val="00C35807"/>
    <w:rsid w:val="00C35A4B"/>
    <w:rsid w:val="00C35E56"/>
    <w:rsid w:val="00C36696"/>
    <w:rsid w:val="00C36720"/>
    <w:rsid w:val="00C36777"/>
    <w:rsid w:val="00C367E3"/>
    <w:rsid w:val="00C37518"/>
    <w:rsid w:val="00C37864"/>
    <w:rsid w:val="00C37CDE"/>
    <w:rsid w:val="00C37F00"/>
    <w:rsid w:val="00C4047B"/>
    <w:rsid w:val="00C40CE3"/>
    <w:rsid w:val="00C41584"/>
    <w:rsid w:val="00C41D3E"/>
    <w:rsid w:val="00C41D73"/>
    <w:rsid w:val="00C421C9"/>
    <w:rsid w:val="00C42A3A"/>
    <w:rsid w:val="00C437C6"/>
    <w:rsid w:val="00C4405A"/>
    <w:rsid w:val="00C4517F"/>
    <w:rsid w:val="00C45232"/>
    <w:rsid w:val="00C45FB2"/>
    <w:rsid w:val="00C46511"/>
    <w:rsid w:val="00C46E94"/>
    <w:rsid w:val="00C4713F"/>
    <w:rsid w:val="00C50425"/>
    <w:rsid w:val="00C50D15"/>
    <w:rsid w:val="00C51509"/>
    <w:rsid w:val="00C519EC"/>
    <w:rsid w:val="00C52097"/>
    <w:rsid w:val="00C52BA5"/>
    <w:rsid w:val="00C52F47"/>
    <w:rsid w:val="00C53323"/>
    <w:rsid w:val="00C53A1F"/>
    <w:rsid w:val="00C53B1D"/>
    <w:rsid w:val="00C54A79"/>
    <w:rsid w:val="00C54D8C"/>
    <w:rsid w:val="00C55F3B"/>
    <w:rsid w:val="00C57493"/>
    <w:rsid w:val="00C604C1"/>
    <w:rsid w:val="00C605E6"/>
    <w:rsid w:val="00C63E70"/>
    <w:rsid w:val="00C647A8"/>
    <w:rsid w:val="00C6497D"/>
    <w:rsid w:val="00C64D07"/>
    <w:rsid w:val="00C6504A"/>
    <w:rsid w:val="00C65D03"/>
    <w:rsid w:val="00C65E31"/>
    <w:rsid w:val="00C65E6C"/>
    <w:rsid w:val="00C66302"/>
    <w:rsid w:val="00C66CEF"/>
    <w:rsid w:val="00C670FE"/>
    <w:rsid w:val="00C67F68"/>
    <w:rsid w:val="00C70068"/>
    <w:rsid w:val="00C7017E"/>
    <w:rsid w:val="00C71087"/>
    <w:rsid w:val="00C71E3C"/>
    <w:rsid w:val="00C7340E"/>
    <w:rsid w:val="00C73A13"/>
    <w:rsid w:val="00C73C17"/>
    <w:rsid w:val="00C75492"/>
    <w:rsid w:val="00C759E8"/>
    <w:rsid w:val="00C762A3"/>
    <w:rsid w:val="00C76964"/>
    <w:rsid w:val="00C77C78"/>
    <w:rsid w:val="00C802DD"/>
    <w:rsid w:val="00C8146C"/>
    <w:rsid w:val="00C82221"/>
    <w:rsid w:val="00C8231E"/>
    <w:rsid w:val="00C8456F"/>
    <w:rsid w:val="00C846DD"/>
    <w:rsid w:val="00C84A9F"/>
    <w:rsid w:val="00C85CA6"/>
    <w:rsid w:val="00C873DA"/>
    <w:rsid w:val="00C87937"/>
    <w:rsid w:val="00C909FE"/>
    <w:rsid w:val="00C90A7F"/>
    <w:rsid w:val="00C911E3"/>
    <w:rsid w:val="00C9147E"/>
    <w:rsid w:val="00C925E8"/>
    <w:rsid w:val="00C925ED"/>
    <w:rsid w:val="00C93261"/>
    <w:rsid w:val="00C9330C"/>
    <w:rsid w:val="00C9339F"/>
    <w:rsid w:val="00C96618"/>
    <w:rsid w:val="00C96739"/>
    <w:rsid w:val="00C967AD"/>
    <w:rsid w:val="00C96A10"/>
    <w:rsid w:val="00C9737B"/>
    <w:rsid w:val="00C9753B"/>
    <w:rsid w:val="00CA08B2"/>
    <w:rsid w:val="00CA0C87"/>
    <w:rsid w:val="00CA19CD"/>
    <w:rsid w:val="00CA1DD7"/>
    <w:rsid w:val="00CA1F28"/>
    <w:rsid w:val="00CA20F3"/>
    <w:rsid w:val="00CA2444"/>
    <w:rsid w:val="00CA2747"/>
    <w:rsid w:val="00CA29BD"/>
    <w:rsid w:val="00CA2A1E"/>
    <w:rsid w:val="00CA319C"/>
    <w:rsid w:val="00CA37EE"/>
    <w:rsid w:val="00CA3D09"/>
    <w:rsid w:val="00CA40FA"/>
    <w:rsid w:val="00CA44EC"/>
    <w:rsid w:val="00CA470C"/>
    <w:rsid w:val="00CA4A62"/>
    <w:rsid w:val="00CA561E"/>
    <w:rsid w:val="00CA5B3B"/>
    <w:rsid w:val="00CA5B58"/>
    <w:rsid w:val="00CA5CC1"/>
    <w:rsid w:val="00CA659E"/>
    <w:rsid w:val="00CA6A39"/>
    <w:rsid w:val="00CA7DAD"/>
    <w:rsid w:val="00CB02D5"/>
    <w:rsid w:val="00CB09A9"/>
    <w:rsid w:val="00CB0E6C"/>
    <w:rsid w:val="00CB10AA"/>
    <w:rsid w:val="00CB15D9"/>
    <w:rsid w:val="00CB23DD"/>
    <w:rsid w:val="00CB2486"/>
    <w:rsid w:val="00CB2757"/>
    <w:rsid w:val="00CB2963"/>
    <w:rsid w:val="00CB2C4D"/>
    <w:rsid w:val="00CB2CC0"/>
    <w:rsid w:val="00CB2FE7"/>
    <w:rsid w:val="00CB3B57"/>
    <w:rsid w:val="00CB42AE"/>
    <w:rsid w:val="00CB45FC"/>
    <w:rsid w:val="00CB46B4"/>
    <w:rsid w:val="00CB5100"/>
    <w:rsid w:val="00CB6768"/>
    <w:rsid w:val="00CB6D9F"/>
    <w:rsid w:val="00CB768F"/>
    <w:rsid w:val="00CC0848"/>
    <w:rsid w:val="00CC1654"/>
    <w:rsid w:val="00CC17DB"/>
    <w:rsid w:val="00CC1BFF"/>
    <w:rsid w:val="00CC1EFE"/>
    <w:rsid w:val="00CC2F01"/>
    <w:rsid w:val="00CC5031"/>
    <w:rsid w:val="00CC586C"/>
    <w:rsid w:val="00CC6288"/>
    <w:rsid w:val="00CC636D"/>
    <w:rsid w:val="00CC6453"/>
    <w:rsid w:val="00CC662D"/>
    <w:rsid w:val="00CC67DB"/>
    <w:rsid w:val="00CD0A5F"/>
    <w:rsid w:val="00CD295D"/>
    <w:rsid w:val="00CD2D8A"/>
    <w:rsid w:val="00CD31EA"/>
    <w:rsid w:val="00CD3656"/>
    <w:rsid w:val="00CD38A8"/>
    <w:rsid w:val="00CD38DA"/>
    <w:rsid w:val="00CD4373"/>
    <w:rsid w:val="00CD4B6F"/>
    <w:rsid w:val="00CD50A3"/>
    <w:rsid w:val="00CD692F"/>
    <w:rsid w:val="00CE0392"/>
    <w:rsid w:val="00CE2303"/>
    <w:rsid w:val="00CE45B1"/>
    <w:rsid w:val="00CE48CF"/>
    <w:rsid w:val="00CE5481"/>
    <w:rsid w:val="00CE5670"/>
    <w:rsid w:val="00CE5866"/>
    <w:rsid w:val="00CE6106"/>
    <w:rsid w:val="00CE6D66"/>
    <w:rsid w:val="00CF003F"/>
    <w:rsid w:val="00CF0045"/>
    <w:rsid w:val="00CF1585"/>
    <w:rsid w:val="00CF20CE"/>
    <w:rsid w:val="00CF249C"/>
    <w:rsid w:val="00CF2667"/>
    <w:rsid w:val="00CF281A"/>
    <w:rsid w:val="00CF2B2A"/>
    <w:rsid w:val="00CF42EC"/>
    <w:rsid w:val="00CF530A"/>
    <w:rsid w:val="00CF590F"/>
    <w:rsid w:val="00CF67C6"/>
    <w:rsid w:val="00CF7194"/>
    <w:rsid w:val="00CF72AD"/>
    <w:rsid w:val="00CF74AE"/>
    <w:rsid w:val="00CF7620"/>
    <w:rsid w:val="00CF782F"/>
    <w:rsid w:val="00CF7C36"/>
    <w:rsid w:val="00CF7C90"/>
    <w:rsid w:val="00CF7EA0"/>
    <w:rsid w:val="00D002C7"/>
    <w:rsid w:val="00D00600"/>
    <w:rsid w:val="00D00A29"/>
    <w:rsid w:val="00D0158C"/>
    <w:rsid w:val="00D02612"/>
    <w:rsid w:val="00D0329F"/>
    <w:rsid w:val="00D0368A"/>
    <w:rsid w:val="00D036A7"/>
    <w:rsid w:val="00D03C09"/>
    <w:rsid w:val="00D04372"/>
    <w:rsid w:val="00D04F9C"/>
    <w:rsid w:val="00D05911"/>
    <w:rsid w:val="00D05DB1"/>
    <w:rsid w:val="00D06299"/>
    <w:rsid w:val="00D06806"/>
    <w:rsid w:val="00D06DCD"/>
    <w:rsid w:val="00D06F24"/>
    <w:rsid w:val="00D06F77"/>
    <w:rsid w:val="00D0728C"/>
    <w:rsid w:val="00D072EA"/>
    <w:rsid w:val="00D1045D"/>
    <w:rsid w:val="00D10A89"/>
    <w:rsid w:val="00D10C6F"/>
    <w:rsid w:val="00D12E6F"/>
    <w:rsid w:val="00D131A9"/>
    <w:rsid w:val="00D133AA"/>
    <w:rsid w:val="00D13B0B"/>
    <w:rsid w:val="00D13CCF"/>
    <w:rsid w:val="00D13DD2"/>
    <w:rsid w:val="00D13F72"/>
    <w:rsid w:val="00D1408D"/>
    <w:rsid w:val="00D14AF8"/>
    <w:rsid w:val="00D14CF7"/>
    <w:rsid w:val="00D1576E"/>
    <w:rsid w:val="00D15BBC"/>
    <w:rsid w:val="00D15E67"/>
    <w:rsid w:val="00D16640"/>
    <w:rsid w:val="00D2039C"/>
    <w:rsid w:val="00D20ABB"/>
    <w:rsid w:val="00D21BAF"/>
    <w:rsid w:val="00D23059"/>
    <w:rsid w:val="00D23126"/>
    <w:rsid w:val="00D24AEE"/>
    <w:rsid w:val="00D25315"/>
    <w:rsid w:val="00D25413"/>
    <w:rsid w:val="00D26A33"/>
    <w:rsid w:val="00D27753"/>
    <w:rsid w:val="00D30124"/>
    <w:rsid w:val="00D3032B"/>
    <w:rsid w:val="00D3073E"/>
    <w:rsid w:val="00D31676"/>
    <w:rsid w:val="00D316C8"/>
    <w:rsid w:val="00D31A21"/>
    <w:rsid w:val="00D31E95"/>
    <w:rsid w:val="00D3257C"/>
    <w:rsid w:val="00D3259C"/>
    <w:rsid w:val="00D337D5"/>
    <w:rsid w:val="00D33FB9"/>
    <w:rsid w:val="00D34817"/>
    <w:rsid w:val="00D34EED"/>
    <w:rsid w:val="00D354F7"/>
    <w:rsid w:val="00D365BB"/>
    <w:rsid w:val="00D377E7"/>
    <w:rsid w:val="00D3795A"/>
    <w:rsid w:val="00D37AB5"/>
    <w:rsid w:val="00D40C74"/>
    <w:rsid w:val="00D41CF6"/>
    <w:rsid w:val="00D43282"/>
    <w:rsid w:val="00D43614"/>
    <w:rsid w:val="00D43EA4"/>
    <w:rsid w:val="00D44508"/>
    <w:rsid w:val="00D452A4"/>
    <w:rsid w:val="00D4720F"/>
    <w:rsid w:val="00D4743B"/>
    <w:rsid w:val="00D4751D"/>
    <w:rsid w:val="00D47810"/>
    <w:rsid w:val="00D50454"/>
    <w:rsid w:val="00D5128E"/>
    <w:rsid w:val="00D5130A"/>
    <w:rsid w:val="00D5176B"/>
    <w:rsid w:val="00D52747"/>
    <w:rsid w:val="00D52FD0"/>
    <w:rsid w:val="00D531AF"/>
    <w:rsid w:val="00D54271"/>
    <w:rsid w:val="00D54385"/>
    <w:rsid w:val="00D5472C"/>
    <w:rsid w:val="00D54AE7"/>
    <w:rsid w:val="00D55908"/>
    <w:rsid w:val="00D55967"/>
    <w:rsid w:val="00D560B6"/>
    <w:rsid w:val="00D56228"/>
    <w:rsid w:val="00D565ED"/>
    <w:rsid w:val="00D574F0"/>
    <w:rsid w:val="00D579AC"/>
    <w:rsid w:val="00D606D9"/>
    <w:rsid w:val="00D6094F"/>
    <w:rsid w:val="00D61733"/>
    <w:rsid w:val="00D6259C"/>
    <w:rsid w:val="00D63B91"/>
    <w:rsid w:val="00D64A4A"/>
    <w:rsid w:val="00D66400"/>
    <w:rsid w:val="00D6679C"/>
    <w:rsid w:val="00D67BE3"/>
    <w:rsid w:val="00D7026E"/>
    <w:rsid w:val="00D71434"/>
    <w:rsid w:val="00D72F5D"/>
    <w:rsid w:val="00D7370C"/>
    <w:rsid w:val="00D73EE6"/>
    <w:rsid w:val="00D742D2"/>
    <w:rsid w:val="00D744DC"/>
    <w:rsid w:val="00D74556"/>
    <w:rsid w:val="00D74B60"/>
    <w:rsid w:val="00D75A26"/>
    <w:rsid w:val="00D75CF7"/>
    <w:rsid w:val="00D75F59"/>
    <w:rsid w:val="00D75FCE"/>
    <w:rsid w:val="00D76980"/>
    <w:rsid w:val="00D76E70"/>
    <w:rsid w:val="00D776C3"/>
    <w:rsid w:val="00D80153"/>
    <w:rsid w:val="00D814BC"/>
    <w:rsid w:val="00D81554"/>
    <w:rsid w:val="00D81AC7"/>
    <w:rsid w:val="00D81CD8"/>
    <w:rsid w:val="00D82212"/>
    <w:rsid w:val="00D82537"/>
    <w:rsid w:val="00D83845"/>
    <w:rsid w:val="00D83BFC"/>
    <w:rsid w:val="00D83E45"/>
    <w:rsid w:val="00D842CD"/>
    <w:rsid w:val="00D8495C"/>
    <w:rsid w:val="00D86737"/>
    <w:rsid w:val="00D8696A"/>
    <w:rsid w:val="00D87461"/>
    <w:rsid w:val="00D900E3"/>
    <w:rsid w:val="00D90419"/>
    <w:rsid w:val="00D90551"/>
    <w:rsid w:val="00D90958"/>
    <w:rsid w:val="00D909D0"/>
    <w:rsid w:val="00D90F5A"/>
    <w:rsid w:val="00D9153B"/>
    <w:rsid w:val="00D9160A"/>
    <w:rsid w:val="00D91F1B"/>
    <w:rsid w:val="00D93524"/>
    <w:rsid w:val="00D945B9"/>
    <w:rsid w:val="00D94EE9"/>
    <w:rsid w:val="00D95903"/>
    <w:rsid w:val="00D95D78"/>
    <w:rsid w:val="00DA0810"/>
    <w:rsid w:val="00DA0839"/>
    <w:rsid w:val="00DA18B4"/>
    <w:rsid w:val="00DA39FD"/>
    <w:rsid w:val="00DA3FCE"/>
    <w:rsid w:val="00DA41F8"/>
    <w:rsid w:val="00DA469D"/>
    <w:rsid w:val="00DA4B42"/>
    <w:rsid w:val="00DA60FE"/>
    <w:rsid w:val="00DA6612"/>
    <w:rsid w:val="00DA66FA"/>
    <w:rsid w:val="00DB2B51"/>
    <w:rsid w:val="00DB2BE7"/>
    <w:rsid w:val="00DB4203"/>
    <w:rsid w:val="00DB4EC5"/>
    <w:rsid w:val="00DB5648"/>
    <w:rsid w:val="00DB5802"/>
    <w:rsid w:val="00DB6B88"/>
    <w:rsid w:val="00DB6BB2"/>
    <w:rsid w:val="00DB7256"/>
    <w:rsid w:val="00DB7CA1"/>
    <w:rsid w:val="00DC094F"/>
    <w:rsid w:val="00DC0C25"/>
    <w:rsid w:val="00DC0CA3"/>
    <w:rsid w:val="00DC1E8A"/>
    <w:rsid w:val="00DC214D"/>
    <w:rsid w:val="00DC24B5"/>
    <w:rsid w:val="00DC25DA"/>
    <w:rsid w:val="00DC2941"/>
    <w:rsid w:val="00DC3412"/>
    <w:rsid w:val="00DC3F07"/>
    <w:rsid w:val="00DC409F"/>
    <w:rsid w:val="00DC4325"/>
    <w:rsid w:val="00DC4915"/>
    <w:rsid w:val="00DC4C59"/>
    <w:rsid w:val="00DC5149"/>
    <w:rsid w:val="00DC5B77"/>
    <w:rsid w:val="00DC672A"/>
    <w:rsid w:val="00DC68E1"/>
    <w:rsid w:val="00DC6BB4"/>
    <w:rsid w:val="00DC7E9E"/>
    <w:rsid w:val="00DC7FCE"/>
    <w:rsid w:val="00DD0452"/>
    <w:rsid w:val="00DD1B88"/>
    <w:rsid w:val="00DD1F39"/>
    <w:rsid w:val="00DD25D3"/>
    <w:rsid w:val="00DD334C"/>
    <w:rsid w:val="00DD39E9"/>
    <w:rsid w:val="00DD3C08"/>
    <w:rsid w:val="00DD630D"/>
    <w:rsid w:val="00DD64A8"/>
    <w:rsid w:val="00DD6D5E"/>
    <w:rsid w:val="00DD72A7"/>
    <w:rsid w:val="00DE0476"/>
    <w:rsid w:val="00DE0AEF"/>
    <w:rsid w:val="00DE1B2F"/>
    <w:rsid w:val="00DE1C5A"/>
    <w:rsid w:val="00DE2AAC"/>
    <w:rsid w:val="00DE32D1"/>
    <w:rsid w:val="00DE3AAC"/>
    <w:rsid w:val="00DE5C57"/>
    <w:rsid w:val="00DE5C60"/>
    <w:rsid w:val="00DE5E04"/>
    <w:rsid w:val="00DE6634"/>
    <w:rsid w:val="00DE6C0C"/>
    <w:rsid w:val="00DE7766"/>
    <w:rsid w:val="00DF0BFA"/>
    <w:rsid w:val="00DF1125"/>
    <w:rsid w:val="00DF1FC1"/>
    <w:rsid w:val="00DF210B"/>
    <w:rsid w:val="00DF22E5"/>
    <w:rsid w:val="00DF27AC"/>
    <w:rsid w:val="00DF28E7"/>
    <w:rsid w:val="00DF2FD1"/>
    <w:rsid w:val="00DF399A"/>
    <w:rsid w:val="00DF447B"/>
    <w:rsid w:val="00DF4DCA"/>
    <w:rsid w:val="00DF5C46"/>
    <w:rsid w:val="00DF6280"/>
    <w:rsid w:val="00DF6EEF"/>
    <w:rsid w:val="00DF7B14"/>
    <w:rsid w:val="00DF7B16"/>
    <w:rsid w:val="00E00009"/>
    <w:rsid w:val="00E0033F"/>
    <w:rsid w:val="00E00533"/>
    <w:rsid w:val="00E009EF"/>
    <w:rsid w:val="00E013ED"/>
    <w:rsid w:val="00E01CF4"/>
    <w:rsid w:val="00E01EF4"/>
    <w:rsid w:val="00E02CF2"/>
    <w:rsid w:val="00E03D53"/>
    <w:rsid w:val="00E04947"/>
    <w:rsid w:val="00E05C91"/>
    <w:rsid w:val="00E069F7"/>
    <w:rsid w:val="00E06C35"/>
    <w:rsid w:val="00E06FBF"/>
    <w:rsid w:val="00E0710D"/>
    <w:rsid w:val="00E0757F"/>
    <w:rsid w:val="00E07F71"/>
    <w:rsid w:val="00E101C6"/>
    <w:rsid w:val="00E114D8"/>
    <w:rsid w:val="00E122E3"/>
    <w:rsid w:val="00E1256E"/>
    <w:rsid w:val="00E1290D"/>
    <w:rsid w:val="00E12FC9"/>
    <w:rsid w:val="00E1347F"/>
    <w:rsid w:val="00E1621B"/>
    <w:rsid w:val="00E1639F"/>
    <w:rsid w:val="00E16B4B"/>
    <w:rsid w:val="00E17D02"/>
    <w:rsid w:val="00E20AE7"/>
    <w:rsid w:val="00E21114"/>
    <w:rsid w:val="00E212F3"/>
    <w:rsid w:val="00E22B84"/>
    <w:rsid w:val="00E22F13"/>
    <w:rsid w:val="00E23116"/>
    <w:rsid w:val="00E23DC7"/>
    <w:rsid w:val="00E23F54"/>
    <w:rsid w:val="00E25E8A"/>
    <w:rsid w:val="00E25FFB"/>
    <w:rsid w:val="00E26045"/>
    <w:rsid w:val="00E26BDB"/>
    <w:rsid w:val="00E27304"/>
    <w:rsid w:val="00E2751F"/>
    <w:rsid w:val="00E304D5"/>
    <w:rsid w:val="00E31802"/>
    <w:rsid w:val="00E31C79"/>
    <w:rsid w:val="00E32D35"/>
    <w:rsid w:val="00E33084"/>
    <w:rsid w:val="00E33606"/>
    <w:rsid w:val="00E337F5"/>
    <w:rsid w:val="00E339E4"/>
    <w:rsid w:val="00E3470C"/>
    <w:rsid w:val="00E34E91"/>
    <w:rsid w:val="00E34EBC"/>
    <w:rsid w:val="00E3529F"/>
    <w:rsid w:val="00E352D0"/>
    <w:rsid w:val="00E3621F"/>
    <w:rsid w:val="00E36706"/>
    <w:rsid w:val="00E37211"/>
    <w:rsid w:val="00E375B0"/>
    <w:rsid w:val="00E37848"/>
    <w:rsid w:val="00E40269"/>
    <w:rsid w:val="00E4034D"/>
    <w:rsid w:val="00E404B3"/>
    <w:rsid w:val="00E41EE7"/>
    <w:rsid w:val="00E42084"/>
    <w:rsid w:val="00E42329"/>
    <w:rsid w:val="00E428EE"/>
    <w:rsid w:val="00E42D68"/>
    <w:rsid w:val="00E42F49"/>
    <w:rsid w:val="00E43446"/>
    <w:rsid w:val="00E4355A"/>
    <w:rsid w:val="00E446F3"/>
    <w:rsid w:val="00E44854"/>
    <w:rsid w:val="00E44DD4"/>
    <w:rsid w:val="00E4540D"/>
    <w:rsid w:val="00E4642E"/>
    <w:rsid w:val="00E467EB"/>
    <w:rsid w:val="00E46C00"/>
    <w:rsid w:val="00E46D81"/>
    <w:rsid w:val="00E4780C"/>
    <w:rsid w:val="00E478A8"/>
    <w:rsid w:val="00E47FA4"/>
    <w:rsid w:val="00E50B82"/>
    <w:rsid w:val="00E51630"/>
    <w:rsid w:val="00E51860"/>
    <w:rsid w:val="00E51FF2"/>
    <w:rsid w:val="00E52B3D"/>
    <w:rsid w:val="00E532DC"/>
    <w:rsid w:val="00E5441A"/>
    <w:rsid w:val="00E54652"/>
    <w:rsid w:val="00E54747"/>
    <w:rsid w:val="00E54E31"/>
    <w:rsid w:val="00E552CC"/>
    <w:rsid w:val="00E55808"/>
    <w:rsid w:val="00E559EA"/>
    <w:rsid w:val="00E55F12"/>
    <w:rsid w:val="00E5696D"/>
    <w:rsid w:val="00E56E45"/>
    <w:rsid w:val="00E60932"/>
    <w:rsid w:val="00E6161C"/>
    <w:rsid w:val="00E620DC"/>
    <w:rsid w:val="00E626B0"/>
    <w:rsid w:val="00E62DEC"/>
    <w:rsid w:val="00E630F3"/>
    <w:rsid w:val="00E63233"/>
    <w:rsid w:val="00E635DA"/>
    <w:rsid w:val="00E63FE6"/>
    <w:rsid w:val="00E65495"/>
    <w:rsid w:val="00E65960"/>
    <w:rsid w:val="00E65F8A"/>
    <w:rsid w:val="00E66ECB"/>
    <w:rsid w:val="00E6731B"/>
    <w:rsid w:val="00E67486"/>
    <w:rsid w:val="00E706B3"/>
    <w:rsid w:val="00E71149"/>
    <w:rsid w:val="00E714E3"/>
    <w:rsid w:val="00E727CE"/>
    <w:rsid w:val="00E72F6B"/>
    <w:rsid w:val="00E731B5"/>
    <w:rsid w:val="00E73D84"/>
    <w:rsid w:val="00E749E1"/>
    <w:rsid w:val="00E74A10"/>
    <w:rsid w:val="00E777D3"/>
    <w:rsid w:val="00E77CA4"/>
    <w:rsid w:val="00E8007A"/>
    <w:rsid w:val="00E80578"/>
    <w:rsid w:val="00E8066A"/>
    <w:rsid w:val="00E80B43"/>
    <w:rsid w:val="00E80C2A"/>
    <w:rsid w:val="00E819BF"/>
    <w:rsid w:val="00E81EAB"/>
    <w:rsid w:val="00E82E14"/>
    <w:rsid w:val="00E833CB"/>
    <w:rsid w:val="00E83830"/>
    <w:rsid w:val="00E83995"/>
    <w:rsid w:val="00E83CBA"/>
    <w:rsid w:val="00E83D2E"/>
    <w:rsid w:val="00E83ED1"/>
    <w:rsid w:val="00E83FB2"/>
    <w:rsid w:val="00E844D4"/>
    <w:rsid w:val="00E8580A"/>
    <w:rsid w:val="00E85AA3"/>
    <w:rsid w:val="00E85DAC"/>
    <w:rsid w:val="00E8615B"/>
    <w:rsid w:val="00E862C2"/>
    <w:rsid w:val="00E86D91"/>
    <w:rsid w:val="00E87E01"/>
    <w:rsid w:val="00E90615"/>
    <w:rsid w:val="00E917FE"/>
    <w:rsid w:val="00E91B07"/>
    <w:rsid w:val="00E91D23"/>
    <w:rsid w:val="00E91FE0"/>
    <w:rsid w:val="00E9237A"/>
    <w:rsid w:val="00E923A5"/>
    <w:rsid w:val="00E92CD1"/>
    <w:rsid w:val="00E951C1"/>
    <w:rsid w:val="00E954FF"/>
    <w:rsid w:val="00E955EA"/>
    <w:rsid w:val="00E95AC2"/>
    <w:rsid w:val="00E97167"/>
    <w:rsid w:val="00E97787"/>
    <w:rsid w:val="00E97DBB"/>
    <w:rsid w:val="00E97FA1"/>
    <w:rsid w:val="00EA0169"/>
    <w:rsid w:val="00EA07DC"/>
    <w:rsid w:val="00EA085D"/>
    <w:rsid w:val="00EA093A"/>
    <w:rsid w:val="00EA12F9"/>
    <w:rsid w:val="00EA1781"/>
    <w:rsid w:val="00EA2241"/>
    <w:rsid w:val="00EA2E6A"/>
    <w:rsid w:val="00EA3781"/>
    <w:rsid w:val="00EA40F8"/>
    <w:rsid w:val="00EA4208"/>
    <w:rsid w:val="00EA44DE"/>
    <w:rsid w:val="00EA5023"/>
    <w:rsid w:val="00EA5B92"/>
    <w:rsid w:val="00EA7061"/>
    <w:rsid w:val="00EA77FD"/>
    <w:rsid w:val="00EA7C5B"/>
    <w:rsid w:val="00EB0A60"/>
    <w:rsid w:val="00EB13FE"/>
    <w:rsid w:val="00EB1BC2"/>
    <w:rsid w:val="00EB1D5B"/>
    <w:rsid w:val="00EB1EE5"/>
    <w:rsid w:val="00EB254B"/>
    <w:rsid w:val="00EB39F1"/>
    <w:rsid w:val="00EB4326"/>
    <w:rsid w:val="00EB4535"/>
    <w:rsid w:val="00EB460F"/>
    <w:rsid w:val="00EB472E"/>
    <w:rsid w:val="00EB4CB3"/>
    <w:rsid w:val="00EB5434"/>
    <w:rsid w:val="00EB5D6C"/>
    <w:rsid w:val="00EB6A9B"/>
    <w:rsid w:val="00EB7110"/>
    <w:rsid w:val="00EB76D6"/>
    <w:rsid w:val="00EC0088"/>
    <w:rsid w:val="00EC0178"/>
    <w:rsid w:val="00EC049F"/>
    <w:rsid w:val="00EC11E3"/>
    <w:rsid w:val="00EC183A"/>
    <w:rsid w:val="00EC1BB2"/>
    <w:rsid w:val="00EC30FC"/>
    <w:rsid w:val="00EC538E"/>
    <w:rsid w:val="00EC5AC4"/>
    <w:rsid w:val="00EC73B4"/>
    <w:rsid w:val="00ED024E"/>
    <w:rsid w:val="00ED0CC8"/>
    <w:rsid w:val="00ED194C"/>
    <w:rsid w:val="00ED2147"/>
    <w:rsid w:val="00ED2C26"/>
    <w:rsid w:val="00ED3774"/>
    <w:rsid w:val="00ED3898"/>
    <w:rsid w:val="00ED38BF"/>
    <w:rsid w:val="00ED3A41"/>
    <w:rsid w:val="00ED5939"/>
    <w:rsid w:val="00ED5DB2"/>
    <w:rsid w:val="00ED5EC2"/>
    <w:rsid w:val="00ED6FC6"/>
    <w:rsid w:val="00EE0151"/>
    <w:rsid w:val="00EE0DF2"/>
    <w:rsid w:val="00EE1124"/>
    <w:rsid w:val="00EE17F3"/>
    <w:rsid w:val="00EE21DD"/>
    <w:rsid w:val="00EE2ABD"/>
    <w:rsid w:val="00EE3668"/>
    <w:rsid w:val="00EE3EB5"/>
    <w:rsid w:val="00EE56DF"/>
    <w:rsid w:val="00EE587F"/>
    <w:rsid w:val="00EE5ED7"/>
    <w:rsid w:val="00EE64CC"/>
    <w:rsid w:val="00EE6D6B"/>
    <w:rsid w:val="00EE7FA2"/>
    <w:rsid w:val="00EF1A24"/>
    <w:rsid w:val="00EF1BF1"/>
    <w:rsid w:val="00EF29C5"/>
    <w:rsid w:val="00EF2C5E"/>
    <w:rsid w:val="00EF3A3C"/>
    <w:rsid w:val="00EF5716"/>
    <w:rsid w:val="00EF653D"/>
    <w:rsid w:val="00EF6879"/>
    <w:rsid w:val="00EF71E1"/>
    <w:rsid w:val="00EF7F13"/>
    <w:rsid w:val="00F003B9"/>
    <w:rsid w:val="00F014FA"/>
    <w:rsid w:val="00F01BB4"/>
    <w:rsid w:val="00F01BD5"/>
    <w:rsid w:val="00F024E3"/>
    <w:rsid w:val="00F0264E"/>
    <w:rsid w:val="00F0268F"/>
    <w:rsid w:val="00F02815"/>
    <w:rsid w:val="00F02B30"/>
    <w:rsid w:val="00F03587"/>
    <w:rsid w:val="00F0359E"/>
    <w:rsid w:val="00F041B2"/>
    <w:rsid w:val="00F049A8"/>
    <w:rsid w:val="00F0505F"/>
    <w:rsid w:val="00F05EAF"/>
    <w:rsid w:val="00F06D7C"/>
    <w:rsid w:val="00F0715D"/>
    <w:rsid w:val="00F07172"/>
    <w:rsid w:val="00F071AF"/>
    <w:rsid w:val="00F0753A"/>
    <w:rsid w:val="00F1049D"/>
    <w:rsid w:val="00F110D7"/>
    <w:rsid w:val="00F110E4"/>
    <w:rsid w:val="00F1154C"/>
    <w:rsid w:val="00F119F0"/>
    <w:rsid w:val="00F125A2"/>
    <w:rsid w:val="00F12CDF"/>
    <w:rsid w:val="00F1396C"/>
    <w:rsid w:val="00F147FD"/>
    <w:rsid w:val="00F14C3A"/>
    <w:rsid w:val="00F1534E"/>
    <w:rsid w:val="00F156AE"/>
    <w:rsid w:val="00F15FC1"/>
    <w:rsid w:val="00F16452"/>
    <w:rsid w:val="00F166CE"/>
    <w:rsid w:val="00F169B5"/>
    <w:rsid w:val="00F17762"/>
    <w:rsid w:val="00F22232"/>
    <w:rsid w:val="00F229C2"/>
    <w:rsid w:val="00F23C5A"/>
    <w:rsid w:val="00F23E91"/>
    <w:rsid w:val="00F24573"/>
    <w:rsid w:val="00F24DEF"/>
    <w:rsid w:val="00F261BC"/>
    <w:rsid w:val="00F26EF4"/>
    <w:rsid w:val="00F271D4"/>
    <w:rsid w:val="00F27695"/>
    <w:rsid w:val="00F277D4"/>
    <w:rsid w:val="00F27B51"/>
    <w:rsid w:val="00F30A70"/>
    <w:rsid w:val="00F31104"/>
    <w:rsid w:val="00F313B6"/>
    <w:rsid w:val="00F32FE4"/>
    <w:rsid w:val="00F33A61"/>
    <w:rsid w:val="00F33D41"/>
    <w:rsid w:val="00F33E65"/>
    <w:rsid w:val="00F34904"/>
    <w:rsid w:val="00F34E93"/>
    <w:rsid w:val="00F35061"/>
    <w:rsid w:val="00F3550B"/>
    <w:rsid w:val="00F35DC4"/>
    <w:rsid w:val="00F372B1"/>
    <w:rsid w:val="00F372DC"/>
    <w:rsid w:val="00F373AD"/>
    <w:rsid w:val="00F374E8"/>
    <w:rsid w:val="00F40FF2"/>
    <w:rsid w:val="00F41816"/>
    <w:rsid w:val="00F43F5A"/>
    <w:rsid w:val="00F44511"/>
    <w:rsid w:val="00F4474B"/>
    <w:rsid w:val="00F45738"/>
    <w:rsid w:val="00F46737"/>
    <w:rsid w:val="00F471F1"/>
    <w:rsid w:val="00F4741C"/>
    <w:rsid w:val="00F479A2"/>
    <w:rsid w:val="00F508C3"/>
    <w:rsid w:val="00F5097D"/>
    <w:rsid w:val="00F513E5"/>
    <w:rsid w:val="00F5219B"/>
    <w:rsid w:val="00F527A6"/>
    <w:rsid w:val="00F53138"/>
    <w:rsid w:val="00F534C0"/>
    <w:rsid w:val="00F5379D"/>
    <w:rsid w:val="00F53F7F"/>
    <w:rsid w:val="00F54092"/>
    <w:rsid w:val="00F54930"/>
    <w:rsid w:val="00F5523B"/>
    <w:rsid w:val="00F55B06"/>
    <w:rsid w:val="00F56028"/>
    <w:rsid w:val="00F56682"/>
    <w:rsid w:val="00F56930"/>
    <w:rsid w:val="00F56A56"/>
    <w:rsid w:val="00F575BA"/>
    <w:rsid w:val="00F57E48"/>
    <w:rsid w:val="00F6077B"/>
    <w:rsid w:val="00F60B7D"/>
    <w:rsid w:val="00F613D6"/>
    <w:rsid w:val="00F618D6"/>
    <w:rsid w:val="00F623B6"/>
    <w:rsid w:val="00F62690"/>
    <w:rsid w:val="00F6280F"/>
    <w:rsid w:val="00F62819"/>
    <w:rsid w:val="00F62AB5"/>
    <w:rsid w:val="00F6394B"/>
    <w:rsid w:val="00F63D7E"/>
    <w:rsid w:val="00F66077"/>
    <w:rsid w:val="00F6653B"/>
    <w:rsid w:val="00F67C36"/>
    <w:rsid w:val="00F7069D"/>
    <w:rsid w:val="00F708D9"/>
    <w:rsid w:val="00F71715"/>
    <w:rsid w:val="00F71974"/>
    <w:rsid w:val="00F720B2"/>
    <w:rsid w:val="00F720D6"/>
    <w:rsid w:val="00F720FB"/>
    <w:rsid w:val="00F721C2"/>
    <w:rsid w:val="00F72773"/>
    <w:rsid w:val="00F7294F"/>
    <w:rsid w:val="00F7453A"/>
    <w:rsid w:val="00F74C54"/>
    <w:rsid w:val="00F75597"/>
    <w:rsid w:val="00F76C9A"/>
    <w:rsid w:val="00F77EF2"/>
    <w:rsid w:val="00F80602"/>
    <w:rsid w:val="00F81376"/>
    <w:rsid w:val="00F814DF"/>
    <w:rsid w:val="00F81E48"/>
    <w:rsid w:val="00F82A24"/>
    <w:rsid w:val="00F844E8"/>
    <w:rsid w:val="00F84C20"/>
    <w:rsid w:val="00F85641"/>
    <w:rsid w:val="00F85CB4"/>
    <w:rsid w:val="00F86317"/>
    <w:rsid w:val="00F865CD"/>
    <w:rsid w:val="00F87614"/>
    <w:rsid w:val="00F90BB6"/>
    <w:rsid w:val="00F90CAB"/>
    <w:rsid w:val="00F91A48"/>
    <w:rsid w:val="00F91CD6"/>
    <w:rsid w:val="00F92112"/>
    <w:rsid w:val="00F9230A"/>
    <w:rsid w:val="00F92366"/>
    <w:rsid w:val="00F92753"/>
    <w:rsid w:val="00F92894"/>
    <w:rsid w:val="00F9374E"/>
    <w:rsid w:val="00F95618"/>
    <w:rsid w:val="00F95921"/>
    <w:rsid w:val="00F9598E"/>
    <w:rsid w:val="00F96474"/>
    <w:rsid w:val="00F96B32"/>
    <w:rsid w:val="00F9735A"/>
    <w:rsid w:val="00F97A9B"/>
    <w:rsid w:val="00F97CB8"/>
    <w:rsid w:val="00FA0BF3"/>
    <w:rsid w:val="00FA2003"/>
    <w:rsid w:val="00FA40B7"/>
    <w:rsid w:val="00FA42F4"/>
    <w:rsid w:val="00FA52F8"/>
    <w:rsid w:val="00FA6502"/>
    <w:rsid w:val="00FA67DE"/>
    <w:rsid w:val="00FA7B72"/>
    <w:rsid w:val="00FA7F5C"/>
    <w:rsid w:val="00FB0730"/>
    <w:rsid w:val="00FB0BC1"/>
    <w:rsid w:val="00FB0BE3"/>
    <w:rsid w:val="00FB14A0"/>
    <w:rsid w:val="00FB1E4D"/>
    <w:rsid w:val="00FB231C"/>
    <w:rsid w:val="00FB2853"/>
    <w:rsid w:val="00FB34A3"/>
    <w:rsid w:val="00FB36EE"/>
    <w:rsid w:val="00FB3A50"/>
    <w:rsid w:val="00FB42C5"/>
    <w:rsid w:val="00FB4E4A"/>
    <w:rsid w:val="00FB593A"/>
    <w:rsid w:val="00FB59BF"/>
    <w:rsid w:val="00FB5E97"/>
    <w:rsid w:val="00FB67EF"/>
    <w:rsid w:val="00FB6D3A"/>
    <w:rsid w:val="00FB7547"/>
    <w:rsid w:val="00FB760E"/>
    <w:rsid w:val="00FB7924"/>
    <w:rsid w:val="00FB7F35"/>
    <w:rsid w:val="00FC11D6"/>
    <w:rsid w:val="00FC2BE6"/>
    <w:rsid w:val="00FC38CE"/>
    <w:rsid w:val="00FC48DD"/>
    <w:rsid w:val="00FC569E"/>
    <w:rsid w:val="00FC5D71"/>
    <w:rsid w:val="00FC6206"/>
    <w:rsid w:val="00FC67E5"/>
    <w:rsid w:val="00FC6BFF"/>
    <w:rsid w:val="00FC7B5F"/>
    <w:rsid w:val="00FD04EB"/>
    <w:rsid w:val="00FD07E9"/>
    <w:rsid w:val="00FD1036"/>
    <w:rsid w:val="00FD1062"/>
    <w:rsid w:val="00FD131D"/>
    <w:rsid w:val="00FD1444"/>
    <w:rsid w:val="00FD16DA"/>
    <w:rsid w:val="00FD1DE9"/>
    <w:rsid w:val="00FD3049"/>
    <w:rsid w:val="00FD5177"/>
    <w:rsid w:val="00FD5398"/>
    <w:rsid w:val="00FD56F7"/>
    <w:rsid w:val="00FD585B"/>
    <w:rsid w:val="00FD79EB"/>
    <w:rsid w:val="00FD7E4B"/>
    <w:rsid w:val="00FE33DD"/>
    <w:rsid w:val="00FE35E1"/>
    <w:rsid w:val="00FE3AFC"/>
    <w:rsid w:val="00FE5897"/>
    <w:rsid w:val="00FE6337"/>
    <w:rsid w:val="00FE6D86"/>
    <w:rsid w:val="00FE6F6C"/>
    <w:rsid w:val="00FE7FB0"/>
    <w:rsid w:val="00FF0DA7"/>
    <w:rsid w:val="00FF1058"/>
    <w:rsid w:val="00FF1F20"/>
    <w:rsid w:val="00FF2090"/>
    <w:rsid w:val="00FF315C"/>
    <w:rsid w:val="00FF3276"/>
    <w:rsid w:val="00FF412A"/>
    <w:rsid w:val="00FF4397"/>
    <w:rsid w:val="00FF48ED"/>
    <w:rsid w:val="00FF4A28"/>
    <w:rsid w:val="00FF5B26"/>
    <w:rsid w:val="00FF6578"/>
    <w:rsid w:val="00FF69CB"/>
    <w:rsid w:val="00FF7C53"/>
    <w:rsid w:val="00FF7DE7"/>
    <w:rsid w:val="0740DA5A"/>
    <w:rsid w:val="16C47188"/>
    <w:rsid w:val="1C2B509E"/>
    <w:rsid w:val="1C86C4BE"/>
    <w:rsid w:val="1FB84F28"/>
    <w:rsid w:val="2A6E0624"/>
    <w:rsid w:val="3639A0D0"/>
    <w:rsid w:val="4B7B5F7E"/>
    <w:rsid w:val="4B94E68C"/>
    <w:rsid w:val="4E7DD0B9"/>
    <w:rsid w:val="572BD2BB"/>
    <w:rsid w:val="58C7A31C"/>
    <w:rsid w:val="5D220C61"/>
    <w:rsid w:val="61DD696C"/>
    <w:rsid w:val="6345FD74"/>
    <w:rsid w:val="687DB507"/>
    <w:rsid w:val="6A1CF447"/>
    <w:rsid w:val="6E795332"/>
    <w:rsid w:val="72B80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440D39D"/>
  <w15:docId w15:val="{D6A2FFEF-326E-44AF-9E93-E26810E8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524"/>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 List,FooterText,List Paragraph1,Colorful List Accent 1,numbered,Paragraphe de liste1,列出段落,列出段落1,Bulletr List Paragraph,List Paragraph2,List Paragraph21,Párrafo de lista1,Parágrafo da Lista1,リスト段落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GB"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GB"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GB"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GB" w:eastAsia="en-US"/>
    </w:rPr>
  </w:style>
  <w:style w:type="character" w:customStyle="1" w:styleId="FootnoteTextChar">
    <w:name w:val="Footnote Text Char"/>
    <w:basedOn w:val="DefaultParagraphFont"/>
    <w:link w:val="FootnoteText"/>
    <w:uiPriority w:val="99"/>
    <w:semiHidden/>
    <w:rsid w:val="00D6679C"/>
    <w:rPr>
      <w:rFonts w:ascii="Courier" w:hAnsi="Courier"/>
      <w:lang w:val="en-GB" w:eastAsia="en-US"/>
    </w:rPr>
  </w:style>
  <w:style w:type="character" w:customStyle="1" w:styleId="ListParagraphChar">
    <w:name w:val="List Paragraph Char"/>
    <w:aliases w:val="List Paragraph (numbered (a)) Char,Bullet List Char,FooterText Char,List Paragraph1 Char,Colorful List Accent 1 Char,numbered Char,Paragraphe de liste1 Char,列出段落 Char,列出段落1 Char,Bulletr List Paragraph Char,List Paragraph2 Char"/>
    <w:link w:val="ListParagraph"/>
    <w:uiPriority w:val="34"/>
    <w:qFormat/>
    <w:locked/>
    <w:rsid w:val="009A4543"/>
    <w:rPr>
      <w:lang w:val="en-GB"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NormalWeb">
    <w:name w:val="Normal (Web)"/>
    <w:basedOn w:val="Normal"/>
    <w:uiPriority w:val="99"/>
    <w:unhideWhenUsed/>
    <w:rsid w:val="000D4F1F"/>
    <w:pPr>
      <w:spacing w:before="100" w:beforeAutospacing="1" w:after="100" w:afterAutospacing="1"/>
    </w:pPr>
    <w:rPr>
      <w:rFonts w:eastAsiaTheme="minorHAnsi"/>
      <w:sz w:val="24"/>
      <w:szCs w:val="24"/>
      <w:lang w:eastAsia="en-GB"/>
    </w:rPr>
  </w:style>
  <w:style w:type="table" w:styleId="TableGrid">
    <w:name w:val="Table Grid"/>
    <w:basedOn w:val="TableNormal"/>
    <w:uiPriority w:val="39"/>
    <w:rsid w:val="0087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724CC"/>
    <w:rPr>
      <w:rFonts w:ascii="Helvetica" w:hAnsi="Helvetica" w:hint="default"/>
      <w:b w:val="0"/>
      <w:bCs w:val="0"/>
      <w:i w:val="0"/>
      <w:iCs w:val="0"/>
      <w:color w:val="000000"/>
      <w:sz w:val="16"/>
      <w:szCs w:val="16"/>
    </w:rPr>
  </w:style>
  <w:style w:type="paragraph" w:customStyle="1" w:styleId="Default">
    <w:name w:val="Default"/>
    <w:rsid w:val="008724CC"/>
    <w:pPr>
      <w:autoSpaceDE w:val="0"/>
      <w:autoSpaceDN w:val="0"/>
      <w:adjustRightInd w:val="0"/>
    </w:pPr>
    <w:rPr>
      <w:rFonts w:ascii="Tw Cen MT" w:eastAsiaTheme="minorHAnsi" w:hAnsi="Tw Cen MT" w:cs="Tw Cen MT"/>
      <w:color w:val="000000"/>
      <w:sz w:val="24"/>
      <w:szCs w:val="24"/>
      <w:lang w:eastAsia="en-US"/>
    </w:rPr>
  </w:style>
  <w:style w:type="character" w:customStyle="1" w:styleId="jlqj4b">
    <w:name w:val="jlqj4b"/>
    <w:basedOn w:val="DefaultParagraphFont"/>
    <w:rsid w:val="0017217D"/>
  </w:style>
  <w:style w:type="paragraph" w:styleId="EndnoteText">
    <w:name w:val="endnote text"/>
    <w:basedOn w:val="Normal"/>
    <w:link w:val="EndnoteTextChar"/>
    <w:semiHidden/>
    <w:unhideWhenUsed/>
    <w:rsid w:val="00EC0088"/>
  </w:style>
  <w:style w:type="character" w:customStyle="1" w:styleId="EndnoteTextChar">
    <w:name w:val="Endnote Text Char"/>
    <w:basedOn w:val="DefaultParagraphFont"/>
    <w:link w:val="EndnoteText"/>
    <w:semiHidden/>
    <w:rsid w:val="00EC0088"/>
    <w:rPr>
      <w:lang w:eastAsia="en-US"/>
    </w:rPr>
  </w:style>
  <w:style w:type="character" w:styleId="EndnoteReference">
    <w:name w:val="endnote reference"/>
    <w:basedOn w:val="DefaultParagraphFont"/>
    <w:semiHidden/>
    <w:unhideWhenUsed/>
    <w:rsid w:val="00EC0088"/>
    <w:rPr>
      <w:vertAlign w:val="superscript"/>
    </w:rPr>
  </w:style>
  <w:style w:type="character" w:styleId="UnresolvedMention">
    <w:name w:val="Unresolved Mention"/>
    <w:basedOn w:val="DefaultParagraphFont"/>
    <w:uiPriority w:val="99"/>
    <w:semiHidden/>
    <w:unhideWhenUsed/>
    <w:rsid w:val="0005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8052673">
      <w:bodyDiv w:val="1"/>
      <w:marLeft w:val="0"/>
      <w:marRight w:val="0"/>
      <w:marTop w:val="0"/>
      <w:marBottom w:val="0"/>
      <w:divBdr>
        <w:top w:val="none" w:sz="0" w:space="0" w:color="auto"/>
        <w:left w:val="none" w:sz="0" w:space="0" w:color="auto"/>
        <w:bottom w:val="none" w:sz="0" w:space="0" w:color="auto"/>
        <w:right w:val="none" w:sz="0" w:space="0" w:color="auto"/>
      </w:divBdr>
    </w:div>
    <w:div w:id="134837368">
      <w:bodyDiv w:val="1"/>
      <w:marLeft w:val="0"/>
      <w:marRight w:val="0"/>
      <w:marTop w:val="0"/>
      <w:marBottom w:val="0"/>
      <w:divBdr>
        <w:top w:val="none" w:sz="0" w:space="0" w:color="auto"/>
        <w:left w:val="none" w:sz="0" w:space="0" w:color="auto"/>
        <w:bottom w:val="none" w:sz="0" w:space="0" w:color="auto"/>
        <w:right w:val="none" w:sz="0" w:space="0" w:color="auto"/>
      </w:divBdr>
    </w:div>
    <w:div w:id="190652338">
      <w:bodyDiv w:val="1"/>
      <w:marLeft w:val="0"/>
      <w:marRight w:val="0"/>
      <w:marTop w:val="0"/>
      <w:marBottom w:val="0"/>
      <w:divBdr>
        <w:top w:val="none" w:sz="0" w:space="0" w:color="auto"/>
        <w:left w:val="none" w:sz="0" w:space="0" w:color="auto"/>
        <w:bottom w:val="none" w:sz="0" w:space="0" w:color="auto"/>
        <w:right w:val="none" w:sz="0" w:space="0" w:color="auto"/>
      </w:divBdr>
    </w:div>
    <w:div w:id="224410916">
      <w:bodyDiv w:val="1"/>
      <w:marLeft w:val="0"/>
      <w:marRight w:val="0"/>
      <w:marTop w:val="0"/>
      <w:marBottom w:val="0"/>
      <w:divBdr>
        <w:top w:val="none" w:sz="0" w:space="0" w:color="auto"/>
        <w:left w:val="none" w:sz="0" w:space="0" w:color="auto"/>
        <w:bottom w:val="none" w:sz="0" w:space="0" w:color="auto"/>
        <w:right w:val="none" w:sz="0" w:space="0" w:color="auto"/>
      </w:divBdr>
    </w:div>
    <w:div w:id="229198026">
      <w:bodyDiv w:val="1"/>
      <w:marLeft w:val="0"/>
      <w:marRight w:val="0"/>
      <w:marTop w:val="0"/>
      <w:marBottom w:val="0"/>
      <w:divBdr>
        <w:top w:val="none" w:sz="0" w:space="0" w:color="auto"/>
        <w:left w:val="none" w:sz="0" w:space="0" w:color="auto"/>
        <w:bottom w:val="none" w:sz="0" w:space="0" w:color="auto"/>
        <w:right w:val="none" w:sz="0" w:space="0" w:color="auto"/>
      </w:divBdr>
    </w:div>
    <w:div w:id="242033708">
      <w:bodyDiv w:val="1"/>
      <w:marLeft w:val="0"/>
      <w:marRight w:val="0"/>
      <w:marTop w:val="0"/>
      <w:marBottom w:val="0"/>
      <w:divBdr>
        <w:top w:val="none" w:sz="0" w:space="0" w:color="auto"/>
        <w:left w:val="none" w:sz="0" w:space="0" w:color="auto"/>
        <w:bottom w:val="none" w:sz="0" w:space="0" w:color="auto"/>
        <w:right w:val="none" w:sz="0" w:space="0" w:color="auto"/>
      </w:divBdr>
    </w:div>
    <w:div w:id="256641014">
      <w:bodyDiv w:val="1"/>
      <w:marLeft w:val="0"/>
      <w:marRight w:val="0"/>
      <w:marTop w:val="0"/>
      <w:marBottom w:val="0"/>
      <w:divBdr>
        <w:top w:val="none" w:sz="0" w:space="0" w:color="auto"/>
        <w:left w:val="none" w:sz="0" w:space="0" w:color="auto"/>
        <w:bottom w:val="none" w:sz="0" w:space="0" w:color="auto"/>
        <w:right w:val="none" w:sz="0" w:space="0" w:color="auto"/>
      </w:divBdr>
    </w:div>
    <w:div w:id="278490129">
      <w:bodyDiv w:val="1"/>
      <w:marLeft w:val="0"/>
      <w:marRight w:val="0"/>
      <w:marTop w:val="0"/>
      <w:marBottom w:val="0"/>
      <w:divBdr>
        <w:top w:val="none" w:sz="0" w:space="0" w:color="auto"/>
        <w:left w:val="none" w:sz="0" w:space="0" w:color="auto"/>
        <w:bottom w:val="none" w:sz="0" w:space="0" w:color="auto"/>
        <w:right w:val="none" w:sz="0" w:space="0" w:color="auto"/>
      </w:divBdr>
    </w:div>
    <w:div w:id="283467907">
      <w:bodyDiv w:val="1"/>
      <w:marLeft w:val="0"/>
      <w:marRight w:val="0"/>
      <w:marTop w:val="0"/>
      <w:marBottom w:val="0"/>
      <w:divBdr>
        <w:top w:val="none" w:sz="0" w:space="0" w:color="auto"/>
        <w:left w:val="none" w:sz="0" w:space="0" w:color="auto"/>
        <w:bottom w:val="none" w:sz="0" w:space="0" w:color="auto"/>
        <w:right w:val="none" w:sz="0" w:space="0" w:color="auto"/>
      </w:divBdr>
    </w:div>
    <w:div w:id="405147588">
      <w:bodyDiv w:val="1"/>
      <w:marLeft w:val="0"/>
      <w:marRight w:val="0"/>
      <w:marTop w:val="0"/>
      <w:marBottom w:val="0"/>
      <w:divBdr>
        <w:top w:val="none" w:sz="0" w:space="0" w:color="auto"/>
        <w:left w:val="none" w:sz="0" w:space="0" w:color="auto"/>
        <w:bottom w:val="none" w:sz="0" w:space="0" w:color="auto"/>
        <w:right w:val="none" w:sz="0" w:space="0" w:color="auto"/>
      </w:divBdr>
    </w:div>
    <w:div w:id="459880530">
      <w:bodyDiv w:val="1"/>
      <w:marLeft w:val="0"/>
      <w:marRight w:val="0"/>
      <w:marTop w:val="0"/>
      <w:marBottom w:val="0"/>
      <w:divBdr>
        <w:top w:val="none" w:sz="0" w:space="0" w:color="auto"/>
        <w:left w:val="none" w:sz="0" w:space="0" w:color="auto"/>
        <w:bottom w:val="none" w:sz="0" w:space="0" w:color="auto"/>
        <w:right w:val="none" w:sz="0" w:space="0" w:color="auto"/>
      </w:divBdr>
    </w:div>
    <w:div w:id="643896605">
      <w:bodyDiv w:val="1"/>
      <w:marLeft w:val="0"/>
      <w:marRight w:val="0"/>
      <w:marTop w:val="0"/>
      <w:marBottom w:val="0"/>
      <w:divBdr>
        <w:top w:val="none" w:sz="0" w:space="0" w:color="auto"/>
        <w:left w:val="none" w:sz="0" w:space="0" w:color="auto"/>
        <w:bottom w:val="none" w:sz="0" w:space="0" w:color="auto"/>
        <w:right w:val="none" w:sz="0" w:space="0" w:color="auto"/>
      </w:divBdr>
    </w:div>
    <w:div w:id="651830792">
      <w:bodyDiv w:val="1"/>
      <w:marLeft w:val="0"/>
      <w:marRight w:val="0"/>
      <w:marTop w:val="0"/>
      <w:marBottom w:val="0"/>
      <w:divBdr>
        <w:top w:val="none" w:sz="0" w:space="0" w:color="auto"/>
        <w:left w:val="none" w:sz="0" w:space="0" w:color="auto"/>
        <w:bottom w:val="none" w:sz="0" w:space="0" w:color="auto"/>
        <w:right w:val="none" w:sz="0" w:space="0" w:color="auto"/>
      </w:divBdr>
    </w:div>
    <w:div w:id="69896876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81762655">
      <w:bodyDiv w:val="1"/>
      <w:marLeft w:val="0"/>
      <w:marRight w:val="0"/>
      <w:marTop w:val="0"/>
      <w:marBottom w:val="0"/>
      <w:divBdr>
        <w:top w:val="none" w:sz="0" w:space="0" w:color="auto"/>
        <w:left w:val="none" w:sz="0" w:space="0" w:color="auto"/>
        <w:bottom w:val="none" w:sz="0" w:space="0" w:color="auto"/>
        <w:right w:val="none" w:sz="0" w:space="0" w:color="auto"/>
      </w:divBdr>
    </w:div>
    <w:div w:id="1317370857">
      <w:bodyDiv w:val="1"/>
      <w:marLeft w:val="0"/>
      <w:marRight w:val="0"/>
      <w:marTop w:val="0"/>
      <w:marBottom w:val="0"/>
      <w:divBdr>
        <w:top w:val="none" w:sz="0" w:space="0" w:color="auto"/>
        <w:left w:val="none" w:sz="0" w:space="0" w:color="auto"/>
        <w:bottom w:val="none" w:sz="0" w:space="0" w:color="auto"/>
        <w:right w:val="none" w:sz="0" w:space="0" w:color="auto"/>
      </w:divBdr>
    </w:div>
    <w:div w:id="1392969488">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99955475">
      <w:bodyDiv w:val="1"/>
      <w:marLeft w:val="0"/>
      <w:marRight w:val="0"/>
      <w:marTop w:val="0"/>
      <w:marBottom w:val="0"/>
      <w:divBdr>
        <w:top w:val="none" w:sz="0" w:space="0" w:color="auto"/>
        <w:left w:val="none" w:sz="0" w:space="0" w:color="auto"/>
        <w:bottom w:val="none" w:sz="0" w:space="0" w:color="auto"/>
        <w:right w:val="none" w:sz="0" w:space="0" w:color="auto"/>
      </w:divBdr>
    </w:div>
    <w:div w:id="1856462041">
      <w:bodyDiv w:val="1"/>
      <w:marLeft w:val="0"/>
      <w:marRight w:val="0"/>
      <w:marTop w:val="0"/>
      <w:marBottom w:val="0"/>
      <w:divBdr>
        <w:top w:val="none" w:sz="0" w:space="0" w:color="auto"/>
        <w:left w:val="none" w:sz="0" w:space="0" w:color="auto"/>
        <w:bottom w:val="none" w:sz="0" w:space="0" w:color="auto"/>
        <w:right w:val="none" w:sz="0" w:space="0" w:color="auto"/>
      </w:divBdr>
    </w:div>
    <w:div w:id="1923490237">
      <w:bodyDiv w:val="1"/>
      <w:marLeft w:val="0"/>
      <w:marRight w:val="0"/>
      <w:marTop w:val="0"/>
      <w:marBottom w:val="0"/>
      <w:divBdr>
        <w:top w:val="none" w:sz="0" w:space="0" w:color="auto"/>
        <w:left w:val="none" w:sz="0" w:space="0" w:color="auto"/>
        <w:bottom w:val="none" w:sz="0" w:space="0" w:color="auto"/>
        <w:right w:val="none" w:sz="0" w:space="0" w:color="auto"/>
      </w:divBdr>
    </w:div>
    <w:div w:id="2034920375">
      <w:bodyDiv w:val="1"/>
      <w:marLeft w:val="0"/>
      <w:marRight w:val="0"/>
      <w:marTop w:val="0"/>
      <w:marBottom w:val="0"/>
      <w:divBdr>
        <w:top w:val="none" w:sz="0" w:space="0" w:color="auto"/>
        <w:left w:val="none" w:sz="0" w:space="0" w:color="auto"/>
        <w:bottom w:val="none" w:sz="0" w:space="0" w:color="auto"/>
        <w:right w:val="none" w:sz="0" w:space="0" w:color="auto"/>
      </w:divBdr>
    </w:div>
    <w:div w:id="20995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UNITOFFICE-440-1860</_dlc_DocId>
    <_dlc_DocIdUrl xmlns="5ebeba3d-fd60-4dcb-8548-a9fd3c51d9ff">
      <Url>https://intranet.undp.org/unit/office/exo/sp2014/SP201417/_layouts/15/DocIdRedir.aspx?ID=UNITOFFICE-440-1860</Url>
      <Description>UNITOFFICE-440-1860</Description>
    </_dlc_DocIdUrl>
  </documentManagement>
</p:propertie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B8E00792-C2C1-438A-8C3F-DDAC8FDD46FF}">
  <ds:schemaRefs>
    <ds:schemaRef ds:uri="http://schemas.openxmlformats.org/officeDocument/2006/bibliography"/>
  </ds:schemaRefs>
</ds:datastoreItem>
</file>

<file path=customXml/itemProps3.xml><?xml version="1.0" encoding="utf-8"?>
<ds:datastoreItem xmlns:ds="http://schemas.openxmlformats.org/officeDocument/2006/customXml" ds:itemID="{072F587D-69D5-44DF-8E96-46A48ED78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F9BB0-74D2-4DC9-817B-6E3E5D4646CF}">
  <ds:schemaRefs>
    <ds:schemaRef ds:uri="http://schemas.microsoft.com/sharepoint/event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5913</Words>
  <Characters>37374</Characters>
  <Application>Microsoft Office Word</Application>
  <DocSecurity>0</DocSecurity>
  <Lines>1067</Lines>
  <Paragraphs>416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2021-05-17T21:25:00Z</cp:lastPrinted>
  <dcterms:created xsi:type="dcterms:W3CDTF">2021-06-02T20:20:00Z</dcterms:created>
  <dcterms:modified xsi:type="dcterms:W3CDTF">2021-06-02T20:25:00Z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92c17e65-2116-49f7-99d4-6b4c6566f4f0</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