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74" w:rsidRPr="00846D02" w:rsidRDefault="00F0264E" w:rsidP="00846D02">
      <w:pPr>
        <w:rPr>
          <w:b/>
          <w:i/>
          <w:color w:val="000000"/>
          <w:lang w:val="en-CA"/>
        </w:rPr>
      </w:pPr>
      <w:r w:rsidRPr="007F546A">
        <w:rPr>
          <w:b/>
          <w:bCs/>
          <w:color w:val="000000"/>
          <w:lang w:val="en-CA"/>
        </w:rPr>
        <w:t>ANNEX</w:t>
      </w:r>
      <w:bookmarkStart w:id="0" w:name="_GoBack"/>
      <w:bookmarkEnd w:id="0"/>
      <w:r w:rsidRPr="007F546A">
        <w:rPr>
          <w:bCs/>
          <w:color w:val="000000"/>
          <w:lang w:val="en-CA"/>
        </w:rPr>
        <w:t xml:space="preserve">. </w:t>
      </w:r>
      <w:r w:rsidR="00CB2FE7" w:rsidRPr="007F546A">
        <w:rPr>
          <w:b/>
          <w:bCs/>
          <w:color w:val="000000"/>
          <w:lang w:val="en-CA"/>
        </w:rPr>
        <w:t>FULLY-</w:t>
      </w:r>
      <w:r w:rsidR="00785474" w:rsidRPr="007F546A">
        <w:rPr>
          <w:b/>
          <w:color w:val="000000"/>
          <w:lang w:val="en-CA"/>
        </w:rPr>
        <w:t xml:space="preserve">COSTED EVALUATION PLAN </w:t>
      </w: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332"/>
        <w:gridCol w:w="1830"/>
        <w:gridCol w:w="3358"/>
        <w:gridCol w:w="1176"/>
        <w:gridCol w:w="1079"/>
        <w:gridCol w:w="1210"/>
        <w:gridCol w:w="1070"/>
        <w:gridCol w:w="990"/>
      </w:tblGrid>
      <w:tr w:rsidR="007F546A" w:rsidRPr="00846D02" w:rsidTr="00F9056A">
        <w:trPr>
          <w:trHeight w:val="20"/>
        </w:trPr>
        <w:tc>
          <w:tcPr>
            <w:tcW w:w="551" w:type="pct"/>
            <w:shd w:val="clear" w:color="auto" w:fill="DBE5F1" w:themeFill="accent1" w:themeFillTint="33"/>
            <w:vAlign w:val="center"/>
          </w:tcPr>
          <w:p w:rsidR="00B961B7" w:rsidRPr="00846D02" w:rsidRDefault="00B961B7" w:rsidP="00BB12B2">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UN</w:t>
            </w:r>
            <w:r w:rsidR="00BB12B2" w:rsidRPr="00846D02">
              <w:rPr>
                <w:rFonts w:asciiTheme="majorBidi" w:hAnsiTheme="majorBidi" w:cstheme="majorBidi"/>
                <w:b/>
                <w:bCs/>
                <w:sz w:val="16"/>
                <w:szCs w:val="16"/>
                <w:lang w:val="en-CA"/>
              </w:rPr>
              <w:t>DAF</w:t>
            </w:r>
            <w:r w:rsidR="003761F2" w:rsidRPr="00846D02">
              <w:rPr>
                <w:rFonts w:asciiTheme="majorBidi" w:hAnsiTheme="majorBidi" w:cstheme="majorBidi"/>
                <w:b/>
                <w:bCs/>
                <w:sz w:val="16"/>
                <w:szCs w:val="16"/>
                <w:lang w:val="en-CA"/>
              </w:rPr>
              <w:t xml:space="preserve"> (or </w:t>
            </w:r>
            <w:r w:rsidR="00092879" w:rsidRPr="00846D02">
              <w:rPr>
                <w:rFonts w:asciiTheme="majorBidi" w:hAnsiTheme="majorBidi" w:cstheme="majorBidi"/>
                <w:b/>
                <w:bCs/>
                <w:sz w:val="16"/>
                <w:szCs w:val="16"/>
                <w:lang w:val="en-CA"/>
              </w:rPr>
              <w:t>equivalent</w:t>
            </w:r>
            <w:r w:rsidR="003761F2" w:rsidRPr="00846D02">
              <w:rPr>
                <w:rFonts w:asciiTheme="majorBidi" w:hAnsiTheme="majorBidi" w:cstheme="majorBidi"/>
                <w:b/>
                <w:bCs/>
                <w:sz w:val="16"/>
                <w:szCs w:val="16"/>
                <w:lang w:val="en-CA"/>
              </w:rPr>
              <w:t>)</w:t>
            </w:r>
          </w:p>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Outcome</w:t>
            </w:r>
            <w:r w:rsidR="00A10A30" w:rsidRPr="00846D02">
              <w:rPr>
                <w:rFonts w:asciiTheme="majorBidi" w:hAnsiTheme="majorBidi" w:cstheme="majorBidi"/>
                <w:b/>
                <w:bCs/>
                <w:sz w:val="16"/>
                <w:szCs w:val="16"/>
                <w:lang w:val="en-CA"/>
              </w:rPr>
              <w:t xml:space="preserve"> </w:t>
            </w:r>
          </w:p>
        </w:tc>
        <w:tc>
          <w:tcPr>
            <w:tcW w:w="496" w:type="pct"/>
            <w:shd w:val="clear" w:color="auto" w:fill="DBE5F1" w:themeFill="accent1" w:themeFillTint="33"/>
            <w:vAlign w:val="center"/>
          </w:tcPr>
          <w:p w:rsidR="00B961B7" w:rsidRPr="00846D02" w:rsidRDefault="00092879" w:rsidP="00A76D2C">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 xml:space="preserve">UNDP </w:t>
            </w:r>
            <w:r w:rsidR="00B961B7" w:rsidRPr="00846D02">
              <w:rPr>
                <w:rFonts w:asciiTheme="majorBidi" w:hAnsiTheme="majorBidi" w:cstheme="majorBidi"/>
                <w:b/>
                <w:bCs/>
                <w:sz w:val="16"/>
                <w:szCs w:val="16"/>
                <w:lang w:val="en-CA"/>
              </w:rPr>
              <w:t xml:space="preserve">Strategic Plan </w:t>
            </w:r>
            <w:r w:rsidR="00A76D2C" w:rsidRPr="00846D02">
              <w:rPr>
                <w:rFonts w:asciiTheme="majorBidi" w:hAnsiTheme="majorBidi" w:cstheme="majorBidi"/>
                <w:b/>
                <w:bCs/>
                <w:sz w:val="16"/>
                <w:szCs w:val="16"/>
                <w:lang w:val="en-CA"/>
              </w:rPr>
              <w:t>Outcome</w:t>
            </w:r>
          </w:p>
        </w:tc>
        <w:tc>
          <w:tcPr>
            <w:tcW w:w="680" w:type="pct"/>
            <w:shd w:val="clear" w:color="auto" w:fill="DBE5F1" w:themeFill="accent1" w:themeFillTint="33"/>
            <w:vAlign w:val="center"/>
          </w:tcPr>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Evaluation Title</w:t>
            </w:r>
          </w:p>
        </w:tc>
        <w:tc>
          <w:tcPr>
            <w:tcW w:w="1245" w:type="pct"/>
            <w:shd w:val="clear" w:color="auto" w:fill="DBE5F1" w:themeFill="accent1" w:themeFillTint="33"/>
            <w:vAlign w:val="center"/>
          </w:tcPr>
          <w:p w:rsidR="00B961B7" w:rsidRPr="00846D02" w:rsidDel="00BA628C"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Partners (joint evaluation)</w:t>
            </w:r>
          </w:p>
        </w:tc>
        <w:tc>
          <w:tcPr>
            <w:tcW w:w="435" w:type="pct"/>
            <w:shd w:val="clear" w:color="auto" w:fill="DBE5F1" w:themeFill="accent1" w:themeFillTint="33"/>
            <w:vAlign w:val="center"/>
          </w:tcPr>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Evaluation commissioned by (if not UNDP)</w:t>
            </w:r>
          </w:p>
        </w:tc>
        <w:tc>
          <w:tcPr>
            <w:tcW w:w="406" w:type="pct"/>
            <w:shd w:val="clear" w:color="auto" w:fill="DBE5F1" w:themeFill="accent1" w:themeFillTint="33"/>
            <w:vAlign w:val="center"/>
          </w:tcPr>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Type of evaluation</w:t>
            </w:r>
          </w:p>
        </w:tc>
        <w:tc>
          <w:tcPr>
            <w:tcW w:w="451" w:type="pct"/>
            <w:shd w:val="clear" w:color="auto" w:fill="DBE5F1" w:themeFill="accent1" w:themeFillTint="33"/>
            <w:vAlign w:val="center"/>
          </w:tcPr>
          <w:p w:rsidR="00B961B7" w:rsidRPr="00846D02" w:rsidRDefault="00E5696D"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Planned Evaluation</w:t>
            </w:r>
            <w:r w:rsidR="00B961B7" w:rsidRPr="00846D02">
              <w:rPr>
                <w:rFonts w:asciiTheme="majorBidi" w:hAnsiTheme="majorBidi" w:cstheme="majorBidi"/>
                <w:b/>
                <w:bCs/>
                <w:sz w:val="16"/>
                <w:szCs w:val="16"/>
                <w:lang w:val="en-CA"/>
              </w:rPr>
              <w:t xml:space="preserve"> Completion Date</w:t>
            </w:r>
          </w:p>
        </w:tc>
        <w:tc>
          <w:tcPr>
            <w:tcW w:w="399" w:type="pct"/>
            <w:shd w:val="clear" w:color="auto" w:fill="DBE5F1" w:themeFill="accent1" w:themeFillTint="33"/>
            <w:vAlign w:val="center"/>
          </w:tcPr>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Estimated Cost</w:t>
            </w:r>
          </w:p>
        </w:tc>
        <w:tc>
          <w:tcPr>
            <w:tcW w:w="338" w:type="pct"/>
            <w:shd w:val="clear" w:color="auto" w:fill="DBE5F1" w:themeFill="accent1" w:themeFillTint="33"/>
            <w:vAlign w:val="center"/>
          </w:tcPr>
          <w:p w:rsidR="00B961B7" w:rsidRPr="00846D02" w:rsidRDefault="00B961B7" w:rsidP="009D7760">
            <w:pPr>
              <w:jc w:val="center"/>
              <w:rPr>
                <w:rFonts w:asciiTheme="majorBidi" w:hAnsiTheme="majorBidi" w:cstheme="majorBidi"/>
                <w:b/>
                <w:bCs/>
                <w:sz w:val="16"/>
                <w:szCs w:val="16"/>
                <w:lang w:val="en-CA"/>
              </w:rPr>
            </w:pPr>
            <w:r w:rsidRPr="00846D02">
              <w:rPr>
                <w:rFonts w:asciiTheme="majorBidi" w:hAnsiTheme="majorBidi" w:cstheme="majorBidi"/>
                <w:b/>
                <w:bCs/>
                <w:sz w:val="16"/>
                <w:szCs w:val="16"/>
                <w:lang w:val="en-CA"/>
              </w:rPr>
              <w:t>Provisional Source of Funding</w:t>
            </w:r>
          </w:p>
        </w:tc>
      </w:tr>
      <w:tr w:rsidR="00F9056A" w:rsidRPr="00F9056A" w:rsidTr="00F9056A">
        <w:trPr>
          <w:trHeight w:val="20"/>
        </w:trPr>
        <w:tc>
          <w:tcPr>
            <w:tcW w:w="551" w:type="pct"/>
            <w:vMerge w:val="restar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b/>
                <w:bCs/>
                <w:i/>
                <w:iCs/>
                <w:color w:val="943634"/>
                <w:spacing w:val="-1"/>
                <w:sz w:val="16"/>
                <w:szCs w:val="16"/>
                <w:lang w:val="en-CA"/>
              </w:rPr>
              <w:t>“</w:t>
            </w:r>
            <w:r w:rsidRPr="00F9056A">
              <w:rPr>
                <w:rFonts w:asciiTheme="majorBidi" w:hAnsiTheme="majorBidi" w:cstheme="majorBidi"/>
                <w:b/>
                <w:bCs/>
                <w:i/>
                <w:iCs/>
                <w:color w:val="943634"/>
                <w:sz w:val="16"/>
                <w:szCs w:val="16"/>
                <w:lang w:val="en-CA"/>
              </w:rPr>
              <w:t>Lebanon has institutionalized mechanisms to promote peace and prevent, mitigate and manage conflict at national, municipal and community levels”</w:t>
            </w:r>
          </w:p>
        </w:tc>
        <w:tc>
          <w:tcPr>
            <w:tcW w:w="496" w:type="pct"/>
            <w:vMerge w:val="restar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b/>
                <w:bCs/>
                <w:i/>
                <w:iCs/>
                <w:color w:val="943634"/>
                <w:spacing w:val="1"/>
                <w:sz w:val="16"/>
                <w:szCs w:val="16"/>
                <w:lang w:val="en-CA"/>
              </w:rPr>
              <w:t>“Countries are able to reduce the likelihood of conflict, and lower the risk of natural disasters, including from climate change”</w:t>
            </w:r>
          </w:p>
        </w:tc>
        <w:tc>
          <w:tcPr>
            <w:tcW w:w="680"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Outcome Evaluation </w:t>
            </w:r>
          </w:p>
        </w:tc>
        <w:tc>
          <w:tcPr>
            <w:tcW w:w="1245"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LPDC, MEHE, UNRWA, MOI, MOIM, MOSA, PMO  </w:t>
            </w:r>
          </w:p>
        </w:tc>
        <w:tc>
          <w:tcPr>
            <w:tcW w:w="435" w:type="pct"/>
          </w:tcPr>
          <w:p w:rsidR="007F546A" w:rsidRPr="00F9056A" w:rsidRDefault="007F546A" w:rsidP="007A491B">
            <w:pPr>
              <w:rPr>
                <w:rFonts w:asciiTheme="majorBidi" w:hAnsiTheme="majorBidi" w:cstheme="majorBidi"/>
                <w:color w:val="943634"/>
                <w:sz w:val="16"/>
                <w:szCs w:val="16"/>
                <w:lang w:val="en-CA"/>
              </w:rPr>
            </w:pPr>
          </w:p>
        </w:tc>
        <w:tc>
          <w:tcPr>
            <w:tcW w:w="406"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Outcome evaluation </w:t>
            </w:r>
          </w:p>
        </w:tc>
        <w:tc>
          <w:tcPr>
            <w:tcW w:w="451" w:type="pct"/>
          </w:tcPr>
          <w:p w:rsidR="007F546A" w:rsidRPr="00F9056A" w:rsidRDefault="007F546A" w:rsidP="007A491B">
            <w:pPr>
              <w:spacing w:before="40" w:after="40"/>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Q3 2019</w:t>
            </w:r>
          </w:p>
        </w:tc>
        <w:tc>
          <w:tcPr>
            <w:tcW w:w="399" w:type="pct"/>
          </w:tcPr>
          <w:p w:rsidR="007F546A" w:rsidRPr="00F9056A" w:rsidRDefault="007F546A" w:rsidP="006110D6">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30,000 USD</w:t>
            </w:r>
          </w:p>
        </w:tc>
        <w:tc>
          <w:tcPr>
            <w:tcW w:w="338" w:type="pct"/>
          </w:tcPr>
          <w:p w:rsidR="007F546A" w:rsidRPr="00F9056A" w:rsidRDefault="007F546A" w:rsidP="007A491B">
            <w:pPr>
              <w:rPr>
                <w:rStyle w:val="CommentReference"/>
                <w:rFonts w:asciiTheme="majorBidi" w:hAnsiTheme="majorBidi" w:cstheme="majorBidi"/>
                <w:color w:val="943634"/>
                <w:sz w:val="16"/>
                <w:szCs w:val="16"/>
                <w:lang w:val="en-CA" w:eastAsia="uk-UA"/>
              </w:rPr>
            </w:pPr>
            <w:r w:rsidRPr="00F9056A">
              <w:rPr>
                <w:rStyle w:val="CommentReference"/>
                <w:rFonts w:asciiTheme="majorBidi" w:hAnsiTheme="majorBidi" w:cstheme="majorBidi"/>
                <w:color w:val="943634"/>
                <w:sz w:val="16"/>
                <w:szCs w:val="16"/>
                <w:lang w:val="en-CA" w:eastAsia="uk-UA"/>
              </w:rPr>
              <w:t xml:space="preserve">TBC </w:t>
            </w:r>
          </w:p>
        </w:tc>
      </w:tr>
      <w:tr w:rsidR="00F9056A" w:rsidRPr="00F9056A" w:rsidTr="00F9056A">
        <w:trPr>
          <w:trHeight w:val="20"/>
        </w:trPr>
        <w:tc>
          <w:tcPr>
            <w:tcW w:w="551" w:type="pct"/>
            <w:vMerge/>
          </w:tcPr>
          <w:p w:rsidR="007F546A" w:rsidRPr="00F9056A" w:rsidRDefault="007F546A" w:rsidP="007A491B">
            <w:pPr>
              <w:rPr>
                <w:rFonts w:asciiTheme="majorBidi" w:hAnsiTheme="majorBidi" w:cstheme="majorBidi"/>
                <w:color w:val="943634"/>
                <w:sz w:val="16"/>
                <w:szCs w:val="16"/>
                <w:lang w:val="en-CA"/>
              </w:rPr>
            </w:pPr>
          </w:p>
        </w:tc>
        <w:tc>
          <w:tcPr>
            <w:tcW w:w="496" w:type="pct"/>
            <w:vMerge/>
          </w:tcPr>
          <w:p w:rsidR="007F546A" w:rsidRPr="00F9056A" w:rsidRDefault="007F546A" w:rsidP="007A491B">
            <w:pPr>
              <w:rPr>
                <w:rFonts w:asciiTheme="majorBidi" w:hAnsiTheme="majorBidi" w:cstheme="majorBidi"/>
                <w:color w:val="943634"/>
                <w:sz w:val="16"/>
                <w:szCs w:val="16"/>
                <w:lang w:val="en-CA"/>
              </w:rPr>
            </w:pPr>
          </w:p>
        </w:tc>
        <w:tc>
          <w:tcPr>
            <w:tcW w:w="680"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CSI External Evaluation </w:t>
            </w:r>
          </w:p>
        </w:tc>
        <w:tc>
          <w:tcPr>
            <w:tcW w:w="1245"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Dialogue stakeholders </w:t>
            </w:r>
          </w:p>
        </w:tc>
        <w:tc>
          <w:tcPr>
            <w:tcW w:w="435" w:type="pct"/>
          </w:tcPr>
          <w:p w:rsidR="007F546A" w:rsidRPr="00F9056A" w:rsidRDefault="007F546A" w:rsidP="007A491B">
            <w:pPr>
              <w:rPr>
                <w:rFonts w:asciiTheme="majorBidi" w:hAnsiTheme="majorBidi" w:cstheme="majorBidi"/>
                <w:color w:val="943634"/>
                <w:sz w:val="16"/>
                <w:szCs w:val="16"/>
                <w:lang w:val="en-CA"/>
              </w:rPr>
            </w:pPr>
          </w:p>
        </w:tc>
        <w:tc>
          <w:tcPr>
            <w:tcW w:w="406"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Project Evaluation </w:t>
            </w:r>
          </w:p>
        </w:tc>
        <w:tc>
          <w:tcPr>
            <w:tcW w:w="451" w:type="pct"/>
          </w:tcPr>
          <w:p w:rsidR="007F546A" w:rsidRPr="00F9056A" w:rsidRDefault="007F546A" w:rsidP="007A491B">
            <w:pPr>
              <w:spacing w:before="40" w:after="40"/>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Q2 2018</w:t>
            </w:r>
          </w:p>
        </w:tc>
        <w:tc>
          <w:tcPr>
            <w:tcW w:w="399" w:type="pct"/>
          </w:tcPr>
          <w:p w:rsidR="007F546A" w:rsidRPr="00F9056A" w:rsidRDefault="007F546A" w:rsidP="007A491B">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10,000 USD </w:t>
            </w:r>
          </w:p>
        </w:tc>
        <w:tc>
          <w:tcPr>
            <w:tcW w:w="338" w:type="pct"/>
          </w:tcPr>
          <w:p w:rsidR="007F546A" w:rsidRPr="00F9056A" w:rsidRDefault="007F546A" w:rsidP="007A491B">
            <w:pPr>
              <w:rPr>
                <w:rStyle w:val="CommentReference"/>
                <w:rFonts w:asciiTheme="majorBidi" w:hAnsiTheme="majorBidi" w:cstheme="majorBidi"/>
                <w:color w:val="943634"/>
                <w:sz w:val="16"/>
                <w:szCs w:val="16"/>
                <w:lang w:val="en-CA" w:eastAsia="uk-UA"/>
              </w:rPr>
            </w:pPr>
            <w:r w:rsidRPr="00F9056A">
              <w:rPr>
                <w:rStyle w:val="CommentReference"/>
                <w:rFonts w:asciiTheme="majorBidi" w:hAnsiTheme="majorBidi" w:cstheme="majorBidi"/>
                <w:color w:val="943634"/>
                <w:sz w:val="16"/>
                <w:szCs w:val="16"/>
                <w:lang w:val="en-CA" w:eastAsia="uk-UA"/>
              </w:rPr>
              <w:t>Project</w:t>
            </w:r>
          </w:p>
        </w:tc>
      </w:tr>
      <w:tr w:rsidR="00F9056A" w:rsidRPr="00F9056A" w:rsidTr="00F9056A">
        <w:trPr>
          <w:trHeight w:val="20"/>
        </w:trPr>
        <w:tc>
          <w:tcPr>
            <w:tcW w:w="551" w:type="pct"/>
            <w:vMerge/>
          </w:tcPr>
          <w:p w:rsidR="007F546A" w:rsidRPr="00F9056A" w:rsidRDefault="007F546A" w:rsidP="003251EE">
            <w:pPr>
              <w:rPr>
                <w:rFonts w:asciiTheme="majorBidi" w:hAnsiTheme="majorBidi" w:cstheme="majorBidi"/>
                <w:color w:val="943634"/>
                <w:sz w:val="16"/>
                <w:szCs w:val="16"/>
                <w:lang w:val="en-CA"/>
              </w:rPr>
            </w:pPr>
          </w:p>
        </w:tc>
        <w:tc>
          <w:tcPr>
            <w:tcW w:w="496" w:type="pct"/>
            <w:vMerge/>
          </w:tcPr>
          <w:p w:rsidR="007F546A" w:rsidRPr="00F9056A" w:rsidRDefault="007F546A" w:rsidP="003251EE">
            <w:pPr>
              <w:rPr>
                <w:rFonts w:asciiTheme="majorBidi" w:hAnsiTheme="majorBidi" w:cstheme="majorBidi"/>
                <w:color w:val="943634"/>
                <w:sz w:val="16"/>
                <w:szCs w:val="16"/>
                <w:lang w:val="en-CA"/>
              </w:rPr>
            </w:pPr>
          </w:p>
        </w:tc>
        <w:tc>
          <w:tcPr>
            <w:tcW w:w="680" w:type="pct"/>
          </w:tcPr>
          <w:p w:rsidR="007F546A" w:rsidRPr="00F9056A" w:rsidRDefault="007F546A" w:rsidP="003251EE">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Peace Building Project External Evaluation </w:t>
            </w:r>
          </w:p>
        </w:tc>
        <w:tc>
          <w:tcPr>
            <w:tcW w:w="1245" w:type="pct"/>
          </w:tcPr>
          <w:p w:rsidR="007F546A" w:rsidRPr="00F9056A" w:rsidRDefault="007F546A" w:rsidP="003251EE">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Municipalities, MOI, MEHE, NGOS, Media professionals MOIM, MOSA</w:t>
            </w:r>
          </w:p>
        </w:tc>
        <w:tc>
          <w:tcPr>
            <w:tcW w:w="435" w:type="pct"/>
          </w:tcPr>
          <w:p w:rsidR="007F546A" w:rsidRPr="00F9056A" w:rsidRDefault="007F546A" w:rsidP="003251EE">
            <w:pPr>
              <w:rPr>
                <w:rFonts w:asciiTheme="majorBidi" w:hAnsiTheme="majorBidi" w:cstheme="majorBidi"/>
                <w:color w:val="943634"/>
                <w:sz w:val="16"/>
                <w:szCs w:val="16"/>
                <w:lang w:val="en-CA"/>
              </w:rPr>
            </w:pPr>
          </w:p>
        </w:tc>
        <w:tc>
          <w:tcPr>
            <w:tcW w:w="406" w:type="pct"/>
          </w:tcPr>
          <w:p w:rsidR="007F546A" w:rsidRPr="00F9056A" w:rsidRDefault="007F546A" w:rsidP="003251EE">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Project Evaluation </w:t>
            </w:r>
          </w:p>
        </w:tc>
        <w:tc>
          <w:tcPr>
            <w:tcW w:w="451" w:type="pct"/>
          </w:tcPr>
          <w:p w:rsidR="007F546A" w:rsidRPr="00F9056A" w:rsidRDefault="007F546A" w:rsidP="003251EE">
            <w:pPr>
              <w:spacing w:before="40" w:after="40"/>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Q1 2017</w:t>
            </w:r>
          </w:p>
        </w:tc>
        <w:tc>
          <w:tcPr>
            <w:tcW w:w="399" w:type="pct"/>
          </w:tcPr>
          <w:p w:rsidR="007F546A" w:rsidRPr="00F9056A" w:rsidRDefault="007F546A" w:rsidP="003251EE">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10,000 USD</w:t>
            </w:r>
          </w:p>
        </w:tc>
        <w:tc>
          <w:tcPr>
            <w:tcW w:w="338" w:type="pct"/>
          </w:tcPr>
          <w:p w:rsidR="007F546A" w:rsidRPr="00F9056A" w:rsidRDefault="007F546A" w:rsidP="003251EE">
            <w:pPr>
              <w:rPr>
                <w:rStyle w:val="CommentReference"/>
                <w:rFonts w:asciiTheme="majorBidi" w:hAnsiTheme="majorBidi" w:cstheme="majorBidi"/>
                <w:color w:val="943634"/>
                <w:sz w:val="16"/>
                <w:szCs w:val="16"/>
                <w:lang w:val="en-CA" w:eastAsia="uk-UA"/>
              </w:rPr>
            </w:pPr>
            <w:r w:rsidRPr="00F9056A">
              <w:rPr>
                <w:rStyle w:val="CommentReference"/>
                <w:rFonts w:asciiTheme="majorBidi" w:hAnsiTheme="majorBidi" w:cstheme="majorBidi"/>
                <w:color w:val="943634"/>
                <w:sz w:val="16"/>
                <w:szCs w:val="16"/>
                <w:lang w:val="en-CA" w:eastAsia="uk-UA"/>
              </w:rPr>
              <w:t xml:space="preserve">Project </w:t>
            </w:r>
          </w:p>
        </w:tc>
      </w:tr>
      <w:tr w:rsidR="00F9056A" w:rsidRPr="00F9056A" w:rsidTr="00F9056A">
        <w:trPr>
          <w:trHeight w:val="20"/>
        </w:trPr>
        <w:tc>
          <w:tcPr>
            <w:tcW w:w="551" w:type="pct"/>
            <w:vMerge/>
          </w:tcPr>
          <w:p w:rsidR="007F546A" w:rsidRPr="00F9056A" w:rsidRDefault="007F546A" w:rsidP="001953FF">
            <w:pPr>
              <w:rPr>
                <w:rFonts w:asciiTheme="majorBidi" w:hAnsiTheme="majorBidi" w:cstheme="majorBidi"/>
                <w:color w:val="943634"/>
                <w:sz w:val="16"/>
                <w:szCs w:val="16"/>
                <w:lang w:val="en-CA"/>
              </w:rPr>
            </w:pPr>
          </w:p>
        </w:tc>
        <w:tc>
          <w:tcPr>
            <w:tcW w:w="496" w:type="pct"/>
            <w:vMerge/>
          </w:tcPr>
          <w:p w:rsidR="007F546A" w:rsidRPr="00F9056A" w:rsidRDefault="007F546A" w:rsidP="001953FF">
            <w:pPr>
              <w:rPr>
                <w:rFonts w:asciiTheme="majorBidi" w:hAnsiTheme="majorBidi" w:cstheme="majorBidi"/>
                <w:color w:val="943634"/>
                <w:sz w:val="16"/>
                <w:szCs w:val="16"/>
                <w:lang w:val="en-CA"/>
              </w:rPr>
            </w:pPr>
          </w:p>
        </w:tc>
        <w:tc>
          <w:tcPr>
            <w:tcW w:w="680" w:type="pct"/>
          </w:tcPr>
          <w:p w:rsidR="007F546A" w:rsidRPr="00F9056A" w:rsidRDefault="007F546A" w:rsidP="001953FF">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Improving Living Conditions in Palestinian Gatherings Host Communities </w:t>
            </w:r>
          </w:p>
        </w:tc>
        <w:tc>
          <w:tcPr>
            <w:tcW w:w="1245" w:type="pct"/>
          </w:tcPr>
          <w:p w:rsidR="007F546A" w:rsidRPr="00F9056A" w:rsidRDefault="007F546A" w:rsidP="001953FF">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NGOs, UNRWA, municipalities, local popular committees </w:t>
            </w:r>
          </w:p>
        </w:tc>
        <w:tc>
          <w:tcPr>
            <w:tcW w:w="435" w:type="pct"/>
          </w:tcPr>
          <w:p w:rsidR="007F546A" w:rsidRPr="00F9056A" w:rsidRDefault="007F546A" w:rsidP="001953FF">
            <w:pPr>
              <w:rPr>
                <w:rFonts w:asciiTheme="majorBidi" w:hAnsiTheme="majorBidi" w:cstheme="majorBidi"/>
                <w:color w:val="943634"/>
                <w:sz w:val="16"/>
                <w:szCs w:val="16"/>
                <w:lang w:val="en-CA"/>
              </w:rPr>
            </w:pPr>
          </w:p>
        </w:tc>
        <w:tc>
          <w:tcPr>
            <w:tcW w:w="406" w:type="pct"/>
          </w:tcPr>
          <w:p w:rsidR="007F546A" w:rsidRPr="00F9056A" w:rsidRDefault="007F546A" w:rsidP="001953FF">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 xml:space="preserve">Project Evaluation </w:t>
            </w:r>
          </w:p>
        </w:tc>
        <w:tc>
          <w:tcPr>
            <w:tcW w:w="451" w:type="pct"/>
          </w:tcPr>
          <w:p w:rsidR="007F546A" w:rsidRPr="00F9056A" w:rsidRDefault="007F546A" w:rsidP="001953FF">
            <w:pPr>
              <w:spacing w:before="40" w:after="40"/>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Q4 2016</w:t>
            </w:r>
          </w:p>
        </w:tc>
        <w:tc>
          <w:tcPr>
            <w:tcW w:w="399" w:type="pct"/>
          </w:tcPr>
          <w:p w:rsidR="007F546A" w:rsidRPr="00F9056A" w:rsidRDefault="007F546A" w:rsidP="001953FF">
            <w:pPr>
              <w:rPr>
                <w:rFonts w:asciiTheme="majorBidi" w:hAnsiTheme="majorBidi" w:cstheme="majorBidi"/>
                <w:color w:val="943634"/>
                <w:sz w:val="16"/>
                <w:szCs w:val="16"/>
                <w:lang w:val="en-CA"/>
              </w:rPr>
            </w:pPr>
            <w:r w:rsidRPr="00F9056A">
              <w:rPr>
                <w:rFonts w:asciiTheme="majorBidi" w:hAnsiTheme="majorBidi" w:cstheme="majorBidi"/>
                <w:color w:val="943634"/>
                <w:sz w:val="16"/>
                <w:szCs w:val="16"/>
                <w:lang w:val="en-CA"/>
              </w:rPr>
              <w:t>10,000 USD</w:t>
            </w:r>
          </w:p>
        </w:tc>
        <w:tc>
          <w:tcPr>
            <w:tcW w:w="338" w:type="pct"/>
          </w:tcPr>
          <w:p w:rsidR="007F546A" w:rsidRPr="00F9056A" w:rsidRDefault="007F546A" w:rsidP="001953FF">
            <w:pPr>
              <w:rPr>
                <w:rStyle w:val="CommentReference"/>
                <w:rFonts w:asciiTheme="majorBidi" w:hAnsiTheme="majorBidi" w:cstheme="majorBidi"/>
                <w:color w:val="943634"/>
                <w:sz w:val="16"/>
                <w:szCs w:val="16"/>
                <w:lang w:val="en-CA" w:eastAsia="uk-UA"/>
              </w:rPr>
            </w:pPr>
            <w:r w:rsidRPr="00F9056A">
              <w:rPr>
                <w:rStyle w:val="CommentReference"/>
                <w:rFonts w:asciiTheme="majorBidi" w:hAnsiTheme="majorBidi" w:cstheme="majorBidi"/>
                <w:color w:val="943634"/>
                <w:sz w:val="16"/>
                <w:szCs w:val="16"/>
                <w:lang w:val="en-CA" w:eastAsia="uk-UA"/>
              </w:rPr>
              <w:t xml:space="preserve">Project </w:t>
            </w:r>
          </w:p>
        </w:tc>
      </w:tr>
      <w:tr w:rsidR="00F9056A" w:rsidRPr="00F9056A" w:rsidTr="00F9056A">
        <w:trPr>
          <w:trHeight w:val="20"/>
        </w:trPr>
        <w:tc>
          <w:tcPr>
            <w:tcW w:w="551" w:type="pct"/>
            <w:vMerge w:val="restar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b/>
                <w:bCs/>
                <w:i/>
                <w:iCs/>
                <w:color w:val="4F6228"/>
                <w:spacing w:val="-1"/>
                <w:sz w:val="16"/>
                <w:szCs w:val="16"/>
                <w:lang w:val="en-CA"/>
              </w:rPr>
              <w:t>“Government’s ability to improve the performance of institutions and promote participation and accountability increased”</w:t>
            </w:r>
          </w:p>
        </w:tc>
        <w:tc>
          <w:tcPr>
            <w:tcW w:w="496" w:type="pct"/>
            <w:vMerge w:val="restart"/>
          </w:tcPr>
          <w:p w:rsidR="007F546A" w:rsidRPr="00F9056A" w:rsidRDefault="007F546A" w:rsidP="00EF0DB2">
            <w:pPr>
              <w:rPr>
                <w:rFonts w:asciiTheme="majorBidi" w:hAnsiTheme="majorBidi" w:cstheme="majorBidi"/>
                <w:color w:val="4F6228"/>
                <w:spacing w:val="1"/>
                <w:sz w:val="16"/>
                <w:szCs w:val="16"/>
                <w:lang w:val="en-CA"/>
              </w:rPr>
            </w:pPr>
            <w:r w:rsidRPr="00F9056A">
              <w:rPr>
                <w:rFonts w:asciiTheme="majorBidi" w:hAnsiTheme="majorBidi" w:cstheme="majorBidi"/>
                <w:color w:val="4F6228"/>
                <w:spacing w:val="1"/>
                <w:sz w:val="16"/>
                <w:szCs w:val="16"/>
                <w:lang w:val="en-CA"/>
              </w:rPr>
              <w:t xml:space="preserve"> “</w:t>
            </w:r>
            <w:r w:rsidRPr="00F9056A">
              <w:rPr>
                <w:rFonts w:asciiTheme="majorBidi" w:hAnsiTheme="majorBidi" w:cstheme="majorBidi"/>
                <w:b/>
                <w:bCs/>
                <w:i/>
                <w:iCs/>
                <w:color w:val="4F6228"/>
                <w:spacing w:val="1"/>
                <w:sz w:val="16"/>
                <w:szCs w:val="16"/>
                <w:lang w:val="en-CA"/>
              </w:rPr>
              <w:t>Citizen expectations for voice, development, the rule of law and accountability are met by stronger systems of democratic governance</w:t>
            </w:r>
            <w:r w:rsidRPr="00F9056A">
              <w:rPr>
                <w:rFonts w:asciiTheme="majorBidi" w:hAnsiTheme="majorBidi" w:cstheme="majorBidi"/>
                <w:color w:val="4F6228"/>
                <w:sz w:val="16"/>
                <w:szCs w:val="16"/>
                <w:lang w:val="en-CA"/>
              </w:rPr>
              <w:t>”</w:t>
            </w:r>
          </w:p>
        </w:tc>
        <w:tc>
          <w:tcPr>
            <w:tcW w:w="680"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Outcome Evaluation </w:t>
            </w:r>
          </w:p>
        </w:tc>
        <w:tc>
          <w:tcPr>
            <w:tcW w:w="1245"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CDR, Office of the Presidency of the Council of Ministers, Ministry of Finance, Ministry of Economy and Trade, Ministry of Education, OMSAR, IDAL, Ministry of Interior and Municipalities, Parliament, Judiciary Council, RPTA, NCLW.  </w:t>
            </w:r>
          </w:p>
        </w:tc>
        <w:tc>
          <w:tcPr>
            <w:tcW w:w="435" w:type="pct"/>
          </w:tcPr>
          <w:p w:rsidR="007F546A" w:rsidRPr="00F9056A" w:rsidRDefault="007F546A" w:rsidP="00EF0DB2">
            <w:pPr>
              <w:rPr>
                <w:rFonts w:asciiTheme="majorBidi" w:hAnsiTheme="majorBidi" w:cstheme="majorBidi"/>
                <w:color w:val="4F6228"/>
                <w:sz w:val="16"/>
                <w:szCs w:val="16"/>
                <w:lang w:val="en-CA"/>
              </w:rPr>
            </w:pPr>
          </w:p>
        </w:tc>
        <w:tc>
          <w:tcPr>
            <w:tcW w:w="406"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Outcome evaluation </w:t>
            </w:r>
          </w:p>
        </w:tc>
        <w:tc>
          <w:tcPr>
            <w:tcW w:w="451" w:type="pct"/>
          </w:tcPr>
          <w:p w:rsidR="007F546A" w:rsidRPr="00F9056A" w:rsidRDefault="007F546A" w:rsidP="005A3A94">
            <w:pPr>
              <w:spacing w:before="40" w:after="40"/>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Q3 2020 </w:t>
            </w:r>
          </w:p>
        </w:tc>
        <w:tc>
          <w:tcPr>
            <w:tcW w:w="399"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40,000 USD</w:t>
            </w:r>
          </w:p>
        </w:tc>
        <w:tc>
          <w:tcPr>
            <w:tcW w:w="338" w:type="pct"/>
          </w:tcPr>
          <w:p w:rsidR="007F546A" w:rsidRPr="00F9056A" w:rsidRDefault="007F546A" w:rsidP="00EF0DB2">
            <w:pPr>
              <w:rPr>
                <w:rStyle w:val="CommentReference"/>
                <w:rFonts w:asciiTheme="majorBidi" w:hAnsiTheme="majorBidi" w:cstheme="majorBidi"/>
                <w:color w:val="4F6228"/>
                <w:sz w:val="16"/>
                <w:szCs w:val="16"/>
                <w:lang w:val="en-CA" w:eastAsia="uk-UA"/>
              </w:rPr>
            </w:pPr>
            <w:r w:rsidRPr="00F9056A">
              <w:rPr>
                <w:rStyle w:val="CommentReference"/>
                <w:rFonts w:asciiTheme="majorBidi" w:hAnsiTheme="majorBidi" w:cstheme="majorBidi"/>
                <w:color w:val="4F6228"/>
                <w:sz w:val="16"/>
                <w:szCs w:val="16"/>
                <w:lang w:val="en-CA" w:eastAsia="uk-UA"/>
              </w:rPr>
              <w:t xml:space="preserve">TBC </w:t>
            </w:r>
          </w:p>
        </w:tc>
      </w:tr>
      <w:tr w:rsidR="00F9056A" w:rsidRPr="00F9056A" w:rsidTr="00F9056A">
        <w:trPr>
          <w:trHeight w:val="20"/>
        </w:trPr>
        <w:tc>
          <w:tcPr>
            <w:tcW w:w="551" w:type="pct"/>
            <w:vMerge/>
          </w:tcPr>
          <w:p w:rsidR="007F546A" w:rsidRPr="00F9056A" w:rsidRDefault="007F546A" w:rsidP="00EF0DB2">
            <w:pPr>
              <w:rPr>
                <w:rFonts w:asciiTheme="majorBidi" w:hAnsiTheme="majorBidi" w:cstheme="majorBidi"/>
                <w:color w:val="4F6228"/>
                <w:sz w:val="16"/>
                <w:szCs w:val="16"/>
                <w:lang w:val="en-CA"/>
              </w:rPr>
            </w:pPr>
          </w:p>
        </w:tc>
        <w:tc>
          <w:tcPr>
            <w:tcW w:w="496" w:type="pct"/>
            <w:vMerge/>
          </w:tcPr>
          <w:p w:rsidR="007F546A" w:rsidRPr="00F9056A" w:rsidRDefault="007F546A" w:rsidP="00EF0DB2">
            <w:pPr>
              <w:rPr>
                <w:rFonts w:asciiTheme="majorBidi" w:hAnsiTheme="majorBidi" w:cstheme="majorBidi"/>
                <w:color w:val="4F6228"/>
                <w:spacing w:val="1"/>
                <w:sz w:val="16"/>
                <w:szCs w:val="16"/>
                <w:lang w:val="en-CA"/>
              </w:rPr>
            </w:pPr>
          </w:p>
        </w:tc>
        <w:tc>
          <w:tcPr>
            <w:tcW w:w="680"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LEAP External Evaluation </w:t>
            </w:r>
          </w:p>
        </w:tc>
        <w:tc>
          <w:tcPr>
            <w:tcW w:w="1245"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Ministry of Interior and Municipalities, Judiciary Council, Women organizations</w:t>
            </w:r>
          </w:p>
        </w:tc>
        <w:tc>
          <w:tcPr>
            <w:tcW w:w="435"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EU</w:t>
            </w:r>
          </w:p>
        </w:tc>
        <w:tc>
          <w:tcPr>
            <w:tcW w:w="406"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Project Evaluation </w:t>
            </w:r>
          </w:p>
        </w:tc>
        <w:tc>
          <w:tcPr>
            <w:tcW w:w="451" w:type="pct"/>
          </w:tcPr>
          <w:p w:rsidR="007F546A" w:rsidRPr="00F9056A" w:rsidRDefault="007F546A" w:rsidP="00EF0DB2">
            <w:pPr>
              <w:spacing w:before="40" w:after="40"/>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Q4 2017</w:t>
            </w:r>
          </w:p>
        </w:tc>
        <w:tc>
          <w:tcPr>
            <w:tcW w:w="399"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25,000 USD </w:t>
            </w:r>
          </w:p>
        </w:tc>
        <w:tc>
          <w:tcPr>
            <w:tcW w:w="338" w:type="pct"/>
          </w:tcPr>
          <w:p w:rsidR="007F546A" w:rsidRPr="00F9056A" w:rsidRDefault="007F546A" w:rsidP="00EF0DB2">
            <w:pPr>
              <w:rPr>
                <w:rStyle w:val="CommentReference"/>
                <w:rFonts w:asciiTheme="majorBidi" w:hAnsiTheme="majorBidi" w:cstheme="majorBidi"/>
                <w:color w:val="4F6228"/>
                <w:sz w:val="16"/>
                <w:szCs w:val="16"/>
                <w:lang w:val="en-CA" w:eastAsia="uk-UA"/>
              </w:rPr>
            </w:pPr>
            <w:r w:rsidRPr="00F9056A">
              <w:rPr>
                <w:rStyle w:val="CommentReference"/>
                <w:rFonts w:asciiTheme="majorBidi" w:hAnsiTheme="majorBidi" w:cstheme="majorBidi"/>
                <w:color w:val="4F6228"/>
                <w:sz w:val="16"/>
                <w:szCs w:val="16"/>
                <w:lang w:val="en-CA" w:eastAsia="uk-UA"/>
              </w:rPr>
              <w:t xml:space="preserve">Project </w:t>
            </w:r>
          </w:p>
        </w:tc>
      </w:tr>
      <w:tr w:rsidR="00F9056A" w:rsidRPr="00F9056A" w:rsidTr="00F9056A">
        <w:trPr>
          <w:trHeight w:val="20"/>
        </w:trPr>
        <w:tc>
          <w:tcPr>
            <w:tcW w:w="551" w:type="pct"/>
            <w:vMerge/>
          </w:tcPr>
          <w:p w:rsidR="007F546A" w:rsidRPr="00F9056A" w:rsidRDefault="007F546A" w:rsidP="00EF0DB2">
            <w:pPr>
              <w:rPr>
                <w:rFonts w:asciiTheme="majorBidi" w:hAnsiTheme="majorBidi" w:cstheme="majorBidi"/>
                <w:color w:val="4F6228"/>
                <w:sz w:val="16"/>
                <w:szCs w:val="16"/>
                <w:lang w:val="en-CA"/>
              </w:rPr>
            </w:pPr>
          </w:p>
        </w:tc>
        <w:tc>
          <w:tcPr>
            <w:tcW w:w="496" w:type="pct"/>
            <w:vMerge/>
          </w:tcPr>
          <w:p w:rsidR="007F546A" w:rsidRPr="00F9056A" w:rsidRDefault="007F546A" w:rsidP="00EF0DB2">
            <w:pPr>
              <w:rPr>
                <w:rFonts w:asciiTheme="majorBidi" w:hAnsiTheme="majorBidi" w:cstheme="majorBidi"/>
                <w:color w:val="4F6228"/>
                <w:spacing w:val="1"/>
                <w:sz w:val="16"/>
                <w:szCs w:val="16"/>
                <w:lang w:val="en-CA"/>
              </w:rPr>
            </w:pPr>
          </w:p>
        </w:tc>
        <w:tc>
          <w:tcPr>
            <w:tcW w:w="680"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RPTA External Evaluation </w:t>
            </w:r>
          </w:p>
        </w:tc>
        <w:tc>
          <w:tcPr>
            <w:tcW w:w="1245"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RPTA </w:t>
            </w:r>
          </w:p>
        </w:tc>
        <w:tc>
          <w:tcPr>
            <w:tcW w:w="435" w:type="pct"/>
          </w:tcPr>
          <w:p w:rsidR="007F546A" w:rsidRPr="00F9056A" w:rsidRDefault="007F546A" w:rsidP="00EF0DB2">
            <w:pPr>
              <w:rPr>
                <w:rFonts w:asciiTheme="majorBidi" w:hAnsiTheme="majorBidi" w:cstheme="majorBidi"/>
                <w:color w:val="4F6228"/>
                <w:sz w:val="16"/>
                <w:szCs w:val="16"/>
                <w:lang w:val="en-CA"/>
              </w:rPr>
            </w:pPr>
          </w:p>
        </w:tc>
        <w:tc>
          <w:tcPr>
            <w:tcW w:w="406" w:type="pct"/>
          </w:tcPr>
          <w:p w:rsidR="007F546A" w:rsidRPr="00F9056A" w:rsidRDefault="007F546A" w:rsidP="00EF0DB2">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Project Evaluation</w:t>
            </w:r>
          </w:p>
        </w:tc>
        <w:tc>
          <w:tcPr>
            <w:tcW w:w="451" w:type="pct"/>
          </w:tcPr>
          <w:p w:rsidR="007F546A" w:rsidRPr="00F9056A" w:rsidRDefault="007F546A" w:rsidP="00EF0DB2">
            <w:pPr>
              <w:spacing w:before="40" w:after="40"/>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Q4 2018</w:t>
            </w:r>
          </w:p>
        </w:tc>
        <w:tc>
          <w:tcPr>
            <w:tcW w:w="399" w:type="pct"/>
          </w:tcPr>
          <w:p w:rsidR="007F546A" w:rsidRPr="00F9056A" w:rsidRDefault="007F546A" w:rsidP="000005EF">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12,000 USD</w:t>
            </w:r>
          </w:p>
        </w:tc>
        <w:tc>
          <w:tcPr>
            <w:tcW w:w="338" w:type="pct"/>
          </w:tcPr>
          <w:p w:rsidR="007F546A" w:rsidRPr="00F9056A" w:rsidRDefault="007F546A" w:rsidP="00EF0DB2">
            <w:pPr>
              <w:rPr>
                <w:rStyle w:val="CommentReference"/>
                <w:rFonts w:asciiTheme="majorBidi" w:hAnsiTheme="majorBidi" w:cstheme="majorBidi"/>
                <w:color w:val="4F6228"/>
                <w:sz w:val="16"/>
                <w:szCs w:val="16"/>
                <w:lang w:val="en-CA" w:eastAsia="uk-UA"/>
              </w:rPr>
            </w:pPr>
            <w:r w:rsidRPr="00F9056A">
              <w:rPr>
                <w:rStyle w:val="CommentReference"/>
                <w:rFonts w:asciiTheme="majorBidi" w:hAnsiTheme="majorBidi" w:cstheme="majorBidi"/>
                <w:color w:val="4F6228"/>
                <w:sz w:val="16"/>
                <w:szCs w:val="16"/>
                <w:lang w:val="en-CA" w:eastAsia="uk-UA"/>
              </w:rPr>
              <w:t xml:space="preserve">Project </w:t>
            </w:r>
          </w:p>
        </w:tc>
      </w:tr>
      <w:tr w:rsidR="00F9056A" w:rsidRPr="00F9056A" w:rsidTr="00F9056A">
        <w:trPr>
          <w:trHeight w:val="20"/>
        </w:trPr>
        <w:tc>
          <w:tcPr>
            <w:tcW w:w="551" w:type="pct"/>
            <w:vMerge/>
          </w:tcPr>
          <w:p w:rsidR="007F546A" w:rsidRPr="00F9056A" w:rsidRDefault="007F546A" w:rsidP="001953FF">
            <w:pPr>
              <w:rPr>
                <w:rFonts w:asciiTheme="majorBidi" w:hAnsiTheme="majorBidi" w:cstheme="majorBidi"/>
                <w:color w:val="4F6228"/>
                <w:sz w:val="16"/>
                <w:szCs w:val="16"/>
                <w:lang w:val="en-CA"/>
              </w:rPr>
            </w:pPr>
          </w:p>
        </w:tc>
        <w:tc>
          <w:tcPr>
            <w:tcW w:w="496" w:type="pct"/>
            <w:vMerge/>
          </w:tcPr>
          <w:p w:rsidR="007F546A" w:rsidRPr="00F9056A" w:rsidRDefault="007F546A" w:rsidP="001953FF">
            <w:pPr>
              <w:rPr>
                <w:rFonts w:asciiTheme="majorBidi" w:hAnsiTheme="majorBidi" w:cstheme="majorBidi"/>
                <w:color w:val="4F6228"/>
                <w:spacing w:val="1"/>
                <w:sz w:val="16"/>
                <w:szCs w:val="16"/>
                <w:lang w:val="en-CA"/>
              </w:rPr>
            </w:pPr>
          </w:p>
        </w:tc>
        <w:tc>
          <w:tcPr>
            <w:tcW w:w="680" w:type="pct"/>
          </w:tcPr>
          <w:p w:rsidR="007F546A" w:rsidRPr="00F9056A" w:rsidRDefault="007F546A" w:rsidP="001953FF">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 xml:space="preserve">LMAC Support Project External Evaluation  </w:t>
            </w:r>
          </w:p>
        </w:tc>
        <w:tc>
          <w:tcPr>
            <w:tcW w:w="1245" w:type="pct"/>
          </w:tcPr>
          <w:p w:rsidR="007F546A" w:rsidRPr="00F9056A" w:rsidRDefault="007F546A" w:rsidP="001953FF">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LMAC, EU, MRE and MVA national Steering committees, Mine Clearance NGOs</w:t>
            </w:r>
          </w:p>
        </w:tc>
        <w:tc>
          <w:tcPr>
            <w:tcW w:w="435" w:type="pct"/>
          </w:tcPr>
          <w:p w:rsidR="007F546A" w:rsidRPr="00F9056A" w:rsidRDefault="007F546A" w:rsidP="001953FF">
            <w:pPr>
              <w:rPr>
                <w:rFonts w:asciiTheme="majorBidi" w:hAnsiTheme="majorBidi" w:cstheme="majorBidi"/>
                <w:color w:val="4F6228"/>
                <w:sz w:val="16"/>
                <w:szCs w:val="16"/>
                <w:lang w:val="en-CA"/>
              </w:rPr>
            </w:pPr>
          </w:p>
        </w:tc>
        <w:tc>
          <w:tcPr>
            <w:tcW w:w="406" w:type="pct"/>
          </w:tcPr>
          <w:p w:rsidR="007F546A" w:rsidRPr="00F9056A" w:rsidRDefault="007F546A" w:rsidP="001953FF">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Project Evaluation</w:t>
            </w:r>
          </w:p>
        </w:tc>
        <w:tc>
          <w:tcPr>
            <w:tcW w:w="451" w:type="pct"/>
          </w:tcPr>
          <w:p w:rsidR="007F546A" w:rsidRPr="00F9056A" w:rsidRDefault="007F546A" w:rsidP="001953FF">
            <w:pPr>
              <w:spacing w:before="40" w:after="40"/>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Q2 2019</w:t>
            </w:r>
          </w:p>
        </w:tc>
        <w:tc>
          <w:tcPr>
            <w:tcW w:w="399" w:type="pct"/>
          </w:tcPr>
          <w:p w:rsidR="007F546A" w:rsidRPr="00F9056A" w:rsidRDefault="007F546A" w:rsidP="001953FF">
            <w:pPr>
              <w:rPr>
                <w:rFonts w:asciiTheme="majorBidi" w:hAnsiTheme="majorBidi" w:cstheme="majorBidi"/>
                <w:color w:val="4F6228"/>
                <w:sz w:val="16"/>
                <w:szCs w:val="16"/>
                <w:lang w:val="en-CA"/>
              </w:rPr>
            </w:pPr>
            <w:r w:rsidRPr="00F9056A">
              <w:rPr>
                <w:rFonts w:asciiTheme="majorBidi" w:hAnsiTheme="majorBidi" w:cstheme="majorBidi"/>
                <w:color w:val="4F6228"/>
                <w:sz w:val="16"/>
                <w:szCs w:val="16"/>
                <w:lang w:val="en-CA"/>
              </w:rPr>
              <w:t>10,000 USD</w:t>
            </w:r>
          </w:p>
        </w:tc>
        <w:tc>
          <w:tcPr>
            <w:tcW w:w="338" w:type="pct"/>
          </w:tcPr>
          <w:p w:rsidR="007F546A" w:rsidRPr="00F9056A" w:rsidRDefault="007F546A" w:rsidP="001953FF">
            <w:pPr>
              <w:rPr>
                <w:rStyle w:val="CommentReference"/>
                <w:rFonts w:asciiTheme="majorBidi" w:hAnsiTheme="majorBidi" w:cstheme="majorBidi"/>
                <w:color w:val="4F6228"/>
                <w:sz w:val="16"/>
                <w:szCs w:val="16"/>
                <w:lang w:val="en-CA" w:eastAsia="uk-UA"/>
              </w:rPr>
            </w:pPr>
            <w:r w:rsidRPr="00F9056A">
              <w:rPr>
                <w:rStyle w:val="CommentReference"/>
                <w:rFonts w:asciiTheme="majorBidi" w:hAnsiTheme="majorBidi" w:cstheme="majorBidi"/>
                <w:color w:val="4F6228"/>
                <w:sz w:val="16"/>
                <w:szCs w:val="16"/>
                <w:lang w:val="en-CA" w:eastAsia="uk-UA"/>
              </w:rPr>
              <w:t xml:space="preserve">Project </w:t>
            </w:r>
          </w:p>
        </w:tc>
      </w:tr>
      <w:tr w:rsidR="007F546A" w:rsidRPr="00846D02" w:rsidTr="00F9056A">
        <w:trPr>
          <w:trHeight w:val="20"/>
        </w:trPr>
        <w:tc>
          <w:tcPr>
            <w:tcW w:w="551" w:type="pct"/>
            <w:vMerge w:val="restart"/>
          </w:tcPr>
          <w:p w:rsidR="007F546A" w:rsidRPr="00846D02" w:rsidRDefault="007F546A" w:rsidP="001953FF">
            <w:pPr>
              <w:pStyle w:val="NormalWeb"/>
              <w:spacing w:before="0" w:beforeAutospacing="0" w:after="0" w:afterAutospacing="0"/>
              <w:rPr>
                <w:rFonts w:asciiTheme="majorBidi" w:hAnsiTheme="majorBidi" w:cstheme="majorBidi"/>
                <w:b/>
                <w:bCs/>
                <w:color w:val="31849B" w:themeColor="accent5" w:themeShade="BF"/>
                <w:sz w:val="16"/>
                <w:szCs w:val="16"/>
              </w:rPr>
            </w:pPr>
            <w:r w:rsidRPr="00846D02">
              <w:rPr>
                <w:rFonts w:asciiTheme="majorBidi" w:eastAsia="Calibri" w:hAnsiTheme="majorBidi" w:cstheme="majorBidi"/>
                <w:b/>
                <w:bCs/>
                <w:i/>
                <w:iCs/>
                <w:color w:val="31849B" w:themeColor="accent5" w:themeShade="BF"/>
                <w:kern w:val="24"/>
                <w:sz w:val="16"/>
                <w:szCs w:val="16"/>
              </w:rPr>
              <w:t>“Productive sectors strengthened to promote inclusive growth and local development, especially in most disadvantaged areas”</w:t>
            </w:r>
          </w:p>
          <w:p w:rsidR="007F546A" w:rsidRPr="00846D02" w:rsidRDefault="007F546A" w:rsidP="001953FF">
            <w:pPr>
              <w:rPr>
                <w:rFonts w:asciiTheme="majorBidi" w:hAnsiTheme="majorBidi" w:cstheme="majorBidi"/>
                <w:color w:val="31849B" w:themeColor="accent5" w:themeShade="BF"/>
                <w:sz w:val="16"/>
                <w:szCs w:val="16"/>
                <w:lang w:val="en-CA"/>
              </w:rPr>
            </w:pPr>
          </w:p>
        </w:tc>
        <w:tc>
          <w:tcPr>
            <w:tcW w:w="496" w:type="pct"/>
            <w:vMerge w:val="restar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w:t>
            </w:r>
            <w:r w:rsidRPr="00846D02">
              <w:rPr>
                <w:rFonts w:asciiTheme="majorBidi" w:hAnsiTheme="majorBidi" w:cstheme="majorBidi"/>
                <w:b/>
                <w:bCs/>
                <w:i/>
                <w:iCs/>
                <w:color w:val="31849B" w:themeColor="accent5" w:themeShade="BF"/>
                <w:sz w:val="16"/>
                <w:szCs w:val="16"/>
                <w:lang w:val="en-CA"/>
              </w:rPr>
              <w:t>Early recovery and rapid return to sustainable development pathways are achieved in post-conflict and post-disaster settings”.</w:t>
            </w:r>
          </w:p>
        </w:tc>
        <w:tc>
          <w:tcPr>
            <w:tcW w:w="680"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Outcome evaluation</w:t>
            </w:r>
          </w:p>
        </w:tc>
        <w:tc>
          <w:tcPr>
            <w:tcW w:w="1245" w:type="pct"/>
          </w:tcPr>
          <w:p w:rsidR="007F546A" w:rsidRPr="00846D02" w:rsidRDefault="007F546A" w:rsidP="000125C0">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MOSA, CDR, local authorities, MOIM, MOPH, MEHE, and MOA</w:t>
            </w:r>
          </w:p>
        </w:tc>
        <w:tc>
          <w:tcPr>
            <w:tcW w:w="435" w:type="pct"/>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406"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Outcome Evaluation</w:t>
            </w:r>
          </w:p>
        </w:tc>
        <w:tc>
          <w:tcPr>
            <w:tcW w:w="451" w:type="pct"/>
          </w:tcPr>
          <w:p w:rsidR="007F546A" w:rsidRPr="00846D02" w:rsidRDefault="007F546A" w:rsidP="001953FF">
            <w:pPr>
              <w:spacing w:before="40" w:after="40"/>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Q2 2019</w:t>
            </w:r>
          </w:p>
        </w:tc>
        <w:tc>
          <w:tcPr>
            <w:tcW w:w="399" w:type="pct"/>
          </w:tcPr>
          <w:p w:rsidR="007F546A" w:rsidRPr="00846D02" w:rsidRDefault="007F546A" w:rsidP="000125C0">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 xml:space="preserve">USD 30,000 </w:t>
            </w:r>
          </w:p>
        </w:tc>
        <w:tc>
          <w:tcPr>
            <w:tcW w:w="338" w:type="pct"/>
          </w:tcPr>
          <w:p w:rsidR="007F546A" w:rsidRPr="00846D02" w:rsidRDefault="007F546A" w:rsidP="001953FF">
            <w:pPr>
              <w:rPr>
                <w:rStyle w:val="CommentReference"/>
                <w:rFonts w:asciiTheme="majorBidi" w:hAnsiTheme="majorBidi" w:cstheme="majorBidi"/>
                <w:color w:val="31849B" w:themeColor="accent5" w:themeShade="BF"/>
                <w:sz w:val="16"/>
                <w:szCs w:val="16"/>
                <w:lang w:val="en-CA" w:eastAsia="uk-UA"/>
              </w:rPr>
            </w:pPr>
            <w:r w:rsidRPr="00846D02">
              <w:rPr>
                <w:rStyle w:val="CommentReference"/>
                <w:rFonts w:asciiTheme="majorBidi" w:hAnsiTheme="majorBidi" w:cstheme="majorBidi"/>
                <w:color w:val="31849B" w:themeColor="accent5" w:themeShade="BF"/>
                <w:sz w:val="16"/>
                <w:szCs w:val="16"/>
                <w:lang w:val="en-CA" w:eastAsia="uk-UA"/>
              </w:rPr>
              <w:t>TBC</w:t>
            </w:r>
          </w:p>
        </w:tc>
      </w:tr>
      <w:tr w:rsidR="007F546A" w:rsidRPr="00846D02" w:rsidTr="00F9056A">
        <w:trPr>
          <w:trHeight w:val="20"/>
        </w:trPr>
        <w:tc>
          <w:tcPr>
            <w:tcW w:w="551" w:type="pct"/>
            <w:vMerge/>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496" w:type="pct"/>
            <w:vMerge/>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680"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LHSP Evaluation</w:t>
            </w:r>
          </w:p>
        </w:tc>
        <w:tc>
          <w:tcPr>
            <w:tcW w:w="1245"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MOSA, CDR, local authorities, MOIM, MOPH, MEHE, and MOA</w:t>
            </w:r>
          </w:p>
        </w:tc>
        <w:tc>
          <w:tcPr>
            <w:tcW w:w="435" w:type="pct"/>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406"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Project Evaluation</w:t>
            </w:r>
          </w:p>
        </w:tc>
        <w:tc>
          <w:tcPr>
            <w:tcW w:w="451" w:type="pct"/>
          </w:tcPr>
          <w:p w:rsidR="007F546A" w:rsidRPr="00846D02" w:rsidRDefault="007F546A" w:rsidP="001953FF">
            <w:pPr>
              <w:spacing w:before="40" w:after="40"/>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Q2 2018</w:t>
            </w:r>
          </w:p>
        </w:tc>
        <w:tc>
          <w:tcPr>
            <w:tcW w:w="399"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USD 50,000</w:t>
            </w:r>
          </w:p>
        </w:tc>
        <w:tc>
          <w:tcPr>
            <w:tcW w:w="338" w:type="pct"/>
          </w:tcPr>
          <w:p w:rsidR="007F546A" w:rsidRPr="00846D02" w:rsidRDefault="007F546A" w:rsidP="001953FF">
            <w:pPr>
              <w:rPr>
                <w:rStyle w:val="CommentReference"/>
                <w:rFonts w:asciiTheme="majorBidi" w:hAnsiTheme="majorBidi" w:cstheme="majorBidi"/>
                <w:color w:val="31849B" w:themeColor="accent5" w:themeShade="BF"/>
                <w:sz w:val="16"/>
                <w:szCs w:val="16"/>
                <w:lang w:val="en-CA" w:eastAsia="uk-UA"/>
              </w:rPr>
            </w:pPr>
            <w:r w:rsidRPr="00846D02">
              <w:rPr>
                <w:rStyle w:val="CommentReference"/>
                <w:rFonts w:asciiTheme="majorBidi" w:hAnsiTheme="majorBidi" w:cstheme="majorBidi"/>
                <w:color w:val="31849B" w:themeColor="accent5" w:themeShade="BF"/>
                <w:sz w:val="16"/>
                <w:szCs w:val="16"/>
                <w:lang w:val="en-CA" w:eastAsia="uk-UA"/>
              </w:rPr>
              <w:t>Project</w:t>
            </w:r>
          </w:p>
        </w:tc>
      </w:tr>
      <w:tr w:rsidR="007F546A" w:rsidRPr="00846D02" w:rsidTr="00F9056A">
        <w:trPr>
          <w:trHeight w:val="20"/>
        </w:trPr>
        <w:tc>
          <w:tcPr>
            <w:tcW w:w="551" w:type="pct"/>
            <w:vMerge/>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496" w:type="pct"/>
            <w:vMerge/>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680"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Live Lebanon Evaluation</w:t>
            </w:r>
          </w:p>
        </w:tc>
        <w:tc>
          <w:tcPr>
            <w:tcW w:w="1245"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MOFA, NGOs, Municipalities, Private Sector</w:t>
            </w:r>
          </w:p>
        </w:tc>
        <w:tc>
          <w:tcPr>
            <w:tcW w:w="435" w:type="pct"/>
          </w:tcPr>
          <w:p w:rsidR="007F546A" w:rsidRPr="00846D02" w:rsidRDefault="007F546A" w:rsidP="001953FF">
            <w:pPr>
              <w:rPr>
                <w:rFonts w:asciiTheme="majorBidi" w:hAnsiTheme="majorBidi" w:cstheme="majorBidi"/>
                <w:color w:val="31849B" w:themeColor="accent5" w:themeShade="BF"/>
                <w:sz w:val="16"/>
                <w:szCs w:val="16"/>
                <w:lang w:val="en-CA"/>
              </w:rPr>
            </w:pPr>
          </w:p>
        </w:tc>
        <w:tc>
          <w:tcPr>
            <w:tcW w:w="406"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Project Evaluation</w:t>
            </w:r>
          </w:p>
        </w:tc>
        <w:tc>
          <w:tcPr>
            <w:tcW w:w="451" w:type="pct"/>
          </w:tcPr>
          <w:p w:rsidR="007F546A" w:rsidRPr="00846D02" w:rsidRDefault="007F546A" w:rsidP="001953FF">
            <w:pPr>
              <w:spacing w:before="40" w:after="40"/>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 xml:space="preserve">Q3 2019 </w:t>
            </w:r>
          </w:p>
        </w:tc>
        <w:tc>
          <w:tcPr>
            <w:tcW w:w="399" w:type="pct"/>
          </w:tcPr>
          <w:p w:rsidR="007F546A" w:rsidRPr="00846D02" w:rsidRDefault="007F546A" w:rsidP="001953FF">
            <w:pPr>
              <w:rPr>
                <w:rFonts w:asciiTheme="majorBidi" w:hAnsiTheme="majorBidi" w:cstheme="majorBidi"/>
                <w:color w:val="31849B" w:themeColor="accent5" w:themeShade="BF"/>
                <w:sz w:val="16"/>
                <w:szCs w:val="16"/>
                <w:lang w:val="en-CA"/>
              </w:rPr>
            </w:pPr>
            <w:r w:rsidRPr="00846D02">
              <w:rPr>
                <w:rFonts w:asciiTheme="majorBidi" w:hAnsiTheme="majorBidi" w:cstheme="majorBidi"/>
                <w:color w:val="31849B" w:themeColor="accent5" w:themeShade="BF"/>
                <w:sz w:val="16"/>
                <w:szCs w:val="16"/>
                <w:lang w:val="en-CA"/>
              </w:rPr>
              <w:t>USD 30,000</w:t>
            </w:r>
          </w:p>
        </w:tc>
        <w:tc>
          <w:tcPr>
            <w:tcW w:w="338" w:type="pct"/>
          </w:tcPr>
          <w:p w:rsidR="007F546A" w:rsidRPr="00846D02" w:rsidRDefault="007F546A" w:rsidP="001953FF">
            <w:pPr>
              <w:rPr>
                <w:rStyle w:val="CommentReference"/>
                <w:rFonts w:asciiTheme="majorBidi" w:hAnsiTheme="majorBidi" w:cstheme="majorBidi"/>
                <w:color w:val="31849B" w:themeColor="accent5" w:themeShade="BF"/>
                <w:sz w:val="16"/>
                <w:szCs w:val="16"/>
                <w:lang w:val="en-CA" w:eastAsia="uk-UA"/>
              </w:rPr>
            </w:pPr>
            <w:r w:rsidRPr="00846D02">
              <w:rPr>
                <w:rStyle w:val="CommentReference"/>
                <w:rFonts w:asciiTheme="majorBidi" w:hAnsiTheme="majorBidi" w:cstheme="majorBidi"/>
                <w:color w:val="31849B" w:themeColor="accent5" w:themeShade="BF"/>
                <w:sz w:val="16"/>
                <w:szCs w:val="16"/>
                <w:lang w:val="en-CA" w:eastAsia="uk-UA"/>
              </w:rPr>
              <w:t>Project</w:t>
            </w:r>
          </w:p>
        </w:tc>
      </w:tr>
      <w:tr w:rsidR="00846D02" w:rsidRPr="00846D02" w:rsidTr="00F9056A">
        <w:trPr>
          <w:trHeight w:val="20"/>
        </w:trPr>
        <w:tc>
          <w:tcPr>
            <w:tcW w:w="551" w:type="pct"/>
            <w:vMerge w:val="restar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b/>
                <w:bCs/>
                <w:color w:val="984806" w:themeColor="accent6" w:themeShade="80"/>
                <w:spacing w:val="-1"/>
                <w:sz w:val="16"/>
                <w:szCs w:val="16"/>
                <w:lang w:val="en-CA"/>
              </w:rPr>
              <w:t>“</w:t>
            </w:r>
            <w:r w:rsidRPr="00846D02">
              <w:rPr>
                <w:rFonts w:asciiTheme="majorBidi" w:hAnsiTheme="majorBidi" w:cstheme="majorBidi"/>
                <w:b/>
                <w:bCs/>
                <w:i/>
                <w:iCs/>
                <w:color w:val="984806" w:themeColor="accent6" w:themeShade="80"/>
                <w:spacing w:val="-1"/>
                <w:sz w:val="16"/>
                <w:szCs w:val="16"/>
                <w:lang w:val="en-CA"/>
              </w:rPr>
              <w:t>Lebanon has adopted measures to improve environmental Governance</w:t>
            </w:r>
            <w:r w:rsidRPr="00846D02">
              <w:rPr>
                <w:rFonts w:asciiTheme="majorBidi" w:hAnsiTheme="majorBidi" w:cstheme="majorBidi"/>
                <w:b/>
                <w:bCs/>
                <w:i/>
                <w:iCs/>
                <w:color w:val="984806" w:themeColor="accent6" w:themeShade="80"/>
                <w:sz w:val="16"/>
                <w:szCs w:val="16"/>
                <w:lang w:val="en-CA"/>
              </w:rPr>
              <w:t>”</w:t>
            </w:r>
          </w:p>
        </w:tc>
        <w:tc>
          <w:tcPr>
            <w:tcW w:w="496" w:type="pct"/>
            <w:vMerge w:val="restar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w:t>
            </w:r>
            <w:r w:rsidRPr="00846D02">
              <w:rPr>
                <w:rFonts w:asciiTheme="majorBidi" w:hAnsiTheme="majorBidi" w:cstheme="majorBidi"/>
                <w:b/>
                <w:bCs/>
                <w:i/>
                <w:iCs/>
                <w:color w:val="984806" w:themeColor="accent6" w:themeShade="80"/>
                <w:sz w:val="16"/>
                <w:szCs w:val="16"/>
                <w:lang w:val="en-CA"/>
              </w:rPr>
              <w:t>Growth and development are inclusive and sustainable, incorporating productive capacities that create employment and livelihoods for the poor and excluded”.</w:t>
            </w:r>
          </w:p>
        </w:tc>
        <w:tc>
          <w:tcPr>
            <w:tcW w:w="680"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Institutional Support to the Ministry of Environment Project Evaluation</w:t>
            </w:r>
          </w:p>
        </w:tc>
        <w:tc>
          <w:tcPr>
            <w:tcW w:w="1245"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Ministry of Environment</w:t>
            </w:r>
          </w:p>
        </w:tc>
        <w:tc>
          <w:tcPr>
            <w:tcW w:w="435" w:type="pct"/>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06"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Project Evaluation</w:t>
            </w:r>
          </w:p>
        </w:tc>
        <w:tc>
          <w:tcPr>
            <w:tcW w:w="451" w:type="pct"/>
          </w:tcPr>
          <w:p w:rsidR="00846D02" w:rsidRPr="00846D02" w:rsidRDefault="00846D02" w:rsidP="00C84A7E">
            <w:pPr>
              <w:spacing w:before="40" w:after="40"/>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Q1 2017</w:t>
            </w:r>
          </w:p>
        </w:tc>
        <w:tc>
          <w:tcPr>
            <w:tcW w:w="399"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$20,000</w:t>
            </w:r>
          </w:p>
        </w:tc>
        <w:tc>
          <w:tcPr>
            <w:tcW w:w="338" w:type="pct"/>
          </w:tcPr>
          <w:p w:rsidR="00846D02" w:rsidRPr="00846D02" w:rsidRDefault="00846D02" w:rsidP="00C84A7E">
            <w:pPr>
              <w:rPr>
                <w:rStyle w:val="CommentReference"/>
                <w:rFonts w:asciiTheme="majorBidi" w:hAnsiTheme="majorBidi" w:cstheme="majorBidi"/>
                <w:color w:val="984806" w:themeColor="accent6" w:themeShade="80"/>
                <w:sz w:val="16"/>
                <w:szCs w:val="16"/>
                <w:lang w:val="en-CA" w:eastAsia="uk-UA"/>
              </w:rPr>
            </w:pPr>
            <w:r w:rsidRPr="00846D02">
              <w:rPr>
                <w:rStyle w:val="CommentReference"/>
                <w:rFonts w:asciiTheme="majorBidi" w:hAnsiTheme="majorBidi" w:cstheme="majorBidi"/>
                <w:color w:val="984806" w:themeColor="accent6" w:themeShade="80"/>
                <w:sz w:val="16"/>
                <w:szCs w:val="16"/>
                <w:lang w:val="en-CA" w:eastAsia="uk-UA"/>
              </w:rPr>
              <w:t>Project budget</w:t>
            </w:r>
          </w:p>
        </w:tc>
      </w:tr>
      <w:tr w:rsidR="00846D02" w:rsidRPr="00846D02" w:rsidTr="00F9056A">
        <w:trPr>
          <w:trHeight w:val="20"/>
        </w:trPr>
        <w:tc>
          <w:tcPr>
            <w:tcW w:w="551"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96"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680"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Sustainable Land Management of the Qaraoun Project</w:t>
            </w:r>
          </w:p>
        </w:tc>
        <w:tc>
          <w:tcPr>
            <w:tcW w:w="1245"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 xml:space="preserve">Ministry of Environment, Ministry of Public Works and Transport, CDR, Lebanese Agriculture Research Institute </w:t>
            </w:r>
          </w:p>
        </w:tc>
        <w:tc>
          <w:tcPr>
            <w:tcW w:w="435" w:type="pct"/>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06"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Midterm Project Evaluation</w:t>
            </w:r>
          </w:p>
        </w:tc>
        <w:tc>
          <w:tcPr>
            <w:tcW w:w="451" w:type="pct"/>
          </w:tcPr>
          <w:p w:rsidR="00846D02" w:rsidRPr="00846D02" w:rsidRDefault="00846D02" w:rsidP="00C84A7E">
            <w:pPr>
              <w:spacing w:before="40" w:after="40"/>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Q4 2017</w:t>
            </w:r>
          </w:p>
        </w:tc>
        <w:tc>
          <w:tcPr>
            <w:tcW w:w="399"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$20,000</w:t>
            </w:r>
          </w:p>
        </w:tc>
        <w:tc>
          <w:tcPr>
            <w:tcW w:w="338" w:type="pct"/>
          </w:tcPr>
          <w:p w:rsidR="00846D02" w:rsidRPr="00846D02" w:rsidRDefault="00846D02" w:rsidP="00C84A7E">
            <w:pPr>
              <w:rPr>
                <w:rStyle w:val="CommentReference"/>
                <w:rFonts w:asciiTheme="majorBidi" w:hAnsiTheme="majorBidi" w:cstheme="majorBidi"/>
                <w:color w:val="984806" w:themeColor="accent6" w:themeShade="80"/>
                <w:sz w:val="16"/>
                <w:szCs w:val="16"/>
                <w:lang w:val="en-CA" w:eastAsia="uk-UA"/>
              </w:rPr>
            </w:pPr>
            <w:r w:rsidRPr="00846D02">
              <w:rPr>
                <w:rStyle w:val="CommentReference"/>
                <w:rFonts w:asciiTheme="majorBidi" w:hAnsiTheme="majorBidi" w:cstheme="majorBidi"/>
                <w:color w:val="984806" w:themeColor="accent6" w:themeShade="80"/>
                <w:sz w:val="16"/>
                <w:szCs w:val="16"/>
                <w:lang w:val="en-CA" w:eastAsia="uk-UA"/>
              </w:rPr>
              <w:t>Project budget</w:t>
            </w:r>
          </w:p>
        </w:tc>
      </w:tr>
      <w:tr w:rsidR="00846D02" w:rsidRPr="00846D02" w:rsidTr="00F9056A">
        <w:trPr>
          <w:trHeight w:val="20"/>
        </w:trPr>
        <w:tc>
          <w:tcPr>
            <w:tcW w:w="551"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96"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680"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Sustainable Land Management of the Qaraoun Project</w:t>
            </w:r>
          </w:p>
        </w:tc>
        <w:tc>
          <w:tcPr>
            <w:tcW w:w="1245"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 xml:space="preserve">Ministry of Environment, Ministry of Public Works and Transport, CDR, Lebanese Agriculture Research Institute </w:t>
            </w:r>
          </w:p>
        </w:tc>
        <w:tc>
          <w:tcPr>
            <w:tcW w:w="435" w:type="pct"/>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06"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 xml:space="preserve">Final Project Evaluation </w:t>
            </w:r>
          </w:p>
        </w:tc>
        <w:tc>
          <w:tcPr>
            <w:tcW w:w="451" w:type="pct"/>
          </w:tcPr>
          <w:p w:rsidR="00846D02" w:rsidRPr="00846D02" w:rsidRDefault="00846D02" w:rsidP="00C84A7E">
            <w:pPr>
              <w:spacing w:before="40" w:after="40"/>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Q4 2020</w:t>
            </w:r>
          </w:p>
        </w:tc>
        <w:tc>
          <w:tcPr>
            <w:tcW w:w="399"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$20,000</w:t>
            </w:r>
          </w:p>
        </w:tc>
        <w:tc>
          <w:tcPr>
            <w:tcW w:w="338" w:type="pct"/>
          </w:tcPr>
          <w:p w:rsidR="00846D02" w:rsidRPr="00846D02" w:rsidRDefault="00846D02" w:rsidP="00C84A7E">
            <w:pPr>
              <w:rPr>
                <w:rStyle w:val="CommentReference"/>
                <w:rFonts w:asciiTheme="majorBidi" w:hAnsiTheme="majorBidi" w:cstheme="majorBidi"/>
                <w:color w:val="984806" w:themeColor="accent6" w:themeShade="80"/>
                <w:sz w:val="16"/>
                <w:szCs w:val="16"/>
                <w:lang w:val="en-CA" w:eastAsia="uk-UA"/>
              </w:rPr>
            </w:pPr>
            <w:r w:rsidRPr="00846D02">
              <w:rPr>
                <w:rStyle w:val="CommentReference"/>
                <w:rFonts w:asciiTheme="majorBidi" w:hAnsiTheme="majorBidi" w:cstheme="majorBidi"/>
                <w:color w:val="984806" w:themeColor="accent6" w:themeShade="80"/>
                <w:sz w:val="16"/>
                <w:szCs w:val="16"/>
                <w:lang w:val="en-CA" w:eastAsia="uk-UA"/>
              </w:rPr>
              <w:t>Project budget</w:t>
            </w:r>
          </w:p>
        </w:tc>
      </w:tr>
      <w:tr w:rsidR="00846D02" w:rsidRPr="00846D02" w:rsidTr="00F9056A">
        <w:trPr>
          <w:trHeight w:val="20"/>
        </w:trPr>
        <w:tc>
          <w:tcPr>
            <w:tcW w:w="551"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96"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680"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Decentralised Renewable Energy Project (DREG)</w:t>
            </w:r>
          </w:p>
        </w:tc>
        <w:tc>
          <w:tcPr>
            <w:tcW w:w="1245"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Ministry of Energy and Water</w:t>
            </w:r>
          </w:p>
        </w:tc>
        <w:tc>
          <w:tcPr>
            <w:tcW w:w="435" w:type="pct"/>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06"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Final Project Evaluation</w:t>
            </w:r>
          </w:p>
        </w:tc>
        <w:tc>
          <w:tcPr>
            <w:tcW w:w="451" w:type="pct"/>
          </w:tcPr>
          <w:p w:rsidR="00846D02" w:rsidRPr="00846D02" w:rsidRDefault="00846D02" w:rsidP="00C84A7E">
            <w:pPr>
              <w:spacing w:before="40" w:after="40"/>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Q2 2018</w:t>
            </w:r>
          </w:p>
        </w:tc>
        <w:tc>
          <w:tcPr>
            <w:tcW w:w="399"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$20,000</w:t>
            </w:r>
          </w:p>
        </w:tc>
        <w:tc>
          <w:tcPr>
            <w:tcW w:w="338" w:type="pct"/>
          </w:tcPr>
          <w:p w:rsidR="00846D02" w:rsidRPr="00846D02" w:rsidRDefault="00846D02" w:rsidP="00C84A7E">
            <w:pPr>
              <w:rPr>
                <w:rStyle w:val="CommentReference"/>
                <w:rFonts w:asciiTheme="majorBidi" w:hAnsiTheme="majorBidi" w:cstheme="majorBidi"/>
                <w:color w:val="984806" w:themeColor="accent6" w:themeShade="80"/>
                <w:sz w:val="16"/>
                <w:szCs w:val="16"/>
                <w:lang w:val="en-CA" w:eastAsia="uk-UA"/>
              </w:rPr>
            </w:pPr>
            <w:r w:rsidRPr="00846D02">
              <w:rPr>
                <w:rStyle w:val="CommentReference"/>
                <w:rFonts w:asciiTheme="majorBidi" w:hAnsiTheme="majorBidi" w:cstheme="majorBidi"/>
                <w:color w:val="984806" w:themeColor="accent6" w:themeShade="80"/>
                <w:sz w:val="16"/>
                <w:szCs w:val="16"/>
                <w:lang w:val="en-CA" w:eastAsia="uk-UA"/>
              </w:rPr>
              <w:t>Project Budget</w:t>
            </w:r>
          </w:p>
        </w:tc>
      </w:tr>
      <w:tr w:rsidR="00846D02" w:rsidRPr="00846D02" w:rsidTr="00F9056A">
        <w:trPr>
          <w:trHeight w:val="20"/>
        </w:trPr>
        <w:tc>
          <w:tcPr>
            <w:tcW w:w="551"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96" w:type="pct"/>
            <w:vMerge/>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680"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Energy and Environment Outcome Evaluation</w:t>
            </w:r>
          </w:p>
        </w:tc>
        <w:tc>
          <w:tcPr>
            <w:tcW w:w="1245"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MoE, MoEW, CDR, LARI, NGOs</w:t>
            </w:r>
          </w:p>
        </w:tc>
        <w:tc>
          <w:tcPr>
            <w:tcW w:w="435" w:type="pct"/>
          </w:tcPr>
          <w:p w:rsidR="00846D02" w:rsidRPr="00846D02" w:rsidRDefault="00846D02" w:rsidP="00C84A7E">
            <w:pPr>
              <w:rPr>
                <w:rFonts w:asciiTheme="majorBidi" w:hAnsiTheme="majorBidi" w:cstheme="majorBidi"/>
                <w:color w:val="984806" w:themeColor="accent6" w:themeShade="80"/>
                <w:sz w:val="16"/>
                <w:szCs w:val="16"/>
                <w:lang w:val="en-CA"/>
              </w:rPr>
            </w:pPr>
          </w:p>
        </w:tc>
        <w:tc>
          <w:tcPr>
            <w:tcW w:w="406"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Outcome Evaluation</w:t>
            </w:r>
          </w:p>
        </w:tc>
        <w:tc>
          <w:tcPr>
            <w:tcW w:w="451" w:type="pct"/>
          </w:tcPr>
          <w:p w:rsidR="00846D02" w:rsidRPr="00846D02" w:rsidRDefault="00846D02" w:rsidP="00C84A7E">
            <w:pPr>
              <w:spacing w:before="40" w:after="40"/>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Q4 2018</w:t>
            </w:r>
          </w:p>
        </w:tc>
        <w:tc>
          <w:tcPr>
            <w:tcW w:w="399" w:type="pct"/>
          </w:tcPr>
          <w:p w:rsidR="00846D02" w:rsidRPr="00846D02" w:rsidRDefault="00846D02" w:rsidP="00C84A7E">
            <w:pPr>
              <w:rPr>
                <w:rFonts w:asciiTheme="majorBidi" w:hAnsiTheme="majorBidi" w:cstheme="majorBidi"/>
                <w:color w:val="984806" w:themeColor="accent6" w:themeShade="80"/>
                <w:sz w:val="16"/>
                <w:szCs w:val="16"/>
                <w:lang w:val="en-CA"/>
              </w:rPr>
            </w:pPr>
            <w:r w:rsidRPr="00846D02">
              <w:rPr>
                <w:rFonts w:asciiTheme="majorBidi" w:hAnsiTheme="majorBidi" w:cstheme="majorBidi"/>
                <w:color w:val="984806" w:themeColor="accent6" w:themeShade="80"/>
                <w:sz w:val="16"/>
                <w:szCs w:val="16"/>
                <w:lang w:val="en-CA"/>
              </w:rPr>
              <w:t>$20,000</w:t>
            </w:r>
          </w:p>
        </w:tc>
        <w:tc>
          <w:tcPr>
            <w:tcW w:w="338" w:type="pct"/>
          </w:tcPr>
          <w:p w:rsidR="00846D02" w:rsidRPr="00846D02" w:rsidRDefault="00846D02" w:rsidP="00C84A7E">
            <w:pPr>
              <w:rPr>
                <w:rStyle w:val="CommentReference"/>
                <w:rFonts w:asciiTheme="majorBidi" w:hAnsiTheme="majorBidi" w:cstheme="majorBidi"/>
                <w:color w:val="984806" w:themeColor="accent6" w:themeShade="80"/>
                <w:sz w:val="16"/>
                <w:szCs w:val="16"/>
                <w:lang w:val="en-CA" w:eastAsia="uk-UA"/>
              </w:rPr>
            </w:pPr>
            <w:r w:rsidRPr="00846D02">
              <w:rPr>
                <w:rStyle w:val="CommentReference"/>
                <w:rFonts w:asciiTheme="majorBidi" w:hAnsiTheme="majorBidi" w:cstheme="majorBidi"/>
                <w:color w:val="984806" w:themeColor="accent6" w:themeShade="80"/>
                <w:sz w:val="16"/>
                <w:szCs w:val="16"/>
                <w:lang w:val="en-CA" w:eastAsia="uk-UA"/>
              </w:rPr>
              <w:t>Office budget</w:t>
            </w:r>
          </w:p>
        </w:tc>
      </w:tr>
    </w:tbl>
    <w:p w:rsidR="00B961B7" w:rsidRPr="007F546A" w:rsidRDefault="00B961B7" w:rsidP="00A56348">
      <w:pPr>
        <w:rPr>
          <w:color w:val="000000"/>
          <w:lang w:val="en-CA"/>
        </w:rPr>
      </w:pPr>
    </w:p>
    <w:sectPr w:rsidR="00B961B7" w:rsidRPr="007F546A" w:rsidSect="00846D02">
      <w:pgSz w:w="15840" w:h="12240" w:orient="landscape"/>
      <w:pgMar w:top="709" w:right="1152" w:bottom="1134"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FEA" w:rsidRDefault="00A91FEA" w:rsidP="00441061">
      <w:r>
        <w:separator/>
      </w:r>
    </w:p>
  </w:endnote>
  <w:endnote w:type="continuationSeparator" w:id="0">
    <w:p w:rsidR="00A91FEA" w:rsidRDefault="00A91FEA"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FEA" w:rsidRDefault="00A91FEA" w:rsidP="00441061">
      <w:r>
        <w:separator/>
      </w:r>
    </w:p>
  </w:footnote>
  <w:footnote w:type="continuationSeparator" w:id="0">
    <w:p w:rsidR="00A91FEA" w:rsidRDefault="00A91FEA" w:rsidP="0044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4"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7"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9"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3"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02372"/>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22"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3"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5"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6"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27"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20"/>
  </w:num>
  <w:num w:numId="3">
    <w:abstractNumId w:val="16"/>
  </w:num>
  <w:num w:numId="4">
    <w:abstractNumId w:val="24"/>
  </w:num>
  <w:num w:numId="5">
    <w:abstractNumId w:val="17"/>
  </w:num>
  <w:num w:numId="6">
    <w:abstractNumId w:val="0"/>
  </w:num>
  <w:num w:numId="7">
    <w:abstractNumId w:val="11"/>
  </w:num>
  <w:num w:numId="8">
    <w:abstractNumId w:val="21"/>
  </w:num>
  <w:num w:numId="9">
    <w:abstractNumId w:val="30"/>
  </w:num>
  <w:num w:numId="10">
    <w:abstractNumId w:val="23"/>
  </w:num>
  <w:num w:numId="11">
    <w:abstractNumId w:val="29"/>
  </w:num>
  <w:num w:numId="12">
    <w:abstractNumId w:val="14"/>
  </w:num>
  <w:num w:numId="13">
    <w:abstractNumId w:val="3"/>
  </w:num>
  <w:num w:numId="14">
    <w:abstractNumId w:val="10"/>
  </w:num>
  <w:num w:numId="15">
    <w:abstractNumId w:val="26"/>
  </w:num>
  <w:num w:numId="16">
    <w:abstractNumId w:val="6"/>
  </w:num>
  <w:num w:numId="17">
    <w:abstractNumId w:val="8"/>
  </w:num>
  <w:num w:numId="18">
    <w:abstractNumId w:val="12"/>
  </w:num>
  <w:num w:numId="19">
    <w:abstractNumId w:val="28"/>
  </w:num>
  <w:num w:numId="20">
    <w:abstractNumId w:val="5"/>
  </w:num>
  <w:num w:numId="21">
    <w:abstractNumId w:val="4"/>
  </w:num>
  <w:num w:numId="22">
    <w:abstractNumId w:val="27"/>
  </w:num>
  <w:num w:numId="23">
    <w:abstractNumId w:val="9"/>
  </w:num>
  <w:num w:numId="24">
    <w:abstractNumId w:val="2"/>
  </w:num>
  <w:num w:numId="25">
    <w:abstractNumId w:val="25"/>
  </w:num>
  <w:num w:numId="26">
    <w:abstractNumId w:val="22"/>
  </w:num>
  <w:num w:numId="27">
    <w:abstractNumId w:val="19"/>
  </w:num>
  <w:num w:numId="28">
    <w:abstractNumId w:val="1"/>
  </w:num>
  <w:num w:numId="29">
    <w:abstractNumId w:val="15"/>
  </w:num>
  <w:num w:numId="30">
    <w:abstractNumId w:val="18"/>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5EF"/>
    <w:rsid w:val="000010B5"/>
    <w:rsid w:val="000027D2"/>
    <w:rsid w:val="00005E26"/>
    <w:rsid w:val="000125C0"/>
    <w:rsid w:val="00015FDE"/>
    <w:rsid w:val="00016217"/>
    <w:rsid w:val="00016861"/>
    <w:rsid w:val="000200CF"/>
    <w:rsid w:val="000205F1"/>
    <w:rsid w:val="00022047"/>
    <w:rsid w:val="000274B9"/>
    <w:rsid w:val="0002758B"/>
    <w:rsid w:val="000276A0"/>
    <w:rsid w:val="000330DB"/>
    <w:rsid w:val="0003429F"/>
    <w:rsid w:val="0003562A"/>
    <w:rsid w:val="00036095"/>
    <w:rsid w:val="00036AF4"/>
    <w:rsid w:val="00041C10"/>
    <w:rsid w:val="00043804"/>
    <w:rsid w:val="000441A1"/>
    <w:rsid w:val="00050869"/>
    <w:rsid w:val="000561C1"/>
    <w:rsid w:val="00056204"/>
    <w:rsid w:val="000570D1"/>
    <w:rsid w:val="000571A9"/>
    <w:rsid w:val="00060290"/>
    <w:rsid w:val="00063E24"/>
    <w:rsid w:val="00072229"/>
    <w:rsid w:val="00073CF1"/>
    <w:rsid w:val="00074BD0"/>
    <w:rsid w:val="00074D9A"/>
    <w:rsid w:val="00074DB9"/>
    <w:rsid w:val="000753C4"/>
    <w:rsid w:val="00075DF0"/>
    <w:rsid w:val="000762CA"/>
    <w:rsid w:val="000803A4"/>
    <w:rsid w:val="0008339E"/>
    <w:rsid w:val="00090AD1"/>
    <w:rsid w:val="00090F4F"/>
    <w:rsid w:val="00091476"/>
    <w:rsid w:val="00092879"/>
    <w:rsid w:val="00094E87"/>
    <w:rsid w:val="00097FB2"/>
    <w:rsid w:val="000A151D"/>
    <w:rsid w:val="000A24C5"/>
    <w:rsid w:val="000A3F7F"/>
    <w:rsid w:val="000B3A13"/>
    <w:rsid w:val="000B4BB2"/>
    <w:rsid w:val="000C76B0"/>
    <w:rsid w:val="000C7BBE"/>
    <w:rsid w:val="000D2475"/>
    <w:rsid w:val="000D442C"/>
    <w:rsid w:val="000D4DC4"/>
    <w:rsid w:val="000E5987"/>
    <w:rsid w:val="000E612D"/>
    <w:rsid w:val="000E745A"/>
    <w:rsid w:val="000E7E9E"/>
    <w:rsid w:val="000F0044"/>
    <w:rsid w:val="000F703B"/>
    <w:rsid w:val="00106EF8"/>
    <w:rsid w:val="001101A2"/>
    <w:rsid w:val="00111489"/>
    <w:rsid w:val="00111797"/>
    <w:rsid w:val="00111B19"/>
    <w:rsid w:val="00114A64"/>
    <w:rsid w:val="00115F59"/>
    <w:rsid w:val="00116C1A"/>
    <w:rsid w:val="00121F3E"/>
    <w:rsid w:val="0012229E"/>
    <w:rsid w:val="00123849"/>
    <w:rsid w:val="00123A5E"/>
    <w:rsid w:val="00125010"/>
    <w:rsid w:val="00125266"/>
    <w:rsid w:val="00125B82"/>
    <w:rsid w:val="001305E6"/>
    <w:rsid w:val="0013239A"/>
    <w:rsid w:val="001359FC"/>
    <w:rsid w:val="0013761A"/>
    <w:rsid w:val="0014423A"/>
    <w:rsid w:val="00147042"/>
    <w:rsid w:val="001471A7"/>
    <w:rsid w:val="001506F6"/>
    <w:rsid w:val="00154032"/>
    <w:rsid w:val="001547D3"/>
    <w:rsid w:val="001559BD"/>
    <w:rsid w:val="00157F79"/>
    <w:rsid w:val="00163E84"/>
    <w:rsid w:val="001668AA"/>
    <w:rsid w:val="001675B1"/>
    <w:rsid w:val="0016789D"/>
    <w:rsid w:val="00167C87"/>
    <w:rsid w:val="00172EE3"/>
    <w:rsid w:val="00177E7E"/>
    <w:rsid w:val="0018356F"/>
    <w:rsid w:val="001876C5"/>
    <w:rsid w:val="00187D68"/>
    <w:rsid w:val="00190155"/>
    <w:rsid w:val="001906B5"/>
    <w:rsid w:val="00194163"/>
    <w:rsid w:val="00194FEB"/>
    <w:rsid w:val="001953FF"/>
    <w:rsid w:val="001970A4"/>
    <w:rsid w:val="00197AD1"/>
    <w:rsid w:val="001B0020"/>
    <w:rsid w:val="001B0401"/>
    <w:rsid w:val="001B3F87"/>
    <w:rsid w:val="001B4026"/>
    <w:rsid w:val="001B598C"/>
    <w:rsid w:val="001B76A6"/>
    <w:rsid w:val="001C07F8"/>
    <w:rsid w:val="001C2F59"/>
    <w:rsid w:val="001C6C08"/>
    <w:rsid w:val="001D2056"/>
    <w:rsid w:val="001D42D1"/>
    <w:rsid w:val="001D64E5"/>
    <w:rsid w:val="001D6EB8"/>
    <w:rsid w:val="001E05EC"/>
    <w:rsid w:val="001E4809"/>
    <w:rsid w:val="001E4F4F"/>
    <w:rsid w:val="001F27F4"/>
    <w:rsid w:val="001F3DC0"/>
    <w:rsid w:val="001F4C5A"/>
    <w:rsid w:val="001F6425"/>
    <w:rsid w:val="001F6772"/>
    <w:rsid w:val="001F7421"/>
    <w:rsid w:val="00200195"/>
    <w:rsid w:val="00200B5F"/>
    <w:rsid w:val="00201EEF"/>
    <w:rsid w:val="002047C8"/>
    <w:rsid w:val="002052B3"/>
    <w:rsid w:val="002058F9"/>
    <w:rsid w:val="00212B1F"/>
    <w:rsid w:val="00213D7C"/>
    <w:rsid w:val="00214513"/>
    <w:rsid w:val="002155B7"/>
    <w:rsid w:val="0021766A"/>
    <w:rsid w:val="002225D3"/>
    <w:rsid w:val="00222A35"/>
    <w:rsid w:val="0022301D"/>
    <w:rsid w:val="00224B2C"/>
    <w:rsid w:val="00227E55"/>
    <w:rsid w:val="00232AA0"/>
    <w:rsid w:val="00234CDF"/>
    <w:rsid w:val="00236B91"/>
    <w:rsid w:val="002424C0"/>
    <w:rsid w:val="00242CAA"/>
    <w:rsid w:val="00245D74"/>
    <w:rsid w:val="00246DDF"/>
    <w:rsid w:val="002573CC"/>
    <w:rsid w:val="00260FAA"/>
    <w:rsid w:val="00262338"/>
    <w:rsid w:val="00263938"/>
    <w:rsid w:val="002646D7"/>
    <w:rsid w:val="002671D7"/>
    <w:rsid w:val="0027259C"/>
    <w:rsid w:val="00273543"/>
    <w:rsid w:val="00274C82"/>
    <w:rsid w:val="0027654D"/>
    <w:rsid w:val="002810DF"/>
    <w:rsid w:val="002812AB"/>
    <w:rsid w:val="002816D8"/>
    <w:rsid w:val="00282A8C"/>
    <w:rsid w:val="00284A97"/>
    <w:rsid w:val="002854EE"/>
    <w:rsid w:val="0028565C"/>
    <w:rsid w:val="002875DE"/>
    <w:rsid w:val="00287E07"/>
    <w:rsid w:val="00290EB3"/>
    <w:rsid w:val="00292846"/>
    <w:rsid w:val="00292A90"/>
    <w:rsid w:val="002971D6"/>
    <w:rsid w:val="002A2F08"/>
    <w:rsid w:val="002A3641"/>
    <w:rsid w:val="002A495F"/>
    <w:rsid w:val="002A706F"/>
    <w:rsid w:val="002A70EA"/>
    <w:rsid w:val="002A7363"/>
    <w:rsid w:val="002A7F43"/>
    <w:rsid w:val="002B365E"/>
    <w:rsid w:val="002B489A"/>
    <w:rsid w:val="002B6341"/>
    <w:rsid w:val="002C0526"/>
    <w:rsid w:val="002C27A8"/>
    <w:rsid w:val="002C333E"/>
    <w:rsid w:val="002C36C8"/>
    <w:rsid w:val="002C51A0"/>
    <w:rsid w:val="002D0584"/>
    <w:rsid w:val="002D2E2A"/>
    <w:rsid w:val="002D5295"/>
    <w:rsid w:val="002D52BF"/>
    <w:rsid w:val="002D68FA"/>
    <w:rsid w:val="002D7ECA"/>
    <w:rsid w:val="002E0141"/>
    <w:rsid w:val="002E0B5D"/>
    <w:rsid w:val="002E1495"/>
    <w:rsid w:val="002E2900"/>
    <w:rsid w:val="002E3C0D"/>
    <w:rsid w:val="002E3E4E"/>
    <w:rsid w:val="002E43EC"/>
    <w:rsid w:val="002E5B3C"/>
    <w:rsid w:val="002E7A79"/>
    <w:rsid w:val="002F047C"/>
    <w:rsid w:val="002F2C6E"/>
    <w:rsid w:val="002F3C88"/>
    <w:rsid w:val="002F4067"/>
    <w:rsid w:val="002F7339"/>
    <w:rsid w:val="002F7461"/>
    <w:rsid w:val="003025E2"/>
    <w:rsid w:val="00306D24"/>
    <w:rsid w:val="00307712"/>
    <w:rsid w:val="0031404A"/>
    <w:rsid w:val="00314B7C"/>
    <w:rsid w:val="00314E49"/>
    <w:rsid w:val="00315445"/>
    <w:rsid w:val="00317183"/>
    <w:rsid w:val="003204AE"/>
    <w:rsid w:val="003208EF"/>
    <w:rsid w:val="00324846"/>
    <w:rsid w:val="00324ABD"/>
    <w:rsid w:val="00324D9B"/>
    <w:rsid w:val="003251EE"/>
    <w:rsid w:val="003272A6"/>
    <w:rsid w:val="003273CB"/>
    <w:rsid w:val="0033125E"/>
    <w:rsid w:val="00336913"/>
    <w:rsid w:val="0033718C"/>
    <w:rsid w:val="00337407"/>
    <w:rsid w:val="00340E02"/>
    <w:rsid w:val="00343E6E"/>
    <w:rsid w:val="003450C8"/>
    <w:rsid w:val="0034782B"/>
    <w:rsid w:val="00351E5C"/>
    <w:rsid w:val="0035580F"/>
    <w:rsid w:val="00357CB4"/>
    <w:rsid w:val="003604EE"/>
    <w:rsid w:val="0036286B"/>
    <w:rsid w:val="00363371"/>
    <w:rsid w:val="00364989"/>
    <w:rsid w:val="003664C0"/>
    <w:rsid w:val="00367E04"/>
    <w:rsid w:val="003761F2"/>
    <w:rsid w:val="00376A05"/>
    <w:rsid w:val="003774FE"/>
    <w:rsid w:val="00390E30"/>
    <w:rsid w:val="00393ABE"/>
    <w:rsid w:val="0039458D"/>
    <w:rsid w:val="00394D61"/>
    <w:rsid w:val="003A1F5A"/>
    <w:rsid w:val="003A2ECE"/>
    <w:rsid w:val="003A4252"/>
    <w:rsid w:val="003A539A"/>
    <w:rsid w:val="003A62A4"/>
    <w:rsid w:val="003A7476"/>
    <w:rsid w:val="003A7D86"/>
    <w:rsid w:val="003B0AA1"/>
    <w:rsid w:val="003B243D"/>
    <w:rsid w:val="003B304F"/>
    <w:rsid w:val="003B5D18"/>
    <w:rsid w:val="003B795D"/>
    <w:rsid w:val="003C26A6"/>
    <w:rsid w:val="003C26C1"/>
    <w:rsid w:val="003C5C11"/>
    <w:rsid w:val="003C6A5A"/>
    <w:rsid w:val="003C6AAD"/>
    <w:rsid w:val="003D1D4D"/>
    <w:rsid w:val="003D37DD"/>
    <w:rsid w:val="003D45DF"/>
    <w:rsid w:val="003D47C6"/>
    <w:rsid w:val="003D7E38"/>
    <w:rsid w:val="003D7EAC"/>
    <w:rsid w:val="003E379A"/>
    <w:rsid w:val="003E52B0"/>
    <w:rsid w:val="003E64DC"/>
    <w:rsid w:val="003E7A43"/>
    <w:rsid w:val="003F0B58"/>
    <w:rsid w:val="003F0D40"/>
    <w:rsid w:val="003F2236"/>
    <w:rsid w:val="003F27B7"/>
    <w:rsid w:val="003F4051"/>
    <w:rsid w:val="003F5812"/>
    <w:rsid w:val="00400E4A"/>
    <w:rsid w:val="00402E9A"/>
    <w:rsid w:val="00403FA8"/>
    <w:rsid w:val="00404040"/>
    <w:rsid w:val="00404213"/>
    <w:rsid w:val="004048AC"/>
    <w:rsid w:val="00404B8E"/>
    <w:rsid w:val="004068C2"/>
    <w:rsid w:val="00415E7F"/>
    <w:rsid w:val="00420288"/>
    <w:rsid w:val="00421C78"/>
    <w:rsid w:val="004224CE"/>
    <w:rsid w:val="00424A78"/>
    <w:rsid w:val="004254DB"/>
    <w:rsid w:val="00427EEA"/>
    <w:rsid w:val="00431836"/>
    <w:rsid w:val="004321E6"/>
    <w:rsid w:val="0043278E"/>
    <w:rsid w:val="004360AC"/>
    <w:rsid w:val="00436B83"/>
    <w:rsid w:val="00441061"/>
    <w:rsid w:val="00447D10"/>
    <w:rsid w:val="00450C70"/>
    <w:rsid w:val="00453344"/>
    <w:rsid w:val="00454E76"/>
    <w:rsid w:val="00457080"/>
    <w:rsid w:val="00460891"/>
    <w:rsid w:val="00464FB2"/>
    <w:rsid w:val="0046745E"/>
    <w:rsid w:val="004736BE"/>
    <w:rsid w:val="0047556D"/>
    <w:rsid w:val="00475789"/>
    <w:rsid w:val="00476170"/>
    <w:rsid w:val="004820B0"/>
    <w:rsid w:val="00482E2F"/>
    <w:rsid w:val="004859B4"/>
    <w:rsid w:val="00486ACD"/>
    <w:rsid w:val="00492C65"/>
    <w:rsid w:val="0049403F"/>
    <w:rsid w:val="00494323"/>
    <w:rsid w:val="00494349"/>
    <w:rsid w:val="00494485"/>
    <w:rsid w:val="004A0F27"/>
    <w:rsid w:val="004A0F37"/>
    <w:rsid w:val="004A0F68"/>
    <w:rsid w:val="004A3608"/>
    <w:rsid w:val="004A4FBD"/>
    <w:rsid w:val="004A7810"/>
    <w:rsid w:val="004A7E93"/>
    <w:rsid w:val="004B3CFB"/>
    <w:rsid w:val="004B5D6B"/>
    <w:rsid w:val="004B76F8"/>
    <w:rsid w:val="004C1FA6"/>
    <w:rsid w:val="004C5CFD"/>
    <w:rsid w:val="004D12C0"/>
    <w:rsid w:val="004D3713"/>
    <w:rsid w:val="004D7E99"/>
    <w:rsid w:val="004E2BDB"/>
    <w:rsid w:val="004F50AF"/>
    <w:rsid w:val="004F681D"/>
    <w:rsid w:val="00502857"/>
    <w:rsid w:val="00503EF7"/>
    <w:rsid w:val="005044A9"/>
    <w:rsid w:val="00505994"/>
    <w:rsid w:val="00505FD4"/>
    <w:rsid w:val="00506E25"/>
    <w:rsid w:val="0051132C"/>
    <w:rsid w:val="00513483"/>
    <w:rsid w:val="00514A55"/>
    <w:rsid w:val="00514EF5"/>
    <w:rsid w:val="0051782D"/>
    <w:rsid w:val="0052087E"/>
    <w:rsid w:val="0052315E"/>
    <w:rsid w:val="00530ED3"/>
    <w:rsid w:val="0053438E"/>
    <w:rsid w:val="005355EE"/>
    <w:rsid w:val="00535B16"/>
    <w:rsid w:val="005366D0"/>
    <w:rsid w:val="00537E27"/>
    <w:rsid w:val="00540B4D"/>
    <w:rsid w:val="00540FFA"/>
    <w:rsid w:val="00542930"/>
    <w:rsid w:val="005435B3"/>
    <w:rsid w:val="00550849"/>
    <w:rsid w:val="00554BF3"/>
    <w:rsid w:val="0055655F"/>
    <w:rsid w:val="0055657D"/>
    <w:rsid w:val="00560D0D"/>
    <w:rsid w:val="00565FB1"/>
    <w:rsid w:val="005662FB"/>
    <w:rsid w:val="00567781"/>
    <w:rsid w:val="00567ECC"/>
    <w:rsid w:val="005713B1"/>
    <w:rsid w:val="00583090"/>
    <w:rsid w:val="005835F4"/>
    <w:rsid w:val="00583EFE"/>
    <w:rsid w:val="005841A3"/>
    <w:rsid w:val="00590EAE"/>
    <w:rsid w:val="0059112A"/>
    <w:rsid w:val="00593216"/>
    <w:rsid w:val="00594BC3"/>
    <w:rsid w:val="00596CA7"/>
    <w:rsid w:val="00596DC8"/>
    <w:rsid w:val="00596E16"/>
    <w:rsid w:val="005A16A3"/>
    <w:rsid w:val="005A1C48"/>
    <w:rsid w:val="005A253A"/>
    <w:rsid w:val="005A3A94"/>
    <w:rsid w:val="005B4421"/>
    <w:rsid w:val="005B7929"/>
    <w:rsid w:val="005C25D1"/>
    <w:rsid w:val="005C35A9"/>
    <w:rsid w:val="005C464B"/>
    <w:rsid w:val="005C74A0"/>
    <w:rsid w:val="005D052C"/>
    <w:rsid w:val="005D16FE"/>
    <w:rsid w:val="005D4084"/>
    <w:rsid w:val="005D4777"/>
    <w:rsid w:val="005D4C2B"/>
    <w:rsid w:val="005E7953"/>
    <w:rsid w:val="005E7E82"/>
    <w:rsid w:val="005F6C28"/>
    <w:rsid w:val="005F7AB6"/>
    <w:rsid w:val="005F7E3C"/>
    <w:rsid w:val="00600FA8"/>
    <w:rsid w:val="00601CEA"/>
    <w:rsid w:val="006063DA"/>
    <w:rsid w:val="00606CE3"/>
    <w:rsid w:val="006110D6"/>
    <w:rsid w:val="00611DD3"/>
    <w:rsid w:val="00611EF0"/>
    <w:rsid w:val="00612219"/>
    <w:rsid w:val="00612E04"/>
    <w:rsid w:val="006173A4"/>
    <w:rsid w:val="00617C44"/>
    <w:rsid w:val="00622CE4"/>
    <w:rsid w:val="006234A7"/>
    <w:rsid w:val="00625917"/>
    <w:rsid w:val="0062789F"/>
    <w:rsid w:val="006301BE"/>
    <w:rsid w:val="0063096E"/>
    <w:rsid w:val="00633349"/>
    <w:rsid w:val="00633D61"/>
    <w:rsid w:val="0063402B"/>
    <w:rsid w:val="00636570"/>
    <w:rsid w:val="00637901"/>
    <w:rsid w:val="00637E1B"/>
    <w:rsid w:val="006402DF"/>
    <w:rsid w:val="0064164B"/>
    <w:rsid w:val="00644468"/>
    <w:rsid w:val="00645F5E"/>
    <w:rsid w:val="00647B1E"/>
    <w:rsid w:val="00647C55"/>
    <w:rsid w:val="0065008B"/>
    <w:rsid w:val="006514D9"/>
    <w:rsid w:val="00653A3B"/>
    <w:rsid w:val="00653FD9"/>
    <w:rsid w:val="00654D42"/>
    <w:rsid w:val="00656328"/>
    <w:rsid w:val="00660279"/>
    <w:rsid w:val="006622B9"/>
    <w:rsid w:val="00662E1E"/>
    <w:rsid w:val="0066371E"/>
    <w:rsid w:val="006724AD"/>
    <w:rsid w:val="00672BAB"/>
    <w:rsid w:val="0067314A"/>
    <w:rsid w:val="00673D1E"/>
    <w:rsid w:val="006779CF"/>
    <w:rsid w:val="00677A8F"/>
    <w:rsid w:val="00677F8A"/>
    <w:rsid w:val="006821E3"/>
    <w:rsid w:val="00683AD6"/>
    <w:rsid w:val="00683C3F"/>
    <w:rsid w:val="00683F5F"/>
    <w:rsid w:val="006842AE"/>
    <w:rsid w:val="0069097D"/>
    <w:rsid w:val="006A5773"/>
    <w:rsid w:val="006A5804"/>
    <w:rsid w:val="006A58F0"/>
    <w:rsid w:val="006B0372"/>
    <w:rsid w:val="006B0764"/>
    <w:rsid w:val="006B4467"/>
    <w:rsid w:val="006B6C46"/>
    <w:rsid w:val="006B6E78"/>
    <w:rsid w:val="006C0039"/>
    <w:rsid w:val="006C1927"/>
    <w:rsid w:val="006C2585"/>
    <w:rsid w:val="006C4008"/>
    <w:rsid w:val="006C5931"/>
    <w:rsid w:val="006C73EF"/>
    <w:rsid w:val="006D1723"/>
    <w:rsid w:val="006D5D3F"/>
    <w:rsid w:val="006D60ED"/>
    <w:rsid w:val="006E1166"/>
    <w:rsid w:val="006E22A0"/>
    <w:rsid w:val="006E4C7C"/>
    <w:rsid w:val="006E596E"/>
    <w:rsid w:val="006F033F"/>
    <w:rsid w:val="006F24D8"/>
    <w:rsid w:val="006F33B8"/>
    <w:rsid w:val="006F4C9C"/>
    <w:rsid w:val="006F640F"/>
    <w:rsid w:val="006F762A"/>
    <w:rsid w:val="00701B6B"/>
    <w:rsid w:val="0070384F"/>
    <w:rsid w:val="00703A9E"/>
    <w:rsid w:val="00703D6D"/>
    <w:rsid w:val="00704152"/>
    <w:rsid w:val="00704FB5"/>
    <w:rsid w:val="00706B71"/>
    <w:rsid w:val="00712EE5"/>
    <w:rsid w:val="00713493"/>
    <w:rsid w:val="00713494"/>
    <w:rsid w:val="00714031"/>
    <w:rsid w:val="0071466E"/>
    <w:rsid w:val="00714A6C"/>
    <w:rsid w:val="00714CD3"/>
    <w:rsid w:val="007206A8"/>
    <w:rsid w:val="0072116D"/>
    <w:rsid w:val="0072226F"/>
    <w:rsid w:val="00725B78"/>
    <w:rsid w:val="00727082"/>
    <w:rsid w:val="0073233C"/>
    <w:rsid w:val="00732D0C"/>
    <w:rsid w:val="00733EAD"/>
    <w:rsid w:val="00734F54"/>
    <w:rsid w:val="00737C04"/>
    <w:rsid w:val="00744110"/>
    <w:rsid w:val="00744595"/>
    <w:rsid w:val="00747A52"/>
    <w:rsid w:val="00750F1E"/>
    <w:rsid w:val="00751C12"/>
    <w:rsid w:val="00752691"/>
    <w:rsid w:val="007528F2"/>
    <w:rsid w:val="00763700"/>
    <w:rsid w:val="0076427C"/>
    <w:rsid w:val="00765217"/>
    <w:rsid w:val="007659AA"/>
    <w:rsid w:val="0077266C"/>
    <w:rsid w:val="00772802"/>
    <w:rsid w:val="00773CD3"/>
    <w:rsid w:val="00775066"/>
    <w:rsid w:val="00776406"/>
    <w:rsid w:val="0078005A"/>
    <w:rsid w:val="00781B6F"/>
    <w:rsid w:val="00781F9C"/>
    <w:rsid w:val="00782DFD"/>
    <w:rsid w:val="00784424"/>
    <w:rsid w:val="00785474"/>
    <w:rsid w:val="00787B99"/>
    <w:rsid w:val="0079421C"/>
    <w:rsid w:val="0079526D"/>
    <w:rsid w:val="00795A2C"/>
    <w:rsid w:val="00797390"/>
    <w:rsid w:val="007A05B6"/>
    <w:rsid w:val="007A1C0A"/>
    <w:rsid w:val="007A1C59"/>
    <w:rsid w:val="007A491B"/>
    <w:rsid w:val="007A5B41"/>
    <w:rsid w:val="007B19A6"/>
    <w:rsid w:val="007B5792"/>
    <w:rsid w:val="007C31E2"/>
    <w:rsid w:val="007C5CE1"/>
    <w:rsid w:val="007C6F85"/>
    <w:rsid w:val="007D0569"/>
    <w:rsid w:val="007D16B1"/>
    <w:rsid w:val="007D19E4"/>
    <w:rsid w:val="007D7400"/>
    <w:rsid w:val="007D7761"/>
    <w:rsid w:val="007D79FF"/>
    <w:rsid w:val="007E02A7"/>
    <w:rsid w:val="007E468A"/>
    <w:rsid w:val="007E51A5"/>
    <w:rsid w:val="007E7F4C"/>
    <w:rsid w:val="007F3018"/>
    <w:rsid w:val="007F546A"/>
    <w:rsid w:val="008060C3"/>
    <w:rsid w:val="008063A1"/>
    <w:rsid w:val="00807F00"/>
    <w:rsid w:val="008134BD"/>
    <w:rsid w:val="00814656"/>
    <w:rsid w:val="00820E45"/>
    <w:rsid w:val="00821E2C"/>
    <w:rsid w:val="00822835"/>
    <w:rsid w:val="00826758"/>
    <w:rsid w:val="008353E0"/>
    <w:rsid w:val="008365F0"/>
    <w:rsid w:val="00841534"/>
    <w:rsid w:val="008462F1"/>
    <w:rsid w:val="00846D02"/>
    <w:rsid w:val="00850FDE"/>
    <w:rsid w:val="00852876"/>
    <w:rsid w:val="008543F5"/>
    <w:rsid w:val="00855004"/>
    <w:rsid w:val="008572C4"/>
    <w:rsid w:val="0085733E"/>
    <w:rsid w:val="008604A8"/>
    <w:rsid w:val="00861AFA"/>
    <w:rsid w:val="00863C61"/>
    <w:rsid w:val="00864833"/>
    <w:rsid w:val="00865522"/>
    <w:rsid w:val="00865ADF"/>
    <w:rsid w:val="0086644C"/>
    <w:rsid w:val="008666B5"/>
    <w:rsid w:val="008703B3"/>
    <w:rsid w:val="00876985"/>
    <w:rsid w:val="00883780"/>
    <w:rsid w:val="00883B99"/>
    <w:rsid w:val="00885066"/>
    <w:rsid w:val="00885F85"/>
    <w:rsid w:val="0088665E"/>
    <w:rsid w:val="008923C8"/>
    <w:rsid w:val="00893260"/>
    <w:rsid w:val="008932A8"/>
    <w:rsid w:val="00893756"/>
    <w:rsid w:val="00894A9E"/>
    <w:rsid w:val="008950F6"/>
    <w:rsid w:val="00896815"/>
    <w:rsid w:val="008A0744"/>
    <w:rsid w:val="008A0A6E"/>
    <w:rsid w:val="008A0D0F"/>
    <w:rsid w:val="008A2FB3"/>
    <w:rsid w:val="008A398B"/>
    <w:rsid w:val="008A5601"/>
    <w:rsid w:val="008A59AD"/>
    <w:rsid w:val="008B0EEB"/>
    <w:rsid w:val="008B431D"/>
    <w:rsid w:val="008B51FD"/>
    <w:rsid w:val="008C1939"/>
    <w:rsid w:val="008C3396"/>
    <w:rsid w:val="008C621C"/>
    <w:rsid w:val="008C697C"/>
    <w:rsid w:val="008C75ED"/>
    <w:rsid w:val="008C7649"/>
    <w:rsid w:val="008E0991"/>
    <w:rsid w:val="008E338E"/>
    <w:rsid w:val="008E57FE"/>
    <w:rsid w:val="008F2665"/>
    <w:rsid w:val="008F6376"/>
    <w:rsid w:val="009019FB"/>
    <w:rsid w:val="00905B05"/>
    <w:rsid w:val="0090753C"/>
    <w:rsid w:val="00911B66"/>
    <w:rsid w:val="00912A7E"/>
    <w:rsid w:val="00915330"/>
    <w:rsid w:val="00916E69"/>
    <w:rsid w:val="00917525"/>
    <w:rsid w:val="0091777D"/>
    <w:rsid w:val="0092057D"/>
    <w:rsid w:val="009218DE"/>
    <w:rsid w:val="00922D00"/>
    <w:rsid w:val="00923F17"/>
    <w:rsid w:val="009266DA"/>
    <w:rsid w:val="00930DE8"/>
    <w:rsid w:val="009318DD"/>
    <w:rsid w:val="00935413"/>
    <w:rsid w:val="00935F5D"/>
    <w:rsid w:val="00936557"/>
    <w:rsid w:val="009368E0"/>
    <w:rsid w:val="0094260B"/>
    <w:rsid w:val="00942661"/>
    <w:rsid w:val="00945307"/>
    <w:rsid w:val="0094558D"/>
    <w:rsid w:val="00946FCE"/>
    <w:rsid w:val="009515BC"/>
    <w:rsid w:val="00953ED0"/>
    <w:rsid w:val="0095492E"/>
    <w:rsid w:val="00955F7D"/>
    <w:rsid w:val="0096242F"/>
    <w:rsid w:val="00962E3B"/>
    <w:rsid w:val="00962FF5"/>
    <w:rsid w:val="00964A4E"/>
    <w:rsid w:val="00965B02"/>
    <w:rsid w:val="00965C07"/>
    <w:rsid w:val="00965D2D"/>
    <w:rsid w:val="00971847"/>
    <w:rsid w:val="00972964"/>
    <w:rsid w:val="0097762F"/>
    <w:rsid w:val="009816B8"/>
    <w:rsid w:val="00983B45"/>
    <w:rsid w:val="0098766F"/>
    <w:rsid w:val="00993912"/>
    <w:rsid w:val="00994050"/>
    <w:rsid w:val="009962CF"/>
    <w:rsid w:val="009969D6"/>
    <w:rsid w:val="009A53BE"/>
    <w:rsid w:val="009A5DB1"/>
    <w:rsid w:val="009A7C5A"/>
    <w:rsid w:val="009A7E51"/>
    <w:rsid w:val="009B21B9"/>
    <w:rsid w:val="009B4CD0"/>
    <w:rsid w:val="009B4DA7"/>
    <w:rsid w:val="009C21C6"/>
    <w:rsid w:val="009C383B"/>
    <w:rsid w:val="009C3A80"/>
    <w:rsid w:val="009C5238"/>
    <w:rsid w:val="009D12B4"/>
    <w:rsid w:val="009D1E70"/>
    <w:rsid w:val="009D2135"/>
    <w:rsid w:val="009D2FA7"/>
    <w:rsid w:val="009D4CAE"/>
    <w:rsid w:val="009D55F9"/>
    <w:rsid w:val="009D5A11"/>
    <w:rsid w:val="009D7760"/>
    <w:rsid w:val="009E16E6"/>
    <w:rsid w:val="009E2953"/>
    <w:rsid w:val="009E30CE"/>
    <w:rsid w:val="009F04C3"/>
    <w:rsid w:val="009F0760"/>
    <w:rsid w:val="009F4860"/>
    <w:rsid w:val="00A00057"/>
    <w:rsid w:val="00A00485"/>
    <w:rsid w:val="00A01A5F"/>
    <w:rsid w:val="00A02C96"/>
    <w:rsid w:val="00A02E65"/>
    <w:rsid w:val="00A0340A"/>
    <w:rsid w:val="00A0440C"/>
    <w:rsid w:val="00A0585F"/>
    <w:rsid w:val="00A0694A"/>
    <w:rsid w:val="00A10A30"/>
    <w:rsid w:val="00A1137C"/>
    <w:rsid w:val="00A113D7"/>
    <w:rsid w:val="00A11F0F"/>
    <w:rsid w:val="00A16126"/>
    <w:rsid w:val="00A24133"/>
    <w:rsid w:val="00A262BF"/>
    <w:rsid w:val="00A27809"/>
    <w:rsid w:val="00A317B0"/>
    <w:rsid w:val="00A320BB"/>
    <w:rsid w:val="00A34591"/>
    <w:rsid w:val="00A34E44"/>
    <w:rsid w:val="00A3640F"/>
    <w:rsid w:val="00A40CE2"/>
    <w:rsid w:val="00A47176"/>
    <w:rsid w:val="00A475C5"/>
    <w:rsid w:val="00A4768C"/>
    <w:rsid w:val="00A50A68"/>
    <w:rsid w:val="00A50D3B"/>
    <w:rsid w:val="00A518AA"/>
    <w:rsid w:val="00A56348"/>
    <w:rsid w:val="00A5703F"/>
    <w:rsid w:val="00A57D39"/>
    <w:rsid w:val="00A6316B"/>
    <w:rsid w:val="00A65316"/>
    <w:rsid w:val="00A674FF"/>
    <w:rsid w:val="00A70F69"/>
    <w:rsid w:val="00A72611"/>
    <w:rsid w:val="00A73ABB"/>
    <w:rsid w:val="00A76D2C"/>
    <w:rsid w:val="00A77746"/>
    <w:rsid w:val="00A806AA"/>
    <w:rsid w:val="00A83BF6"/>
    <w:rsid w:val="00A87F31"/>
    <w:rsid w:val="00A90D27"/>
    <w:rsid w:val="00A9103B"/>
    <w:rsid w:val="00A91284"/>
    <w:rsid w:val="00A918A7"/>
    <w:rsid w:val="00A91FEA"/>
    <w:rsid w:val="00A92871"/>
    <w:rsid w:val="00A955EB"/>
    <w:rsid w:val="00AA1F49"/>
    <w:rsid w:val="00AA3A2E"/>
    <w:rsid w:val="00AA4099"/>
    <w:rsid w:val="00AA6913"/>
    <w:rsid w:val="00AB2190"/>
    <w:rsid w:val="00AB39EB"/>
    <w:rsid w:val="00AB3F27"/>
    <w:rsid w:val="00AB3FD9"/>
    <w:rsid w:val="00AB7DE7"/>
    <w:rsid w:val="00AC1BE7"/>
    <w:rsid w:val="00AC275F"/>
    <w:rsid w:val="00AC50A4"/>
    <w:rsid w:val="00AC5A95"/>
    <w:rsid w:val="00AC6074"/>
    <w:rsid w:val="00AC6471"/>
    <w:rsid w:val="00AD1751"/>
    <w:rsid w:val="00AD2B6E"/>
    <w:rsid w:val="00AD3443"/>
    <w:rsid w:val="00AD4B3C"/>
    <w:rsid w:val="00AD68A5"/>
    <w:rsid w:val="00AE185D"/>
    <w:rsid w:val="00AE1BFE"/>
    <w:rsid w:val="00AE3842"/>
    <w:rsid w:val="00AE3D83"/>
    <w:rsid w:val="00AE4374"/>
    <w:rsid w:val="00AE485C"/>
    <w:rsid w:val="00AE7D4F"/>
    <w:rsid w:val="00AE7FE4"/>
    <w:rsid w:val="00AF17D3"/>
    <w:rsid w:val="00AF1D77"/>
    <w:rsid w:val="00AF38BA"/>
    <w:rsid w:val="00AF4F67"/>
    <w:rsid w:val="00AF5811"/>
    <w:rsid w:val="00AF6509"/>
    <w:rsid w:val="00B00BBE"/>
    <w:rsid w:val="00B0456E"/>
    <w:rsid w:val="00B06A05"/>
    <w:rsid w:val="00B06BF6"/>
    <w:rsid w:val="00B06F7F"/>
    <w:rsid w:val="00B100F0"/>
    <w:rsid w:val="00B1402E"/>
    <w:rsid w:val="00B14865"/>
    <w:rsid w:val="00B21D50"/>
    <w:rsid w:val="00B22F9B"/>
    <w:rsid w:val="00B23747"/>
    <w:rsid w:val="00B24090"/>
    <w:rsid w:val="00B257E3"/>
    <w:rsid w:val="00B260C7"/>
    <w:rsid w:val="00B27494"/>
    <w:rsid w:val="00B279B9"/>
    <w:rsid w:val="00B34F48"/>
    <w:rsid w:val="00B51BA0"/>
    <w:rsid w:val="00B535BD"/>
    <w:rsid w:val="00B53701"/>
    <w:rsid w:val="00B56A26"/>
    <w:rsid w:val="00B6110A"/>
    <w:rsid w:val="00B6176A"/>
    <w:rsid w:val="00B6301A"/>
    <w:rsid w:val="00B64CAD"/>
    <w:rsid w:val="00B66751"/>
    <w:rsid w:val="00B67AA6"/>
    <w:rsid w:val="00B7066C"/>
    <w:rsid w:val="00B717D8"/>
    <w:rsid w:val="00B72DF3"/>
    <w:rsid w:val="00B74146"/>
    <w:rsid w:val="00B76F6C"/>
    <w:rsid w:val="00B8080B"/>
    <w:rsid w:val="00B811EF"/>
    <w:rsid w:val="00B86EF1"/>
    <w:rsid w:val="00B90674"/>
    <w:rsid w:val="00B934E3"/>
    <w:rsid w:val="00B94323"/>
    <w:rsid w:val="00B961B7"/>
    <w:rsid w:val="00B963D4"/>
    <w:rsid w:val="00B9772B"/>
    <w:rsid w:val="00BA2DEF"/>
    <w:rsid w:val="00BA42FB"/>
    <w:rsid w:val="00BA4768"/>
    <w:rsid w:val="00BA516F"/>
    <w:rsid w:val="00BA628C"/>
    <w:rsid w:val="00BA7059"/>
    <w:rsid w:val="00BB0051"/>
    <w:rsid w:val="00BB02C6"/>
    <w:rsid w:val="00BB1082"/>
    <w:rsid w:val="00BB12B2"/>
    <w:rsid w:val="00BB2127"/>
    <w:rsid w:val="00BB3805"/>
    <w:rsid w:val="00BB52A5"/>
    <w:rsid w:val="00BB6740"/>
    <w:rsid w:val="00BB7EA1"/>
    <w:rsid w:val="00BB7F81"/>
    <w:rsid w:val="00BC167C"/>
    <w:rsid w:val="00BC269B"/>
    <w:rsid w:val="00BC27D2"/>
    <w:rsid w:val="00BD35E1"/>
    <w:rsid w:val="00BD54FC"/>
    <w:rsid w:val="00BD63C3"/>
    <w:rsid w:val="00BD76A4"/>
    <w:rsid w:val="00BE1C8A"/>
    <w:rsid w:val="00BE4857"/>
    <w:rsid w:val="00BE5847"/>
    <w:rsid w:val="00BE5BE0"/>
    <w:rsid w:val="00BE70E8"/>
    <w:rsid w:val="00BF0E76"/>
    <w:rsid w:val="00BF19DC"/>
    <w:rsid w:val="00BF2B3E"/>
    <w:rsid w:val="00BF2DAF"/>
    <w:rsid w:val="00BF4E1B"/>
    <w:rsid w:val="00C0480F"/>
    <w:rsid w:val="00C1043C"/>
    <w:rsid w:val="00C12A51"/>
    <w:rsid w:val="00C1591E"/>
    <w:rsid w:val="00C20D36"/>
    <w:rsid w:val="00C21038"/>
    <w:rsid w:val="00C2396B"/>
    <w:rsid w:val="00C2785F"/>
    <w:rsid w:val="00C30BA6"/>
    <w:rsid w:val="00C31467"/>
    <w:rsid w:val="00C34CCB"/>
    <w:rsid w:val="00C34D57"/>
    <w:rsid w:val="00C36696"/>
    <w:rsid w:val="00C36720"/>
    <w:rsid w:val="00C37518"/>
    <w:rsid w:val="00C37F00"/>
    <w:rsid w:val="00C421C9"/>
    <w:rsid w:val="00C42A3A"/>
    <w:rsid w:val="00C4517F"/>
    <w:rsid w:val="00C45232"/>
    <w:rsid w:val="00C46E94"/>
    <w:rsid w:val="00C52BA5"/>
    <w:rsid w:val="00C53323"/>
    <w:rsid w:val="00C54D8C"/>
    <w:rsid w:val="00C66CEF"/>
    <w:rsid w:val="00C670FE"/>
    <w:rsid w:val="00C71E3C"/>
    <w:rsid w:val="00C75492"/>
    <w:rsid w:val="00C77C78"/>
    <w:rsid w:val="00C80C2E"/>
    <w:rsid w:val="00C8146C"/>
    <w:rsid w:val="00C846DD"/>
    <w:rsid w:val="00C84A7E"/>
    <w:rsid w:val="00C85CA6"/>
    <w:rsid w:val="00C9147E"/>
    <w:rsid w:val="00C925ED"/>
    <w:rsid w:val="00C9339F"/>
    <w:rsid w:val="00C96A10"/>
    <w:rsid w:val="00C9753B"/>
    <w:rsid w:val="00CA19CD"/>
    <w:rsid w:val="00CA4A62"/>
    <w:rsid w:val="00CA659E"/>
    <w:rsid w:val="00CB23DD"/>
    <w:rsid w:val="00CB2757"/>
    <w:rsid w:val="00CB2FE7"/>
    <w:rsid w:val="00CB3B57"/>
    <w:rsid w:val="00CB42AE"/>
    <w:rsid w:val="00CB6768"/>
    <w:rsid w:val="00CC17DB"/>
    <w:rsid w:val="00CC2F01"/>
    <w:rsid w:val="00CC6453"/>
    <w:rsid w:val="00CD2D8A"/>
    <w:rsid w:val="00CD31EA"/>
    <w:rsid w:val="00CD692F"/>
    <w:rsid w:val="00CE0392"/>
    <w:rsid w:val="00CE5481"/>
    <w:rsid w:val="00CE5866"/>
    <w:rsid w:val="00CF0045"/>
    <w:rsid w:val="00CF7194"/>
    <w:rsid w:val="00CF7C90"/>
    <w:rsid w:val="00CF7EA0"/>
    <w:rsid w:val="00D00600"/>
    <w:rsid w:val="00D0329F"/>
    <w:rsid w:val="00D06299"/>
    <w:rsid w:val="00D1045D"/>
    <w:rsid w:val="00D133AA"/>
    <w:rsid w:val="00D13B0B"/>
    <w:rsid w:val="00D13CCF"/>
    <w:rsid w:val="00D14CF7"/>
    <w:rsid w:val="00D15E67"/>
    <w:rsid w:val="00D20ABB"/>
    <w:rsid w:val="00D24AEE"/>
    <w:rsid w:val="00D3073E"/>
    <w:rsid w:val="00D31676"/>
    <w:rsid w:val="00D316C8"/>
    <w:rsid w:val="00D337D5"/>
    <w:rsid w:val="00D34817"/>
    <w:rsid w:val="00D365BB"/>
    <w:rsid w:val="00D3795A"/>
    <w:rsid w:val="00D37AB5"/>
    <w:rsid w:val="00D40C74"/>
    <w:rsid w:val="00D43282"/>
    <w:rsid w:val="00D43EA4"/>
    <w:rsid w:val="00D44508"/>
    <w:rsid w:val="00D47810"/>
    <w:rsid w:val="00D5128E"/>
    <w:rsid w:val="00D52FD0"/>
    <w:rsid w:val="00D54385"/>
    <w:rsid w:val="00D6259C"/>
    <w:rsid w:val="00D63B91"/>
    <w:rsid w:val="00D64A4A"/>
    <w:rsid w:val="00D6679C"/>
    <w:rsid w:val="00D73EE6"/>
    <w:rsid w:val="00D742D2"/>
    <w:rsid w:val="00D744DC"/>
    <w:rsid w:val="00D75CF7"/>
    <w:rsid w:val="00D75F59"/>
    <w:rsid w:val="00D776C3"/>
    <w:rsid w:val="00D80153"/>
    <w:rsid w:val="00D81AC7"/>
    <w:rsid w:val="00D8495C"/>
    <w:rsid w:val="00D86737"/>
    <w:rsid w:val="00D8696A"/>
    <w:rsid w:val="00D9153B"/>
    <w:rsid w:val="00D95903"/>
    <w:rsid w:val="00D95D78"/>
    <w:rsid w:val="00DA0810"/>
    <w:rsid w:val="00DA3FCE"/>
    <w:rsid w:val="00DB4203"/>
    <w:rsid w:val="00DB4332"/>
    <w:rsid w:val="00DB7CA1"/>
    <w:rsid w:val="00DC25DA"/>
    <w:rsid w:val="00DC5149"/>
    <w:rsid w:val="00DD1B88"/>
    <w:rsid w:val="00DD3C08"/>
    <w:rsid w:val="00DE0476"/>
    <w:rsid w:val="00DE2AAC"/>
    <w:rsid w:val="00DF1125"/>
    <w:rsid w:val="00DF27AC"/>
    <w:rsid w:val="00DF28E7"/>
    <w:rsid w:val="00DF399A"/>
    <w:rsid w:val="00DF6280"/>
    <w:rsid w:val="00DF7B14"/>
    <w:rsid w:val="00E00009"/>
    <w:rsid w:val="00E01EF4"/>
    <w:rsid w:val="00E02CF2"/>
    <w:rsid w:val="00E04947"/>
    <w:rsid w:val="00E069F7"/>
    <w:rsid w:val="00E06C35"/>
    <w:rsid w:val="00E0710D"/>
    <w:rsid w:val="00E07F71"/>
    <w:rsid w:val="00E114D8"/>
    <w:rsid w:val="00E1347F"/>
    <w:rsid w:val="00E1621B"/>
    <w:rsid w:val="00E21114"/>
    <w:rsid w:val="00E22B84"/>
    <w:rsid w:val="00E26045"/>
    <w:rsid w:val="00E26BDB"/>
    <w:rsid w:val="00E27304"/>
    <w:rsid w:val="00E337F5"/>
    <w:rsid w:val="00E339E4"/>
    <w:rsid w:val="00E34EBC"/>
    <w:rsid w:val="00E37211"/>
    <w:rsid w:val="00E37848"/>
    <w:rsid w:val="00E4034D"/>
    <w:rsid w:val="00E404B3"/>
    <w:rsid w:val="00E41EE7"/>
    <w:rsid w:val="00E42084"/>
    <w:rsid w:val="00E55808"/>
    <w:rsid w:val="00E559EA"/>
    <w:rsid w:val="00E5696D"/>
    <w:rsid w:val="00E56E45"/>
    <w:rsid w:val="00E6161C"/>
    <w:rsid w:val="00E62DEC"/>
    <w:rsid w:val="00E63233"/>
    <w:rsid w:val="00E65F8A"/>
    <w:rsid w:val="00E66ECB"/>
    <w:rsid w:val="00E67486"/>
    <w:rsid w:val="00E727CE"/>
    <w:rsid w:val="00E749E1"/>
    <w:rsid w:val="00E8007A"/>
    <w:rsid w:val="00E80578"/>
    <w:rsid w:val="00E80B43"/>
    <w:rsid w:val="00E833CB"/>
    <w:rsid w:val="00E83995"/>
    <w:rsid w:val="00E83CBA"/>
    <w:rsid w:val="00E83D2E"/>
    <w:rsid w:val="00E83FB2"/>
    <w:rsid w:val="00E842CA"/>
    <w:rsid w:val="00E90615"/>
    <w:rsid w:val="00E91FE0"/>
    <w:rsid w:val="00E95AC2"/>
    <w:rsid w:val="00E97167"/>
    <w:rsid w:val="00E97DBB"/>
    <w:rsid w:val="00EA0169"/>
    <w:rsid w:val="00EA3781"/>
    <w:rsid w:val="00EA5023"/>
    <w:rsid w:val="00EA7061"/>
    <w:rsid w:val="00EB13FE"/>
    <w:rsid w:val="00EB254B"/>
    <w:rsid w:val="00EB39F1"/>
    <w:rsid w:val="00EB472E"/>
    <w:rsid w:val="00EB5434"/>
    <w:rsid w:val="00EB5D6C"/>
    <w:rsid w:val="00EB6A9B"/>
    <w:rsid w:val="00EB76D6"/>
    <w:rsid w:val="00EC0178"/>
    <w:rsid w:val="00EC049F"/>
    <w:rsid w:val="00ED024E"/>
    <w:rsid w:val="00ED194C"/>
    <w:rsid w:val="00ED2C26"/>
    <w:rsid w:val="00ED3898"/>
    <w:rsid w:val="00ED5EC2"/>
    <w:rsid w:val="00EE0DF2"/>
    <w:rsid w:val="00EE21DD"/>
    <w:rsid w:val="00EE56DF"/>
    <w:rsid w:val="00EF0DB2"/>
    <w:rsid w:val="00EF1A24"/>
    <w:rsid w:val="00EF1BF1"/>
    <w:rsid w:val="00EF71E1"/>
    <w:rsid w:val="00F01BD5"/>
    <w:rsid w:val="00F0264E"/>
    <w:rsid w:val="00F05EAF"/>
    <w:rsid w:val="00F06D7C"/>
    <w:rsid w:val="00F1049D"/>
    <w:rsid w:val="00F119F0"/>
    <w:rsid w:val="00F147FD"/>
    <w:rsid w:val="00F15FC1"/>
    <w:rsid w:val="00F17762"/>
    <w:rsid w:val="00F23C5A"/>
    <w:rsid w:val="00F23E91"/>
    <w:rsid w:val="00F277D4"/>
    <w:rsid w:val="00F31104"/>
    <w:rsid w:val="00F34E93"/>
    <w:rsid w:val="00F4474B"/>
    <w:rsid w:val="00F513E5"/>
    <w:rsid w:val="00F5219B"/>
    <w:rsid w:val="00F53138"/>
    <w:rsid w:val="00F534C0"/>
    <w:rsid w:val="00F54930"/>
    <w:rsid w:val="00F5523B"/>
    <w:rsid w:val="00F623B6"/>
    <w:rsid w:val="00F6280F"/>
    <w:rsid w:val="00F62819"/>
    <w:rsid w:val="00F6394B"/>
    <w:rsid w:val="00F708D9"/>
    <w:rsid w:val="00F720FB"/>
    <w:rsid w:val="00F80602"/>
    <w:rsid w:val="00F81376"/>
    <w:rsid w:val="00F84C20"/>
    <w:rsid w:val="00F9056A"/>
    <w:rsid w:val="00F92112"/>
    <w:rsid w:val="00F9230A"/>
    <w:rsid w:val="00F92366"/>
    <w:rsid w:val="00F92753"/>
    <w:rsid w:val="00F9598E"/>
    <w:rsid w:val="00F96B32"/>
    <w:rsid w:val="00F9735A"/>
    <w:rsid w:val="00FA42F4"/>
    <w:rsid w:val="00FB0730"/>
    <w:rsid w:val="00FB0BC1"/>
    <w:rsid w:val="00FB14A0"/>
    <w:rsid w:val="00FB4E4A"/>
    <w:rsid w:val="00FB6D3A"/>
    <w:rsid w:val="00FB7924"/>
    <w:rsid w:val="00FB7F35"/>
    <w:rsid w:val="00FC11D6"/>
    <w:rsid w:val="00FC48DD"/>
    <w:rsid w:val="00FC569E"/>
    <w:rsid w:val="00FC67E5"/>
    <w:rsid w:val="00FC6BFF"/>
    <w:rsid w:val="00FD04EB"/>
    <w:rsid w:val="00FD1036"/>
    <w:rsid w:val="00FD131D"/>
    <w:rsid w:val="00FD5177"/>
    <w:rsid w:val="00FE35E1"/>
    <w:rsid w:val="00FE6D86"/>
    <w:rsid w:val="00FF0DA7"/>
    <w:rsid w:val="00FF3276"/>
    <w:rsid w:val="00FF5B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B4E02C0-708B-4F74-A2AF-4766153E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basedOn w:val="Normal"/>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semiHidden/>
    <w:rsid w:val="00D6679C"/>
    <w:rPr>
      <w:rFonts w:ascii="Courier" w:hAnsi="Courier"/>
      <w:lang w:val="en-US" w:eastAsia="en-US"/>
    </w:rPr>
  </w:style>
  <w:style w:type="character" w:styleId="FollowedHyperlink">
    <w:name w:val="FollowedHyperlink"/>
    <w:basedOn w:val="DefaultParagraphFont"/>
    <w:semiHidden/>
    <w:unhideWhenUsed/>
    <w:rsid w:val="00C80C2E"/>
    <w:rPr>
      <w:color w:val="800080" w:themeColor="followedHyperlink"/>
      <w:u w:val="single"/>
    </w:rPr>
  </w:style>
  <w:style w:type="paragraph" w:styleId="NormalWeb">
    <w:name w:val="Normal (Web)"/>
    <w:basedOn w:val="Normal"/>
    <w:uiPriority w:val="99"/>
    <w:unhideWhenUsed/>
    <w:rsid w:val="00BB12B2"/>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_dlc_DocId>
    <_dlc_DocIdUrl xmlns="5ebeba3d-fd60-4dcb-8548-a9fd3c51d9ff">
      <Url>https://intranet.undp.org/unit/office/exo/sp2014/SP201417/_layouts/DocIdRedir.aspx?ID=UNITOFFICE-440-3</Url>
      <Description>UNITOFFICE-440-3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2.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3.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4.xml><?xml version="1.0" encoding="utf-8"?>
<ds:datastoreItem xmlns:ds="http://schemas.openxmlformats.org/officeDocument/2006/customXml" ds:itemID="{B6B2BE2B-167E-4723-ACEA-F0FD3590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89FBD6-E8C6-4F94-A290-691D14C5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3236</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3736</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2</cp:revision>
  <cp:lastPrinted>2013-11-25T21:23:00Z</cp:lastPrinted>
  <dcterms:created xsi:type="dcterms:W3CDTF">2016-05-24T16:40:00Z</dcterms:created>
  <dcterms:modified xsi:type="dcterms:W3CDTF">2016-05-24T16:40:00Z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d85662d7-541b-4ade-8939-e23478cf5ab7</vt:lpwstr>
  </property>
</Properties>
</file>