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168" w:rsidRPr="00517955" w:rsidRDefault="008A3D3B" w:rsidP="00844110">
      <w:pPr>
        <w:pStyle w:val="Heading3"/>
      </w:pPr>
      <w:r>
        <w:t xml:space="preserve"> </w:t>
      </w:r>
      <w:r w:rsidR="00844110">
        <w:t>Country:</w:t>
      </w:r>
      <w:r w:rsidR="00844110">
        <w:tab/>
      </w:r>
      <w:r w:rsidR="00844110">
        <w:tab/>
        <w:t>[NIGERIA</w:t>
      </w:r>
      <w:r w:rsidR="005C6168" w:rsidRPr="00517955">
        <w:t>]</w:t>
      </w:r>
    </w:p>
    <w:p w:rsidR="005C6168" w:rsidRPr="00517955" w:rsidRDefault="005C6168">
      <w:pPr>
        <w:pStyle w:val="Heading3"/>
        <w:rPr>
          <w:rFonts w:asciiTheme="minorHAnsi" w:hAnsiTheme="minorHAnsi"/>
        </w:rPr>
      </w:pPr>
    </w:p>
    <w:p w:rsidR="005C6168" w:rsidRPr="00517955" w:rsidRDefault="00BC38E0">
      <w:pPr>
        <w:pStyle w:val="Heading3"/>
        <w:rPr>
          <w:rFonts w:asciiTheme="minorHAnsi" w:hAnsiTheme="minorHAnsi"/>
          <w:b/>
          <w:bCs w:val="0"/>
        </w:rPr>
      </w:pPr>
      <w:r w:rsidRPr="00517955">
        <w:rPr>
          <w:rFonts w:asciiTheme="minorHAnsi" w:hAnsiTheme="minorHAnsi"/>
          <w:b/>
          <w:bCs w:val="0"/>
        </w:rPr>
        <w:t>COUNTRY PROGRAMME</w:t>
      </w:r>
      <w:r w:rsidR="00B32ADA">
        <w:rPr>
          <w:rFonts w:asciiTheme="minorHAnsi" w:hAnsiTheme="minorHAnsi"/>
          <w:b/>
          <w:bCs w:val="0"/>
        </w:rPr>
        <w:t xml:space="preserve"> PERFORMANCE SUMMARY</w:t>
      </w:r>
      <w:r w:rsidR="001F3524">
        <w:rPr>
          <w:rStyle w:val="FootnoteReference"/>
          <w:rFonts w:asciiTheme="minorHAnsi" w:hAnsiTheme="minorHAnsi"/>
          <w:b/>
          <w:bCs w:val="0"/>
        </w:rPr>
        <w:footnoteReference w:id="1"/>
      </w:r>
    </w:p>
    <w:p w:rsidR="005C6168" w:rsidRPr="00517955" w:rsidRDefault="005C6168">
      <w:pPr>
        <w:pStyle w:val="Heading3"/>
        <w:rPr>
          <w:rFonts w:asciiTheme="minorHAnsi" w:hAnsiTheme="minorHAnsi"/>
          <w:b/>
        </w:rPr>
      </w:pPr>
    </w:p>
    <w:p w:rsidR="005C6168" w:rsidRPr="00517955" w:rsidRDefault="00537A80">
      <w:pPr>
        <w:pStyle w:val="Heading3"/>
        <w:jc w:val="left"/>
        <w:rPr>
          <w:rFonts w:asciiTheme="minorHAnsi" w:hAnsiTheme="minorHAnsi"/>
        </w:rPr>
      </w:pPr>
      <w:r>
        <w:rPr>
          <w:rFonts w:asciiTheme="minorHAnsi" w:hAnsiTheme="minorHAnsi"/>
        </w:rPr>
        <w:t xml:space="preserve">Reporting period: </w:t>
      </w:r>
      <w:r>
        <w:rPr>
          <w:rFonts w:asciiTheme="minorHAnsi" w:hAnsiTheme="minorHAnsi"/>
        </w:rPr>
        <w:tab/>
        <w:t>201</w:t>
      </w:r>
      <w:r w:rsidR="00844110">
        <w:rPr>
          <w:rFonts w:asciiTheme="minorHAnsi" w:hAnsiTheme="minorHAnsi"/>
        </w:rPr>
        <w:t>4-2017</w:t>
      </w:r>
    </w:p>
    <w:p w:rsidR="005C6168" w:rsidRPr="00517955" w:rsidRDefault="005C6168">
      <w:pPr>
        <w:pStyle w:val="Heading3"/>
        <w:rPr>
          <w:rFonts w:asciiTheme="minorHAnsi" w:hAnsiTheme="minorHAnsi"/>
        </w:rPr>
      </w:pPr>
    </w:p>
    <w:p w:rsidR="005C6168" w:rsidRPr="00517955" w:rsidRDefault="005C6168">
      <w:pPr>
        <w:rPr>
          <w:rFonts w:asciiTheme="minorHAnsi" w:hAnsiTheme="minorHAnsi"/>
        </w:rPr>
      </w:pPr>
    </w:p>
    <w:p w:rsidR="005C6168" w:rsidRPr="00517955" w:rsidRDefault="005C6168">
      <w:pPr>
        <w:pStyle w:val="Heading3"/>
        <w:rPr>
          <w:rFonts w:asciiTheme="minorHAnsi" w:hAnsiTheme="minorHAnsi"/>
          <w:b/>
          <w:bCs w:val="0"/>
        </w:rPr>
      </w:pPr>
      <w:r w:rsidRPr="00517955">
        <w:rPr>
          <w:rFonts w:asciiTheme="minorHAnsi" w:hAnsiTheme="minorHAnsi"/>
          <w:b/>
          <w:bCs w:val="0"/>
        </w:rPr>
        <w:t xml:space="preserve">I.  </w:t>
      </w:r>
      <w:r w:rsidR="0064746F">
        <w:rPr>
          <w:rFonts w:asciiTheme="minorHAnsi" w:hAnsiTheme="minorHAnsi"/>
          <w:b/>
          <w:bCs w:val="0"/>
        </w:rPr>
        <w:t>EXECUTIVE SUMMARY</w:t>
      </w:r>
      <w:bookmarkStart w:id="0" w:name="_GoBack"/>
      <w:bookmarkEnd w:id="0"/>
    </w:p>
    <w:p w:rsidR="005C6168" w:rsidRDefault="005C6168" w:rsidP="00363EC5">
      <w:pPr>
        <w:pStyle w:val="BodyText"/>
        <w:rPr>
          <w:rFonts w:asciiTheme="minorHAnsi" w:hAnsiTheme="minorHAnsi"/>
        </w:rPr>
      </w:pPr>
    </w:p>
    <w:p w:rsidR="00DC6B2C" w:rsidRDefault="00DC6B2C" w:rsidP="00DC6B2C">
      <w:pPr>
        <w:pStyle w:val="BodyText2"/>
        <w:jc w:val="both"/>
        <w:rPr>
          <w:rFonts w:asciiTheme="minorHAnsi" w:hAnsiTheme="minorHAnsi"/>
          <w:sz w:val="22"/>
          <w:szCs w:val="22"/>
        </w:rPr>
      </w:pPr>
      <w:r w:rsidRPr="00DC6B2C">
        <w:rPr>
          <w:rFonts w:asciiTheme="minorHAnsi" w:hAnsiTheme="minorHAnsi"/>
          <w:sz w:val="22"/>
          <w:szCs w:val="22"/>
        </w:rPr>
        <w:t xml:space="preserve">UNDP Nigeria </w:t>
      </w:r>
      <w:r w:rsidR="00200526">
        <w:rPr>
          <w:rFonts w:asciiTheme="minorHAnsi" w:hAnsiTheme="minorHAnsi"/>
          <w:sz w:val="22"/>
          <w:szCs w:val="22"/>
        </w:rPr>
        <w:t>provided technical and programmatic support to governance institutions, which improved inclusiveness, transparency and enhanced citizen</w:t>
      </w:r>
      <w:r w:rsidR="008A3D3B">
        <w:rPr>
          <w:rFonts w:asciiTheme="minorHAnsi" w:hAnsiTheme="minorHAnsi"/>
          <w:sz w:val="22"/>
          <w:szCs w:val="22"/>
        </w:rPr>
        <w:t>s</w:t>
      </w:r>
      <w:r w:rsidR="00200526">
        <w:rPr>
          <w:rFonts w:asciiTheme="minorHAnsi" w:hAnsiTheme="minorHAnsi"/>
          <w:sz w:val="22"/>
          <w:szCs w:val="22"/>
        </w:rPr>
        <w:t xml:space="preserve">’ participation in public policy-making. Its electoral support engagements </w:t>
      </w:r>
      <w:r w:rsidRPr="00DC6B2C">
        <w:rPr>
          <w:rFonts w:asciiTheme="minorHAnsi" w:hAnsiTheme="minorHAnsi"/>
          <w:sz w:val="22"/>
          <w:szCs w:val="22"/>
        </w:rPr>
        <w:t>contributed to</w:t>
      </w:r>
      <w:r w:rsidR="00200526">
        <w:rPr>
          <w:rFonts w:asciiTheme="minorHAnsi" w:hAnsiTheme="minorHAnsi"/>
          <w:sz w:val="22"/>
          <w:szCs w:val="22"/>
        </w:rPr>
        <w:t xml:space="preserve"> peaceful, credible and transparent</w:t>
      </w:r>
      <w:r w:rsidRPr="00DC6B2C">
        <w:rPr>
          <w:rFonts w:asciiTheme="minorHAnsi" w:hAnsiTheme="minorHAnsi"/>
          <w:sz w:val="22"/>
          <w:szCs w:val="22"/>
        </w:rPr>
        <w:t xml:space="preserve"> </w:t>
      </w:r>
      <w:r w:rsidR="008A3D3B">
        <w:rPr>
          <w:rFonts w:asciiTheme="minorHAnsi" w:hAnsiTheme="minorHAnsi"/>
          <w:sz w:val="22"/>
          <w:szCs w:val="22"/>
        </w:rPr>
        <w:t xml:space="preserve">elections in </w:t>
      </w:r>
      <w:r w:rsidRPr="00DC6B2C">
        <w:rPr>
          <w:rFonts w:asciiTheme="minorHAnsi" w:hAnsiTheme="minorHAnsi"/>
          <w:sz w:val="22"/>
          <w:szCs w:val="22"/>
        </w:rPr>
        <w:t>2015.</w:t>
      </w:r>
      <w:r w:rsidR="00200526">
        <w:rPr>
          <w:rFonts w:asciiTheme="minorHAnsi" w:hAnsiTheme="minorHAnsi"/>
          <w:sz w:val="22"/>
          <w:szCs w:val="22"/>
        </w:rPr>
        <w:t xml:space="preserve"> </w:t>
      </w:r>
      <w:r w:rsidR="00F476FE">
        <w:rPr>
          <w:rFonts w:asciiTheme="minorHAnsi" w:hAnsiTheme="minorHAnsi"/>
          <w:sz w:val="22"/>
          <w:szCs w:val="22"/>
        </w:rPr>
        <w:t xml:space="preserve">The </w:t>
      </w:r>
      <w:r w:rsidR="00200526">
        <w:rPr>
          <w:rFonts w:asciiTheme="minorHAnsi" w:hAnsiTheme="minorHAnsi"/>
          <w:sz w:val="22"/>
          <w:szCs w:val="22"/>
        </w:rPr>
        <w:t>anti-corruption programme strengthened institutional capacity to prevent corruption and empowered the civil society to engage, while response mechanisms to human rights violations were enhanced. UNDP’s peacebuilding programme contributed to durable solutions to the vulnerable through early recovery for victims of conflicts, prevention of small arms and light weapons proliferation, countering violent extremism and promotion of social cohesion.</w:t>
      </w:r>
      <w:r w:rsidRPr="00DC6B2C">
        <w:rPr>
          <w:rFonts w:asciiTheme="minorHAnsi" w:hAnsiTheme="minorHAnsi"/>
          <w:sz w:val="22"/>
          <w:szCs w:val="22"/>
        </w:rPr>
        <w:t xml:space="preserve"> The UNDP/BMGF project which was designed to support the Agricultural Transformation Agenda (ATA), also recorded success in terms of responding to the national strategy for the ATA. Other achievements include the use of the Early Recovery Global Cluster and HQ (CRU/BPPS), which resulted in the formal establishment of an Early Recovery and Livelihoods Sector under the HCT. The quality of this structured engagement resulted in C</w:t>
      </w:r>
      <w:r w:rsidR="00F476FE">
        <w:rPr>
          <w:rFonts w:asciiTheme="minorHAnsi" w:hAnsiTheme="minorHAnsi"/>
          <w:sz w:val="22"/>
          <w:szCs w:val="22"/>
        </w:rPr>
        <w:t>ountry Office (C</w:t>
      </w:r>
      <w:r w:rsidRPr="00DC6B2C">
        <w:rPr>
          <w:rFonts w:asciiTheme="minorHAnsi" w:hAnsiTheme="minorHAnsi"/>
          <w:sz w:val="22"/>
          <w:szCs w:val="22"/>
        </w:rPr>
        <w:t>O</w:t>
      </w:r>
      <w:r w:rsidR="00F476FE">
        <w:rPr>
          <w:rFonts w:asciiTheme="minorHAnsi" w:hAnsiTheme="minorHAnsi"/>
          <w:sz w:val="22"/>
          <w:szCs w:val="22"/>
        </w:rPr>
        <w:t>)</w:t>
      </w:r>
      <w:r w:rsidRPr="00DC6B2C">
        <w:rPr>
          <w:rFonts w:asciiTheme="minorHAnsi" w:hAnsiTheme="minorHAnsi"/>
          <w:sz w:val="22"/>
          <w:szCs w:val="22"/>
        </w:rPr>
        <w:t xml:space="preserve"> staff support to other COs, </w:t>
      </w:r>
      <w:r w:rsidR="00F476FE">
        <w:rPr>
          <w:rFonts w:asciiTheme="minorHAnsi" w:hAnsiTheme="minorHAnsi"/>
          <w:sz w:val="22"/>
          <w:szCs w:val="22"/>
        </w:rPr>
        <w:t>Regional Service Center in Addis Ababa (</w:t>
      </w:r>
      <w:r w:rsidRPr="00DC6B2C">
        <w:rPr>
          <w:rFonts w:asciiTheme="minorHAnsi" w:hAnsiTheme="minorHAnsi"/>
          <w:sz w:val="22"/>
          <w:szCs w:val="22"/>
        </w:rPr>
        <w:t>RSCA</w:t>
      </w:r>
      <w:r w:rsidR="00F476FE">
        <w:rPr>
          <w:rFonts w:asciiTheme="minorHAnsi" w:hAnsiTheme="minorHAnsi"/>
          <w:sz w:val="22"/>
          <w:szCs w:val="22"/>
        </w:rPr>
        <w:t>)</w:t>
      </w:r>
      <w:r w:rsidRPr="00DC6B2C">
        <w:rPr>
          <w:rFonts w:asciiTheme="minorHAnsi" w:hAnsiTheme="minorHAnsi"/>
          <w:sz w:val="22"/>
          <w:szCs w:val="22"/>
        </w:rPr>
        <w:t xml:space="preserve"> and HQ initiatives through detailed assignments and technical advisory services in line with our mandate/partnership. </w:t>
      </w:r>
    </w:p>
    <w:p w:rsidR="00F476FE" w:rsidRPr="00DC6B2C" w:rsidRDefault="00F476FE" w:rsidP="00DC6B2C">
      <w:pPr>
        <w:pStyle w:val="BodyText2"/>
        <w:jc w:val="both"/>
        <w:rPr>
          <w:rFonts w:asciiTheme="minorHAnsi" w:hAnsiTheme="minorHAnsi"/>
          <w:sz w:val="22"/>
          <w:szCs w:val="22"/>
        </w:rPr>
      </w:pPr>
    </w:p>
    <w:p w:rsidR="00DC6B2C" w:rsidRPr="00DC6B2C" w:rsidRDefault="00DC6B2C" w:rsidP="00DC6B2C">
      <w:pPr>
        <w:pStyle w:val="BodyText2"/>
        <w:jc w:val="both"/>
        <w:rPr>
          <w:rFonts w:asciiTheme="minorHAnsi" w:hAnsiTheme="minorHAnsi"/>
          <w:sz w:val="22"/>
          <w:szCs w:val="22"/>
        </w:rPr>
      </w:pPr>
      <w:r w:rsidRPr="00DC6B2C">
        <w:rPr>
          <w:rFonts w:asciiTheme="minorHAnsi" w:hAnsiTheme="minorHAnsi"/>
          <w:sz w:val="22"/>
          <w:szCs w:val="22"/>
        </w:rPr>
        <w:t xml:space="preserve">The CO supported the Ministry of Environment to complete the formulation of the INDC approved by </w:t>
      </w:r>
      <w:r w:rsidR="008A3D3B">
        <w:rPr>
          <w:rFonts w:asciiTheme="minorHAnsi" w:hAnsiTheme="minorHAnsi"/>
          <w:sz w:val="22"/>
          <w:szCs w:val="22"/>
        </w:rPr>
        <w:t xml:space="preserve">the </w:t>
      </w:r>
      <w:r w:rsidRPr="00DC6B2C">
        <w:rPr>
          <w:rFonts w:asciiTheme="minorHAnsi" w:hAnsiTheme="minorHAnsi"/>
          <w:sz w:val="22"/>
          <w:szCs w:val="22"/>
        </w:rPr>
        <w:t>Government and supported Nigeria’s engagement at COP 21. Th</w:t>
      </w:r>
      <w:r w:rsidR="00FD0E4D">
        <w:rPr>
          <w:rFonts w:asciiTheme="minorHAnsi" w:hAnsiTheme="minorHAnsi"/>
          <w:sz w:val="22"/>
          <w:szCs w:val="22"/>
        </w:rPr>
        <w:t>is</w:t>
      </w:r>
      <w:r w:rsidRPr="00DC6B2C">
        <w:rPr>
          <w:rFonts w:asciiTheme="minorHAnsi" w:hAnsiTheme="minorHAnsi"/>
          <w:sz w:val="22"/>
          <w:szCs w:val="22"/>
        </w:rPr>
        <w:t xml:space="preserve"> has strengthened UNDP’s partnership with the Government in implementation of the INDC and Paris Agreements as requested by the Ministry of Environment.</w:t>
      </w:r>
    </w:p>
    <w:p w:rsidR="00DC6B2C" w:rsidRPr="00DC6B2C" w:rsidRDefault="00DC6B2C" w:rsidP="00DC6B2C">
      <w:pPr>
        <w:pStyle w:val="BodyText2"/>
        <w:jc w:val="both"/>
        <w:rPr>
          <w:rFonts w:asciiTheme="minorHAnsi" w:hAnsiTheme="minorHAnsi"/>
          <w:sz w:val="22"/>
          <w:szCs w:val="22"/>
        </w:rPr>
      </w:pPr>
    </w:p>
    <w:p w:rsidR="00DC6B2C" w:rsidRPr="00DC6B2C" w:rsidRDefault="00DC6B2C" w:rsidP="00DC6B2C">
      <w:pPr>
        <w:pStyle w:val="BodyText2"/>
        <w:jc w:val="both"/>
        <w:rPr>
          <w:rFonts w:asciiTheme="minorHAnsi" w:hAnsiTheme="minorHAnsi"/>
          <w:sz w:val="22"/>
          <w:szCs w:val="22"/>
        </w:rPr>
      </w:pPr>
      <w:r w:rsidRPr="00DC6B2C">
        <w:rPr>
          <w:rFonts w:asciiTheme="minorHAnsi" w:hAnsiTheme="minorHAnsi"/>
          <w:sz w:val="22"/>
          <w:szCs w:val="22"/>
        </w:rPr>
        <w:t xml:space="preserve">In terms of implementation of </w:t>
      </w:r>
      <w:r w:rsidR="00F476FE">
        <w:rPr>
          <w:rFonts w:asciiTheme="minorHAnsi" w:hAnsiTheme="minorHAnsi"/>
          <w:sz w:val="22"/>
          <w:szCs w:val="22"/>
        </w:rPr>
        <w:t xml:space="preserve">the </w:t>
      </w:r>
      <w:r w:rsidRPr="00DC6B2C">
        <w:rPr>
          <w:rFonts w:asciiTheme="minorHAnsi" w:hAnsiTheme="minorHAnsi"/>
          <w:sz w:val="22"/>
          <w:szCs w:val="22"/>
        </w:rPr>
        <w:t xml:space="preserve">Partnership and Resource Mobilization Strategy </w:t>
      </w:r>
      <w:r w:rsidR="00F476FE">
        <w:rPr>
          <w:rFonts w:asciiTheme="minorHAnsi" w:hAnsiTheme="minorHAnsi"/>
          <w:sz w:val="22"/>
          <w:szCs w:val="22"/>
        </w:rPr>
        <w:t>in a bid to meet</w:t>
      </w:r>
      <w:r w:rsidRPr="00DC6B2C">
        <w:rPr>
          <w:rFonts w:asciiTheme="minorHAnsi" w:hAnsiTheme="minorHAnsi"/>
          <w:sz w:val="22"/>
          <w:szCs w:val="22"/>
        </w:rPr>
        <w:t xml:space="preserve"> UNDAF/CPD 2014-2017 programmatic commitments, the CO prioritized its support to focus on critical interventions to provide strategic policy advice, frameworks and tools that </w:t>
      </w:r>
      <w:r w:rsidR="00F476FE">
        <w:rPr>
          <w:rFonts w:asciiTheme="minorHAnsi" w:hAnsiTheme="minorHAnsi"/>
          <w:sz w:val="22"/>
          <w:szCs w:val="22"/>
        </w:rPr>
        <w:t>were</w:t>
      </w:r>
      <w:r w:rsidRPr="00DC6B2C">
        <w:rPr>
          <w:rFonts w:asciiTheme="minorHAnsi" w:hAnsiTheme="minorHAnsi"/>
          <w:sz w:val="22"/>
          <w:szCs w:val="22"/>
        </w:rPr>
        <w:t xml:space="preserve"> applied for use at the State level </w:t>
      </w:r>
      <w:r w:rsidR="00F476FE">
        <w:rPr>
          <w:rFonts w:asciiTheme="minorHAnsi" w:hAnsiTheme="minorHAnsi"/>
          <w:sz w:val="22"/>
          <w:szCs w:val="22"/>
        </w:rPr>
        <w:t>and supported the transition</w:t>
      </w:r>
      <w:r w:rsidRPr="00DC6B2C">
        <w:rPr>
          <w:rFonts w:asciiTheme="minorHAnsi" w:hAnsiTheme="minorHAnsi"/>
          <w:sz w:val="22"/>
          <w:szCs w:val="22"/>
        </w:rPr>
        <w:t xml:space="preserve"> to the SDGs.</w:t>
      </w:r>
    </w:p>
    <w:p w:rsidR="00DC6B2C" w:rsidRPr="00DC6B2C" w:rsidRDefault="00DC6B2C" w:rsidP="00DC6B2C">
      <w:pPr>
        <w:pStyle w:val="BodyText2"/>
        <w:jc w:val="both"/>
        <w:rPr>
          <w:rFonts w:asciiTheme="minorHAnsi" w:hAnsiTheme="minorHAnsi"/>
          <w:sz w:val="22"/>
          <w:szCs w:val="22"/>
        </w:rPr>
      </w:pPr>
    </w:p>
    <w:p w:rsidR="00DC6B2C" w:rsidRPr="00DC6B2C" w:rsidRDefault="00DC6B2C" w:rsidP="00DC6B2C">
      <w:pPr>
        <w:pStyle w:val="BodyText2"/>
        <w:jc w:val="both"/>
        <w:rPr>
          <w:rFonts w:asciiTheme="minorHAnsi" w:hAnsiTheme="minorHAnsi"/>
          <w:sz w:val="22"/>
          <w:szCs w:val="22"/>
        </w:rPr>
      </w:pPr>
      <w:r w:rsidRPr="00DC6B2C">
        <w:rPr>
          <w:rFonts w:asciiTheme="minorHAnsi" w:hAnsiTheme="minorHAnsi"/>
          <w:sz w:val="22"/>
          <w:szCs w:val="22"/>
        </w:rPr>
        <w:t>UNDP as the lead for the UNDAF Good Governance Pillar has continued to ensure that clear engagements are well defined through mainstreaming of the SDGs as a governance issue as well as supporting increased women's representation in democratic processes in partnership with UN</w:t>
      </w:r>
      <w:r w:rsidR="00FD0E4D">
        <w:rPr>
          <w:rFonts w:asciiTheme="minorHAnsi" w:hAnsiTheme="minorHAnsi"/>
          <w:sz w:val="22"/>
          <w:szCs w:val="22"/>
        </w:rPr>
        <w:t xml:space="preserve"> </w:t>
      </w:r>
      <w:r w:rsidRPr="00DC6B2C">
        <w:rPr>
          <w:rFonts w:asciiTheme="minorHAnsi" w:hAnsiTheme="minorHAnsi"/>
          <w:sz w:val="22"/>
          <w:szCs w:val="22"/>
        </w:rPr>
        <w:t>W</w:t>
      </w:r>
      <w:r w:rsidR="00FD0E4D">
        <w:rPr>
          <w:rFonts w:asciiTheme="minorHAnsi" w:hAnsiTheme="minorHAnsi"/>
          <w:sz w:val="22"/>
          <w:szCs w:val="22"/>
        </w:rPr>
        <w:t>omen</w:t>
      </w:r>
      <w:r w:rsidRPr="00DC6B2C">
        <w:rPr>
          <w:rFonts w:asciiTheme="minorHAnsi" w:hAnsiTheme="minorHAnsi"/>
          <w:sz w:val="22"/>
          <w:szCs w:val="22"/>
        </w:rPr>
        <w:t>. Other inter-agency collaborations undertaken are strengthening CSO engagement in anti-corruption</w:t>
      </w:r>
      <w:r w:rsidR="00FD0E4D">
        <w:rPr>
          <w:rFonts w:asciiTheme="minorHAnsi" w:hAnsiTheme="minorHAnsi"/>
          <w:sz w:val="22"/>
          <w:szCs w:val="22"/>
        </w:rPr>
        <w:t xml:space="preserve"> activities</w:t>
      </w:r>
      <w:r w:rsidRPr="00DC6B2C">
        <w:rPr>
          <w:rFonts w:asciiTheme="minorHAnsi" w:hAnsiTheme="minorHAnsi"/>
          <w:sz w:val="22"/>
          <w:szCs w:val="22"/>
        </w:rPr>
        <w:t xml:space="preserve"> in partnership with UNODC; and enhancing the legal environment to address issues of </w:t>
      </w:r>
      <w:r w:rsidR="00FD0E4D">
        <w:rPr>
          <w:rFonts w:asciiTheme="minorHAnsi" w:hAnsiTheme="minorHAnsi"/>
          <w:sz w:val="22"/>
          <w:szCs w:val="22"/>
        </w:rPr>
        <w:t>People Living with AIDS (</w:t>
      </w:r>
      <w:r w:rsidRPr="00DC6B2C">
        <w:rPr>
          <w:rFonts w:asciiTheme="minorHAnsi" w:hAnsiTheme="minorHAnsi"/>
          <w:sz w:val="22"/>
          <w:szCs w:val="22"/>
        </w:rPr>
        <w:t>PLWA</w:t>
      </w:r>
      <w:r w:rsidR="00FD0E4D">
        <w:rPr>
          <w:rFonts w:asciiTheme="minorHAnsi" w:hAnsiTheme="minorHAnsi"/>
          <w:sz w:val="22"/>
          <w:szCs w:val="22"/>
        </w:rPr>
        <w:t>)</w:t>
      </w:r>
      <w:r w:rsidRPr="00DC6B2C">
        <w:rPr>
          <w:rFonts w:asciiTheme="minorHAnsi" w:hAnsiTheme="minorHAnsi"/>
          <w:sz w:val="22"/>
          <w:szCs w:val="22"/>
        </w:rPr>
        <w:t xml:space="preserve"> and stigmatization of HIV/AIDS to get better access to services and support in partnership with UNAIDS, WHO and UN</w:t>
      </w:r>
      <w:r w:rsidR="00FD0E4D">
        <w:rPr>
          <w:rFonts w:asciiTheme="minorHAnsi" w:hAnsiTheme="minorHAnsi"/>
          <w:sz w:val="22"/>
          <w:szCs w:val="22"/>
        </w:rPr>
        <w:t xml:space="preserve"> </w:t>
      </w:r>
      <w:r w:rsidRPr="00DC6B2C">
        <w:rPr>
          <w:rFonts w:asciiTheme="minorHAnsi" w:hAnsiTheme="minorHAnsi"/>
          <w:sz w:val="22"/>
          <w:szCs w:val="22"/>
        </w:rPr>
        <w:t>W</w:t>
      </w:r>
      <w:r w:rsidR="00FD0E4D">
        <w:rPr>
          <w:rFonts w:asciiTheme="minorHAnsi" w:hAnsiTheme="minorHAnsi"/>
          <w:sz w:val="22"/>
          <w:szCs w:val="22"/>
        </w:rPr>
        <w:t>omen</w:t>
      </w:r>
      <w:r w:rsidRPr="00DC6B2C">
        <w:rPr>
          <w:rFonts w:asciiTheme="minorHAnsi" w:hAnsiTheme="minorHAnsi"/>
          <w:sz w:val="22"/>
          <w:szCs w:val="22"/>
        </w:rPr>
        <w:t>.</w:t>
      </w:r>
    </w:p>
    <w:p w:rsidR="00DC6B2C" w:rsidRPr="00DC6B2C" w:rsidRDefault="00DC6B2C" w:rsidP="00DC6B2C">
      <w:pPr>
        <w:pStyle w:val="BodyText2"/>
        <w:jc w:val="both"/>
        <w:rPr>
          <w:rFonts w:asciiTheme="minorHAnsi" w:hAnsiTheme="minorHAnsi"/>
          <w:sz w:val="22"/>
          <w:szCs w:val="22"/>
        </w:rPr>
      </w:pPr>
    </w:p>
    <w:p w:rsidR="0037523B" w:rsidRPr="00DB31C8" w:rsidRDefault="00DC6B2C" w:rsidP="004C4CF9">
      <w:pPr>
        <w:pStyle w:val="BodyText2"/>
        <w:jc w:val="both"/>
        <w:rPr>
          <w:rFonts w:asciiTheme="minorHAnsi" w:hAnsiTheme="minorHAnsi"/>
          <w:sz w:val="22"/>
          <w:szCs w:val="22"/>
        </w:rPr>
        <w:sectPr w:rsidR="0037523B" w:rsidRPr="00DB31C8">
          <w:headerReference w:type="default" r:id="rId13"/>
          <w:footerReference w:type="default" r:id="rId14"/>
          <w:endnotePr>
            <w:numFmt w:val="decimal"/>
          </w:endnotePr>
          <w:pgSz w:w="11907" w:h="16840" w:code="9"/>
          <w:pgMar w:top="1440" w:right="1440" w:bottom="1440" w:left="1440" w:header="720" w:footer="720" w:gutter="0"/>
          <w:cols w:space="720"/>
        </w:sectPr>
      </w:pPr>
      <w:r w:rsidRPr="00DC6B2C">
        <w:rPr>
          <w:rFonts w:asciiTheme="minorHAnsi" w:hAnsiTheme="minorHAnsi"/>
          <w:sz w:val="22"/>
          <w:szCs w:val="22"/>
        </w:rPr>
        <w:t xml:space="preserve">UNDP supported government in the development and implementation of a National Action Plan to address Gender-based </w:t>
      </w:r>
      <w:r w:rsidR="00FD0E4D">
        <w:rPr>
          <w:rFonts w:asciiTheme="minorHAnsi" w:hAnsiTheme="minorHAnsi"/>
          <w:sz w:val="22"/>
          <w:szCs w:val="22"/>
        </w:rPr>
        <w:t>v</w:t>
      </w:r>
      <w:r w:rsidR="00FD0E4D" w:rsidRPr="00DC6B2C">
        <w:rPr>
          <w:rFonts w:asciiTheme="minorHAnsi" w:hAnsiTheme="minorHAnsi"/>
          <w:sz w:val="22"/>
          <w:szCs w:val="22"/>
        </w:rPr>
        <w:t xml:space="preserve">iolence </w:t>
      </w:r>
      <w:r w:rsidRPr="00DC6B2C">
        <w:rPr>
          <w:rFonts w:asciiTheme="minorHAnsi" w:hAnsiTheme="minorHAnsi"/>
          <w:sz w:val="22"/>
          <w:szCs w:val="22"/>
        </w:rPr>
        <w:t>a</w:t>
      </w:r>
      <w:r w:rsidR="00FD0E4D">
        <w:rPr>
          <w:rFonts w:asciiTheme="minorHAnsi" w:hAnsiTheme="minorHAnsi"/>
          <w:sz w:val="22"/>
          <w:szCs w:val="22"/>
        </w:rPr>
        <w:t xml:space="preserve">s well as </w:t>
      </w:r>
      <w:r w:rsidR="00AF320A">
        <w:rPr>
          <w:rFonts w:asciiTheme="minorHAnsi" w:hAnsiTheme="minorHAnsi"/>
          <w:sz w:val="22"/>
          <w:szCs w:val="22"/>
        </w:rPr>
        <w:t>support to review the l</w:t>
      </w:r>
      <w:r w:rsidR="003F0F1F">
        <w:rPr>
          <w:rFonts w:asciiTheme="minorHAnsi" w:hAnsiTheme="minorHAnsi"/>
          <w:sz w:val="22"/>
          <w:szCs w:val="22"/>
        </w:rPr>
        <w:t xml:space="preserve">egal </w:t>
      </w:r>
      <w:r w:rsidR="00AF320A">
        <w:rPr>
          <w:rFonts w:asciiTheme="minorHAnsi" w:hAnsiTheme="minorHAnsi"/>
          <w:sz w:val="22"/>
          <w:szCs w:val="22"/>
        </w:rPr>
        <w:t>e</w:t>
      </w:r>
      <w:r w:rsidR="003F0F1F">
        <w:rPr>
          <w:rFonts w:asciiTheme="minorHAnsi" w:hAnsiTheme="minorHAnsi"/>
          <w:sz w:val="22"/>
          <w:szCs w:val="22"/>
        </w:rPr>
        <w:t xml:space="preserve">nvironment for </w:t>
      </w:r>
      <w:r w:rsidRPr="00DC6B2C">
        <w:rPr>
          <w:rFonts w:asciiTheme="minorHAnsi" w:hAnsiTheme="minorHAnsi"/>
          <w:sz w:val="22"/>
          <w:szCs w:val="22"/>
        </w:rPr>
        <w:t xml:space="preserve">HIV/AIDS </w:t>
      </w:r>
      <w:r w:rsidR="00AF320A">
        <w:rPr>
          <w:rFonts w:asciiTheme="minorHAnsi" w:hAnsiTheme="minorHAnsi"/>
          <w:sz w:val="22"/>
          <w:szCs w:val="22"/>
        </w:rPr>
        <w:t>affected p</w:t>
      </w:r>
      <w:r w:rsidR="003F0F1F">
        <w:rPr>
          <w:rFonts w:asciiTheme="minorHAnsi" w:hAnsiTheme="minorHAnsi"/>
          <w:sz w:val="22"/>
          <w:szCs w:val="22"/>
        </w:rPr>
        <w:t xml:space="preserve">opulations. </w:t>
      </w:r>
      <w:r w:rsidR="00DB31C8">
        <w:rPr>
          <w:rFonts w:asciiTheme="minorHAnsi" w:hAnsiTheme="minorHAnsi"/>
          <w:sz w:val="22"/>
          <w:szCs w:val="22"/>
        </w:rPr>
        <w:t>To close</w:t>
      </w:r>
      <w:r w:rsidR="00DB31C8" w:rsidRPr="00DB31C8">
        <w:rPr>
          <w:rFonts w:asciiTheme="minorHAnsi" w:hAnsiTheme="minorHAnsi"/>
          <w:sz w:val="22"/>
          <w:szCs w:val="22"/>
        </w:rPr>
        <w:t xml:space="preserve"> gender gaps in the workplace, UNDP </w:t>
      </w:r>
      <w:r w:rsidR="00DB31C8">
        <w:rPr>
          <w:rFonts w:asciiTheme="minorHAnsi" w:hAnsiTheme="minorHAnsi"/>
          <w:sz w:val="22"/>
          <w:szCs w:val="22"/>
        </w:rPr>
        <w:t>Nigeria</w:t>
      </w:r>
      <w:r w:rsidR="00AF320A">
        <w:rPr>
          <w:rFonts w:asciiTheme="minorHAnsi" w:hAnsiTheme="minorHAnsi"/>
          <w:sz w:val="22"/>
          <w:szCs w:val="22"/>
        </w:rPr>
        <w:t xml:space="preserve"> is</w:t>
      </w:r>
      <w:r w:rsidR="00DB31C8">
        <w:rPr>
          <w:rFonts w:asciiTheme="minorHAnsi" w:hAnsiTheme="minorHAnsi"/>
          <w:sz w:val="22"/>
          <w:szCs w:val="22"/>
        </w:rPr>
        <w:t xml:space="preserve"> </w:t>
      </w:r>
      <w:r w:rsidR="00DB31C8" w:rsidRPr="00DB31C8">
        <w:rPr>
          <w:rFonts w:asciiTheme="minorHAnsi" w:hAnsiTheme="minorHAnsi"/>
          <w:sz w:val="22"/>
          <w:szCs w:val="22"/>
        </w:rPr>
        <w:t>implement</w:t>
      </w:r>
      <w:r w:rsidR="00AF320A">
        <w:rPr>
          <w:rFonts w:asciiTheme="minorHAnsi" w:hAnsiTheme="minorHAnsi"/>
          <w:sz w:val="22"/>
          <w:szCs w:val="22"/>
        </w:rPr>
        <w:t>ing</w:t>
      </w:r>
      <w:r w:rsidR="00DB31C8" w:rsidRPr="00DB31C8">
        <w:rPr>
          <w:rFonts w:asciiTheme="minorHAnsi" w:hAnsiTheme="minorHAnsi"/>
          <w:sz w:val="22"/>
          <w:szCs w:val="22"/>
        </w:rPr>
        <w:t xml:space="preserve"> </w:t>
      </w:r>
      <w:r w:rsidR="00AF320A">
        <w:rPr>
          <w:rFonts w:asciiTheme="minorHAnsi" w:hAnsiTheme="minorHAnsi"/>
          <w:sz w:val="22"/>
          <w:szCs w:val="22"/>
        </w:rPr>
        <w:t>the UNDP</w:t>
      </w:r>
      <w:r w:rsidR="00AF320A" w:rsidRPr="00DB31C8">
        <w:rPr>
          <w:rFonts w:asciiTheme="minorHAnsi" w:hAnsiTheme="minorHAnsi"/>
          <w:sz w:val="22"/>
          <w:szCs w:val="22"/>
        </w:rPr>
        <w:t xml:space="preserve"> </w:t>
      </w:r>
      <w:r w:rsidR="00DB31C8" w:rsidRPr="00DB31C8">
        <w:rPr>
          <w:rFonts w:asciiTheme="minorHAnsi" w:hAnsiTheme="minorHAnsi"/>
          <w:sz w:val="22"/>
          <w:szCs w:val="22"/>
        </w:rPr>
        <w:t>Gender Equality Seal Certification Programme</w:t>
      </w:r>
      <w:r w:rsidR="00DB31C8">
        <w:rPr>
          <w:rFonts w:asciiTheme="minorHAnsi" w:hAnsiTheme="minorHAnsi"/>
          <w:sz w:val="22"/>
          <w:szCs w:val="22"/>
        </w:rPr>
        <w:t xml:space="preserve"> and </w:t>
      </w:r>
      <w:r w:rsidR="00AF320A">
        <w:rPr>
          <w:rFonts w:asciiTheme="minorHAnsi" w:hAnsiTheme="minorHAnsi"/>
          <w:sz w:val="22"/>
          <w:szCs w:val="22"/>
        </w:rPr>
        <w:t xml:space="preserve">has attained </w:t>
      </w:r>
      <w:r w:rsidR="00DB31C8">
        <w:rPr>
          <w:rFonts w:asciiTheme="minorHAnsi" w:hAnsiTheme="minorHAnsi"/>
          <w:sz w:val="22"/>
          <w:szCs w:val="22"/>
        </w:rPr>
        <w:t>a silver level certification.</w:t>
      </w:r>
    </w:p>
    <w:p w:rsidR="00975566" w:rsidRPr="00517955" w:rsidRDefault="006900FE" w:rsidP="008440D9">
      <w:pPr>
        <w:pStyle w:val="Heading3"/>
        <w:jc w:val="left"/>
        <w:rPr>
          <w:rFonts w:asciiTheme="minorHAnsi" w:hAnsiTheme="minorHAnsi"/>
          <w:b/>
        </w:rPr>
      </w:pPr>
      <w:r>
        <w:rPr>
          <w:rFonts w:asciiTheme="minorHAnsi" w:hAnsiTheme="minorHAnsi"/>
          <w:b/>
        </w:rPr>
        <w:lastRenderedPageBreak/>
        <w:t>II</w:t>
      </w:r>
      <w:r w:rsidR="0081403B" w:rsidRPr="00517955">
        <w:rPr>
          <w:rFonts w:asciiTheme="minorHAnsi" w:hAnsiTheme="minorHAnsi"/>
          <w:b/>
        </w:rPr>
        <w:t xml:space="preserve">: </w:t>
      </w:r>
      <w:r w:rsidR="000C09B4" w:rsidRPr="00517955">
        <w:rPr>
          <w:rFonts w:asciiTheme="minorHAnsi" w:hAnsiTheme="minorHAnsi"/>
          <w:b/>
        </w:rPr>
        <w:t xml:space="preserve">Country Programme Performance </w:t>
      </w:r>
      <w:r w:rsidR="00975566" w:rsidRPr="00517955">
        <w:rPr>
          <w:rFonts w:asciiTheme="minorHAnsi" w:hAnsiTheme="minorHAnsi"/>
          <w:b/>
        </w:rPr>
        <w:t>Summary</w:t>
      </w:r>
    </w:p>
    <w:p w:rsidR="00DC7354" w:rsidRDefault="00DC7354" w:rsidP="00975566">
      <w:pPr>
        <w:pStyle w:val="BodyText2"/>
        <w:jc w:val="center"/>
        <w:rPr>
          <w:rFonts w:ascii="Times New Roman" w:hAnsi="Times New Roman"/>
          <w:b/>
          <w:sz w:val="24"/>
        </w:rPr>
      </w:pPr>
    </w:p>
    <w:tbl>
      <w:tblPr>
        <w:tblW w:w="140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90"/>
        <w:gridCol w:w="1440"/>
        <w:gridCol w:w="3960"/>
        <w:gridCol w:w="5490"/>
      </w:tblGrid>
      <w:tr w:rsidR="00CB647D" w:rsidRPr="00DC7354" w:rsidTr="004C4CF9">
        <w:tc>
          <w:tcPr>
            <w:tcW w:w="3150" w:type="dxa"/>
            <w:gridSpan w:val="2"/>
            <w:tcBorders>
              <w:right w:val="nil"/>
            </w:tcBorders>
            <w:shd w:val="clear" w:color="auto" w:fill="FFC000"/>
          </w:tcPr>
          <w:p w:rsidR="00CB647D" w:rsidRPr="00A85E34" w:rsidRDefault="00CB647D">
            <w:pPr>
              <w:pStyle w:val="BodyText2"/>
              <w:rPr>
                <w:rFonts w:asciiTheme="minorHAnsi" w:hAnsiTheme="minorHAnsi"/>
                <w:b/>
                <w:sz w:val="24"/>
              </w:rPr>
            </w:pPr>
            <w:r w:rsidRPr="00A85E34">
              <w:rPr>
                <w:rFonts w:asciiTheme="minorHAnsi" w:hAnsiTheme="minorHAnsi"/>
                <w:b/>
              </w:rPr>
              <w:t>Country information</w:t>
            </w:r>
          </w:p>
        </w:tc>
        <w:tc>
          <w:tcPr>
            <w:tcW w:w="10890" w:type="dxa"/>
            <w:gridSpan w:val="3"/>
            <w:tcBorders>
              <w:left w:val="nil"/>
            </w:tcBorders>
            <w:shd w:val="clear" w:color="auto" w:fill="FFC000"/>
          </w:tcPr>
          <w:p w:rsidR="00CB647D" w:rsidRPr="00A85E34" w:rsidRDefault="00CB647D">
            <w:pPr>
              <w:pStyle w:val="BodyText2"/>
              <w:rPr>
                <w:rFonts w:asciiTheme="minorHAnsi" w:hAnsiTheme="minorHAnsi"/>
                <w:b/>
                <w:sz w:val="24"/>
              </w:rPr>
            </w:pPr>
          </w:p>
        </w:tc>
      </w:tr>
      <w:tr w:rsidR="009B76A1" w:rsidRPr="00DC7354" w:rsidTr="004C4CF9">
        <w:tc>
          <w:tcPr>
            <w:tcW w:w="14040" w:type="dxa"/>
            <w:gridSpan w:val="5"/>
          </w:tcPr>
          <w:p w:rsidR="009B76A1" w:rsidRPr="00DC7354" w:rsidRDefault="009B76A1">
            <w:pPr>
              <w:pStyle w:val="BodyText2"/>
              <w:rPr>
                <w:rFonts w:asciiTheme="minorHAnsi" w:hAnsiTheme="minorHAnsi"/>
                <w:b/>
                <w:sz w:val="24"/>
              </w:rPr>
            </w:pPr>
            <w:r w:rsidRPr="00230A0E">
              <w:rPr>
                <w:rFonts w:asciiTheme="minorHAnsi" w:hAnsiTheme="minorHAnsi"/>
                <w:b/>
              </w:rPr>
              <w:t>Country name:</w:t>
            </w:r>
            <w:r w:rsidR="00F476FE">
              <w:rPr>
                <w:rFonts w:asciiTheme="minorHAnsi" w:hAnsiTheme="minorHAnsi"/>
                <w:b/>
              </w:rPr>
              <w:t xml:space="preserve"> Nigeria</w:t>
            </w:r>
          </w:p>
        </w:tc>
      </w:tr>
      <w:tr w:rsidR="009B76A1" w:rsidRPr="00843006" w:rsidTr="004C4CF9">
        <w:tc>
          <w:tcPr>
            <w:tcW w:w="14040" w:type="dxa"/>
            <w:gridSpan w:val="5"/>
          </w:tcPr>
          <w:p w:rsidR="009B76A1" w:rsidRPr="00843006" w:rsidRDefault="009B76A1">
            <w:pPr>
              <w:pStyle w:val="BodyText2"/>
              <w:rPr>
                <w:rFonts w:asciiTheme="minorHAnsi" w:hAnsiTheme="minorHAnsi"/>
                <w:b/>
              </w:rPr>
            </w:pPr>
            <w:r w:rsidRPr="00843006">
              <w:rPr>
                <w:rFonts w:asciiTheme="minorHAnsi" w:hAnsiTheme="minorHAnsi"/>
                <w:b/>
              </w:rPr>
              <w:t>Current country program</w:t>
            </w:r>
            <w:r>
              <w:rPr>
                <w:rFonts w:asciiTheme="minorHAnsi" w:hAnsiTheme="minorHAnsi"/>
                <w:b/>
              </w:rPr>
              <w:t>me</w:t>
            </w:r>
            <w:r w:rsidRPr="00843006">
              <w:rPr>
                <w:rFonts w:asciiTheme="minorHAnsi" w:hAnsiTheme="minorHAnsi"/>
                <w:b/>
              </w:rPr>
              <w:t xml:space="preserve"> period:</w:t>
            </w:r>
            <w:r w:rsidR="00F476FE">
              <w:rPr>
                <w:rFonts w:asciiTheme="minorHAnsi" w:hAnsiTheme="minorHAnsi"/>
                <w:b/>
              </w:rPr>
              <w:t xml:space="preserve"> 2014 - 2017</w:t>
            </w:r>
          </w:p>
        </w:tc>
      </w:tr>
      <w:tr w:rsidR="003B037A" w:rsidRPr="00DC7354" w:rsidTr="004C4CF9">
        <w:tc>
          <w:tcPr>
            <w:tcW w:w="3150" w:type="dxa"/>
            <w:gridSpan w:val="2"/>
          </w:tcPr>
          <w:p w:rsidR="003B037A" w:rsidRPr="00DC7354" w:rsidRDefault="003B037A">
            <w:pPr>
              <w:pStyle w:val="BodyText2"/>
              <w:rPr>
                <w:rFonts w:asciiTheme="minorHAnsi" w:hAnsiTheme="minorHAnsi"/>
                <w:b/>
                <w:sz w:val="24"/>
              </w:rPr>
            </w:pPr>
            <w:r w:rsidRPr="00DC7354">
              <w:rPr>
                <w:rFonts w:asciiTheme="minorHAnsi" w:hAnsiTheme="minorHAnsi"/>
                <w:b/>
                <w:sz w:val="24"/>
              </w:rPr>
              <w:t>Outcome</w:t>
            </w:r>
            <w:r w:rsidR="00700521">
              <w:rPr>
                <w:rFonts w:asciiTheme="minorHAnsi" w:hAnsiTheme="minorHAnsi"/>
                <w:b/>
                <w:sz w:val="24"/>
              </w:rPr>
              <w:t>s</w:t>
            </w:r>
          </w:p>
        </w:tc>
        <w:tc>
          <w:tcPr>
            <w:tcW w:w="1440" w:type="dxa"/>
            <w:shd w:val="clear" w:color="auto" w:fill="auto"/>
          </w:tcPr>
          <w:p w:rsidR="003B037A" w:rsidRPr="005F6261" w:rsidRDefault="003B037A">
            <w:pPr>
              <w:pStyle w:val="BodyText2"/>
              <w:rPr>
                <w:rFonts w:asciiTheme="minorHAnsi" w:hAnsiTheme="minorHAnsi"/>
                <w:b/>
                <w:sz w:val="22"/>
              </w:rPr>
            </w:pPr>
            <w:r w:rsidRPr="005F6261">
              <w:rPr>
                <w:rFonts w:asciiTheme="minorHAnsi" w:hAnsiTheme="minorHAnsi"/>
                <w:b/>
                <w:sz w:val="22"/>
              </w:rPr>
              <w:t>Total Expenditure</w:t>
            </w:r>
          </w:p>
        </w:tc>
        <w:tc>
          <w:tcPr>
            <w:tcW w:w="3960" w:type="dxa"/>
            <w:tcBorders>
              <w:left w:val="single" w:sz="4" w:space="0" w:color="auto"/>
            </w:tcBorders>
          </w:tcPr>
          <w:p w:rsidR="003B037A" w:rsidRPr="005F6261" w:rsidRDefault="003B037A">
            <w:pPr>
              <w:pStyle w:val="BodyText2"/>
              <w:rPr>
                <w:rFonts w:asciiTheme="minorHAnsi" w:hAnsiTheme="minorHAnsi"/>
                <w:b/>
                <w:sz w:val="22"/>
              </w:rPr>
            </w:pPr>
            <w:r w:rsidRPr="005F6261">
              <w:rPr>
                <w:rFonts w:asciiTheme="minorHAnsi" w:hAnsiTheme="minorHAnsi"/>
                <w:b/>
                <w:sz w:val="22"/>
              </w:rPr>
              <w:t>Key Indicators of outcome (1-4 per outcome)</w:t>
            </w:r>
          </w:p>
        </w:tc>
        <w:tc>
          <w:tcPr>
            <w:tcW w:w="5490" w:type="dxa"/>
          </w:tcPr>
          <w:p w:rsidR="003B037A" w:rsidRPr="005F6261" w:rsidRDefault="003B037A">
            <w:pPr>
              <w:pStyle w:val="BodyText2"/>
              <w:rPr>
                <w:rFonts w:asciiTheme="minorHAnsi" w:hAnsiTheme="minorHAnsi"/>
                <w:b/>
                <w:sz w:val="22"/>
              </w:rPr>
            </w:pPr>
            <w:r w:rsidRPr="005F6261">
              <w:rPr>
                <w:rFonts w:asciiTheme="minorHAnsi" w:hAnsiTheme="minorHAnsi"/>
                <w:b/>
                <w:sz w:val="22"/>
              </w:rPr>
              <w:t>Progress made against key indicators</w:t>
            </w:r>
          </w:p>
        </w:tc>
      </w:tr>
      <w:tr w:rsidR="000823AC" w:rsidRPr="00DC7354" w:rsidTr="004C4CF9">
        <w:tc>
          <w:tcPr>
            <w:tcW w:w="3150" w:type="dxa"/>
            <w:gridSpan w:val="2"/>
            <w:tcBorders>
              <w:bottom w:val="single" w:sz="4" w:space="0" w:color="auto"/>
            </w:tcBorders>
            <w:shd w:val="clear" w:color="auto" w:fill="95B3D7" w:themeFill="accent1" w:themeFillTint="99"/>
          </w:tcPr>
          <w:p w:rsidR="003B037A" w:rsidRPr="000823AC" w:rsidRDefault="00BD2655" w:rsidP="00BD2655">
            <w:pPr>
              <w:pStyle w:val="BodyText2"/>
              <w:rPr>
                <w:rFonts w:asciiTheme="minorHAnsi" w:hAnsiTheme="minorHAnsi"/>
                <w:b/>
              </w:rPr>
            </w:pPr>
            <w:r>
              <w:rPr>
                <w:rFonts w:asciiTheme="minorHAnsi" w:hAnsiTheme="minorHAnsi"/>
                <w:b/>
              </w:rPr>
              <w:t>40</w:t>
            </w:r>
            <w:r w:rsidR="003B037A" w:rsidRPr="000823AC">
              <w:rPr>
                <w:rFonts w:asciiTheme="minorHAnsi" w:hAnsiTheme="minorHAnsi"/>
                <w:b/>
              </w:rPr>
              <w:t xml:space="preserve">. </w:t>
            </w:r>
            <w:r w:rsidRPr="00BD2655">
              <w:rPr>
                <w:rFonts w:asciiTheme="minorHAnsi" w:hAnsiTheme="minorHAnsi"/>
                <w:b/>
              </w:rPr>
              <w:t xml:space="preserve">Support to good governance: </w:t>
            </w:r>
            <w:r w:rsidRPr="00BD2655">
              <w:rPr>
                <w:rFonts w:asciiTheme="minorHAnsi" w:hAnsiTheme="minorHAnsi"/>
                <w:i/>
              </w:rPr>
              <w:t>By 2020 Nigeria enjoys a just, democratic, stable society, with accountable governance and increased transparency.</w:t>
            </w:r>
          </w:p>
        </w:tc>
        <w:tc>
          <w:tcPr>
            <w:tcW w:w="1440" w:type="dxa"/>
            <w:tcBorders>
              <w:bottom w:val="single" w:sz="4" w:space="0" w:color="auto"/>
            </w:tcBorders>
            <w:shd w:val="clear" w:color="auto" w:fill="auto"/>
          </w:tcPr>
          <w:p w:rsidR="003B037A" w:rsidRPr="00DC7354" w:rsidRDefault="003B037A">
            <w:pPr>
              <w:pStyle w:val="BodyText2"/>
              <w:rPr>
                <w:rFonts w:asciiTheme="minorHAnsi" w:hAnsiTheme="minorHAnsi"/>
              </w:rPr>
            </w:pPr>
            <w:r w:rsidRPr="00DC7354">
              <w:rPr>
                <w:rFonts w:asciiTheme="minorHAnsi" w:hAnsiTheme="minorHAnsi"/>
              </w:rPr>
              <w:t>$</w:t>
            </w:r>
            <w:r w:rsidR="00F777F6" w:rsidRPr="00F777F6">
              <w:rPr>
                <w:rFonts w:asciiTheme="minorHAnsi" w:hAnsiTheme="minorHAnsi"/>
              </w:rPr>
              <w:t>54,879,355</w:t>
            </w:r>
          </w:p>
        </w:tc>
        <w:tc>
          <w:tcPr>
            <w:tcW w:w="3960" w:type="dxa"/>
            <w:tcBorders>
              <w:left w:val="single" w:sz="4" w:space="0" w:color="auto"/>
              <w:bottom w:val="single" w:sz="4" w:space="0" w:color="auto"/>
            </w:tcBorders>
          </w:tcPr>
          <w:p w:rsidR="00103201" w:rsidRDefault="00597D45" w:rsidP="00597D45">
            <w:pPr>
              <w:pStyle w:val="BodyText2"/>
              <w:numPr>
                <w:ilvl w:val="0"/>
                <w:numId w:val="13"/>
              </w:numPr>
              <w:rPr>
                <w:rFonts w:asciiTheme="minorHAnsi" w:hAnsiTheme="minorHAnsi"/>
                <w:i/>
              </w:rPr>
            </w:pPr>
            <w:r w:rsidRPr="00597D45">
              <w:rPr>
                <w:rFonts w:asciiTheme="minorHAnsi" w:hAnsiTheme="minorHAnsi"/>
                <w:i/>
              </w:rPr>
              <w:t xml:space="preserve">Nigeria’s corruption risk index </w:t>
            </w:r>
          </w:p>
          <w:p w:rsidR="00103201" w:rsidRDefault="00103201" w:rsidP="00103201">
            <w:pPr>
              <w:pStyle w:val="BodyText2"/>
              <w:rPr>
                <w:rFonts w:asciiTheme="minorHAnsi" w:hAnsiTheme="minorHAnsi"/>
                <w:i/>
              </w:rPr>
            </w:pPr>
          </w:p>
          <w:p w:rsidR="00F777F6" w:rsidRDefault="00F777F6" w:rsidP="00103201">
            <w:pPr>
              <w:pStyle w:val="BodyText2"/>
              <w:rPr>
                <w:rFonts w:asciiTheme="minorHAnsi" w:hAnsiTheme="minorHAnsi"/>
                <w:i/>
              </w:rPr>
            </w:pPr>
          </w:p>
          <w:p w:rsidR="00F777F6" w:rsidRDefault="00F777F6" w:rsidP="00103201">
            <w:pPr>
              <w:pStyle w:val="BodyText2"/>
              <w:rPr>
                <w:rFonts w:asciiTheme="minorHAnsi" w:hAnsiTheme="minorHAnsi"/>
                <w:i/>
              </w:rPr>
            </w:pPr>
          </w:p>
          <w:p w:rsidR="00DB31C8" w:rsidRDefault="00DB31C8" w:rsidP="00103201">
            <w:pPr>
              <w:pStyle w:val="BodyText2"/>
              <w:rPr>
                <w:rFonts w:asciiTheme="minorHAnsi" w:hAnsiTheme="minorHAnsi"/>
                <w:i/>
              </w:rPr>
            </w:pPr>
          </w:p>
          <w:p w:rsidR="00F777F6" w:rsidRDefault="00F777F6" w:rsidP="00103201">
            <w:pPr>
              <w:pStyle w:val="BodyText2"/>
              <w:rPr>
                <w:rFonts w:asciiTheme="minorHAnsi" w:hAnsiTheme="minorHAnsi"/>
                <w:i/>
              </w:rPr>
            </w:pPr>
          </w:p>
          <w:p w:rsidR="00181A66" w:rsidRDefault="00F777F6" w:rsidP="00181A66">
            <w:pPr>
              <w:pStyle w:val="BodyText2"/>
              <w:numPr>
                <w:ilvl w:val="0"/>
                <w:numId w:val="13"/>
              </w:numPr>
              <w:rPr>
                <w:rFonts w:asciiTheme="minorHAnsi" w:hAnsiTheme="minorHAnsi"/>
                <w:i/>
              </w:rPr>
            </w:pPr>
            <w:r>
              <w:rPr>
                <w:rFonts w:asciiTheme="minorHAnsi" w:hAnsiTheme="minorHAnsi"/>
                <w:i/>
              </w:rPr>
              <w:t>Political Rights in Nigeria</w:t>
            </w:r>
          </w:p>
          <w:p w:rsidR="00F777F6" w:rsidRDefault="00F777F6" w:rsidP="00F777F6">
            <w:pPr>
              <w:pStyle w:val="BodyText2"/>
              <w:rPr>
                <w:rFonts w:asciiTheme="minorHAnsi" w:hAnsiTheme="minorHAnsi"/>
                <w:i/>
              </w:rPr>
            </w:pPr>
          </w:p>
          <w:p w:rsidR="00F777F6" w:rsidRDefault="00F777F6" w:rsidP="00F777F6">
            <w:pPr>
              <w:pStyle w:val="BodyText2"/>
              <w:rPr>
                <w:rFonts w:asciiTheme="minorHAnsi" w:hAnsiTheme="minorHAnsi"/>
                <w:i/>
              </w:rPr>
            </w:pPr>
          </w:p>
          <w:p w:rsidR="00F777F6" w:rsidRDefault="00F777F6" w:rsidP="00F777F6">
            <w:pPr>
              <w:pStyle w:val="BodyText2"/>
              <w:rPr>
                <w:rFonts w:asciiTheme="minorHAnsi" w:hAnsiTheme="minorHAnsi"/>
                <w:i/>
              </w:rPr>
            </w:pPr>
          </w:p>
          <w:p w:rsidR="00F777F6" w:rsidRDefault="00F777F6" w:rsidP="00F777F6">
            <w:pPr>
              <w:pStyle w:val="BodyText2"/>
              <w:rPr>
                <w:rFonts w:asciiTheme="minorHAnsi" w:hAnsiTheme="minorHAnsi"/>
                <w:i/>
              </w:rPr>
            </w:pPr>
          </w:p>
          <w:p w:rsidR="00F777F6" w:rsidRDefault="00F777F6" w:rsidP="00F777F6">
            <w:pPr>
              <w:pStyle w:val="BodyText2"/>
              <w:rPr>
                <w:rFonts w:asciiTheme="minorHAnsi" w:hAnsiTheme="minorHAnsi"/>
                <w:i/>
              </w:rPr>
            </w:pPr>
          </w:p>
          <w:p w:rsidR="00F777F6" w:rsidRDefault="00F777F6" w:rsidP="00F777F6">
            <w:pPr>
              <w:pStyle w:val="BodyText2"/>
              <w:rPr>
                <w:rFonts w:asciiTheme="minorHAnsi" w:hAnsiTheme="minorHAnsi"/>
                <w:i/>
              </w:rPr>
            </w:pPr>
          </w:p>
          <w:p w:rsidR="00F777F6" w:rsidRDefault="00F777F6" w:rsidP="00F777F6">
            <w:pPr>
              <w:pStyle w:val="BodyText2"/>
              <w:rPr>
                <w:rFonts w:asciiTheme="minorHAnsi" w:hAnsiTheme="minorHAnsi"/>
                <w:i/>
              </w:rPr>
            </w:pPr>
          </w:p>
          <w:p w:rsidR="00F777F6" w:rsidRPr="00181A66" w:rsidRDefault="00F777F6" w:rsidP="00F777F6">
            <w:pPr>
              <w:pStyle w:val="BodyText2"/>
              <w:rPr>
                <w:rFonts w:asciiTheme="minorHAnsi" w:hAnsiTheme="minorHAnsi"/>
                <w:i/>
              </w:rPr>
            </w:pPr>
          </w:p>
          <w:p w:rsidR="00181A66" w:rsidRPr="00F777F6" w:rsidRDefault="00F777F6" w:rsidP="00F777F6">
            <w:pPr>
              <w:pStyle w:val="BodyText2"/>
              <w:numPr>
                <w:ilvl w:val="0"/>
                <w:numId w:val="13"/>
              </w:numPr>
              <w:rPr>
                <w:rFonts w:asciiTheme="minorHAnsi" w:hAnsiTheme="minorHAnsi"/>
                <w:i/>
              </w:rPr>
            </w:pPr>
            <w:r>
              <w:rPr>
                <w:rFonts w:asciiTheme="minorHAnsi" w:hAnsiTheme="minorHAnsi"/>
                <w:i/>
              </w:rPr>
              <w:t>Level of Civil liberty in Nigeria</w:t>
            </w:r>
          </w:p>
        </w:tc>
        <w:tc>
          <w:tcPr>
            <w:tcW w:w="5490" w:type="dxa"/>
            <w:tcBorders>
              <w:bottom w:val="single" w:sz="4" w:space="0" w:color="auto"/>
            </w:tcBorders>
            <w:shd w:val="clear" w:color="auto" w:fill="auto"/>
          </w:tcPr>
          <w:p w:rsidR="00597D45" w:rsidRPr="00DB31C8" w:rsidRDefault="00597D45" w:rsidP="004C4CF9">
            <w:pPr>
              <w:pStyle w:val="BodyText2"/>
              <w:numPr>
                <w:ilvl w:val="0"/>
                <w:numId w:val="14"/>
              </w:numPr>
              <w:jc w:val="both"/>
              <w:rPr>
                <w:rFonts w:asciiTheme="minorHAnsi" w:hAnsiTheme="minorHAnsi"/>
                <w:i/>
                <w:lang w:val="en-GB"/>
              </w:rPr>
            </w:pPr>
            <w:r>
              <w:rPr>
                <w:rFonts w:asciiTheme="minorHAnsi" w:hAnsiTheme="minorHAnsi"/>
                <w:i/>
                <w:lang w:val="en-GB"/>
              </w:rPr>
              <w:t>Nigeria’s corrupti</w:t>
            </w:r>
            <w:r w:rsidR="00F777F6">
              <w:rPr>
                <w:rFonts w:asciiTheme="minorHAnsi" w:hAnsiTheme="minorHAnsi"/>
                <w:i/>
                <w:lang w:val="en-GB"/>
              </w:rPr>
              <w:t xml:space="preserve">on risk index improved from 25 in </w:t>
            </w:r>
            <w:r>
              <w:rPr>
                <w:rFonts w:asciiTheme="minorHAnsi" w:hAnsiTheme="minorHAnsi"/>
                <w:i/>
                <w:lang w:val="en-GB"/>
              </w:rPr>
              <w:t>2013</w:t>
            </w:r>
            <w:r w:rsidR="00F777F6">
              <w:rPr>
                <w:rFonts w:asciiTheme="minorHAnsi" w:hAnsiTheme="minorHAnsi"/>
                <w:i/>
                <w:lang w:val="en-GB"/>
              </w:rPr>
              <w:t xml:space="preserve"> to 28 in </w:t>
            </w:r>
            <w:r>
              <w:rPr>
                <w:rFonts w:asciiTheme="minorHAnsi" w:hAnsiTheme="minorHAnsi"/>
                <w:i/>
                <w:lang w:val="en-GB"/>
              </w:rPr>
              <w:t xml:space="preserve">2016. UNDP supported </w:t>
            </w:r>
            <w:r w:rsidR="00F777F6">
              <w:rPr>
                <w:rFonts w:asciiTheme="minorHAnsi" w:hAnsiTheme="minorHAnsi"/>
                <w:i/>
                <w:lang w:val="en-GB"/>
              </w:rPr>
              <w:t xml:space="preserve">the conduct of </w:t>
            </w:r>
            <w:r w:rsidRPr="00181A66">
              <w:rPr>
                <w:rFonts w:asciiTheme="minorHAnsi" w:hAnsiTheme="minorHAnsi"/>
                <w:i/>
              </w:rPr>
              <w:t>corru</w:t>
            </w:r>
            <w:r w:rsidR="00F777F6">
              <w:rPr>
                <w:rFonts w:asciiTheme="minorHAnsi" w:hAnsiTheme="minorHAnsi"/>
                <w:i/>
              </w:rPr>
              <w:t>ption risk assessments</w:t>
            </w:r>
            <w:r>
              <w:rPr>
                <w:rFonts w:asciiTheme="minorHAnsi" w:hAnsiTheme="minorHAnsi"/>
                <w:i/>
              </w:rPr>
              <w:t xml:space="preserve"> in the Nigerian Ports and Airport Authorities </w:t>
            </w:r>
            <w:r w:rsidR="00F777F6">
              <w:rPr>
                <w:rFonts w:asciiTheme="minorHAnsi" w:hAnsiTheme="minorHAnsi"/>
                <w:i/>
              </w:rPr>
              <w:t>where</w:t>
            </w:r>
            <w:r>
              <w:rPr>
                <w:rFonts w:asciiTheme="minorHAnsi" w:hAnsiTheme="minorHAnsi"/>
                <w:i/>
              </w:rPr>
              <w:t xml:space="preserve"> visible reforms </w:t>
            </w:r>
            <w:r w:rsidR="00F777F6">
              <w:rPr>
                <w:rFonts w:asciiTheme="minorHAnsi" w:hAnsiTheme="minorHAnsi"/>
                <w:i/>
              </w:rPr>
              <w:t xml:space="preserve">have </w:t>
            </w:r>
            <w:r>
              <w:rPr>
                <w:rFonts w:asciiTheme="minorHAnsi" w:hAnsiTheme="minorHAnsi"/>
                <w:i/>
              </w:rPr>
              <w:t>commenced</w:t>
            </w:r>
            <w:r w:rsidR="00F777F6">
              <w:rPr>
                <w:rFonts w:asciiTheme="minorHAnsi" w:hAnsiTheme="minorHAnsi"/>
                <w:i/>
              </w:rPr>
              <w:t>;</w:t>
            </w:r>
            <w:r>
              <w:rPr>
                <w:rFonts w:asciiTheme="minorHAnsi" w:hAnsiTheme="minorHAnsi"/>
                <w:i/>
              </w:rPr>
              <w:t xml:space="preserve"> as well as</w:t>
            </w:r>
            <w:r w:rsidR="00F777F6" w:rsidRPr="00181A66">
              <w:rPr>
                <w:rFonts w:asciiTheme="minorHAnsi" w:hAnsiTheme="minorHAnsi"/>
                <w:i/>
              </w:rPr>
              <w:t xml:space="preserve"> assessments</w:t>
            </w:r>
            <w:r>
              <w:rPr>
                <w:rFonts w:asciiTheme="minorHAnsi" w:hAnsiTheme="minorHAnsi"/>
                <w:i/>
              </w:rPr>
              <w:t xml:space="preserve"> in the </w:t>
            </w:r>
            <w:r w:rsidRPr="00181A66">
              <w:rPr>
                <w:rFonts w:asciiTheme="minorHAnsi" w:hAnsiTheme="minorHAnsi"/>
                <w:i/>
              </w:rPr>
              <w:t>water, health and</w:t>
            </w:r>
            <w:r>
              <w:rPr>
                <w:rFonts w:asciiTheme="minorHAnsi" w:hAnsiTheme="minorHAnsi"/>
                <w:i/>
              </w:rPr>
              <w:t xml:space="preserve"> education sectors.</w:t>
            </w:r>
          </w:p>
          <w:p w:rsidR="00DB31C8" w:rsidRPr="00597D45" w:rsidRDefault="00DB31C8" w:rsidP="004C4CF9">
            <w:pPr>
              <w:pStyle w:val="BodyText2"/>
              <w:ind w:left="360"/>
              <w:jc w:val="both"/>
              <w:rPr>
                <w:rFonts w:asciiTheme="minorHAnsi" w:hAnsiTheme="minorHAnsi"/>
                <w:i/>
                <w:lang w:val="en-GB"/>
              </w:rPr>
            </w:pPr>
          </w:p>
          <w:p w:rsidR="003B037A" w:rsidRPr="00F777F6" w:rsidRDefault="00F777F6" w:rsidP="004C4CF9">
            <w:pPr>
              <w:pStyle w:val="BodyText2"/>
              <w:numPr>
                <w:ilvl w:val="0"/>
                <w:numId w:val="14"/>
              </w:numPr>
              <w:jc w:val="both"/>
              <w:rPr>
                <w:rFonts w:asciiTheme="minorHAnsi" w:hAnsiTheme="minorHAnsi"/>
                <w:i/>
                <w:lang w:val="en-GB"/>
              </w:rPr>
            </w:pPr>
            <w:r w:rsidRPr="00F777F6">
              <w:rPr>
                <w:rFonts w:asciiTheme="minorHAnsi" w:hAnsiTheme="minorHAnsi"/>
                <w:i/>
              </w:rPr>
              <w:t>This has remained the same according to the Freedom House Data. However, UNDP supported INEC in implementing agreed election reform measures which led to</w:t>
            </w:r>
            <w:r w:rsidR="00AF320A">
              <w:rPr>
                <w:rFonts w:asciiTheme="minorHAnsi" w:hAnsiTheme="minorHAnsi"/>
                <w:i/>
              </w:rPr>
              <w:t xml:space="preserve"> the</w:t>
            </w:r>
            <w:r w:rsidRPr="00F777F6">
              <w:rPr>
                <w:rFonts w:asciiTheme="minorHAnsi" w:hAnsiTheme="minorHAnsi"/>
                <w:i/>
              </w:rPr>
              <w:t xml:space="preserve"> signing of </w:t>
            </w:r>
            <w:r w:rsidR="00AF320A">
              <w:rPr>
                <w:rFonts w:asciiTheme="minorHAnsi" w:hAnsiTheme="minorHAnsi"/>
                <w:i/>
              </w:rPr>
              <w:t xml:space="preserve">the </w:t>
            </w:r>
            <w:r w:rsidR="004055FE" w:rsidRPr="00F777F6">
              <w:rPr>
                <w:rFonts w:asciiTheme="minorHAnsi" w:hAnsiTheme="minorHAnsi"/>
                <w:i/>
                <w:lang w:val="en-GB"/>
              </w:rPr>
              <w:t>Abuja Accord on peaceful election</w:t>
            </w:r>
            <w:r w:rsidR="00AF320A">
              <w:rPr>
                <w:rFonts w:asciiTheme="minorHAnsi" w:hAnsiTheme="minorHAnsi"/>
                <w:i/>
                <w:lang w:val="en-GB"/>
              </w:rPr>
              <w:t>s</w:t>
            </w:r>
            <w:r w:rsidR="004055FE" w:rsidRPr="00F777F6">
              <w:rPr>
                <w:rFonts w:asciiTheme="minorHAnsi" w:hAnsiTheme="minorHAnsi"/>
                <w:i/>
                <w:lang w:val="en-GB"/>
              </w:rPr>
              <w:t xml:space="preserve"> by key political parties and presidential candidates. </w:t>
            </w:r>
            <w:r>
              <w:rPr>
                <w:rFonts w:asciiTheme="minorHAnsi" w:hAnsiTheme="minorHAnsi"/>
                <w:i/>
                <w:lang w:val="en-GB"/>
              </w:rPr>
              <w:t xml:space="preserve">The </w:t>
            </w:r>
            <w:r w:rsidR="00181A66" w:rsidRPr="00F777F6">
              <w:rPr>
                <w:rFonts w:asciiTheme="minorHAnsi" w:hAnsiTheme="minorHAnsi"/>
                <w:i/>
              </w:rPr>
              <w:t>National Peace Committ</w:t>
            </w:r>
            <w:r>
              <w:rPr>
                <w:rFonts w:asciiTheme="minorHAnsi" w:hAnsiTheme="minorHAnsi"/>
                <w:i/>
              </w:rPr>
              <w:t>ee</w:t>
            </w:r>
            <w:r w:rsidR="00181A66" w:rsidRPr="00F777F6">
              <w:rPr>
                <w:rFonts w:asciiTheme="minorHAnsi" w:hAnsiTheme="minorHAnsi"/>
                <w:i/>
              </w:rPr>
              <w:t xml:space="preserve"> </w:t>
            </w:r>
            <w:r>
              <w:rPr>
                <w:rFonts w:asciiTheme="minorHAnsi" w:hAnsiTheme="minorHAnsi"/>
                <w:i/>
              </w:rPr>
              <w:t xml:space="preserve">was </w:t>
            </w:r>
            <w:r w:rsidR="00181A66" w:rsidRPr="00F777F6">
              <w:rPr>
                <w:rFonts w:asciiTheme="minorHAnsi" w:hAnsiTheme="minorHAnsi"/>
                <w:i/>
              </w:rPr>
              <w:t xml:space="preserve">supported to engage in confidence-building, </w:t>
            </w:r>
            <w:r w:rsidR="00AF320A">
              <w:rPr>
                <w:rFonts w:asciiTheme="minorHAnsi" w:hAnsiTheme="minorHAnsi"/>
                <w:i/>
              </w:rPr>
              <w:t>re</w:t>
            </w:r>
            <w:r w:rsidR="00181A66" w:rsidRPr="00F777F6">
              <w:rPr>
                <w:rFonts w:asciiTheme="minorHAnsi" w:hAnsiTheme="minorHAnsi"/>
                <w:i/>
              </w:rPr>
              <w:t xml:space="preserve">conciliation and mediation before, during and after </w:t>
            </w:r>
            <w:r w:rsidR="00C522C9">
              <w:rPr>
                <w:rFonts w:asciiTheme="minorHAnsi" w:hAnsiTheme="minorHAnsi"/>
                <w:i/>
              </w:rPr>
              <w:t xml:space="preserve">the </w:t>
            </w:r>
            <w:r w:rsidR="00181A66" w:rsidRPr="00F777F6">
              <w:rPr>
                <w:rFonts w:asciiTheme="minorHAnsi" w:hAnsiTheme="minorHAnsi"/>
                <w:i/>
              </w:rPr>
              <w:t>2015 elections</w:t>
            </w:r>
            <w:r>
              <w:rPr>
                <w:rFonts w:asciiTheme="minorHAnsi" w:hAnsiTheme="minorHAnsi"/>
                <w:i/>
              </w:rPr>
              <w:t>.</w:t>
            </w:r>
          </w:p>
          <w:p w:rsidR="00F777F6" w:rsidRPr="00F777F6" w:rsidRDefault="00F777F6" w:rsidP="004C4CF9">
            <w:pPr>
              <w:pStyle w:val="BodyText2"/>
              <w:jc w:val="both"/>
              <w:rPr>
                <w:rFonts w:asciiTheme="minorHAnsi" w:hAnsiTheme="minorHAnsi"/>
                <w:i/>
                <w:lang w:val="en-GB"/>
              </w:rPr>
            </w:pPr>
          </w:p>
          <w:p w:rsidR="00F777F6" w:rsidRPr="00F777F6" w:rsidRDefault="009E2C14" w:rsidP="004C4CF9">
            <w:pPr>
              <w:pStyle w:val="BodyText2"/>
              <w:numPr>
                <w:ilvl w:val="0"/>
                <w:numId w:val="14"/>
              </w:numPr>
              <w:jc w:val="both"/>
              <w:rPr>
                <w:rFonts w:asciiTheme="minorHAnsi" w:hAnsiTheme="minorHAnsi"/>
                <w:i/>
                <w:lang w:val="en-GB"/>
              </w:rPr>
            </w:pPr>
            <w:r>
              <w:rPr>
                <w:rFonts w:asciiTheme="minorHAnsi" w:hAnsiTheme="minorHAnsi"/>
                <w:i/>
                <w:lang w:val="en-GB"/>
              </w:rPr>
              <w:t>This improved by about 10%</w:t>
            </w:r>
            <w:r w:rsidR="00C522C9">
              <w:rPr>
                <w:rFonts w:asciiTheme="minorHAnsi" w:hAnsiTheme="minorHAnsi"/>
                <w:i/>
                <w:lang w:val="en-GB"/>
              </w:rPr>
              <w:t xml:space="preserve">. </w:t>
            </w:r>
            <w:r w:rsidR="004C4CF9">
              <w:rPr>
                <w:rFonts w:asciiTheme="minorHAnsi" w:hAnsiTheme="minorHAnsi"/>
                <w:i/>
                <w:lang w:val="en-GB"/>
              </w:rPr>
              <w:t>It was</w:t>
            </w:r>
            <w:r w:rsidR="00B55B85">
              <w:rPr>
                <w:rFonts w:asciiTheme="minorHAnsi" w:hAnsiTheme="minorHAnsi"/>
                <w:i/>
                <w:lang w:val="en-GB"/>
              </w:rPr>
              <w:t xml:space="preserve"> below the 25% target</w:t>
            </w:r>
            <w:r>
              <w:rPr>
                <w:rFonts w:asciiTheme="minorHAnsi" w:hAnsiTheme="minorHAnsi"/>
                <w:i/>
                <w:lang w:val="en-GB"/>
              </w:rPr>
              <w:t xml:space="preserve">. UNDP </w:t>
            </w:r>
            <w:r w:rsidR="003F0F1F">
              <w:rPr>
                <w:rFonts w:asciiTheme="minorHAnsi" w:hAnsiTheme="minorHAnsi"/>
                <w:i/>
                <w:lang w:val="en-GB"/>
              </w:rPr>
              <w:t xml:space="preserve">supported the National Assembly </w:t>
            </w:r>
            <w:r w:rsidR="00AF320A">
              <w:rPr>
                <w:rFonts w:asciiTheme="minorHAnsi" w:hAnsiTheme="minorHAnsi"/>
                <w:i/>
                <w:lang w:val="en-GB"/>
              </w:rPr>
              <w:t>and the</w:t>
            </w:r>
            <w:r w:rsidR="003F0F1F">
              <w:rPr>
                <w:rFonts w:asciiTheme="minorHAnsi" w:hAnsiTheme="minorHAnsi"/>
                <w:i/>
                <w:lang w:val="en-GB"/>
              </w:rPr>
              <w:t xml:space="preserve"> ICPC on promotion of transparency in governance and also</w:t>
            </w:r>
            <w:r w:rsidR="00AF320A">
              <w:rPr>
                <w:rFonts w:asciiTheme="minorHAnsi" w:hAnsiTheme="minorHAnsi"/>
                <w:i/>
                <w:lang w:val="en-GB"/>
              </w:rPr>
              <w:t xml:space="preserve"> supported</w:t>
            </w:r>
            <w:r w:rsidRPr="009E2C14">
              <w:rPr>
                <w:rFonts w:asciiTheme="minorHAnsi" w:hAnsiTheme="minorHAnsi"/>
                <w:i/>
                <w:lang w:val="en-GB"/>
              </w:rPr>
              <w:t xml:space="preserve"> </w:t>
            </w:r>
            <w:r>
              <w:rPr>
                <w:rFonts w:asciiTheme="minorHAnsi" w:hAnsiTheme="minorHAnsi"/>
                <w:i/>
                <w:lang w:val="en-GB"/>
              </w:rPr>
              <w:t xml:space="preserve">10 </w:t>
            </w:r>
            <w:r w:rsidRPr="009E2C14">
              <w:rPr>
                <w:rFonts w:asciiTheme="minorHAnsi" w:hAnsiTheme="minorHAnsi"/>
                <w:i/>
                <w:lang w:val="en-GB"/>
              </w:rPr>
              <w:t>CSOs to implement anticorruption initiatives</w:t>
            </w:r>
            <w:r w:rsidR="003F0F1F">
              <w:rPr>
                <w:rFonts w:asciiTheme="minorHAnsi" w:hAnsiTheme="minorHAnsi"/>
                <w:i/>
                <w:lang w:val="en-GB"/>
              </w:rPr>
              <w:t>, with over 100,000 Nigerians reached directly</w:t>
            </w:r>
            <w:r w:rsidRPr="009E2C14">
              <w:rPr>
                <w:rFonts w:asciiTheme="minorHAnsi" w:hAnsiTheme="minorHAnsi"/>
                <w:i/>
                <w:lang w:val="en-GB"/>
              </w:rPr>
              <w:t xml:space="preserve"> with capacity</w:t>
            </w:r>
            <w:r w:rsidR="00C522C9">
              <w:rPr>
                <w:rFonts w:asciiTheme="minorHAnsi" w:hAnsiTheme="minorHAnsi"/>
                <w:i/>
                <w:lang w:val="en-GB"/>
              </w:rPr>
              <w:t>-</w:t>
            </w:r>
            <w:r w:rsidRPr="009E2C14">
              <w:rPr>
                <w:rFonts w:asciiTheme="minorHAnsi" w:hAnsiTheme="minorHAnsi"/>
                <w:i/>
                <w:lang w:val="en-GB"/>
              </w:rPr>
              <w:t>building on anticorruption initiative</w:t>
            </w:r>
            <w:r w:rsidR="00AF320A">
              <w:rPr>
                <w:rFonts w:asciiTheme="minorHAnsi" w:hAnsiTheme="minorHAnsi"/>
                <w:i/>
                <w:lang w:val="en-GB"/>
              </w:rPr>
              <w:t>s</w:t>
            </w:r>
            <w:r w:rsidR="003F0F1F">
              <w:rPr>
                <w:rFonts w:asciiTheme="minorHAnsi" w:hAnsiTheme="minorHAnsi"/>
                <w:i/>
                <w:lang w:val="en-GB"/>
              </w:rPr>
              <w:t xml:space="preserve"> and an estimated 5 million reached indirectly</w:t>
            </w:r>
            <w:r>
              <w:rPr>
                <w:rFonts w:asciiTheme="minorHAnsi" w:hAnsiTheme="minorHAnsi"/>
                <w:i/>
                <w:lang w:val="en-GB"/>
              </w:rPr>
              <w:t>.</w:t>
            </w:r>
          </w:p>
          <w:p w:rsidR="003B037A" w:rsidRPr="00920DBC" w:rsidRDefault="003B037A" w:rsidP="00F777F6">
            <w:pPr>
              <w:pStyle w:val="BodyText2"/>
              <w:ind w:left="360"/>
              <w:rPr>
                <w:rFonts w:asciiTheme="minorHAnsi" w:hAnsiTheme="minorHAnsi"/>
                <w:i/>
              </w:rPr>
            </w:pPr>
          </w:p>
        </w:tc>
      </w:tr>
      <w:tr w:rsidR="00530FDE" w:rsidRPr="00DC7354" w:rsidTr="004C4CF9">
        <w:tc>
          <w:tcPr>
            <w:tcW w:w="14040" w:type="dxa"/>
            <w:gridSpan w:val="5"/>
          </w:tcPr>
          <w:p w:rsidR="00843006" w:rsidRPr="00DB31C8" w:rsidRDefault="00837C4B" w:rsidP="00EE1D60">
            <w:pPr>
              <w:pStyle w:val="BodyText2"/>
              <w:rPr>
                <w:rFonts w:asciiTheme="minorHAnsi" w:hAnsiTheme="minorHAnsi"/>
                <w:b/>
              </w:rPr>
            </w:pPr>
            <w:r w:rsidRPr="00837C4B">
              <w:rPr>
                <w:rFonts w:asciiTheme="minorHAnsi" w:hAnsiTheme="minorHAnsi"/>
                <w:b/>
              </w:rPr>
              <w:t>UNDP Contribution:</w:t>
            </w:r>
          </w:p>
          <w:p w:rsidR="00B00E5C" w:rsidRPr="00845340" w:rsidRDefault="00B00E5C" w:rsidP="00EE1D60">
            <w:pPr>
              <w:pStyle w:val="BodyText2"/>
              <w:rPr>
                <w:rFonts w:asciiTheme="minorHAnsi" w:hAnsiTheme="minorHAnsi"/>
              </w:rPr>
            </w:pPr>
            <w:r w:rsidRPr="00B00E5C">
              <w:rPr>
                <w:rFonts w:asciiTheme="minorHAnsi" w:hAnsiTheme="minorHAnsi"/>
                <w:u w:val="single"/>
              </w:rPr>
              <w:t>CP Outputs</w:t>
            </w:r>
            <w:r w:rsidR="00845340">
              <w:rPr>
                <w:rFonts w:asciiTheme="minorHAnsi" w:hAnsiTheme="minorHAnsi"/>
              </w:rPr>
              <w:t>:</w:t>
            </w:r>
          </w:p>
          <w:p w:rsidR="00B00E5C" w:rsidRPr="009B76A1" w:rsidRDefault="00842737" w:rsidP="002F0C46">
            <w:pPr>
              <w:pStyle w:val="BodyText2"/>
              <w:rPr>
                <w:rFonts w:asciiTheme="minorHAnsi" w:hAnsiTheme="minorHAnsi"/>
                <w:i/>
              </w:rPr>
            </w:pPr>
            <w:r w:rsidRPr="009B76A1">
              <w:rPr>
                <w:rFonts w:asciiTheme="minorHAnsi" w:hAnsiTheme="minorHAnsi"/>
                <w:i/>
              </w:rPr>
              <w:t xml:space="preserve">The UNDP CP identified three major outputs to support the Government in achieving this outcome: (a) </w:t>
            </w:r>
            <w:r w:rsidR="005C256C" w:rsidRPr="005C256C">
              <w:rPr>
                <w:rFonts w:asciiTheme="minorHAnsi" w:hAnsiTheme="minorHAnsi"/>
                <w:i/>
              </w:rPr>
              <w:t>Strengthened legislative</w:t>
            </w:r>
            <w:r w:rsidR="00AF04CB">
              <w:rPr>
                <w:rFonts w:asciiTheme="minorHAnsi" w:hAnsiTheme="minorHAnsi"/>
                <w:i/>
              </w:rPr>
              <w:t xml:space="preserve"> and policy</w:t>
            </w:r>
            <w:r w:rsidR="005C256C">
              <w:rPr>
                <w:rFonts w:asciiTheme="minorHAnsi" w:hAnsiTheme="minorHAnsi"/>
                <w:i/>
              </w:rPr>
              <w:t xml:space="preserve"> </w:t>
            </w:r>
            <w:r w:rsidR="005C256C" w:rsidRPr="005C256C">
              <w:rPr>
                <w:rFonts w:asciiTheme="minorHAnsi" w:hAnsiTheme="minorHAnsi"/>
                <w:i/>
              </w:rPr>
              <w:t>framework for improved</w:t>
            </w:r>
            <w:r w:rsidR="005C256C">
              <w:rPr>
                <w:rFonts w:asciiTheme="minorHAnsi" w:hAnsiTheme="minorHAnsi"/>
                <w:i/>
              </w:rPr>
              <w:t xml:space="preserve"> </w:t>
            </w:r>
            <w:r w:rsidR="005C256C" w:rsidRPr="005C256C">
              <w:rPr>
                <w:rFonts w:asciiTheme="minorHAnsi" w:hAnsiTheme="minorHAnsi"/>
                <w:i/>
              </w:rPr>
              <w:t>transparency and</w:t>
            </w:r>
            <w:r w:rsidR="002F0C46">
              <w:rPr>
                <w:rFonts w:asciiTheme="minorHAnsi" w:hAnsiTheme="minorHAnsi"/>
                <w:i/>
              </w:rPr>
              <w:t xml:space="preserve"> </w:t>
            </w:r>
            <w:r w:rsidR="005C256C" w:rsidRPr="005C256C">
              <w:rPr>
                <w:rFonts w:asciiTheme="minorHAnsi" w:hAnsiTheme="minorHAnsi"/>
                <w:i/>
              </w:rPr>
              <w:t>accountability</w:t>
            </w:r>
            <w:r w:rsidRPr="009B76A1">
              <w:rPr>
                <w:rFonts w:asciiTheme="minorHAnsi" w:hAnsiTheme="minorHAnsi"/>
                <w:i/>
              </w:rPr>
              <w:t>; (b)</w:t>
            </w:r>
            <w:r w:rsidR="002F0C46">
              <w:rPr>
                <w:rFonts w:asciiTheme="minorHAnsi" w:hAnsiTheme="minorHAnsi"/>
                <w:i/>
              </w:rPr>
              <w:t>Support to</w:t>
            </w:r>
            <w:r w:rsidRPr="009B76A1">
              <w:rPr>
                <w:rFonts w:asciiTheme="minorHAnsi" w:hAnsiTheme="minorHAnsi"/>
                <w:i/>
              </w:rPr>
              <w:t xml:space="preserve"> </w:t>
            </w:r>
            <w:r w:rsidR="005C256C">
              <w:rPr>
                <w:rFonts w:asciiTheme="minorHAnsi" w:hAnsiTheme="minorHAnsi"/>
                <w:i/>
              </w:rPr>
              <w:t xml:space="preserve">INEC to </w:t>
            </w:r>
            <w:r w:rsidR="002F0C46">
              <w:rPr>
                <w:rFonts w:asciiTheme="minorHAnsi" w:hAnsiTheme="minorHAnsi"/>
                <w:i/>
              </w:rPr>
              <w:t>successfully conduct</w:t>
            </w:r>
            <w:r w:rsidR="005C256C">
              <w:rPr>
                <w:rFonts w:asciiTheme="minorHAnsi" w:hAnsiTheme="minorHAnsi"/>
                <w:i/>
              </w:rPr>
              <w:t xml:space="preserve"> </w:t>
            </w:r>
            <w:r w:rsidR="005C256C" w:rsidRPr="005C256C">
              <w:rPr>
                <w:rFonts w:asciiTheme="minorHAnsi" w:hAnsiTheme="minorHAnsi"/>
                <w:i/>
              </w:rPr>
              <w:t>credible and peaceful</w:t>
            </w:r>
            <w:r w:rsidR="002F0C46">
              <w:rPr>
                <w:rFonts w:asciiTheme="minorHAnsi" w:hAnsiTheme="minorHAnsi"/>
                <w:i/>
              </w:rPr>
              <w:t xml:space="preserve"> elections</w:t>
            </w:r>
            <w:r w:rsidR="003D653B" w:rsidRPr="009B76A1">
              <w:rPr>
                <w:rFonts w:asciiTheme="minorHAnsi" w:hAnsiTheme="minorHAnsi"/>
                <w:i/>
              </w:rPr>
              <w:t xml:space="preserve">, and (c) </w:t>
            </w:r>
            <w:r w:rsidR="002F0C46">
              <w:rPr>
                <w:rFonts w:asciiTheme="minorHAnsi" w:hAnsiTheme="minorHAnsi"/>
                <w:i/>
                <w:lang w:val="en-GB"/>
              </w:rPr>
              <w:t>Improve</w:t>
            </w:r>
            <w:r w:rsidR="002F0C46" w:rsidRPr="002F0C46">
              <w:rPr>
                <w:rFonts w:asciiTheme="minorHAnsi" w:hAnsiTheme="minorHAnsi"/>
                <w:i/>
                <w:lang w:val="en-GB"/>
              </w:rPr>
              <w:t xml:space="preserve"> capacity </w:t>
            </w:r>
            <w:r w:rsidR="002F0C46">
              <w:rPr>
                <w:rFonts w:asciiTheme="minorHAnsi" w:hAnsiTheme="minorHAnsi"/>
                <w:i/>
                <w:lang w:val="en-GB"/>
              </w:rPr>
              <w:t xml:space="preserve">of government </w:t>
            </w:r>
            <w:r w:rsidR="002F0C46" w:rsidRPr="002F0C46">
              <w:rPr>
                <w:rFonts w:asciiTheme="minorHAnsi" w:hAnsiTheme="minorHAnsi"/>
                <w:i/>
                <w:lang w:val="en-GB"/>
              </w:rPr>
              <w:t>for</w:t>
            </w:r>
            <w:r w:rsidR="002F0C46">
              <w:rPr>
                <w:rFonts w:asciiTheme="minorHAnsi" w:hAnsiTheme="minorHAnsi"/>
                <w:i/>
                <w:lang w:val="en-GB"/>
              </w:rPr>
              <w:t xml:space="preserve"> </w:t>
            </w:r>
            <w:r w:rsidR="002F0C46" w:rsidRPr="002F0C46">
              <w:rPr>
                <w:rFonts w:asciiTheme="minorHAnsi" w:hAnsiTheme="minorHAnsi"/>
                <w:i/>
                <w:lang w:val="en-GB"/>
              </w:rPr>
              <w:t>planning, budgeting and</w:t>
            </w:r>
            <w:r w:rsidR="002F0C46">
              <w:rPr>
                <w:rFonts w:asciiTheme="minorHAnsi" w:hAnsiTheme="minorHAnsi"/>
                <w:i/>
                <w:lang w:val="en-GB"/>
              </w:rPr>
              <w:t xml:space="preserve"> </w:t>
            </w:r>
            <w:r w:rsidR="002F0C46" w:rsidRPr="002F0C46">
              <w:rPr>
                <w:rFonts w:asciiTheme="minorHAnsi" w:hAnsiTheme="minorHAnsi"/>
                <w:i/>
                <w:lang w:val="en-GB"/>
              </w:rPr>
              <w:t>citizens’ engagement</w:t>
            </w:r>
            <w:r w:rsidR="00B00E5C" w:rsidRPr="009B76A1">
              <w:rPr>
                <w:rFonts w:asciiTheme="minorHAnsi" w:hAnsiTheme="minorHAnsi"/>
                <w:i/>
              </w:rPr>
              <w:t>.</w:t>
            </w:r>
          </w:p>
          <w:p w:rsidR="00B00E5C" w:rsidRPr="00845340" w:rsidRDefault="00B00E5C" w:rsidP="00EE1D60">
            <w:pPr>
              <w:pStyle w:val="BodyText2"/>
              <w:rPr>
                <w:rFonts w:asciiTheme="minorHAnsi" w:hAnsiTheme="minorHAnsi"/>
              </w:rPr>
            </w:pPr>
            <w:r w:rsidRPr="00B00E5C">
              <w:rPr>
                <w:rFonts w:asciiTheme="minorHAnsi" w:hAnsiTheme="minorHAnsi"/>
                <w:u w:val="single"/>
              </w:rPr>
              <w:lastRenderedPageBreak/>
              <w:t>Progress and Achievements</w:t>
            </w:r>
            <w:r w:rsidR="00845340">
              <w:rPr>
                <w:rFonts w:asciiTheme="minorHAnsi" w:hAnsiTheme="minorHAnsi"/>
              </w:rPr>
              <w:t>:</w:t>
            </w:r>
          </w:p>
          <w:p w:rsidR="002F0C46" w:rsidRDefault="00AF04CB" w:rsidP="004C4CF9">
            <w:pPr>
              <w:pStyle w:val="BodyText2"/>
              <w:numPr>
                <w:ilvl w:val="0"/>
                <w:numId w:val="21"/>
              </w:numPr>
              <w:jc w:val="both"/>
              <w:rPr>
                <w:rFonts w:asciiTheme="minorHAnsi" w:hAnsiTheme="minorHAnsi"/>
                <w:i/>
              </w:rPr>
            </w:pPr>
            <w:r w:rsidRPr="00AF04CB">
              <w:rPr>
                <w:rFonts w:asciiTheme="minorHAnsi" w:hAnsiTheme="minorHAnsi"/>
                <w:i/>
              </w:rPr>
              <w:t xml:space="preserve">UNDP supported the conduct of Corruption Risk Assessments in the Ports Sector and in the Ministries of Health, Education and Water. </w:t>
            </w:r>
            <w:r>
              <w:rPr>
                <w:rFonts w:asciiTheme="minorHAnsi" w:hAnsiTheme="minorHAnsi"/>
                <w:i/>
              </w:rPr>
              <w:t>UNDP</w:t>
            </w:r>
            <w:r w:rsidRPr="00AF04CB">
              <w:rPr>
                <w:rFonts w:asciiTheme="minorHAnsi" w:hAnsiTheme="minorHAnsi"/>
                <w:i/>
              </w:rPr>
              <w:t xml:space="preserve"> provided technical support to the setting up of an inclusive Ports Sector Steering Committee and has supported the institutions within the Committee to adopt their Integrity Plan and Standard Operating Procedures for the implementation of institutional reforms</w:t>
            </w:r>
            <w:r w:rsidR="00F476FE">
              <w:rPr>
                <w:rFonts w:asciiTheme="minorHAnsi" w:hAnsiTheme="minorHAnsi"/>
                <w:i/>
              </w:rPr>
              <w:t>.</w:t>
            </w:r>
            <w:r w:rsidRPr="00AF04CB">
              <w:rPr>
                <w:rFonts w:asciiTheme="minorHAnsi" w:hAnsiTheme="minorHAnsi"/>
                <w:i/>
              </w:rPr>
              <w:t xml:space="preserve"> UNDP ensures that support to Government Institut</w:t>
            </w:r>
            <w:r w:rsidR="00F476FE">
              <w:rPr>
                <w:rFonts w:asciiTheme="minorHAnsi" w:hAnsiTheme="minorHAnsi"/>
                <w:i/>
              </w:rPr>
              <w:t>ions are based on legislation, p</w:t>
            </w:r>
            <w:r w:rsidRPr="00AF04CB">
              <w:rPr>
                <w:rFonts w:asciiTheme="minorHAnsi" w:hAnsiTheme="minorHAnsi"/>
                <w:i/>
              </w:rPr>
              <w:t>olicy-priorities and directives of Government. We also negotiate</w:t>
            </w:r>
            <w:r w:rsidR="00F476FE">
              <w:rPr>
                <w:rFonts w:asciiTheme="minorHAnsi" w:hAnsiTheme="minorHAnsi"/>
                <w:i/>
              </w:rPr>
              <w:t>d</w:t>
            </w:r>
            <w:r>
              <w:rPr>
                <w:rFonts w:asciiTheme="minorHAnsi" w:hAnsiTheme="minorHAnsi"/>
                <w:i/>
              </w:rPr>
              <w:t xml:space="preserve"> for</w:t>
            </w:r>
            <w:r w:rsidRPr="00AF04CB">
              <w:rPr>
                <w:rFonts w:asciiTheme="minorHAnsi" w:hAnsiTheme="minorHAnsi"/>
                <w:i/>
              </w:rPr>
              <w:t xml:space="preserve"> an inclusive approach to the formulation and adoption of new legislation and policies </w:t>
            </w:r>
            <w:r w:rsidRPr="005C256C">
              <w:rPr>
                <w:rFonts w:asciiTheme="minorHAnsi" w:hAnsiTheme="minorHAnsi"/>
                <w:i/>
              </w:rPr>
              <w:t>for improved</w:t>
            </w:r>
            <w:r>
              <w:rPr>
                <w:rFonts w:asciiTheme="minorHAnsi" w:hAnsiTheme="minorHAnsi"/>
                <w:i/>
              </w:rPr>
              <w:t xml:space="preserve"> </w:t>
            </w:r>
            <w:r w:rsidRPr="005C256C">
              <w:rPr>
                <w:rFonts w:asciiTheme="minorHAnsi" w:hAnsiTheme="minorHAnsi"/>
                <w:i/>
              </w:rPr>
              <w:t>transparency and</w:t>
            </w:r>
            <w:r>
              <w:rPr>
                <w:rFonts w:asciiTheme="minorHAnsi" w:hAnsiTheme="minorHAnsi"/>
                <w:i/>
              </w:rPr>
              <w:t xml:space="preserve"> </w:t>
            </w:r>
            <w:r w:rsidRPr="005C256C">
              <w:rPr>
                <w:rFonts w:asciiTheme="minorHAnsi" w:hAnsiTheme="minorHAnsi"/>
                <w:i/>
              </w:rPr>
              <w:t>accountability</w:t>
            </w:r>
            <w:r w:rsidRPr="00AF04CB">
              <w:rPr>
                <w:rFonts w:asciiTheme="minorHAnsi" w:hAnsiTheme="minorHAnsi"/>
                <w:i/>
              </w:rPr>
              <w:t>.</w:t>
            </w:r>
          </w:p>
          <w:p w:rsidR="004C4CF9" w:rsidRPr="00AF04CB" w:rsidRDefault="004C4CF9" w:rsidP="004C4CF9">
            <w:pPr>
              <w:pStyle w:val="BodyText2"/>
              <w:ind w:left="720"/>
              <w:jc w:val="both"/>
              <w:rPr>
                <w:rFonts w:asciiTheme="minorHAnsi" w:hAnsiTheme="minorHAnsi"/>
                <w:i/>
              </w:rPr>
            </w:pPr>
          </w:p>
          <w:p w:rsidR="00FF731E" w:rsidRDefault="002F0C46" w:rsidP="004C4CF9">
            <w:pPr>
              <w:pStyle w:val="BodyText2"/>
              <w:numPr>
                <w:ilvl w:val="0"/>
                <w:numId w:val="21"/>
              </w:numPr>
              <w:jc w:val="both"/>
              <w:rPr>
                <w:rFonts w:asciiTheme="minorHAnsi" w:hAnsiTheme="minorHAnsi"/>
                <w:i/>
              </w:rPr>
            </w:pPr>
            <w:r w:rsidRPr="002F0C46">
              <w:rPr>
                <w:rFonts w:asciiTheme="minorHAnsi" w:hAnsiTheme="minorHAnsi"/>
                <w:i/>
              </w:rPr>
              <w:t>UNDP rendered technical, advisory and logistical support to the Independent National Electoral Commission(INEC)</w:t>
            </w:r>
            <w:r w:rsidR="00DB31C8">
              <w:rPr>
                <w:rFonts w:asciiTheme="minorHAnsi" w:hAnsiTheme="minorHAnsi"/>
                <w:i/>
              </w:rPr>
              <w:t xml:space="preserve"> </w:t>
            </w:r>
            <w:r w:rsidRPr="002F0C46">
              <w:rPr>
                <w:rFonts w:asciiTheme="minorHAnsi" w:hAnsiTheme="minorHAnsi"/>
                <w:i/>
              </w:rPr>
              <w:t xml:space="preserve">in the implementation of electoral reforms and engaged technical advisers to </w:t>
            </w:r>
            <w:r w:rsidR="00F476FE">
              <w:rPr>
                <w:rFonts w:asciiTheme="minorHAnsi" w:hAnsiTheme="minorHAnsi"/>
                <w:i/>
              </w:rPr>
              <w:t xml:space="preserve">provide </w:t>
            </w:r>
            <w:r w:rsidRPr="002F0C46">
              <w:rPr>
                <w:rFonts w:asciiTheme="minorHAnsi" w:hAnsiTheme="minorHAnsi"/>
                <w:i/>
              </w:rPr>
              <w:t xml:space="preserve">top-notch advise to INEC Policy-Makers and Staff, thus strengthening </w:t>
            </w:r>
            <w:r w:rsidR="00AF320A">
              <w:rPr>
                <w:rFonts w:asciiTheme="minorHAnsi" w:hAnsiTheme="minorHAnsi"/>
                <w:i/>
              </w:rPr>
              <w:t>the</w:t>
            </w:r>
            <w:r w:rsidR="00AF320A" w:rsidRPr="002F0C46">
              <w:rPr>
                <w:rFonts w:asciiTheme="minorHAnsi" w:hAnsiTheme="minorHAnsi"/>
                <w:i/>
              </w:rPr>
              <w:t xml:space="preserve"> </w:t>
            </w:r>
            <w:r w:rsidRPr="002F0C46">
              <w:rPr>
                <w:rFonts w:asciiTheme="minorHAnsi" w:hAnsiTheme="minorHAnsi"/>
                <w:i/>
              </w:rPr>
              <w:t>Biometric Voters Register</w:t>
            </w:r>
            <w:r w:rsidR="00AF320A">
              <w:rPr>
                <w:rFonts w:asciiTheme="minorHAnsi" w:hAnsiTheme="minorHAnsi"/>
                <w:i/>
              </w:rPr>
              <w:t xml:space="preserve"> </w:t>
            </w:r>
            <w:r w:rsidRPr="002F0C46">
              <w:rPr>
                <w:rFonts w:asciiTheme="minorHAnsi" w:hAnsiTheme="minorHAnsi"/>
                <w:i/>
              </w:rPr>
              <w:t>(BVR),</w:t>
            </w:r>
            <w:r w:rsidR="00DB31C8">
              <w:rPr>
                <w:rFonts w:asciiTheme="minorHAnsi" w:hAnsiTheme="minorHAnsi"/>
                <w:i/>
              </w:rPr>
              <w:t xml:space="preserve"> </w:t>
            </w:r>
            <w:r w:rsidRPr="002F0C46">
              <w:rPr>
                <w:rFonts w:asciiTheme="minorHAnsi" w:hAnsiTheme="minorHAnsi"/>
                <w:i/>
              </w:rPr>
              <w:t>consensus-building between political parties and INEC,</w:t>
            </w:r>
            <w:r w:rsidR="00AF04CB">
              <w:rPr>
                <w:rFonts w:asciiTheme="minorHAnsi" w:hAnsiTheme="minorHAnsi"/>
                <w:i/>
              </w:rPr>
              <w:t xml:space="preserve"> </w:t>
            </w:r>
            <w:r w:rsidRPr="002F0C46">
              <w:rPr>
                <w:rFonts w:asciiTheme="minorHAnsi" w:hAnsiTheme="minorHAnsi"/>
                <w:i/>
              </w:rPr>
              <w:t>the timely deployment of the Personal Voters Cards(PVC),</w:t>
            </w:r>
            <w:r w:rsidR="00DB31C8">
              <w:rPr>
                <w:rFonts w:asciiTheme="minorHAnsi" w:hAnsiTheme="minorHAnsi"/>
                <w:i/>
              </w:rPr>
              <w:t xml:space="preserve"> </w:t>
            </w:r>
            <w:r w:rsidRPr="002F0C46">
              <w:rPr>
                <w:rFonts w:asciiTheme="minorHAnsi" w:hAnsiTheme="minorHAnsi"/>
                <w:i/>
              </w:rPr>
              <w:t>the adoption of a Gender Policy,</w:t>
            </w:r>
            <w:r w:rsidR="008B116C">
              <w:rPr>
                <w:rFonts w:asciiTheme="minorHAnsi" w:hAnsiTheme="minorHAnsi"/>
                <w:i/>
              </w:rPr>
              <w:t xml:space="preserve"> </w:t>
            </w:r>
            <w:r w:rsidRPr="002F0C46">
              <w:rPr>
                <w:rFonts w:asciiTheme="minorHAnsi" w:hAnsiTheme="minorHAnsi"/>
                <w:i/>
              </w:rPr>
              <w:t>support to inter-agency coordination in the provision of electoral security,</w:t>
            </w:r>
            <w:r w:rsidR="00AF04CB">
              <w:rPr>
                <w:rFonts w:asciiTheme="minorHAnsi" w:hAnsiTheme="minorHAnsi"/>
                <w:i/>
              </w:rPr>
              <w:t xml:space="preserve"> </w:t>
            </w:r>
            <w:r w:rsidRPr="002F0C46">
              <w:rPr>
                <w:rFonts w:asciiTheme="minorHAnsi" w:hAnsiTheme="minorHAnsi"/>
                <w:i/>
              </w:rPr>
              <w:t>the deployment of Electoral Management System (EMS) which ensured timely deployment and tracking of logistics and enhanced the transparency of the</w:t>
            </w:r>
            <w:r w:rsidR="00AF320A">
              <w:rPr>
                <w:rFonts w:asciiTheme="minorHAnsi" w:hAnsiTheme="minorHAnsi"/>
                <w:i/>
              </w:rPr>
              <w:t xml:space="preserve"> electoral</w:t>
            </w:r>
            <w:r w:rsidRPr="002F0C46">
              <w:rPr>
                <w:rFonts w:asciiTheme="minorHAnsi" w:hAnsiTheme="minorHAnsi"/>
                <w:i/>
              </w:rPr>
              <w:t xml:space="preserve"> process</w:t>
            </w:r>
            <w:r>
              <w:rPr>
                <w:rFonts w:asciiTheme="minorHAnsi" w:hAnsiTheme="minorHAnsi"/>
                <w:i/>
              </w:rPr>
              <w:t xml:space="preserve"> </w:t>
            </w:r>
          </w:p>
          <w:p w:rsidR="004C4CF9" w:rsidRDefault="004C4CF9" w:rsidP="004C4CF9">
            <w:pPr>
              <w:pStyle w:val="ListParagraph"/>
              <w:rPr>
                <w:rFonts w:asciiTheme="minorHAnsi" w:hAnsiTheme="minorHAnsi"/>
                <w:i/>
              </w:rPr>
            </w:pPr>
          </w:p>
          <w:p w:rsidR="002F0C46" w:rsidRPr="004C4CF9" w:rsidRDefault="00AF04CB" w:rsidP="004C4CF9">
            <w:pPr>
              <w:pStyle w:val="BodyText2"/>
              <w:numPr>
                <w:ilvl w:val="0"/>
                <w:numId w:val="21"/>
              </w:numPr>
              <w:jc w:val="both"/>
              <w:rPr>
                <w:rFonts w:asciiTheme="minorHAnsi" w:hAnsiTheme="minorHAnsi"/>
                <w:i/>
              </w:rPr>
            </w:pPr>
            <w:r w:rsidRPr="004C4CF9">
              <w:rPr>
                <w:rFonts w:asciiTheme="minorHAnsi" w:hAnsiTheme="minorHAnsi"/>
                <w:i/>
                <w:lang w:val="en-GB"/>
              </w:rPr>
              <w:t>UNDP supported the conduct of the Needs Assessment and review of legal texts for the National Assembly. The assessment recommendations enhanced the transparency of resource allocation as well as cost-effective resource management at the National A</w:t>
            </w:r>
            <w:r w:rsidR="002B5DAF" w:rsidRPr="004C4CF9">
              <w:rPr>
                <w:rFonts w:asciiTheme="minorHAnsi" w:hAnsiTheme="minorHAnsi"/>
                <w:i/>
                <w:lang w:val="en-GB"/>
              </w:rPr>
              <w:t>s</w:t>
            </w:r>
            <w:r w:rsidR="001C1FE6" w:rsidRPr="004C4CF9">
              <w:rPr>
                <w:rFonts w:asciiTheme="minorHAnsi" w:hAnsiTheme="minorHAnsi"/>
                <w:i/>
                <w:lang w:val="en-GB"/>
              </w:rPr>
              <w:t>sembly. This resulted in the</w:t>
            </w:r>
            <w:r w:rsidRPr="004C4CF9">
              <w:rPr>
                <w:rFonts w:asciiTheme="minorHAnsi" w:hAnsiTheme="minorHAnsi"/>
                <w:i/>
                <w:lang w:val="en-GB"/>
              </w:rPr>
              <w:t xml:space="preserve"> reduction in National Assembly overhead Budget in the 2016 MTEF. </w:t>
            </w:r>
            <w:r w:rsidR="00FF731E" w:rsidRPr="004C4CF9">
              <w:rPr>
                <w:rFonts w:asciiTheme="minorHAnsi" w:hAnsiTheme="minorHAnsi"/>
                <w:i/>
                <w:lang w:val="en-GB"/>
              </w:rPr>
              <w:t xml:space="preserve">UNDP’s anti-corruption programme supported the development of a monitoring plan being used for the Federal Government's Social Investment Programme. This ensured critical inputs of the civil society to strategic-level policy making on </w:t>
            </w:r>
            <w:r w:rsidR="00AF320A" w:rsidRPr="004C4CF9">
              <w:rPr>
                <w:rFonts w:asciiTheme="minorHAnsi" w:hAnsiTheme="minorHAnsi"/>
                <w:i/>
                <w:lang w:val="en-GB"/>
              </w:rPr>
              <w:t>issues related to</w:t>
            </w:r>
            <w:r w:rsidR="00FF731E" w:rsidRPr="004C4CF9">
              <w:rPr>
                <w:rFonts w:asciiTheme="minorHAnsi" w:hAnsiTheme="minorHAnsi"/>
                <w:i/>
                <w:lang w:val="en-GB"/>
              </w:rPr>
              <w:t xml:space="preserve"> </w:t>
            </w:r>
            <w:r w:rsidR="00AF320A" w:rsidRPr="004C4CF9">
              <w:rPr>
                <w:rFonts w:asciiTheme="minorHAnsi" w:hAnsiTheme="minorHAnsi"/>
                <w:i/>
                <w:lang w:val="en-GB"/>
              </w:rPr>
              <w:t xml:space="preserve">public </w:t>
            </w:r>
            <w:r w:rsidR="00FF731E" w:rsidRPr="004C4CF9">
              <w:rPr>
                <w:rFonts w:asciiTheme="minorHAnsi" w:hAnsiTheme="minorHAnsi"/>
                <w:i/>
                <w:lang w:val="en-GB"/>
              </w:rPr>
              <w:t>procurement</w:t>
            </w:r>
            <w:r w:rsidR="00AF320A" w:rsidRPr="004C4CF9">
              <w:rPr>
                <w:rFonts w:asciiTheme="minorHAnsi" w:hAnsiTheme="minorHAnsi"/>
                <w:i/>
                <w:lang w:val="en-GB"/>
              </w:rPr>
              <w:t>,</w:t>
            </w:r>
            <w:r w:rsidR="00FF731E" w:rsidRPr="004C4CF9">
              <w:rPr>
                <w:rFonts w:asciiTheme="minorHAnsi" w:hAnsiTheme="minorHAnsi"/>
                <w:i/>
                <w:lang w:val="en-GB"/>
              </w:rPr>
              <w:t xml:space="preserve"> money laundering </w:t>
            </w:r>
            <w:r w:rsidR="00AF320A" w:rsidRPr="004C4CF9">
              <w:rPr>
                <w:rFonts w:asciiTheme="minorHAnsi" w:hAnsiTheme="minorHAnsi"/>
                <w:i/>
                <w:lang w:val="en-GB"/>
              </w:rPr>
              <w:t xml:space="preserve">legislation </w:t>
            </w:r>
            <w:r w:rsidR="00FF731E" w:rsidRPr="004C4CF9">
              <w:rPr>
                <w:rFonts w:asciiTheme="minorHAnsi" w:hAnsiTheme="minorHAnsi"/>
                <w:i/>
                <w:lang w:val="en-GB"/>
              </w:rPr>
              <w:t xml:space="preserve">and mutual legal assistance. CSOs were also able to </w:t>
            </w:r>
            <w:r w:rsidR="00525078" w:rsidRPr="004C4CF9">
              <w:rPr>
                <w:rFonts w:asciiTheme="minorHAnsi" w:hAnsiTheme="minorHAnsi"/>
                <w:i/>
                <w:lang w:val="en-GB"/>
              </w:rPr>
              <w:t>synergise</w:t>
            </w:r>
            <w:r w:rsidR="00FF731E" w:rsidRPr="004C4CF9">
              <w:rPr>
                <w:rFonts w:asciiTheme="minorHAnsi" w:hAnsiTheme="minorHAnsi"/>
                <w:i/>
                <w:lang w:val="en-GB"/>
              </w:rPr>
              <w:t xml:space="preserve"> their initiatives with Government agencies on corruption risks and procurement, leading to rejuvenation of their mandate as stated in the Bureau of Public Procurement (BPP) Act to monitor </w:t>
            </w:r>
            <w:r w:rsidR="00AF320A" w:rsidRPr="004C4CF9">
              <w:rPr>
                <w:rFonts w:asciiTheme="minorHAnsi" w:hAnsiTheme="minorHAnsi"/>
                <w:i/>
                <w:lang w:val="en-GB"/>
              </w:rPr>
              <w:t xml:space="preserve">public </w:t>
            </w:r>
            <w:r w:rsidR="00FF731E" w:rsidRPr="004C4CF9">
              <w:rPr>
                <w:rFonts w:asciiTheme="minorHAnsi" w:hAnsiTheme="minorHAnsi"/>
                <w:i/>
                <w:lang w:val="en-GB"/>
              </w:rPr>
              <w:t>procurement processes.</w:t>
            </w:r>
          </w:p>
          <w:p w:rsidR="00700521" w:rsidRPr="00DC7354" w:rsidRDefault="00700521" w:rsidP="002F0C46">
            <w:pPr>
              <w:pStyle w:val="BodyText2"/>
              <w:rPr>
                <w:rFonts w:asciiTheme="minorHAnsi" w:hAnsiTheme="minorHAnsi"/>
              </w:rPr>
            </w:pPr>
          </w:p>
        </w:tc>
      </w:tr>
      <w:tr w:rsidR="003B037A" w:rsidRPr="00DC7354" w:rsidTr="004C4CF9">
        <w:tc>
          <w:tcPr>
            <w:tcW w:w="3060" w:type="dxa"/>
            <w:shd w:val="clear" w:color="auto" w:fill="95B3D7" w:themeFill="accent1" w:themeFillTint="99"/>
          </w:tcPr>
          <w:p w:rsidR="003B037A" w:rsidRPr="00525078" w:rsidRDefault="00BD2655" w:rsidP="004C4CF9">
            <w:pPr>
              <w:pStyle w:val="BodyText2"/>
              <w:jc w:val="both"/>
              <w:rPr>
                <w:rFonts w:asciiTheme="minorHAnsi" w:hAnsiTheme="minorHAnsi"/>
                <w:i/>
              </w:rPr>
            </w:pPr>
            <w:r>
              <w:rPr>
                <w:rFonts w:asciiTheme="minorHAnsi" w:hAnsiTheme="minorHAnsi"/>
                <w:b/>
              </w:rPr>
              <w:lastRenderedPageBreak/>
              <w:t>41</w:t>
            </w:r>
            <w:r w:rsidR="003B037A" w:rsidRPr="000823AC">
              <w:rPr>
                <w:rFonts w:asciiTheme="minorHAnsi" w:hAnsiTheme="minorHAnsi"/>
                <w:b/>
              </w:rPr>
              <w:t xml:space="preserve">. </w:t>
            </w:r>
            <w:r w:rsidRPr="00BD2655">
              <w:rPr>
                <w:rFonts w:asciiTheme="minorHAnsi" w:hAnsiTheme="minorHAnsi"/>
                <w:b/>
              </w:rPr>
              <w:t xml:space="preserve">Social capital and sustainable and equitable economic growth: </w:t>
            </w:r>
            <w:r w:rsidRPr="00BD2655">
              <w:rPr>
                <w:rFonts w:asciiTheme="minorHAnsi" w:hAnsiTheme="minorHAnsi"/>
                <w:i/>
              </w:rPr>
              <w:t>By 2020, Nigerians are healthy, knowledgeable, highly skilled and productive people, with positive</w:t>
            </w:r>
            <w:r w:rsidR="00525078">
              <w:rPr>
                <w:rFonts w:asciiTheme="minorHAnsi" w:hAnsiTheme="minorHAnsi"/>
                <w:i/>
              </w:rPr>
              <w:t xml:space="preserve"> </w:t>
            </w:r>
            <w:r w:rsidRPr="00BD2655">
              <w:rPr>
                <w:rFonts w:asciiTheme="minorHAnsi" w:hAnsiTheme="minorHAnsi"/>
                <w:i/>
              </w:rPr>
              <w:t>value orientations, living in an inclusive and cohesive society; free from all forms of discrimination, violence and abuse; irrespective of sex, age, geographic location, and socio-economic status,</w:t>
            </w:r>
            <w:r w:rsidR="00525078">
              <w:rPr>
                <w:rFonts w:asciiTheme="minorHAnsi" w:hAnsiTheme="minorHAnsi"/>
                <w:i/>
              </w:rPr>
              <w:t xml:space="preserve"> </w:t>
            </w:r>
            <w:r w:rsidRPr="00BD2655">
              <w:rPr>
                <w:rFonts w:asciiTheme="minorHAnsi" w:hAnsiTheme="minorHAnsi"/>
                <w:i/>
              </w:rPr>
              <w:t>and forming a globally competitive workforce.</w:t>
            </w:r>
          </w:p>
        </w:tc>
        <w:tc>
          <w:tcPr>
            <w:tcW w:w="1530" w:type="dxa"/>
            <w:gridSpan w:val="2"/>
            <w:shd w:val="clear" w:color="auto" w:fill="auto"/>
          </w:tcPr>
          <w:p w:rsidR="003B037A" w:rsidRPr="00DC7354" w:rsidRDefault="003B037A">
            <w:pPr>
              <w:pStyle w:val="BodyText2"/>
              <w:rPr>
                <w:rFonts w:asciiTheme="minorHAnsi" w:hAnsiTheme="minorHAnsi"/>
              </w:rPr>
            </w:pPr>
            <w:r w:rsidRPr="00DC7354">
              <w:rPr>
                <w:rFonts w:asciiTheme="minorHAnsi" w:hAnsiTheme="minorHAnsi"/>
              </w:rPr>
              <w:t>$</w:t>
            </w:r>
            <w:r w:rsidR="00F777F6" w:rsidRPr="00F777F6">
              <w:rPr>
                <w:rFonts w:asciiTheme="minorHAnsi" w:hAnsiTheme="minorHAnsi"/>
              </w:rPr>
              <w:t>24,725,396</w:t>
            </w:r>
          </w:p>
        </w:tc>
        <w:tc>
          <w:tcPr>
            <w:tcW w:w="3960" w:type="dxa"/>
            <w:tcBorders>
              <w:left w:val="single" w:sz="4" w:space="0" w:color="auto"/>
            </w:tcBorders>
          </w:tcPr>
          <w:p w:rsidR="003B037A" w:rsidRPr="00920DBC" w:rsidRDefault="00B95D24" w:rsidP="004C4CF9">
            <w:pPr>
              <w:pStyle w:val="BodyText2"/>
              <w:numPr>
                <w:ilvl w:val="0"/>
                <w:numId w:val="15"/>
              </w:numPr>
              <w:jc w:val="both"/>
              <w:rPr>
                <w:rFonts w:asciiTheme="minorHAnsi" w:hAnsiTheme="minorHAnsi"/>
                <w:i/>
              </w:rPr>
            </w:pPr>
            <w:r>
              <w:rPr>
                <w:rFonts w:asciiTheme="minorHAnsi" w:hAnsiTheme="minorHAnsi"/>
                <w:i/>
              </w:rPr>
              <w:t>Nigeria’s GDP per Capita (USD, current prices)</w:t>
            </w:r>
          </w:p>
          <w:p w:rsidR="00E17443" w:rsidRDefault="00E17443" w:rsidP="004C4CF9">
            <w:pPr>
              <w:pStyle w:val="BodyText2"/>
              <w:ind w:left="360"/>
              <w:jc w:val="both"/>
              <w:rPr>
                <w:rFonts w:asciiTheme="minorHAnsi" w:hAnsiTheme="minorHAnsi"/>
                <w:i/>
              </w:rPr>
            </w:pPr>
          </w:p>
          <w:p w:rsidR="00DC6B2C" w:rsidRPr="00E17443" w:rsidRDefault="00DC6B2C" w:rsidP="004C4CF9">
            <w:pPr>
              <w:pStyle w:val="BodyText2"/>
              <w:ind w:left="360"/>
              <w:jc w:val="both"/>
              <w:rPr>
                <w:rFonts w:asciiTheme="minorHAnsi" w:hAnsiTheme="minorHAnsi"/>
                <w:i/>
              </w:rPr>
            </w:pPr>
          </w:p>
          <w:p w:rsidR="003B037A" w:rsidRPr="00B55B85" w:rsidRDefault="00B95D24" w:rsidP="004C4CF9">
            <w:pPr>
              <w:pStyle w:val="BodyText2"/>
              <w:numPr>
                <w:ilvl w:val="0"/>
                <w:numId w:val="15"/>
              </w:numPr>
              <w:jc w:val="both"/>
              <w:rPr>
                <w:rFonts w:asciiTheme="minorHAnsi" w:hAnsiTheme="minorHAnsi"/>
                <w:i/>
              </w:rPr>
            </w:pPr>
            <w:r w:rsidRPr="00B95D24">
              <w:rPr>
                <w:rFonts w:asciiTheme="minorHAnsi" w:hAnsiTheme="minorHAnsi"/>
                <w:i/>
                <w:lang w:val="en-GB"/>
              </w:rPr>
              <w:t>Percentage unemployment rate disaggregated by sex</w:t>
            </w:r>
            <w:r>
              <w:rPr>
                <w:rFonts w:asciiTheme="minorHAnsi" w:hAnsiTheme="minorHAnsi"/>
                <w:i/>
                <w:lang w:val="en-GB"/>
              </w:rPr>
              <w:t xml:space="preserve"> (as a percentage of labour force)</w:t>
            </w:r>
          </w:p>
          <w:p w:rsidR="00B55B85" w:rsidRDefault="00B55B85" w:rsidP="004C4CF9">
            <w:pPr>
              <w:pStyle w:val="BodyText2"/>
              <w:jc w:val="both"/>
              <w:rPr>
                <w:rFonts w:asciiTheme="minorHAnsi" w:hAnsiTheme="minorHAnsi"/>
                <w:i/>
                <w:lang w:val="en-GB"/>
              </w:rPr>
            </w:pPr>
          </w:p>
          <w:p w:rsidR="00B55B85" w:rsidRDefault="00B55B85" w:rsidP="004C4CF9">
            <w:pPr>
              <w:pStyle w:val="BodyText2"/>
              <w:jc w:val="both"/>
              <w:rPr>
                <w:rFonts w:asciiTheme="minorHAnsi" w:hAnsiTheme="minorHAnsi"/>
                <w:i/>
                <w:lang w:val="en-GB"/>
              </w:rPr>
            </w:pPr>
          </w:p>
          <w:p w:rsidR="00B55B85" w:rsidRPr="00B55B85" w:rsidRDefault="00B55B85" w:rsidP="004C4CF9">
            <w:pPr>
              <w:pStyle w:val="BodyText2"/>
              <w:jc w:val="both"/>
              <w:rPr>
                <w:rFonts w:asciiTheme="minorHAnsi" w:hAnsiTheme="minorHAnsi"/>
                <w:i/>
              </w:rPr>
            </w:pPr>
          </w:p>
          <w:p w:rsidR="00B55B85" w:rsidRPr="00920DBC" w:rsidRDefault="00B55B85" w:rsidP="004C4CF9">
            <w:pPr>
              <w:pStyle w:val="BodyText2"/>
              <w:numPr>
                <w:ilvl w:val="0"/>
                <w:numId w:val="15"/>
              </w:numPr>
              <w:jc w:val="both"/>
              <w:rPr>
                <w:rFonts w:asciiTheme="minorHAnsi" w:hAnsiTheme="minorHAnsi"/>
                <w:i/>
              </w:rPr>
            </w:pPr>
            <w:r w:rsidRPr="00B55B85">
              <w:rPr>
                <w:rFonts w:asciiTheme="minorHAnsi" w:hAnsiTheme="minorHAnsi"/>
                <w:i/>
                <w:lang w:val="en-GB"/>
              </w:rPr>
              <w:t>Number of states with HIV anti-stigma law passed</w:t>
            </w:r>
          </w:p>
        </w:tc>
        <w:tc>
          <w:tcPr>
            <w:tcW w:w="5490" w:type="dxa"/>
            <w:shd w:val="clear" w:color="auto" w:fill="auto"/>
          </w:tcPr>
          <w:p w:rsidR="00B95D24" w:rsidRDefault="00B95D24" w:rsidP="004C4CF9">
            <w:pPr>
              <w:pStyle w:val="BodyText2"/>
              <w:numPr>
                <w:ilvl w:val="0"/>
                <w:numId w:val="16"/>
              </w:numPr>
              <w:jc w:val="both"/>
              <w:rPr>
                <w:rFonts w:asciiTheme="minorHAnsi" w:hAnsiTheme="minorHAnsi"/>
                <w:i/>
              </w:rPr>
            </w:pPr>
            <w:r>
              <w:rPr>
                <w:rFonts w:asciiTheme="minorHAnsi" w:hAnsiTheme="minorHAnsi"/>
                <w:i/>
              </w:rPr>
              <w:t>This dropped from USD</w:t>
            </w:r>
            <w:r w:rsidRPr="00B95D24">
              <w:rPr>
                <w:rFonts w:asciiTheme="minorHAnsi" w:hAnsiTheme="minorHAnsi"/>
                <w:i/>
              </w:rPr>
              <w:t>3</w:t>
            </w:r>
            <w:r w:rsidR="004C4CF9" w:rsidRPr="00B95D24">
              <w:rPr>
                <w:rFonts w:asciiTheme="minorHAnsi" w:hAnsiTheme="minorHAnsi"/>
                <w:i/>
              </w:rPr>
              <w:t>, 268</w:t>
            </w:r>
            <w:r>
              <w:rPr>
                <w:rFonts w:asciiTheme="minorHAnsi" w:hAnsiTheme="minorHAnsi"/>
                <w:i/>
              </w:rPr>
              <w:t xml:space="preserve"> in 2014 to USD</w:t>
            </w:r>
            <w:r w:rsidRPr="00B95D24">
              <w:rPr>
                <w:rFonts w:asciiTheme="minorHAnsi" w:hAnsiTheme="minorHAnsi"/>
                <w:i/>
              </w:rPr>
              <w:t>2</w:t>
            </w:r>
            <w:r w:rsidR="004C4CF9" w:rsidRPr="00B95D24">
              <w:rPr>
                <w:rFonts w:asciiTheme="minorHAnsi" w:hAnsiTheme="minorHAnsi"/>
                <w:i/>
              </w:rPr>
              <w:t>, 260</w:t>
            </w:r>
            <w:r>
              <w:rPr>
                <w:rFonts w:asciiTheme="minorHAnsi" w:hAnsiTheme="minorHAnsi"/>
                <w:i/>
              </w:rPr>
              <w:t xml:space="preserve"> in 2016</w:t>
            </w:r>
            <w:r w:rsidR="00B55B85">
              <w:rPr>
                <w:rFonts w:asciiTheme="minorHAnsi" w:hAnsiTheme="minorHAnsi"/>
                <w:i/>
              </w:rPr>
              <w:t xml:space="preserve"> against the USD3</w:t>
            </w:r>
            <w:r w:rsidR="004C4CF9">
              <w:rPr>
                <w:rFonts w:asciiTheme="minorHAnsi" w:hAnsiTheme="minorHAnsi"/>
                <w:i/>
              </w:rPr>
              <w:t>, 500</w:t>
            </w:r>
            <w:r w:rsidR="00B55B85">
              <w:rPr>
                <w:rFonts w:asciiTheme="minorHAnsi" w:hAnsiTheme="minorHAnsi"/>
                <w:i/>
              </w:rPr>
              <w:t xml:space="preserve"> target</w:t>
            </w:r>
            <w:r>
              <w:rPr>
                <w:rFonts w:asciiTheme="minorHAnsi" w:hAnsiTheme="minorHAnsi"/>
                <w:i/>
              </w:rPr>
              <w:t xml:space="preserve">. </w:t>
            </w:r>
          </w:p>
          <w:p w:rsidR="00B95D24" w:rsidRDefault="00B95D24" w:rsidP="004C4CF9">
            <w:pPr>
              <w:pStyle w:val="BodyText2"/>
              <w:ind w:left="360"/>
              <w:jc w:val="both"/>
              <w:rPr>
                <w:rFonts w:asciiTheme="minorHAnsi" w:hAnsiTheme="minorHAnsi"/>
                <w:i/>
              </w:rPr>
            </w:pPr>
          </w:p>
          <w:p w:rsidR="00DC6B2C" w:rsidRDefault="00DC6B2C" w:rsidP="004C4CF9">
            <w:pPr>
              <w:pStyle w:val="BodyText2"/>
              <w:ind w:left="360"/>
              <w:jc w:val="both"/>
              <w:rPr>
                <w:rFonts w:asciiTheme="minorHAnsi" w:hAnsiTheme="minorHAnsi"/>
                <w:i/>
              </w:rPr>
            </w:pPr>
          </w:p>
          <w:p w:rsidR="00B95D24" w:rsidRDefault="00B95D24" w:rsidP="004C4CF9">
            <w:pPr>
              <w:pStyle w:val="BodyText2"/>
              <w:numPr>
                <w:ilvl w:val="0"/>
                <w:numId w:val="16"/>
              </w:numPr>
              <w:jc w:val="both"/>
              <w:rPr>
                <w:rFonts w:asciiTheme="minorHAnsi" w:hAnsiTheme="minorHAnsi"/>
                <w:i/>
              </w:rPr>
            </w:pPr>
            <w:r>
              <w:rPr>
                <w:rFonts w:asciiTheme="minorHAnsi" w:hAnsiTheme="minorHAnsi"/>
                <w:i/>
              </w:rPr>
              <w:t xml:space="preserve">There was a positive drop in unemployment rate for </w:t>
            </w:r>
            <w:r w:rsidR="00B55B85">
              <w:rPr>
                <w:rFonts w:asciiTheme="minorHAnsi" w:hAnsiTheme="minorHAnsi"/>
                <w:i/>
              </w:rPr>
              <w:t xml:space="preserve">male and </w:t>
            </w:r>
            <w:r>
              <w:rPr>
                <w:rFonts w:asciiTheme="minorHAnsi" w:hAnsiTheme="minorHAnsi"/>
                <w:i/>
              </w:rPr>
              <w:t xml:space="preserve">female from </w:t>
            </w:r>
            <w:r w:rsidR="00B55B85">
              <w:rPr>
                <w:rFonts w:asciiTheme="minorHAnsi" w:hAnsiTheme="minorHAnsi"/>
                <w:i/>
              </w:rPr>
              <w:t xml:space="preserve">7.6 &amp; </w:t>
            </w:r>
            <w:r>
              <w:rPr>
                <w:rFonts w:asciiTheme="minorHAnsi" w:hAnsiTheme="minorHAnsi"/>
                <w:i/>
              </w:rPr>
              <w:t xml:space="preserve">7.4 in 2013 to </w:t>
            </w:r>
            <w:r w:rsidR="00B55B85">
              <w:rPr>
                <w:rFonts w:asciiTheme="minorHAnsi" w:hAnsiTheme="minorHAnsi"/>
                <w:i/>
              </w:rPr>
              <w:t xml:space="preserve">4.4 &amp; </w:t>
            </w:r>
            <w:r>
              <w:rPr>
                <w:rFonts w:asciiTheme="minorHAnsi" w:hAnsiTheme="minorHAnsi"/>
                <w:i/>
              </w:rPr>
              <w:t>5.8 in 2016</w:t>
            </w:r>
            <w:r w:rsidR="00B55B85">
              <w:rPr>
                <w:rFonts w:asciiTheme="minorHAnsi" w:hAnsiTheme="minorHAnsi"/>
                <w:i/>
              </w:rPr>
              <w:t xml:space="preserve"> respectively</w:t>
            </w:r>
            <w:r>
              <w:rPr>
                <w:rFonts w:asciiTheme="minorHAnsi" w:hAnsiTheme="minorHAnsi"/>
                <w:i/>
              </w:rPr>
              <w:t xml:space="preserve">. </w:t>
            </w:r>
          </w:p>
          <w:p w:rsidR="00B95D24" w:rsidRDefault="00B95D24" w:rsidP="004C4CF9">
            <w:pPr>
              <w:pStyle w:val="ListParagraph"/>
              <w:jc w:val="both"/>
              <w:rPr>
                <w:rFonts w:asciiTheme="minorHAnsi" w:hAnsiTheme="minorHAnsi"/>
                <w:i/>
              </w:rPr>
            </w:pPr>
          </w:p>
          <w:p w:rsidR="005C256C" w:rsidRDefault="005C256C" w:rsidP="004C4CF9">
            <w:pPr>
              <w:pStyle w:val="ListParagraph"/>
              <w:jc w:val="both"/>
              <w:rPr>
                <w:rFonts w:asciiTheme="minorHAnsi" w:hAnsiTheme="minorHAnsi"/>
                <w:i/>
              </w:rPr>
            </w:pPr>
          </w:p>
          <w:p w:rsidR="00AF320A" w:rsidRPr="00AF320A" w:rsidRDefault="00B95D24" w:rsidP="004C4CF9">
            <w:pPr>
              <w:pStyle w:val="BodyText2"/>
              <w:numPr>
                <w:ilvl w:val="0"/>
                <w:numId w:val="16"/>
              </w:numPr>
              <w:jc w:val="both"/>
              <w:rPr>
                <w:rFonts w:asciiTheme="minorHAnsi" w:hAnsiTheme="minorHAnsi"/>
                <w:i/>
              </w:rPr>
            </w:pPr>
            <w:r>
              <w:rPr>
                <w:rFonts w:asciiTheme="minorHAnsi" w:hAnsiTheme="minorHAnsi"/>
                <w:i/>
              </w:rPr>
              <w:t xml:space="preserve"> </w:t>
            </w:r>
            <w:r w:rsidR="00625987">
              <w:rPr>
                <w:rFonts w:asciiTheme="minorHAnsi" w:hAnsiTheme="minorHAnsi"/>
                <w:i/>
              </w:rPr>
              <w:t xml:space="preserve">The </w:t>
            </w:r>
            <w:r w:rsidR="00625987" w:rsidRPr="00B55B85">
              <w:rPr>
                <w:rFonts w:asciiTheme="minorHAnsi" w:hAnsiTheme="minorHAnsi"/>
                <w:i/>
                <w:lang w:val="en-GB"/>
              </w:rPr>
              <w:t xml:space="preserve">HIV anti-stigma law </w:t>
            </w:r>
            <w:r w:rsidR="00625987">
              <w:rPr>
                <w:rFonts w:asciiTheme="minorHAnsi" w:hAnsiTheme="minorHAnsi"/>
                <w:i/>
                <w:lang w:val="en-GB"/>
              </w:rPr>
              <w:t xml:space="preserve">has been </w:t>
            </w:r>
            <w:r w:rsidR="00625987" w:rsidRPr="00B55B85">
              <w:rPr>
                <w:rFonts w:asciiTheme="minorHAnsi" w:hAnsiTheme="minorHAnsi"/>
                <w:i/>
                <w:lang w:val="en-GB"/>
              </w:rPr>
              <w:t>passed</w:t>
            </w:r>
            <w:r w:rsidR="00625987">
              <w:rPr>
                <w:rFonts w:asciiTheme="minorHAnsi" w:hAnsiTheme="minorHAnsi"/>
                <w:i/>
                <w:lang w:val="en-GB"/>
              </w:rPr>
              <w:t xml:space="preserve"> in 5 states</w:t>
            </w:r>
            <w:r w:rsidR="00C522C9">
              <w:rPr>
                <w:rFonts w:asciiTheme="minorHAnsi" w:hAnsiTheme="minorHAnsi"/>
                <w:i/>
                <w:lang w:val="en-GB"/>
              </w:rPr>
              <w:t>. I</w:t>
            </w:r>
            <w:r w:rsidR="00625987">
              <w:rPr>
                <w:rFonts w:asciiTheme="minorHAnsi" w:hAnsiTheme="minorHAnsi"/>
                <w:i/>
                <w:lang w:val="en-GB"/>
              </w:rPr>
              <w:t>it is expected to be passed in 7 states</w:t>
            </w:r>
            <w:r w:rsidR="0021278D">
              <w:rPr>
                <w:rFonts w:asciiTheme="minorHAnsi" w:hAnsiTheme="minorHAnsi"/>
                <w:i/>
                <w:lang w:val="en-GB"/>
              </w:rPr>
              <w:t xml:space="preserve"> by the end of </w:t>
            </w:r>
            <w:r w:rsidR="00AF320A">
              <w:rPr>
                <w:rFonts w:asciiTheme="minorHAnsi" w:hAnsiTheme="minorHAnsi"/>
                <w:i/>
                <w:lang w:val="en-GB"/>
              </w:rPr>
              <w:t>2017</w:t>
            </w:r>
          </w:p>
          <w:p w:rsidR="00B55B85" w:rsidRPr="00920DBC" w:rsidRDefault="00B55B85" w:rsidP="00AF320A">
            <w:pPr>
              <w:pStyle w:val="BodyText2"/>
              <w:ind w:left="360"/>
              <w:rPr>
                <w:rFonts w:asciiTheme="minorHAnsi" w:hAnsiTheme="minorHAnsi"/>
                <w:i/>
              </w:rPr>
            </w:pPr>
          </w:p>
          <w:p w:rsidR="003B037A" w:rsidRPr="00920DBC" w:rsidRDefault="003B037A" w:rsidP="00B55B85">
            <w:pPr>
              <w:pStyle w:val="BodyText2"/>
              <w:ind w:left="360"/>
              <w:rPr>
                <w:rFonts w:asciiTheme="minorHAnsi" w:hAnsiTheme="minorHAnsi"/>
                <w:i/>
              </w:rPr>
            </w:pPr>
          </w:p>
        </w:tc>
      </w:tr>
      <w:tr w:rsidR="00700521" w:rsidRPr="00DC7354" w:rsidTr="004C4CF9">
        <w:tc>
          <w:tcPr>
            <w:tcW w:w="14040" w:type="dxa"/>
            <w:gridSpan w:val="5"/>
          </w:tcPr>
          <w:p w:rsidR="008B06DD" w:rsidRPr="002B5DAF" w:rsidRDefault="00700521" w:rsidP="00366AD1">
            <w:pPr>
              <w:pStyle w:val="BodyText2"/>
              <w:rPr>
                <w:rFonts w:asciiTheme="minorHAnsi" w:hAnsiTheme="minorHAnsi"/>
                <w:b/>
              </w:rPr>
            </w:pPr>
            <w:r w:rsidRPr="00837C4B">
              <w:rPr>
                <w:rFonts w:asciiTheme="minorHAnsi" w:hAnsiTheme="minorHAnsi"/>
                <w:b/>
              </w:rPr>
              <w:t>UNDP Contribution:</w:t>
            </w:r>
          </w:p>
          <w:p w:rsidR="001A4946" w:rsidRPr="001A4946" w:rsidRDefault="008B06DD" w:rsidP="004C4CF9">
            <w:pPr>
              <w:pStyle w:val="BodyText2"/>
              <w:jc w:val="both"/>
              <w:rPr>
                <w:rFonts w:asciiTheme="minorHAnsi" w:hAnsiTheme="minorHAnsi"/>
                <w:i/>
                <w:lang w:val="en-GB"/>
              </w:rPr>
            </w:pPr>
            <w:r w:rsidRPr="00B00E5C">
              <w:rPr>
                <w:rFonts w:asciiTheme="minorHAnsi" w:hAnsiTheme="minorHAnsi"/>
                <w:u w:val="single"/>
              </w:rPr>
              <w:t>CP Outputs</w:t>
            </w:r>
            <w:r w:rsidR="00845340">
              <w:rPr>
                <w:rFonts w:asciiTheme="minorHAnsi" w:hAnsiTheme="minorHAnsi"/>
              </w:rPr>
              <w:t>:</w:t>
            </w:r>
            <w:r w:rsidR="001A4946">
              <w:rPr>
                <w:rFonts w:asciiTheme="minorHAnsi" w:hAnsiTheme="minorHAnsi"/>
              </w:rPr>
              <w:t xml:space="preserve"> </w:t>
            </w:r>
            <w:r w:rsidR="001A4946">
              <w:rPr>
                <w:rFonts w:asciiTheme="minorHAnsi" w:hAnsiTheme="minorHAnsi"/>
                <w:i/>
              </w:rPr>
              <w:t>The UNDP CP identified four</w:t>
            </w:r>
            <w:r w:rsidR="001A4946" w:rsidRPr="009B76A1">
              <w:rPr>
                <w:rFonts w:asciiTheme="minorHAnsi" w:hAnsiTheme="minorHAnsi"/>
                <w:i/>
              </w:rPr>
              <w:t xml:space="preserve"> majo</w:t>
            </w:r>
            <w:r w:rsidR="001A4946" w:rsidRPr="001A4946">
              <w:rPr>
                <w:rFonts w:asciiTheme="minorHAnsi" w:hAnsiTheme="minorHAnsi"/>
                <w:i/>
              </w:rPr>
              <w:t xml:space="preserve">r outputs to support the Government in achieving this outcome: (a) </w:t>
            </w:r>
            <w:r w:rsidR="001A4946" w:rsidRPr="001A4946">
              <w:rPr>
                <w:rFonts w:asciiTheme="minorHAnsi" w:hAnsiTheme="minorHAnsi"/>
                <w:i/>
                <w:lang w:val="en-GB"/>
              </w:rPr>
              <w:t xml:space="preserve">Gender sensitive national </w:t>
            </w:r>
            <w:r w:rsidR="001A4946">
              <w:rPr>
                <w:rFonts w:asciiTheme="minorHAnsi" w:hAnsiTheme="minorHAnsi"/>
                <w:i/>
                <w:lang w:val="en-GB"/>
              </w:rPr>
              <w:t>productivity p</w:t>
            </w:r>
            <w:r w:rsidR="001A4946" w:rsidRPr="001A4946">
              <w:rPr>
                <w:rFonts w:asciiTheme="minorHAnsi" w:hAnsiTheme="minorHAnsi"/>
                <w:i/>
                <w:lang w:val="en-GB"/>
              </w:rPr>
              <w:t>olicy and strategic framework in place and implemented, (b) Strengthened multi-sectoral HIV partnerships and coordination, (c) A renewable energy policy developed with UNDP</w:t>
            </w:r>
          </w:p>
          <w:p w:rsidR="001A4946" w:rsidRPr="001A4946" w:rsidRDefault="001A4946" w:rsidP="004C4CF9">
            <w:pPr>
              <w:pStyle w:val="BodyText2"/>
              <w:jc w:val="both"/>
              <w:rPr>
                <w:rFonts w:asciiTheme="minorHAnsi" w:hAnsiTheme="minorHAnsi"/>
                <w:i/>
              </w:rPr>
            </w:pPr>
            <w:r w:rsidRPr="001A4946">
              <w:rPr>
                <w:rFonts w:asciiTheme="minorHAnsi" w:hAnsiTheme="minorHAnsi"/>
                <w:i/>
                <w:lang w:val="en-GB"/>
              </w:rPr>
              <w:lastRenderedPageBreak/>
              <w:t>support to increase access to renewable energy, (d) Employment opportunities expanded for women and youth</w:t>
            </w:r>
          </w:p>
          <w:p w:rsidR="00700521" w:rsidRDefault="008B06DD" w:rsidP="00D9192E">
            <w:pPr>
              <w:pStyle w:val="BodyText2"/>
              <w:rPr>
                <w:rFonts w:asciiTheme="minorHAnsi" w:hAnsiTheme="minorHAnsi"/>
              </w:rPr>
            </w:pPr>
            <w:r w:rsidRPr="00B00E5C">
              <w:rPr>
                <w:rFonts w:asciiTheme="minorHAnsi" w:hAnsiTheme="minorHAnsi"/>
                <w:u w:val="single"/>
              </w:rPr>
              <w:t>Progress and Achievements</w:t>
            </w:r>
            <w:r w:rsidR="00845340">
              <w:rPr>
                <w:rFonts w:asciiTheme="minorHAnsi" w:hAnsiTheme="minorHAnsi"/>
              </w:rPr>
              <w:t>:</w:t>
            </w:r>
          </w:p>
          <w:p w:rsidR="001A4946" w:rsidRPr="004C4CF9" w:rsidRDefault="009E4429" w:rsidP="004C4CF9">
            <w:pPr>
              <w:pStyle w:val="BodyText2"/>
              <w:numPr>
                <w:ilvl w:val="0"/>
                <w:numId w:val="24"/>
              </w:numPr>
              <w:jc w:val="both"/>
              <w:rPr>
                <w:rFonts w:asciiTheme="minorHAnsi" w:hAnsiTheme="minorHAnsi"/>
                <w:i/>
              </w:rPr>
            </w:pPr>
            <w:r w:rsidRPr="009E4429">
              <w:rPr>
                <w:rFonts w:asciiTheme="minorHAnsi" w:hAnsiTheme="minorHAnsi"/>
                <w:i/>
              </w:rPr>
              <w:t xml:space="preserve">UNDP is currently working with government to finalize the Gender Climate Change Road map and Disaster Risk Reduction Gender Policy to increase participation in negotiations and implementation of the Paris Agreement /NDC. This </w:t>
            </w:r>
            <w:r w:rsidR="002B5DAF">
              <w:rPr>
                <w:rFonts w:asciiTheme="minorHAnsi" w:hAnsiTheme="minorHAnsi"/>
                <w:i/>
              </w:rPr>
              <w:t>will serve</w:t>
            </w:r>
            <w:r w:rsidR="00956552">
              <w:rPr>
                <w:rFonts w:asciiTheme="minorHAnsi" w:hAnsiTheme="minorHAnsi"/>
                <w:i/>
              </w:rPr>
              <w:t xml:space="preserve"> as a</w:t>
            </w:r>
            <w:r w:rsidRPr="009E4429">
              <w:rPr>
                <w:rFonts w:asciiTheme="minorHAnsi" w:hAnsiTheme="minorHAnsi"/>
                <w:i/>
              </w:rPr>
              <w:t xml:space="preserve"> basis for </w:t>
            </w:r>
            <w:r w:rsidR="00956552">
              <w:rPr>
                <w:rFonts w:asciiTheme="minorHAnsi" w:hAnsiTheme="minorHAnsi"/>
                <w:i/>
              </w:rPr>
              <w:t xml:space="preserve">more </w:t>
            </w:r>
            <w:r w:rsidRPr="009E4429">
              <w:rPr>
                <w:rFonts w:asciiTheme="minorHAnsi" w:hAnsiTheme="minorHAnsi"/>
                <w:i/>
              </w:rPr>
              <w:t>downstream women focused project</w:t>
            </w:r>
            <w:r w:rsidR="00F476FE">
              <w:rPr>
                <w:rFonts w:asciiTheme="minorHAnsi" w:hAnsiTheme="minorHAnsi"/>
                <w:i/>
              </w:rPr>
              <w:t>s</w:t>
            </w:r>
            <w:r w:rsidRPr="009E4429">
              <w:rPr>
                <w:rFonts w:asciiTheme="minorHAnsi" w:hAnsiTheme="minorHAnsi"/>
                <w:i/>
              </w:rPr>
              <w:t xml:space="preserve"> designed for women beneficiaries of the UNDP livelihood, farming and entrepreneurship development programme, to help overcome cultural and occupational barriers to effective support for women. </w:t>
            </w:r>
            <w:r w:rsidR="002B5DAF">
              <w:rPr>
                <w:rFonts w:asciiTheme="minorHAnsi" w:hAnsiTheme="minorHAnsi"/>
                <w:i/>
              </w:rPr>
              <w:t>UNDP was able</w:t>
            </w:r>
            <w:r w:rsidRPr="009E4429">
              <w:rPr>
                <w:rFonts w:asciiTheme="minorHAnsi" w:hAnsiTheme="minorHAnsi"/>
                <w:i/>
              </w:rPr>
              <w:t xml:space="preserve"> to s</w:t>
            </w:r>
            <w:r w:rsidRPr="009E4429">
              <w:rPr>
                <w:rFonts w:asciiTheme="minorHAnsi" w:hAnsiTheme="minorHAnsi"/>
                <w:i/>
                <w:lang w:val="en-GB"/>
              </w:rPr>
              <w:t>trike a good balance between upstream policy work and downstream demonstration projects as evidenced in our work on provision of clean energy for women cottage industries and skills acquisition</w:t>
            </w:r>
            <w:r w:rsidR="00AF320A">
              <w:rPr>
                <w:rFonts w:asciiTheme="minorHAnsi" w:hAnsiTheme="minorHAnsi"/>
                <w:i/>
                <w:lang w:val="en-GB"/>
              </w:rPr>
              <w:t>,</w:t>
            </w:r>
            <w:r w:rsidRPr="009E4429">
              <w:rPr>
                <w:rFonts w:asciiTheme="minorHAnsi" w:hAnsiTheme="minorHAnsi"/>
                <w:i/>
                <w:lang w:val="en-GB"/>
              </w:rPr>
              <w:t xml:space="preserve"> training of women potters in local welding and fabrication interventions in Adamawa state and Ushafa, Abuja respectively</w:t>
            </w:r>
            <w:r w:rsidR="00AF320A">
              <w:rPr>
                <w:rFonts w:asciiTheme="minorHAnsi" w:hAnsiTheme="minorHAnsi"/>
                <w:i/>
                <w:lang w:val="en-GB"/>
              </w:rPr>
              <w:t>. These interventions</w:t>
            </w:r>
            <w:r w:rsidRPr="009E4429">
              <w:rPr>
                <w:rFonts w:asciiTheme="minorHAnsi" w:hAnsiTheme="minorHAnsi"/>
                <w:i/>
                <w:lang w:val="en-GB"/>
              </w:rPr>
              <w:t xml:space="preserve"> are essential for transformational changes </w:t>
            </w:r>
            <w:r w:rsidR="00C91715">
              <w:rPr>
                <w:rFonts w:asciiTheme="minorHAnsi" w:hAnsiTheme="minorHAnsi"/>
                <w:i/>
                <w:lang w:val="en-GB"/>
              </w:rPr>
              <w:t>and contribute to</w:t>
            </w:r>
            <w:r w:rsidRPr="009E4429">
              <w:rPr>
                <w:rFonts w:asciiTheme="minorHAnsi" w:hAnsiTheme="minorHAnsi"/>
                <w:i/>
                <w:lang w:val="en-GB"/>
              </w:rPr>
              <w:t xml:space="preserve"> reduce gender inequalities</w:t>
            </w:r>
            <w:r w:rsidR="000C1D36">
              <w:rPr>
                <w:rFonts w:asciiTheme="minorHAnsi" w:hAnsiTheme="minorHAnsi"/>
                <w:i/>
                <w:lang w:val="en-GB"/>
              </w:rPr>
              <w:t>.</w:t>
            </w:r>
          </w:p>
          <w:p w:rsidR="004C4CF9" w:rsidRPr="000C1D36" w:rsidRDefault="004C4CF9" w:rsidP="004C4CF9">
            <w:pPr>
              <w:pStyle w:val="BodyText2"/>
              <w:ind w:left="720"/>
              <w:jc w:val="both"/>
              <w:rPr>
                <w:rFonts w:asciiTheme="minorHAnsi" w:hAnsiTheme="minorHAnsi"/>
                <w:i/>
              </w:rPr>
            </w:pPr>
          </w:p>
          <w:p w:rsidR="00F20CFE" w:rsidRDefault="000C1D36" w:rsidP="004C4CF9">
            <w:pPr>
              <w:pStyle w:val="BodyText2"/>
              <w:numPr>
                <w:ilvl w:val="0"/>
                <w:numId w:val="24"/>
              </w:numPr>
              <w:jc w:val="both"/>
              <w:rPr>
                <w:rFonts w:asciiTheme="minorHAnsi" w:hAnsiTheme="minorHAnsi"/>
                <w:i/>
              </w:rPr>
            </w:pPr>
            <w:r w:rsidRPr="000C1D36">
              <w:rPr>
                <w:rFonts w:asciiTheme="minorHAnsi" w:hAnsiTheme="minorHAnsi"/>
                <w:i/>
              </w:rPr>
              <w:t>UNDP supported NACA and the Federal Ministry of Women Affairs and Social Development (FMWA&amp;SD) to develop the National Plan of Action on GBV/HIV intersections. Through UNDP’s advocacy support</w:t>
            </w:r>
            <w:r w:rsidR="00C91715">
              <w:rPr>
                <w:rFonts w:asciiTheme="minorHAnsi" w:hAnsiTheme="minorHAnsi"/>
                <w:i/>
              </w:rPr>
              <w:t>,</w:t>
            </w:r>
            <w:r w:rsidRPr="000C1D36">
              <w:rPr>
                <w:rFonts w:asciiTheme="minorHAnsi" w:hAnsiTheme="minorHAnsi"/>
                <w:i/>
              </w:rPr>
              <w:t xml:space="preserve"> the Anti-stigma Bill was passed by the National Assembly </w:t>
            </w:r>
            <w:r w:rsidR="00C91715">
              <w:rPr>
                <w:rFonts w:asciiTheme="minorHAnsi" w:hAnsiTheme="minorHAnsi"/>
                <w:i/>
              </w:rPr>
              <w:t>in 2015</w:t>
            </w:r>
            <w:r w:rsidRPr="000C1D36">
              <w:rPr>
                <w:rFonts w:asciiTheme="minorHAnsi" w:hAnsiTheme="minorHAnsi"/>
                <w:i/>
              </w:rPr>
              <w:t xml:space="preserve">. UNDP facilitated the design of an approach and the engagement of stakeholders, which led to review of legal processes and procedures, aimed at facilitating more inclusiveness in the fight against HIV/AIDS in Nigeria. This process led to a Legal Environment Assessment (LEA) which </w:t>
            </w:r>
            <w:r w:rsidR="00C91715">
              <w:rPr>
                <w:rFonts w:asciiTheme="minorHAnsi" w:hAnsiTheme="minorHAnsi"/>
                <w:i/>
              </w:rPr>
              <w:t xml:space="preserve">enabled the inclusion </w:t>
            </w:r>
            <w:r w:rsidR="004C4CF9">
              <w:rPr>
                <w:rFonts w:asciiTheme="minorHAnsi" w:hAnsiTheme="minorHAnsi"/>
                <w:i/>
              </w:rPr>
              <w:t xml:space="preserve">of </w:t>
            </w:r>
            <w:r w:rsidR="004C4CF9" w:rsidRPr="000C1D36">
              <w:rPr>
                <w:rFonts w:asciiTheme="minorHAnsi" w:hAnsiTheme="minorHAnsi"/>
                <w:i/>
              </w:rPr>
              <w:t>the</w:t>
            </w:r>
            <w:r w:rsidRPr="000C1D36">
              <w:rPr>
                <w:rFonts w:asciiTheme="minorHAnsi" w:hAnsiTheme="minorHAnsi"/>
                <w:i/>
              </w:rPr>
              <w:t xml:space="preserve"> interests of key population</w:t>
            </w:r>
            <w:r w:rsidR="00C91715">
              <w:rPr>
                <w:rFonts w:asciiTheme="minorHAnsi" w:hAnsiTheme="minorHAnsi"/>
                <w:i/>
              </w:rPr>
              <w:t>s</w:t>
            </w:r>
            <w:r w:rsidRPr="000C1D36">
              <w:rPr>
                <w:rFonts w:asciiTheme="minorHAnsi" w:hAnsiTheme="minorHAnsi"/>
                <w:i/>
              </w:rPr>
              <w:t xml:space="preserve"> in HIV/AIDS policy-making. The </w:t>
            </w:r>
            <w:r w:rsidR="004C4CF9" w:rsidRPr="000C1D36">
              <w:rPr>
                <w:rFonts w:asciiTheme="minorHAnsi" w:hAnsiTheme="minorHAnsi"/>
                <w:i/>
              </w:rPr>
              <w:t>LEA Report</w:t>
            </w:r>
            <w:r w:rsidRPr="000C1D36">
              <w:rPr>
                <w:rFonts w:asciiTheme="minorHAnsi" w:hAnsiTheme="minorHAnsi"/>
                <w:i/>
              </w:rPr>
              <w:t xml:space="preserve"> was adopted under the coordination of NACA and with the participation of stakeholders across the Key Population</w:t>
            </w:r>
            <w:r w:rsidR="00C91715">
              <w:rPr>
                <w:rFonts w:asciiTheme="minorHAnsi" w:hAnsiTheme="minorHAnsi"/>
                <w:i/>
              </w:rPr>
              <w:t>s</w:t>
            </w:r>
            <w:r w:rsidRPr="000C1D36">
              <w:rPr>
                <w:rFonts w:asciiTheme="minorHAnsi" w:hAnsiTheme="minorHAnsi"/>
                <w:i/>
              </w:rPr>
              <w:t>, Ministries, Departments and Agencies of Government as well as from the civil society.</w:t>
            </w:r>
          </w:p>
          <w:p w:rsidR="004C4CF9" w:rsidRDefault="004C4CF9" w:rsidP="004C4CF9">
            <w:pPr>
              <w:pStyle w:val="ListParagraph"/>
              <w:rPr>
                <w:rFonts w:asciiTheme="minorHAnsi" w:hAnsiTheme="minorHAnsi"/>
                <w:i/>
              </w:rPr>
            </w:pPr>
          </w:p>
          <w:p w:rsidR="000C1D36" w:rsidRDefault="001174AC" w:rsidP="004C4CF9">
            <w:pPr>
              <w:pStyle w:val="BodyText2"/>
              <w:numPr>
                <w:ilvl w:val="0"/>
                <w:numId w:val="24"/>
              </w:numPr>
              <w:jc w:val="both"/>
              <w:rPr>
                <w:rFonts w:asciiTheme="minorHAnsi" w:hAnsiTheme="minorHAnsi"/>
                <w:i/>
              </w:rPr>
            </w:pPr>
            <w:r w:rsidRPr="00625D4D">
              <w:rPr>
                <w:rFonts w:asciiTheme="minorHAnsi" w:hAnsiTheme="minorHAnsi"/>
                <w:i/>
              </w:rPr>
              <w:t xml:space="preserve">UNDP made significant contributions to the development of five NDC sectoral implementation plans (centerpiece of the Paris Agreement implementation) and the adoption of the NDC as a major pillar for economic diversification and renewal across five major economic sectors in Nigeria. </w:t>
            </w:r>
            <w:r w:rsidR="0029420C" w:rsidRPr="00625D4D">
              <w:rPr>
                <w:rFonts w:asciiTheme="minorHAnsi" w:hAnsiTheme="minorHAnsi"/>
                <w:i/>
              </w:rPr>
              <w:t>Government has</w:t>
            </w:r>
            <w:r w:rsidRPr="00625D4D">
              <w:rPr>
                <w:rFonts w:asciiTheme="minorHAnsi" w:hAnsiTheme="minorHAnsi"/>
                <w:i/>
                <w:lang w:val="en-GB"/>
              </w:rPr>
              <w:t xml:space="preserve"> approved the following – National Energy Policy, National Energy Master Plan, Renewable Energy and</w:t>
            </w:r>
            <w:r w:rsidR="00F20CFE" w:rsidRPr="00625D4D">
              <w:rPr>
                <w:rFonts w:asciiTheme="minorHAnsi" w:hAnsiTheme="minorHAnsi"/>
                <w:i/>
                <w:lang w:val="en-GB"/>
              </w:rPr>
              <w:t xml:space="preserve"> </w:t>
            </w:r>
            <w:r w:rsidRPr="00625D4D">
              <w:rPr>
                <w:rFonts w:asciiTheme="minorHAnsi" w:hAnsiTheme="minorHAnsi"/>
                <w:i/>
                <w:lang w:val="en-GB"/>
              </w:rPr>
              <w:t>Energy Efficiency Policy, and the Renewable Energy Master Plan</w:t>
            </w:r>
            <w:r w:rsidR="00F20CFE" w:rsidRPr="00625D4D">
              <w:rPr>
                <w:rFonts w:asciiTheme="minorHAnsi" w:hAnsiTheme="minorHAnsi"/>
                <w:i/>
                <w:lang w:val="en-GB"/>
              </w:rPr>
              <w:t xml:space="preserve">. Also the National Renewable Energy and Energy Efficiency Policy (NREEEP) and the </w:t>
            </w:r>
            <w:r w:rsidRPr="00625D4D">
              <w:rPr>
                <w:rFonts w:asciiTheme="minorHAnsi" w:hAnsiTheme="minorHAnsi"/>
                <w:i/>
              </w:rPr>
              <w:t>Sustainable Energy for All (SE4All) Action plan contributed to the ongoing power sector reform renewable energy and energy efficiency target for the country to stimulate market transformation for greater public and private sector investments for economic growth and development.</w:t>
            </w:r>
            <w:r w:rsidR="00F20CFE" w:rsidRPr="00625D4D">
              <w:rPr>
                <w:rFonts w:asciiTheme="minorHAnsi" w:hAnsiTheme="minorHAnsi"/>
                <w:i/>
              </w:rPr>
              <w:t xml:space="preserve"> Furthermore, trainings and sensitization programs were organized in different communities across the country to facilitate socio-economic growth in rural areas through modern energy services.</w:t>
            </w:r>
            <w:r w:rsidR="0029420C" w:rsidRPr="00625D4D">
              <w:rPr>
                <w:rFonts w:asciiTheme="minorHAnsi" w:hAnsiTheme="minorHAnsi"/>
                <w:i/>
              </w:rPr>
              <w:t xml:space="preserve"> T</w:t>
            </w:r>
            <w:r w:rsidR="00625D4D" w:rsidRPr="00625D4D">
              <w:rPr>
                <w:rFonts w:asciiTheme="minorHAnsi" w:hAnsiTheme="minorHAnsi"/>
                <w:i/>
              </w:rPr>
              <w:t>hese has led to t</w:t>
            </w:r>
            <w:r w:rsidR="0029420C" w:rsidRPr="00625D4D">
              <w:rPr>
                <w:rFonts w:asciiTheme="minorHAnsi" w:hAnsiTheme="minorHAnsi"/>
                <w:i/>
              </w:rPr>
              <w:t>hree (3) different rural c</w:t>
            </w:r>
            <w:r w:rsidR="00625D4D" w:rsidRPr="00625D4D">
              <w:rPr>
                <w:rFonts w:asciiTheme="minorHAnsi" w:hAnsiTheme="minorHAnsi"/>
                <w:i/>
              </w:rPr>
              <w:t>ommunities in the FCT benefitting</w:t>
            </w:r>
            <w:r w:rsidR="0029420C" w:rsidRPr="00625D4D">
              <w:rPr>
                <w:rFonts w:asciiTheme="minorHAnsi" w:hAnsiTheme="minorHAnsi"/>
                <w:i/>
              </w:rPr>
              <w:t xml:space="preserve"> from the SE4ALL by the installation of over 700 off-grid solar power systems in 666 rural households (over 4,063 inhabitants)</w:t>
            </w:r>
            <w:r w:rsidR="00625D4D" w:rsidRPr="00625D4D">
              <w:rPr>
                <w:rFonts w:asciiTheme="minorHAnsi" w:hAnsiTheme="minorHAnsi"/>
                <w:i/>
              </w:rPr>
              <w:t xml:space="preserve"> and 12 rural communities ravaged by insurgency in N</w:t>
            </w:r>
            <w:r w:rsidR="00625D4D">
              <w:rPr>
                <w:rFonts w:asciiTheme="minorHAnsi" w:hAnsiTheme="minorHAnsi"/>
                <w:i/>
              </w:rPr>
              <w:t xml:space="preserve">orth </w:t>
            </w:r>
            <w:r w:rsidR="00625D4D" w:rsidRPr="00625D4D">
              <w:rPr>
                <w:rFonts w:asciiTheme="minorHAnsi" w:hAnsiTheme="minorHAnsi"/>
                <w:i/>
              </w:rPr>
              <w:t>E</w:t>
            </w:r>
            <w:r w:rsidR="00625D4D">
              <w:rPr>
                <w:rFonts w:asciiTheme="minorHAnsi" w:hAnsiTheme="minorHAnsi"/>
                <w:i/>
              </w:rPr>
              <w:t>ast</w:t>
            </w:r>
            <w:r w:rsidR="00625D4D" w:rsidRPr="00625D4D">
              <w:rPr>
                <w:rFonts w:asciiTheme="minorHAnsi" w:hAnsiTheme="minorHAnsi"/>
                <w:i/>
              </w:rPr>
              <w:t xml:space="preserve"> (pop. 13,065; 1,558HH, 6,514 males &amp; 6,551 females) deployed off</w:t>
            </w:r>
            <w:r w:rsidR="00625D4D">
              <w:rPr>
                <w:rFonts w:asciiTheme="minorHAnsi" w:hAnsiTheme="minorHAnsi"/>
                <w:i/>
              </w:rPr>
              <w:t xml:space="preserve"> </w:t>
            </w:r>
            <w:r w:rsidR="00625D4D" w:rsidRPr="00625D4D">
              <w:rPr>
                <w:rFonts w:asciiTheme="minorHAnsi" w:hAnsiTheme="minorHAnsi"/>
                <w:i/>
              </w:rPr>
              <w:t>grid solar solutions for basic services</w:t>
            </w:r>
            <w:r w:rsidR="0029420C" w:rsidRPr="00625D4D">
              <w:rPr>
                <w:rFonts w:asciiTheme="minorHAnsi" w:hAnsiTheme="minorHAnsi"/>
                <w:i/>
              </w:rPr>
              <w:t>.</w:t>
            </w:r>
          </w:p>
          <w:p w:rsidR="004C4CF9" w:rsidRPr="00625D4D" w:rsidRDefault="004C4CF9" w:rsidP="004C4CF9">
            <w:pPr>
              <w:pStyle w:val="BodyText2"/>
              <w:ind w:left="720"/>
              <w:jc w:val="both"/>
              <w:rPr>
                <w:rFonts w:asciiTheme="minorHAnsi" w:hAnsiTheme="minorHAnsi"/>
                <w:i/>
              </w:rPr>
            </w:pPr>
          </w:p>
          <w:p w:rsidR="00316649" w:rsidRPr="00F20CFE" w:rsidRDefault="00316649" w:rsidP="004C4CF9">
            <w:pPr>
              <w:pStyle w:val="BodyText2"/>
              <w:numPr>
                <w:ilvl w:val="0"/>
                <w:numId w:val="24"/>
              </w:numPr>
              <w:jc w:val="both"/>
              <w:rPr>
                <w:rFonts w:asciiTheme="minorHAnsi" w:hAnsiTheme="minorHAnsi"/>
                <w:i/>
              </w:rPr>
            </w:pPr>
            <w:r w:rsidRPr="00316649">
              <w:rPr>
                <w:rFonts w:asciiTheme="minorHAnsi" w:hAnsiTheme="minorHAnsi"/>
                <w:i/>
              </w:rPr>
              <w:t xml:space="preserve">There has been an increase in the number of people (women, youths and other vulnerable persons) benefitting from UNDP's livelihoods strengthening support implemented with the collaboration of key </w:t>
            </w:r>
            <w:r w:rsidR="00C91715">
              <w:rPr>
                <w:rFonts w:asciiTheme="minorHAnsi" w:hAnsiTheme="minorHAnsi"/>
                <w:i/>
              </w:rPr>
              <w:t>F</w:t>
            </w:r>
            <w:r w:rsidRPr="00316649">
              <w:rPr>
                <w:rFonts w:asciiTheme="minorHAnsi" w:hAnsiTheme="minorHAnsi"/>
                <w:i/>
              </w:rPr>
              <w:t xml:space="preserve">ederal and State level agencies. </w:t>
            </w:r>
            <w:r w:rsidR="00C91715">
              <w:rPr>
                <w:rFonts w:asciiTheme="minorHAnsi" w:hAnsiTheme="minorHAnsi"/>
                <w:i/>
              </w:rPr>
              <w:t>Within the</w:t>
            </w:r>
            <w:r w:rsidRPr="00316649">
              <w:rPr>
                <w:rFonts w:asciiTheme="minorHAnsi" w:hAnsiTheme="minorHAnsi"/>
                <w:i/>
              </w:rPr>
              <w:t xml:space="preserve"> context of the 'Special Target Enterprises and Development Initiative', UNDP provided vocational skills upgrade to 40 physically challenged persons in Anambra State and about 60 women rice farmers benefited </w:t>
            </w:r>
            <w:r w:rsidR="00C91715">
              <w:rPr>
                <w:rFonts w:asciiTheme="minorHAnsi" w:hAnsiTheme="minorHAnsi"/>
                <w:i/>
              </w:rPr>
              <w:t>from</w:t>
            </w:r>
            <w:r w:rsidR="00C91715" w:rsidRPr="00316649">
              <w:rPr>
                <w:rFonts w:asciiTheme="minorHAnsi" w:hAnsiTheme="minorHAnsi"/>
                <w:i/>
              </w:rPr>
              <w:t xml:space="preserve"> </w:t>
            </w:r>
            <w:r w:rsidRPr="00316649">
              <w:rPr>
                <w:rFonts w:asciiTheme="minorHAnsi" w:hAnsiTheme="minorHAnsi"/>
                <w:i/>
              </w:rPr>
              <w:t>the skills upgrade programme in Niger State. In addition</w:t>
            </w:r>
            <w:r w:rsidR="00C91715">
              <w:rPr>
                <w:rFonts w:asciiTheme="minorHAnsi" w:hAnsiTheme="minorHAnsi"/>
                <w:i/>
              </w:rPr>
              <w:t>,</w:t>
            </w:r>
            <w:r w:rsidRPr="00316649">
              <w:rPr>
                <w:rFonts w:asciiTheme="minorHAnsi" w:hAnsiTheme="minorHAnsi"/>
                <w:i/>
              </w:rPr>
              <w:t xml:space="preserve"> over 60% of the 600 women and youths who benefitted from the vocational skills acquisition in Gombe State are now self-employed in areas</w:t>
            </w:r>
            <w:r w:rsidR="00C91715" w:rsidRPr="00316649">
              <w:rPr>
                <w:rFonts w:asciiTheme="minorHAnsi" w:hAnsiTheme="minorHAnsi"/>
                <w:i/>
              </w:rPr>
              <w:t xml:space="preserve"> such</w:t>
            </w:r>
            <w:r w:rsidRPr="00316649">
              <w:rPr>
                <w:rFonts w:asciiTheme="minorHAnsi" w:hAnsiTheme="minorHAnsi"/>
                <w:i/>
              </w:rPr>
              <w:t xml:space="preserve"> </w:t>
            </w:r>
            <w:r w:rsidR="00C91715">
              <w:rPr>
                <w:rFonts w:asciiTheme="minorHAnsi" w:hAnsiTheme="minorHAnsi"/>
                <w:i/>
              </w:rPr>
              <w:t xml:space="preserve">as </w:t>
            </w:r>
            <w:r w:rsidRPr="00316649">
              <w:rPr>
                <w:rFonts w:asciiTheme="minorHAnsi" w:hAnsiTheme="minorHAnsi"/>
                <w:i/>
              </w:rPr>
              <w:t xml:space="preserve">weaving, </w:t>
            </w:r>
            <w:r w:rsidR="00525078" w:rsidRPr="00316649">
              <w:rPr>
                <w:rFonts w:asciiTheme="minorHAnsi" w:hAnsiTheme="minorHAnsi"/>
                <w:i/>
              </w:rPr>
              <w:t>tie</w:t>
            </w:r>
            <w:r w:rsidRPr="00316649">
              <w:rPr>
                <w:rFonts w:asciiTheme="minorHAnsi" w:hAnsiTheme="minorHAnsi"/>
                <w:i/>
              </w:rPr>
              <w:t xml:space="preserve"> and dy</w:t>
            </w:r>
            <w:r w:rsidR="00C91715">
              <w:rPr>
                <w:rFonts w:asciiTheme="minorHAnsi" w:hAnsiTheme="minorHAnsi"/>
                <w:i/>
              </w:rPr>
              <w:t>e</w:t>
            </w:r>
            <w:r w:rsidRPr="00316649">
              <w:rPr>
                <w:rFonts w:asciiTheme="minorHAnsi" w:hAnsiTheme="minorHAnsi"/>
                <w:i/>
              </w:rPr>
              <w:t>, carpentry. Similar skills acquisition programmes in Delta and Anambra provided entrepreneurial skills for 155 youths who are also currently self- employed while in Kogi State, the 60 widows who benefitted from the UNDP/Kogi State 'widows empowerment programme' are now self- employed in micro businesses such as soap making. In 2015</w:t>
            </w:r>
            <w:r w:rsidR="00C91715">
              <w:rPr>
                <w:rFonts w:asciiTheme="minorHAnsi" w:hAnsiTheme="minorHAnsi"/>
                <w:i/>
              </w:rPr>
              <w:t>,</w:t>
            </w:r>
            <w:r w:rsidRPr="00316649">
              <w:rPr>
                <w:rFonts w:asciiTheme="minorHAnsi" w:hAnsiTheme="minorHAnsi"/>
                <w:i/>
              </w:rPr>
              <w:t xml:space="preserve"> UNDP facilitated the first curriculum design of the newly government established 'youth incubation cent</w:t>
            </w:r>
            <w:r>
              <w:rPr>
                <w:rFonts w:asciiTheme="minorHAnsi" w:hAnsiTheme="minorHAnsi"/>
                <w:i/>
              </w:rPr>
              <w:t>er in Niger State which has trained</w:t>
            </w:r>
            <w:r w:rsidRPr="00316649">
              <w:rPr>
                <w:rFonts w:asciiTheme="minorHAnsi" w:hAnsiTheme="minorHAnsi"/>
                <w:i/>
              </w:rPr>
              <w:t xml:space="preserve"> 40 youths of which about 10 of them</w:t>
            </w:r>
            <w:r>
              <w:rPr>
                <w:rFonts w:asciiTheme="minorHAnsi" w:hAnsiTheme="minorHAnsi"/>
                <w:i/>
              </w:rPr>
              <w:t xml:space="preserve"> </w:t>
            </w:r>
            <w:r w:rsidRPr="00316649">
              <w:rPr>
                <w:rFonts w:asciiTheme="minorHAnsi" w:hAnsiTheme="minorHAnsi"/>
                <w:i/>
              </w:rPr>
              <w:t>are currently also self-employed</w:t>
            </w:r>
            <w:r>
              <w:rPr>
                <w:rFonts w:asciiTheme="minorHAnsi" w:hAnsiTheme="minorHAnsi"/>
                <w:i/>
              </w:rPr>
              <w:t xml:space="preserve">. </w:t>
            </w:r>
            <w:r w:rsidRPr="00316649">
              <w:rPr>
                <w:rFonts w:asciiTheme="minorHAnsi" w:hAnsiTheme="minorHAnsi"/>
                <w:i/>
              </w:rPr>
              <w:t>In 2016, UNDP provided support for the development of a 'National Strategy for Youth Employment' through the 'Inter Ministerial Committee on</w:t>
            </w:r>
            <w:r>
              <w:rPr>
                <w:rFonts w:asciiTheme="minorHAnsi" w:hAnsiTheme="minorHAnsi"/>
                <w:i/>
              </w:rPr>
              <w:t xml:space="preserve"> </w:t>
            </w:r>
            <w:r w:rsidRPr="00316649">
              <w:rPr>
                <w:rFonts w:asciiTheme="minorHAnsi" w:hAnsiTheme="minorHAnsi"/>
                <w:i/>
              </w:rPr>
              <w:t>Job Creation'</w:t>
            </w:r>
            <w:r>
              <w:rPr>
                <w:rFonts w:asciiTheme="minorHAnsi" w:hAnsiTheme="minorHAnsi"/>
                <w:i/>
              </w:rPr>
              <w:t xml:space="preserve">. </w:t>
            </w:r>
            <w:r w:rsidRPr="00316649">
              <w:rPr>
                <w:rFonts w:asciiTheme="minorHAnsi" w:hAnsiTheme="minorHAnsi"/>
                <w:i/>
              </w:rPr>
              <w:t>This strategy will drive the future UNDP collaborative support on livelihoods and empowerment for youths.</w:t>
            </w:r>
          </w:p>
        </w:tc>
      </w:tr>
      <w:tr w:rsidR="00F91CC5" w:rsidRPr="00F01FDE" w:rsidTr="004C4CF9">
        <w:tc>
          <w:tcPr>
            <w:tcW w:w="3060" w:type="dxa"/>
            <w:shd w:val="clear" w:color="auto" w:fill="95B3D7" w:themeFill="accent1" w:themeFillTint="99"/>
          </w:tcPr>
          <w:p w:rsidR="00F91CC5" w:rsidRPr="00F91CC5" w:rsidRDefault="00D9192E" w:rsidP="004C4CF9">
            <w:pPr>
              <w:pStyle w:val="BodyText2"/>
              <w:jc w:val="both"/>
              <w:rPr>
                <w:rFonts w:ascii="Calibri" w:hAnsi="Calibri"/>
                <w:i/>
              </w:rPr>
            </w:pPr>
            <w:r>
              <w:lastRenderedPageBreak/>
              <w:br w:type="page"/>
            </w:r>
            <w:r w:rsidR="00F91CC5" w:rsidRPr="00F91CC5">
              <w:rPr>
                <w:rFonts w:ascii="Calibri" w:hAnsi="Calibri"/>
                <w:b/>
                <w:i/>
              </w:rPr>
              <w:t>42.</w:t>
            </w:r>
            <w:r w:rsidR="00F91CC5" w:rsidRPr="00F91CC5">
              <w:rPr>
                <w:rFonts w:ascii="Calibri" w:hAnsi="Calibri"/>
                <w:i/>
              </w:rPr>
              <w:t xml:space="preserve"> </w:t>
            </w:r>
            <w:r w:rsidR="00F91CC5" w:rsidRPr="00F91CC5">
              <w:rPr>
                <w:rFonts w:ascii="Calibri" w:hAnsi="Calibri"/>
                <w:b/>
                <w:i/>
              </w:rPr>
              <w:t>Peace, human security and sustainable development:</w:t>
            </w:r>
            <w:r w:rsidR="00F91CC5" w:rsidRPr="00F91CC5">
              <w:rPr>
                <w:rFonts w:ascii="Calibri" w:hAnsi="Calibri"/>
                <w:i/>
              </w:rPr>
              <w:t xml:space="preserve"> </w:t>
            </w:r>
          </w:p>
          <w:p w:rsidR="00F91CC5" w:rsidRPr="00F91CC5" w:rsidRDefault="00F91CC5" w:rsidP="004C4CF9">
            <w:pPr>
              <w:pStyle w:val="BodyText2"/>
              <w:jc w:val="both"/>
              <w:rPr>
                <w:rFonts w:ascii="Calibri" w:hAnsi="Calibri"/>
                <w:b/>
                <w:i/>
              </w:rPr>
            </w:pPr>
            <w:r w:rsidRPr="00F91CC5">
              <w:rPr>
                <w:rFonts w:ascii="Calibri" w:hAnsi="Calibri"/>
                <w:i/>
              </w:rPr>
              <w:t>By 2020 Nigeria is on a peaceful, secure and sustainable development path where disaster, environmental, climate and conflict risks and threats are mitigated</w:t>
            </w:r>
          </w:p>
        </w:tc>
        <w:tc>
          <w:tcPr>
            <w:tcW w:w="1530" w:type="dxa"/>
            <w:gridSpan w:val="2"/>
            <w:shd w:val="clear" w:color="auto" w:fill="auto"/>
          </w:tcPr>
          <w:p w:rsidR="00F91CC5" w:rsidRPr="00F91CC5" w:rsidRDefault="00F91CC5" w:rsidP="00F91CC5">
            <w:pPr>
              <w:pStyle w:val="BodyText2"/>
              <w:rPr>
                <w:rFonts w:ascii="Calibri" w:hAnsi="Calibri"/>
                <w:i/>
              </w:rPr>
            </w:pPr>
            <w:r w:rsidRPr="00F91CC5">
              <w:rPr>
                <w:rFonts w:ascii="Calibri" w:hAnsi="Calibri"/>
                <w:i/>
              </w:rPr>
              <w:t>$ 19,221,345</w:t>
            </w:r>
          </w:p>
        </w:tc>
        <w:tc>
          <w:tcPr>
            <w:tcW w:w="3960" w:type="dxa"/>
            <w:tcBorders>
              <w:left w:val="single" w:sz="4" w:space="0" w:color="auto"/>
            </w:tcBorders>
          </w:tcPr>
          <w:p w:rsidR="00A0594D" w:rsidRPr="00E17443" w:rsidRDefault="00F91CC5" w:rsidP="00A0594D">
            <w:pPr>
              <w:pStyle w:val="BodyText2"/>
              <w:numPr>
                <w:ilvl w:val="0"/>
                <w:numId w:val="19"/>
              </w:numPr>
              <w:rPr>
                <w:rFonts w:ascii="Calibri" w:hAnsi="Calibri"/>
                <w:i/>
              </w:rPr>
            </w:pPr>
            <w:r w:rsidRPr="00E17443">
              <w:rPr>
                <w:rFonts w:asciiTheme="minorHAnsi" w:hAnsiTheme="minorHAnsi"/>
                <w:i/>
              </w:rPr>
              <w:t xml:space="preserve">Number of States with disaster preparedness and contingency plans </w:t>
            </w:r>
          </w:p>
          <w:p w:rsidR="00A0594D" w:rsidRPr="00E17443" w:rsidRDefault="00A0594D" w:rsidP="00A0594D">
            <w:pPr>
              <w:pStyle w:val="BodyText2"/>
              <w:ind w:left="360"/>
              <w:rPr>
                <w:rFonts w:ascii="Calibri" w:hAnsi="Calibri"/>
                <w:i/>
              </w:rPr>
            </w:pPr>
          </w:p>
          <w:p w:rsidR="00F91CC5" w:rsidRPr="00E17443" w:rsidRDefault="00A0594D" w:rsidP="00A0594D">
            <w:pPr>
              <w:pStyle w:val="BodyText2"/>
              <w:numPr>
                <w:ilvl w:val="0"/>
                <w:numId w:val="19"/>
              </w:numPr>
              <w:rPr>
                <w:rFonts w:ascii="Calibri" w:hAnsi="Calibri"/>
                <w:i/>
              </w:rPr>
            </w:pPr>
            <w:r w:rsidRPr="00E17443">
              <w:rPr>
                <w:rFonts w:ascii="Calibri" w:hAnsi="Calibri"/>
                <w:i/>
                <w:lang w:val="en-GB"/>
              </w:rPr>
              <w:t xml:space="preserve">Number of civil disputes resolved </w:t>
            </w:r>
          </w:p>
          <w:p w:rsidR="00A0594D" w:rsidRPr="00E17443" w:rsidRDefault="00A0594D" w:rsidP="00A0594D">
            <w:pPr>
              <w:pStyle w:val="ListParagraph"/>
              <w:rPr>
                <w:rFonts w:ascii="Calibri" w:hAnsi="Calibri"/>
                <w:i/>
                <w:sz w:val="20"/>
                <w:szCs w:val="20"/>
              </w:rPr>
            </w:pPr>
          </w:p>
          <w:p w:rsidR="00A0594D" w:rsidRPr="00E17443" w:rsidRDefault="00A0594D" w:rsidP="00A0594D">
            <w:pPr>
              <w:pStyle w:val="ListParagraph"/>
              <w:rPr>
                <w:rFonts w:ascii="Calibri" w:hAnsi="Calibri"/>
                <w:i/>
                <w:sz w:val="20"/>
                <w:szCs w:val="20"/>
              </w:rPr>
            </w:pPr>
          </w:p>
          <w:p w:rsidR="00A0594D" w:rsidRPr="00E17443" w:rsidRDefault="00A0594D" w:rsidP="00A0594D">
            <w:pPr>
              <w:pStyle w:val="ListParagraph"/>
              <w:rPr>
                <w:rFonts w:ascii="Calibri" w:hAnsi="Calibri"/>
                <w:i/>
                <w:sz w:val="20"/>
                <w:szCs w:val="20"/>
              </w:rPr>
            </w:pPr>
          </w:p>
          <w:p w:rsidR="00A0594D" w:rsidRDefault="00A0594D" w:rsidP="00A0594D">
            <w:pPr>
              <w:pStyle w:val="ListParagraph"/>
              <w:rPr>
                <w:rFonts w:ascii="Calibri" w:hAnsi="Calibri"/>
                <w:i/>
                <w:sz w:val="20"/>
                <w:szCs w:val="20"/>
              </w:rPr>
            </w:pPr>
          </w:p>
          <w:p w:rsidR="00E17443" w:rsidRPr="00E17443" w:rsidRDefault="00E17443" w:rsidP="00A0594D">
            <w:pPr>
              <w:pStyle w:val="ListParagraph"/>
              <w:rPr>
                <w:rFonts w:ascii="Calibri" w:hAnsi="Calibri"/>
                <w:i/>
                <w:sz w:val="20"/>
                <w:szCs w:val="20"/>
              </w:rPr>
            </w:pPr>
          </w:p>
          <w:p w:rsidR="00A0594D" w:rsidRPr="00F91CC5" w:rsidRDefault="005C256C" w:rsidP="005C256C">
            <w:pPr>
              <w:pStyle w:val="BodyText2"/>
              <w:numPr>
                <w:ilvl w:val="0"/>
                <w:numId w:val="19"/>
              </w:numPr>
              <w:rPr>
                <w:rFonts w:ascii="Calibri" w:hAnsi="Calibri"/>
                <w:i/>
              </w:rPr>
            </w:pPr>
            <w:r w:rsidRPr="00E17443">
              <w:rPr>
                <w:rFonts w:ascii="Calibri" w:hAnsi="Calibri"/>
                <w:i/>
              </w:rPr>
              <w:t>Percentage reduction in consumption of HCFCs</w:t>
            </w:r>
          </w:p>
        </w:tc>
        <w:tc>
          <w:tcPr>
            <w:tcW w:w="5490" w:type="dxa"/>
            <w:shd w:val="clear" w:color="auto" w:fill="auto"/>
          </w:tcPr>
          <w:p w:rsidR="00F91CC5" w:rsidRDefault="009600FF" w:rsidP="004C4CF9">
            <w:pPr>
              <w:pStyle w:val="BodyText2"/>
              <w:numPr>
                <w:ilvl w:val="0"/>
                <w:numId w:val="20"/>
              </w:numPr>
              <w:jc w:val="both"/>
              <w:rPr>
                <w:rFonts w:asciiTheme="minorHAnsi" w:hAnsiTheme="minorHAnsi"/>
                <w:i/>
              </w:rPr>
            </w:pPr>
            <w:r>
              <w:rPr>
                <w:rFonts w:asciiTheme="minorHAnsi" w:hAnsiTheme="minorHAnsi"/>
                <w:i/>
              </w:rPr>
              <w:t xml:space="preserve">10 of the targeted 17 States currently have </w:t>
            </w:r>
            <w:r w:rsidRPr="00F91CC5">
              <w:rPr>
                <w:rFonts w:asciiTheme="minorHAnsi" w:hAnsiTheme="minorHAnsi"/>
                <w:i/>
              </w:rPr>
              <w:t>disaster preparedness and contingency plans</w:t>
            </w:r>
            <w:r>
              <w:rPr>
                <w:rFonts w:asciiTheme="minorHAnsi" w:hAnsiTheme="minorHAnsi"/>
                <w:i/>
              </w:rPr>
              <w:t xml:space="preserve"> </w:t>
            </w:r>
          </w:p>
          <w:p w:rsidR="00F91CC5" w:rsidRDefault="00F91CC5" w:rsidP="004C4CF9">
            <w:pPr>
              <w:pStyle w:val="BodyText2"/>
              <w:ind w:left="360"/>
              <w:jc w:val="both"/>
              <w:rPr>
                <w:rFonts w:asciiTheme="minorHAnsi" w:hAnsiTheme="minorHAnsi"/>
                <w:i/>
              </w:rPr>
            </w:pPr>
          </w:p>
          <w:p w:rsidR="001C6839" w:rsidRDefault="001C6839" w:rsidP="004C4CF9">
            <w:pPr>
              <w:pStyle w:val="BodyText2"/>
              <w:numPr>
                <w:ilvl w:val="0"/>
                <w:numId w:val="20"/>
              </w:numPr>
              <w:jc w:val="both"/>
              <w:rPr>
                <w:rFonts w:ascii="Calibri" w:hAnsi="Calibri"/>
                <w:i/>
              </w:rPr>
            </w:pPr>
            <w:r w:rsidRPr="001C6839">
              <w:rPr>
                <w:rFonts w:ascii="Calibri" w:hAnsi="Calibri"/>
                <w:i/>
              </w:rPr>
              <w:t xml:space="preserve">Over 500 Peace and Conflict Resolution Officers of the Nigeria Security and Civil </w:t>
            </w:r>
            <w:r w:rsidR="004C4CF9" w:rsidRPr="001C6839">
              <w:rPr>
                <w:rFonts w:ascii="Calibri" w:hAnsi="Calibri"/>
                <w:i/>
              </w:rPr>
              <w:t>Defense</w:t>
            </w:r>
            <w:r w:rsidRPr="001C6839">
              <w:rPr>
                <w:rFonts w:ascii="Calibri" w:hAnsi="Calibri"/>
                <w:i/>
              </w:rPr>
              <w:t xml:space="preserve"> Corps (NSCDC) trained on conflict prevention, peacebuilding and alternative dispute resolution</w:t>
            </w:r>
            <w:r>
              <w:rPr>
                <w:rFonts w:ascii="Calibri" w:hAnsi="Calibri"/>
                <w:i/>
              </w:rPr>
              <w:t>.</w:t>
            </w:r>
            <w:r w:rsidRPr="001C6839">
              <w:rPr>
                <w:rFonts w:ascii="Calibri" w:hAnsi="Calibri"/>
                <w:i/>
              </w:rPr>
              <w:t xml:space="preserve"> The Unit mediated </w:t>
            </w:r>
            <w:r>
              <w:rPr>
                <w:rFonts w:ascii="Calibri" w:hAnsi="Calibri"/>
                <w:i/>
              </w:rPr>
              <w:t xml:space="preserve">4,338 </w:t>
            </w:r>
            <w:r w:rsidRPr="001C6839">
              <w:rPr>
                <w:rFonts w:ascii="Calibri" w:hAnsi="Calibri"/>
                <w:i/>
              </w:rPr>
              <w:t xml:space="preserve">civil conflicts </w:t>
            </w:r>
            <w:r>
              <w:rPr>
                <w:rFonts w:ascii="Calibri" w:hAnsi="Calibri"/>
                <w:i/>
              </w:rPr>
              <w:t xml:space="preserve">since 2014. This </w:t>
            </w:r>
            <w:r w:rsidR="00A0594D">
              <w:rPr>
                <w:rFonts w:ascii="Calibri" w:hAnsi="Calibri"/>
                <w:i/>
              </w:rPr>
              <w:t>target was</w:t>
            </w:r>
            <w:r>
              <w:rPr>
                <w:rFonts w:ascii="Calibri" w:hAnsi="Calibri"/>
                <w:i/>
              </w:rPr>
              <w:t xml:space="preserve"> 5</w:t>
            </w:r>
            <w:r w:rsidR="00A0594D">
              <w:rPr>
                <w:rFonts w:ascii="Calibri" w:hAnsi="Calibri"/>
                <w:i/>
              </w:rPr>
              <w:t>,</w:t>
            </w:r>
            <w:r>
              <w:rPr>
                <w:rFonts w:ascii="Calibri" w:hAnsi="Calibri"/>
                <w:i/>
              </w:rPr>
              <w:t>00</w:t>
            </w:r>
            <w:r w:rsidR="00A0594D">
              <w:rPr>
                <w:rFonts w:ascii="Calibri" w:hAnsi="Calibri"/>
                <w:i/>
              </w:rPr>
              <w:t>0</w:t>
            </w:r>
            <w:r w:rsidR="00A735E4">
              <w:rPr>
                <w:rFonts w:ascii="Calibri" w:hAnsi="Calibri"/>
                <w:i/>
              </w:rPr>
              <w:t>.</w:t>
            </w:r>
          </w:p>
          <w:p w:rsidR="00A0594D" w:rsidRPr="00E17443" w:rsidRDefault="00A0594D" w:rsidP="004C4CF9">
            <w:pPr>
              <w:pStyle w:val="ListParagraph"/>
              <w:jc w:val="both"/>
              <w:rPr>
                <w:rFonts w:ascii="Calibri" w:hAnsi="Calibri"/>
                <w:i/>
                <w:sz w:val="20"/>
                <w:szCs w:val="20"/>
              </w:rPr>
            </w:pPr>
          </w:p>
          <w:p w:rsidR="00F91CC5" w:rsidRPr="00A0594D" w:rsidRDefault="005C256C" w:rsidP="004C4CF9">
            <w:pPr>
              <w:pStyle w:val="BodyText2"/>
              <w:numPr>
                <w:ilvl w:val="0"/>
                <w:numId w:val="20"/>
              </w:numPr>
              <w:jc w:val="both"/>
              <w:rPr>
                <w:rFonts w:ascii="Calibri" w:hAnsi="Calibri"/>
                <w:i/>
              </w:rPr>
            </w:pPr>
            <w:r w:rsidRPr="005C256C">
              <w:rPr>
                <w:rFonts w:ascii="Calibri" w:hAnsi="Calibri"/>
                <w:i/>
              </w:rPr>
              <w:t>Nigeria ha</w:t>
            </w:r>
            <w:r>
              <w:rPr>
                <w:rFonts w:ascii="Calibri" w:hAnsi="Calibri"/>
                <w:i/>
              </w:rPr>
              <w:t>s</w:t>
            </w:r>
            <w:r w:rsidRPr="005C256C">
              <w:rPr>
                <w:rFonts w:ascii="Calibri" w:hAnsi="Calibri"/>
                <w:i/>
              </w:rPr>
              <w:t xml:space="preserve"> complet</w:t>
            </w:r>
            <w:r>
              <w:rPr>
                <w:rFonts w:ascii="Calibri" w:hAnsi="Calibri"/>
                <w:i/>
              </w:rPr>
              <w:t xml:space="preserve">ed the first phase of 10% reduction of HCFCs and now </w:t>
            </w:r>
            <w:r w:rsidRPr="005C256C">
              <w:rPr>
                <w:rFonts w:ascii="Calibri" w:hAnsi="Calibri"/>
                <w:i/>
              </w:rPr>
              <w:t>towards achieving 35% reduction in HCFCs consumption by 2020 through strengthening of</w:t>
            </w:r>
            <w:r>
              <w:rPr>
                <w:rFonts w:ascii="Calibri" w:hAnsi="Calibri"/>
                <w:i/>
              </w:rPr>
              <w:t xml:space="preserve"> UNDP’s</w:t>
            </w:r>
            <w:r w:rsidRPr="005C256C">
              <w:rPr>
                <w:rFonts w:ascii="Calibri" w:hAnsi="Calibri"/>
                <w:i/>
              </w:rPr>
              <w:t xml:space="preserve"> collaboration with chemical regulatory agencies.</w:t>
            </w:r>
          </w:p>
        </w:tc>
      </w:tr>
      <w:tr w:rsidR="00DC4D86" w:rsidRPr="00DC7354" w:rsidTr="004C4CF9">
        <w:tc>
          <w:tcPr>
            <w:tcW w:w="14040" w:type="dxa"/>
            <w:gridSpan w:val="5"/>
          </w:tcPr>
          <w:p w:rsidR="00DC4D86" w:rsidRDefault="00DC4D86" w:rsidP="00845340">
            <w:pPr>
              <w:pStyle w:val="BodyText2"/>
              <w:rPr>
                <w:rFonts w:asciiTheme="minorHAnsi" w:hAnsiTheme="minorHAnsi"/>
                <w:b/>
              </w:rPr>
            </w:pPr>
            <w:r w:rsidRPr="00837C4B">
              <w:rPr>
                <w:rFonts w:asciiTheme="minorHAnsi" w:hAnsiTheme="minorHAnsi"/>
                <w:b/>
              </w:rPr>
              <w:t>UNDP Contribution:</w:t>
            </w:r>
          </w:p>
          <w:p w:rsidR="00D9192E" w:rsidRPr="00D9192E" w:rsidRDefault="00D9192E" w:rsidP="00845340">
            <w:pPr>
              <w:pStyle w:val="BodyText2"/>
              <w:rPr>
                <w:rFonts w:asciiTheme="minorHAnsi" w:hAnsiTheme="minorHAnsi"/>
                <w:b/>
              </w:rPr>
            </w:pPr>
          </w:p>
          <w:p w:rsidR="008B06DD" w:rsidRPr="00B00E5C" w:rsidRDefault="008B06DD" w:rsidP="004C4CF9">
            <w:pPr>
              <w:pStyle w:val="BodyText2"/>
              <w:jc w:val="both"/>
              <w:rPr>
                <w:rFonts w:asciiTheme="minorHAnsi" w:hAnsiTheme="minorHAnsi"/>
                <w:u w:val="single"/>
              </w:rPr>
            </w:pPr>
            <w:r w:rsidRPr="00B00E5C">
              <w:rPr>
                <w:rFonts w:asciiTheme="minorHAnsi" w:hAnsiTheme="minorHAnsi"/>
                <w:u w:val="single"/>
              </w:rPr>
              <w:t>CP Outputs</w:t>
            </w:r>
            <w:r w:rsidR="00A661F9">
              <w:rPr>
                <w:rFonts w:asciiTheme="minorHAnsi" w:hAnsiTheme="minorHAnsi"/>
              </w:rPr>
              <w:t xml:space="preserve">: </w:t>
            </w:r>
            <w:r w:rsidR="00A661F9">
              <w:rPr>
                <w:rFonts w:asciiTheme="minorHAnsi" w:hAnsiTheme="minorHAnsi"/>
                <w:i/>
              </w:rPr>
              <w:t>The UNDP CP identified three</w:t>
            </w:r>
            <w:r w:rsidR="00A661F9" w:rsidRPr="009B76A1">
              <w:rPr>
                <w:rFonts w:asciiTheme="minorHAnsi" w:hAnsiTheme="minorHAnsi"/>
                <w:i/>
              </w:rPr>
              <w:t xml:space="preserve"> majo</w:t>
            </w:r>
            <w:r w:rsidR="00A661F9" w:rsidRPr="001A4946">
              <w:rPr>
                <w:rFonts w:asciiTheme="minorHAnsi" w:hAnsiTheme="minorHAnsi"/>
                <w:i/>
              </w:rPr>
              <w:t>r outputs to support the Government in achieving this outcome: (</w:t>
            </w:r>
            <w:r w:rsidR="00A661F9">
              <w:rPr>
                <w:rFonts w:asciiTheme="minorHAnsi" w:hAnsiTheme="minorHAnsi"/>
                <w:i/>
              </w:rPr>
              <w:t xml:space="preserve">a) </w:t>
            </w:r>
            <w:r w:rsidR="00A661F9" w:rsidRPr="00A661F9">
              <w:rPr>
                <w:rFonts w:asciiTheme="minorHAnsi" w:hAnsiTheme="minorHAnsi"/>
                <w:i/>
              </w:rPr>
              <w:t>Improved and integrated</w:t>
            </w:r>
            <w:r w:rsidR="00A661F9">
              <w:rPr>
                <w:rFonts w:asciiTheme="minorHAnsi" w:hAnsiTheme="minorHAnsi"/>
                <w:i/>
              </w:rPr>
              <w:t xml:space="preserve"> </w:t>
            </w:r>
            <w:r w:rsidR="00A661F9" w:rsidRPr="00A661F9">
              <w:rPr>
                <w:rFonts w:asciiTheme="minorHAnsi" w:hAnsiTheme="minorHAnsi"/>
                <w:i/>
              </w:rPr>
              <w:t>early warning system at</w:t>
            </w:r>
            <w:r w:rsidR="00A661F9">
              <w:rPr>
                <w:rFonts w:asciiTheme="minorHAnsi" w:hAnsiTheme="minorHAnsi"/>
                <w:i/>
              </w:rPr>
              <w:t xml:space="preserve"> </w:t>
            </w:r>
            <w:r w:rsidR="00A661F9" w:rsidRPr="00A661F9">
              <w:rPr>
                <w:rFonts w:asciiTheme="minorHAnsi" w:hAnsiTheme="minorHAnsi"/>
                <w:i/>
              </w:rPr>
              <w:t>national, state and local</w:t>
            </w:r>
            <w:r w:rsidR="00A661F9">
              <w:rPr>
                <w:rFonts w:asciiTheme="minorHAnsi" w:hAnsiTheme="minorHAnsi"/>
                <w:i/>
              </w:rPr>
              <w:t xml:space="preserve"> government levels, (b) </w:t>
            </w:r>
            <w:r w:rsidR="00A661F9" w:rsidRPr="00A661F9">
              <w:rPr>
                <w:rFonts w:asciiTheme="minorHAnsi" w:hAnsiTheme="minorHAnsi"/>
                <w:i/>
              </w:rPr>
              <w:t>Establishment of a National</w:t>
            </w:r>
            <w:r w:rsidR="00A661F9">
              <w:rPr>
                <w:rFonts w:asciiTheme="minorHAnsi" w:hAnsiTheme="minorHAnsi"/>
                <w:i/>
              </w:rPr>
              <w:t xml:space="preserve"> </w:t>
            </w:r>
            <w:r w:rsidR="00A661F9" w:rsidRPr="00A661F9">
              <w:rPr>
                <w:rFonts w:asciiTheme="minorHAnsi" w:hAnsiTheme="minorHAnsi"/>
                <w:i/>
              </w:rPr>
              <w:t>peace architecture leading to</w:t>
            </w:r>
            <w:r w:rsidR="00A661F9">
              <w:rPr>
                <w:rFonts w:asciiTheme="minorHAnsi" w:hAnsiTheme="minorHAnsi"/>
                <w:i/>
              </w:rPr>
              <w:t xml:space="preserve"> </w:t>
            </w:r>
            <w:r w:rsidR="00A661F9" w:rsidRPr="00A661F9">
              <w:rPr>
                <w:rFonts w:asciiTheme="minorHAnsi" w:hAnsiTheme="minorHAnsi"/>
                <w:i/>
              </w:rPr>
              <w:t>reduced occurrence of</w:t>
            </w:r>
            <w:r w:rsidR="00A661F9">
              <w:rPr>
                <w:rFonts w:asciiTheme="minorHAnsi" w:hAnsiTheme="minorHAnsi"/>
                <w:i/>
              </w:rPr>
              <w:t xml:space="preserve"> conflicts, (c) </w:t>
            </w:r>
            <w:r w:rsidR="00A661F9" w:rsidRPr="00A661F9">
              <w:rPr>
                <w:rFonts w:asciiTheme="minorHAnsi" w:hAnsiTheme="minorHAnsi"/>
                <w:i/>
              </w:rPr>
              <w:t>Environmental institutions at</w:t>
            </w:r>
            <w:r w:rsidR="00A661F9">
              <w:rPr>
                <w:rFonts w:asciiTheme="minorHAnsi" w:hAnsiTheme="minorHAnsi"/>
                <w:i/>
              </w:rPr>
              <w:t xml:space="preserve"> </w:t>
            </w:r>
            <w:r w:rsidR="00A661F9" w:rsidRPr="00A661F9">
              <w:rPr>
                <w:rFonts w:asciiTheme="minorHAnsi" w:hAnsiTheme="minorHAnsi"/>
                <w:i/>
              </w:rPr>
              <w:t>all levels are capable of</w:t>
            </w:r>
            <w:r w:rsidR="00A661F9">
              <w:rPr>
                <w:rFonts w:asciiTheme="minorHAnsi" w:hAnsiTheme="minorHAnsi"/>
                <w:i/>
              </w:rPr>
              <w:t xml:space="preserve"> </w:t>
            </w:r>
            <w:r w:rsidR="00A661F9" w:rsidRPr="00A661F9">
              <w:rPr>
                <w:rFonts w:asciiTheme="minorHAnsi" w:hAnsiTheme="minorHAnsi"/>
                <w:i/>
              </w:rPr>
              <w:t>implementing policies and</w:t>
            </w:r>
            <w:r w:rsidR="00A661F9">
              <w:rPr>
                <w:rFonts w:asciiTheme="minorHAnsi" w:hAnsiTheme="minorHAnsi"/>
                <w:i/>
              </w:rPr>
              <w:t xml:space="preserve"> </w:t>
            </w:r>
            <w:r w:rsidR="00A661F9" w:rsidRPr="00A661F9">
              <w:rPr>
                <w:rFonts w:asciiTheme="minorHAnsi" w:hAnsiTheme="minorHAnsi"/>
                <w:i/>
              </w:rPr>
              <w:t>enforcing laws.</w:t>
            </w:r>
          </w:p>
          <w:p w:rsidR="00A661F9" w:rsidRPr="00A661F9" w:rsidRDefault="00A661F9" w:rsidP="004C4CF9">
            <w:pPr>
              <w:pStyle w:val="BodyText2"/>
              <w:jc w:val="both"/>
              <w:rPr>
                <w:rFonts w:asciiTheme="minorHAnsi" w:hAnsiTheme="minorHAnsi"/>
              </w:rPr>
            </w:pPr>
          </w:p>
          <w:p w:rsidR="00DC4D86" w:rsidRPr="00A661F9" w:rsidRDefault="008B06DD" w:rsidP="004C4CF9">
            <w:pPr>
              <w:pStyle w:val="BodyText2"/>
              <w:jc w:val="both"/>
              <w:rPr>
                <w:rFonts w:asciiTheme="minorHAnsi" w:hAnsiTheme="minorHAnsi"/>
                <w:i/>
                <w:u w:val="single"/>
              </w:rPr>
            </w:pPr>
            <w:r w:rsidRPr="00B00E5C">
              <w:rPr>
                <w:rFonts w:asciiTheme="minorHAnsi" w:hAnsiTheme="minorHAnsi"/>
                <w:u w:val="single"/>
              </w:rPr>
              <w:t>Progress and Achievements</w:t>
            </w:r>
            <w:r w:rsidR="00A661F9">
              <w:rPr>
                <w:rFonts w:asciiTheme="minorHAnsi" w:hAnsiTheme="minorHAnsi"/>
                <w:u w:val="single"/>
              </w:rPr>
              <w:t>:</w:t>
            </w:r>
          </w:p>
          <w:p w:rsidR="00A661F9" w:rsidRPr="004C4CF9" w:rsidRDefault="00A661F9" w:rsidP="004C4CF9">
            <w:pPr>
              <w:pStyle w:val="BodyText2"/>
              <w:numPr>
                <w:ilvl w:val="0"/>
                <w:numId w:val="27"/>
              </w:numPr>
              <w:jc w:val="both"/>
              <w:rPr>
                <w:rFonts w:asciiTheme="minorHAnsi" w:hAnsiTheme="minorHAnsi"/>
                <w:i/>
              </w:rPr>
            </w:pPr>
            <w:r w:rsidRPr="00DA107E">
              <w:rPr>
                <w:rFonts w:asciiTheme="minorHAnsi" w:hAnsiTheme="minorHAnsi"/>
                <w:i/>
              </w:rPr>
              <w:t>UNDP supported the setting up of an ICT-based early warning and response mechanism in Plateau State to help reduce the incidence of violence</w:t>
            </w:r>
            <w:r w:rsidR="00C91715">
              <w:rPr>
                <w:rFonts w:asciiTheme="minorHAnsi" w:hAnsiTheme="minorHAnsi"/>
                <w:i/>
              </w:rPr>
              <w:t xml:space="preserve"> which</w:t>
            </w:r>
            <w:r w:rsidRPr="00DA107E">
              <w:rPr>
                <w:rFonts w:asciiTheme="minorHAnsi" w:hAnsiTheme="minorHAnsi"/>
                <w:i/>
              </w:rPr>
              <w:t xml:space="preserve"> became operational in </w:t>
            </w:r>
            <w:r w:rsidR="00DA107E">
              <w:rPr>
                <w:rFonts w:asciiTheme="minorHAnsi" w:hAnsiTheme="minorHAnsi"/>
                <w:i/>
              </w:rPr>
              <w:t>December</w:t>
            </w:r>
            <w:r w:rsidRPr="00DA107E">
              <w:rPr>
                <w:rFonts w:asciiTheme="minorHAnsi" w:hAnsiTheme="minorHAnsi"/>
                <w:i/>
              </w:rPr>
              <w:t xml:space="preserve"> 2014. </w:t>
            </w:r>
            <w:r w:rsidR="00DA107E" w:rsidRPr="00DA107E">
              <w:rPr>
                <w:rFonts w:asciiTheme="minorHAnsi" w:hAnsiTheme="minorHAnsi"/>
                <w:i/>
              </w:rPr>
              <w:t xml:space="preserve">During the general elections in 2015, UNDP provided </w:t>
            </w:r>
            <w:r w:rsidR="00DA107E" w:rsidRPr="00DA107E">
              <w:rPr>
                <w:rFonts w:asciiTheme="minorHAnsi" w:hAnsiTheme="minorHAnsi"/>
                <w:i/>
                <w:lang w:val="en-GB"/>
              </w:rPr>
              <w:t xml:space="preserve">support </w:t>
            </w:r>
            <w:r w:rsidR="00C91715">
              <w:rPr>
                <w:rFonts w:asciiTheme="minorHAnsi" w:hAnsiTheme="minorHAnsi"/>
                <w:i/>
                <w:lang w:val="en-GB"/>
              </w:rPr>
              <w:t xml:space="preserve">to </w:t>
            </w:r>
            <w:r w:rsidR="00C522C9">
              <w:rPr>
                <w:rFonts w:asciiTheme="minorHAnsi" w:hAnsiTheme="minorHAnsi"/>
                <w:i/>
                <w:lang w:val="en-GB"/>
              </w:rPr>
              <w:t xml:space="preserve">the </w:t>
            </w:r>
            <w:r w:rsidR="00C522C9" w:rsidRPr="00DA107E">
              <w:rPr>
                <w:rFonts w:asciiTheme="minorHAnsi" w:hAnsiTheme="minorHAnsi"/>
                <w:i/>
                <w:lang w:val="en-GB"/>
              </w:rPr>
              <w:t>inter</w:t>
            </w:r>
            <w:r w:rsidR="00DA107E" w:rsidRPr="00DA107E">
              <w:rPr>
                <w:rFonts w:asciiTheme="minorHAnsi" w:hAnsiTheme="minorHAnsi"/>
                <w:i/>
                <w:lang w:val="en-GB"/>
              </w:rPr>
              <w:t>-agency coordination in the provision of electoral security, the deployment of Electoral Management System (EMS) which ensured timely deployment and tracking of logistics and enhanced the transparency of the process. Reports provided by UNDP-Supported Women Situation Room enabled real-time response to threats to election credibility by INEC and security agencies. These measures contributed to, increased voter's co</w:t>
            </w:r>
            <w:r w:rsidR="00DA107E">
              <w:rPr>
                <w:rFonts w:asciiTheme="minorHAnsi" w:hAnsiTheme="minorHAnsi"/>
                <w:i/>
                <w:lang w:val="en-GB"/>
              </w:rPr>
              <w:t>nfidence in INEC, IDP voting</w:t>
            </w:r>
            <w:r w:rsidR="00DA107E" w:rsidRPr="00DA107E">
              <w:rPr>
                <w:rFonts w:asciiTheme="minorHAnsi" w:hAnsiTheme="minorHAnsi"/>
                <w:i/>
                <w:lang w:val="en-GB"/>
              </w:rPr>
              <w:t>, early</w:t>
            </w:r>
            <w:r w:rsidR="00DA107E">
              <w:rPr>
                <w:rFonts w:asciiTheme="minorHAnsi" w:hAnsiTheme="minorHAnsi"/>
                <w:i/>
                <w:lang w:val="en-GB"/>
              </w:rPr>
              <w:t xml:space="preserve"> warning signals from the media</w:t>
            </w:r>
            <w:r w:rsidR="00DA107E" w:rsidRPr="00DA107E">
              <w:rPr>
                <w:rFonts w:asciiTheme="minorHAnsi" w:hAnsiTheme="minorHAnsi"/>
                <w:i/>
                <w:lang w:val="en-GB"/>
              </w:rPr>
              <w:t>, higher voter's turnout, rapid acceptance of presidential election result by the defeated candidates, reduction in incidents of electoral violence, international and local observers report on the credibility of the polls,</w:t>
            </w:r>
            <w:r w:rsidR="00DA107E">
              <w:rPr>
                <w:rFonts w:asciiTheme="minorHAnsi" w:hAnsiTheme="minorHAnsi"/>
                <w:i/>
                <w:lang w:val="en-GB"/>
              </w:rPr>
              <w:t xml:space="preserve"> </w:t>
            </w:r>
            <w:r w:rsidR="00DA107E" w:rsidRPr="00DA107E">
              <w:rPr>
                <w:rFonts w:asciiTheme="minorHAnsi" w:hAnsiTheme="minorHAnsi"/>
                <w:i/>
                <w:lang w:val="en-GB"/>
              </w:rPr>
              <w:t>reduction in the numbe</w:t>
            </w:r>
            <w:r w:rsidR="00DA107E">
              <w:rPr>
                <w:rFonts w:asciiTheme="minorHAnsi" w:hAnsiTheme="minorHAnsi"/>
                <w:i/>
                <w:lang w:val="en-GB"/>
              </w:rPr>
              <w:t>r of election-related deaths</w:t>
            </w:r>
            <w:r w:rsidR="00DA107E" w:rsidRPr="00DA107E">
              <w:rPr>
                <w:rFonts w:asciiTheme="minorHAnsi" w:hAnsiTheme="minorHAnsi"/>
                <w:i/>
                <w:lang w:val="en-GB"/>
              </w:rPr>
              <w:t>,</w:t>
            </w:r>
            <w:r w:rsidR="00DA107E">
              <w:rPr>
                <w:rFonts w:asciiTheme="minorHAnsi" w:hAnsiTheme="minorHAnsi"/>
                <w:i/>
                <w:lang w:val="en-GB"/>
              </w:rPr>
              <w:t xml:space="preserve"> </w:t>
            </w:r>
            <w:r w:rsidR="00DA107E" w:rsidRPr="00DA107E">
              <w:rPr>
                <w:rFonts w:asciiTheme="minorHAnsi" w:hAnsiTheme="minorHAnsi"/>
                <w:i/>
                <w:lang w:val="en-GB"/>
              </w:rPr>
              <w:t>reduction in the number of postelection</w:t>
            </w:r>
            <w:r w:rsidR="00DA107E">
              <w:rPr>
                <w:rFonts w:asciiTheme="minorHAnsi" w:hAnsiTheme="minorHAnsi"/>
                <w:i/>
                <w:lang w:val="en-GB"/>
              </w:rPr>
              <w:t xml:space="preserve"> </w:t>
            </w:r>
            <w:r w:rsidR="00DA107E" w:rsidRPr="00DA107E">
              <w:rPr>
                <w:rFonts w:asciiTheme="minorHAnsi" w:hAnsiTheme="minorHAnsi"/>
                <w:i/>
                <w:lang w:val="en-GB"/>
              </w:rPr>
              <w:t>litigation</w:t>
            </w:r>
            <w:r w:rsidR="00DA107E">
              <w:rPr>
                <w:rFonts w:asciiTheme="minorHAnsi" w:hAnsiTheme="minorHAnsi"/>
                <w:i/>
                <w:lang w:val="en-GB"/>
              </w:rPr>
              <w:t>.</w:t>
            </w:r>
          </w:p>
          <w:p w:rsidR="004C4CF9" w:rsidRPr="00DA107E" w:rsidRDefault="004C4CF9" w:rsidP="004C4CF9">
            <w:pPr>
              <w:pStyle w:val="BodyText2"/>
              <w:ind w:left="720"/>
              <w:jc w:val="both"/>
              <w:rPr>
                <w:rFonts w:asciiTheme="minorHAnsi" w:hAnsiTheme="minorHAnsi"/>
                <w:i/>
              </w:rPr>
            </w:pPr>
          </w:p>
          <w:p w:rsidR="00DA107E" w:rsidRDefault="00176160" w:rsidP="004C4CF9">
            <w:pPr>
              <w:pStyle w:val="BodyText2"/>
              <w:numPr>
                <w:ilvl w:val="0"/>
                <w:numId w:val="27"/>
              </w:numPr>
              <w:jc w:val="both"/>
              <w:rPr>
                <w:rFonts w:asciiTheme="minorHAnsi" w:hAnsiTheme="minorHAnsi"/>
                <w:i/>
              </w:rPr>
            </w:pPr>
            <w:r w:rsidRPr="009A0824">
              <w:rPr>
                <w:rFonts w:asciiTheme="minorHAnsi" w:hAnsiTheme="minorHAnsi"/>
                <w:i/>
              </w:rPr>
              <w:t xml:space="preserve">As early as 2014, UNDP along with OCHA and UNICEF jointly led the Inter Agency Emergency Preparedness and Response Working Group, humanitarian multi-sectoral needs assessment of North Eastern states affected by insurgency. UNDP facilitated critical engagements with the internally displaced persons/receiving communities and government agencies and preparation of mission findings which are the programmatic core of the UN Integrated Support Package to the Government of Nigeria and the Chibok girls’ abduction. </w:t>
            </w:r>
            <w:r w:rsidR="009A0824" w:rsidRPr="009A0824">
              <w:rPr>
                <w:rFonts w:asciiTheme="minorHAnsi" w:hAnsiTheme="minorHAnsi"/>
                <w:i/>
              </w:rPr>
              <w:t xml:space="preserve">The Draft National Peace Policy was reviewed to accommodate evolving issues. IPCR was supported to continue </w:t>
            </w:r>
            <w:r w:rsidR="00C91715">
              <w:rPr>
                <w:rFonts w:asciiTheme="minorHAnsi" w:hAnsiTheme="minorHAnsi"/>
                <w:i/>
              </w:rPr>
              <w:t xml:space="preserve">to </w:t>
            </w:r>
            <w:r w:rsidR="009A0824" w:rsidRPr="009A0824">
              <w:rPr>
                <w:rFonts w:asciiTheme="minorHAnsi" w:hAnsiTheme="minorHAnsi"/>
                <w:i/>
              </w:rPr>
              <w:t xml:space="preserve">deepen research capacity into causes of </w:t>
            </w:r>
            <w:r w:rsidR="00C91715">
              <w:rPr>
                <w:rFonts w:asciiTheme="minorHAnsi" w:hAnsiTheme="minorHAnsi"/>
                <w:i/>
              </w:rPr>
              <w:t xml:space="preserve">the </w:t>
            </w:r>
            <w:r w:rsidR="009A0824" w:rsidRPr="009A0824">
              <w:rPr>
                <w:rFonts w:asciiTheme="minorHAnsi" w:hAnsiTheme="minorHAnsi"/>
                <w:i/>
              </w:rPr>
              <w:t>myriad of violent conflicts In Nigeria and produce policy papers to inform government action. The Institute was also supported to conduct series of technical and advocacy programmes to inform and entrench</w:t>
            </w:r>
            <w:r w:rsidR="00C91715">
              <w:rPr>
                <w:rFonts w:asciiTheme="minorHAnsi" w:hAnsiTheme="minorHAnsi"/>
                <w:i/>
              </w:rPr>
              <w:t xml:space="preserve"> a</w:t>
            </w:r>
            <w:r w:rsidR="009A0824" w:rsidRPr="009A0824">
              <w:rPr>
                <w:rFonts w:asciiTheme="minorHAnsi" w:hAnsiTheme="minorHAnsi"/>
                <w:i/>
              </w:rPr>
              <w:t xml:space="preserve"> culture of peace in every part of the country</w:t>
            </w:r>
            <w:r w:rsidR="009A0824">
              <w:rPr>
                <w:rFonts w:asciiTheme="minorHAnsi" w:hAnsiTheme="minorHAnsi"/>
                <w:i/>
              </w:rPr>
              <w:t>.</w:t>
            </w:r>
          </w:p>
          <w:p w:rsidR="004C4CF9" w:rsidRDefault="004C4CF9" w:rsidP="004C4CF9">
            <w:pPr>
              <w:pStyle w:val="ListParagraph"/>
              <w:rPr>
                <w:rFonts w:asciiTheme="minorHAnsi" w:hAnsiTheme="minorHAnsi"/>
                <w:i/>
              </w:rPr>
            </w:pPr>
          </w:p>
          <w:p w:rsidR="00A735E4" w:rsidRPr="00176160" w:rsidRDefault="00A735E4" w:rsidP="004C4CF9">
            <w:pPr>
              <w:pStyle w:val="BodyText2"/>
              <w:numPr>
                <w:ilvl w:val="0"/>
                <w:numId w:val="27"/>
              </w:numPr>
              <w:jc w:val="both"/>
              <w:rPr>
                <w:rFonts w:asciiTheme="minorHAnsi" w:hAnsiTheme="minorHAnsi"/>
                <w:i/>
                <w:lang w:val="en-GB"/>
              </w:rPr>
            </w:pPr>
            <w:r w:rsidRPr="00625D4D">
              <w:rPr>
                <w:rFonts w:asciiTheme="minorHAnsi" w:hAnsiTheme="minorHAnsi"/>
                <w:i/>
                <w:lang w:val="en-GB"/>
              </w:rPr>
              <w:lastRenderedPageBreak/>
              <w:t>UNDP in partnership with the Federal Ministry of Env</w:t>
            </w:r>
            <w:r w:rsidR="0029420C" w:rsidRPr="00625D4D">
              <w:rPr>
                <w:rFonts w:asciiTheme="minorHAnsi" w:hAnsiTheme="minorHAnsi"/>
                <w:i/>
                <w:lang w:val="en-GB"/>
              </w:rPr>
              <w:t>ironment (FMEnv</w:t>
            </w:r>
            <w:r w:rsidR="00525078">
              <w:rPr>
                <w:rFonts w:asciiTheme="minorHAnsi" w:hAnsiTheme="minorHAnsi"/>
                <w:i/>
                <w:lang w:val="en-GB"/>
              </w:rPr>
              <w:t>.</w:t>
            </w:r>
            <w:r w:rsidR="0029420C" w:rsidRPr="00625D4D">
              <w:rPr>
                <w:rFonts w:asciiTheme="minorHAnsi" w:hAnsiTheme="minorHAnsi"/>
                <w:i/>
                <w:lang w:val="en-GB"/>
              </w:rPr>
              <w:t>) reviewed the 17</w:t>
            </w:r>
            <w:r w:rsidRPr="00625D4D">
              <w:rPr>
                <w:rFonts w:asciiTheme="minorHAnsi" w:hAnsiTheme="minorHAnsi"/>
                <w:i/>
                <w:lang w:val="en-GB"/>
              </w:rPr>
              <w:t xml:space="preserve"> year old National Policy on En</w:t>
            </w:r>
            <w:r w:rsidR="0029420C" w:rsidRPr="00625D4D">
              <w:rPr>
                <w:rFonts w:asciiTheme="minorHAnsi" w:hAnsiTheme="minorHAnsi"/>
                <w:i/>
                <w:lang w:val="en-GB"/>
              </w:rPr>
              <w:t xml:space="preserve">vironment as well as the National Climate Change Policy and built the capacity of and </w:t>
            </w:r>
            <w:r w:rsidR="00C91715" w:rsidRPr="00625D4D">
              <w:rPr>
                <w:rFonts w:asciiTheme="minorHAnsi" w:hAnsiTheme="minorHAnsi"/>
                <w:i/>
                <w:lang w:val="en-GB"/>
              </w:rPr>
              <w:t>establish</w:t>
            </w:r>
            <w:r w:rsidR="00C91715">
              <w:rPr>
                <w:rFonts w:asciiTheme="minorHAnsi" w:hAnsiTheme="minorHAnsi"/>
                <w:i/>
                <w:lang w:val="en-GB"/>
              </w:rPr>
              <w:t>ed</w:t>
            </w:r>
            <w:r w:rsidR="00C91715" w:rsidRPr="00625D4D">
              <w:rPr>
                <w:rFonts w:asciiTheme="minorHAnsi" w:hAnsiTheme="minorHAnsi"/>
                <w:i/>
                <w:lang w:val="en-GB"/>
              </w:rPr>
              <w:t xml:space="preserve"> </w:t>
            </w:r>
            <w:r w:rsidR="0029420C" w:rsidRPr="00625D4D">
              <w:rPr>
                <w:rFonts w:asciiTheme="minorHAnsi" w:hAnsiTheme="minorHAnsi"/>
                <w:i/>
                <w:lang w:val="en-GB"/>
              </w:rPr>
              <w:t>a National Climate Change Negotiators Committee that represented Nigeria at COP21 meeting</w:t>
            </w:r>
            <w:r w:rsidR="00625D4D" w:rsidRPr="00625D4D">
              <w:rPr>
                <w:rFonts w:asciiTheme="minorHAnsi" w:hAnsiTheme="minorHAnsi"/>
                <w:i/>
                <w:lang w:val="en-GB"/>
              </w:rPr>
              <w:t xml:space="preserve">. </w:t>
            </w:r>
            <w:r w:rsidR="00625D4D">
              <w:rPr>
                <w:rFonts w:asciiTheme="minorHAnsi" w:hAnsiTheme="minorHAnsi"/>
                <w:i/>
                <w:lang w:val="en-GB"/>
              </w:rPr>
              <w:t xml:space="preserve">UNDP also supported </w:t>
            </w:r>
            <w:r w:rsidR="00C91715">
              <w:rPr>
                <w:rFonts w:asciiTheme="minorHAnsi" w:hAnsiTheme="minorHAnsi"/>
                <w:i/>
                <w:lang w:val="en-GB"/>
              </w:rPr>
              <w:t xml:space="preserve">the </w:t>
            </w:r>
            <w:r w:rsidR="00625D4D">
              <w:rPr>
                <w:rFonts w:asciiTheme="minorHAnsi" w:hAnsiTheme="minorHAnsi"/>
                <w:i/>
                <w:lang w:val="en-GB"/>
              </w:rPr>
              <w:t>s</w:t>
            </w:r>
            <w:r w:rsidR="00625D4D" w:rsidRPr="000A3305">
              <w:rPr>
                <w:rFonts w:asciiTheme="minorHAnsi" w:hAnsiTheme="minorHAnsi"/>
                <w:i/>
                <w:lang w:val="en-GB"/>
              </w:rPr>
              <w:t xml:space="preserve">trengthening of </w:t>
            </w:r>
            <w:r w:rsidR="00C91715">
              <w:rPr>
                <w:rFonts w:asciiTheme="minorHAnsi" w:hAnsiTheme="minorHAnsi"/>
                <w:i/>
                <w:lang w:val="en-GB"/>
              </w:rPr>
              <w:t xml:space="preserve">the </w:t>
            </w:r>
            <w:r w:rsidR="00625D4D" w:rsidRPr="000A3305">
              <w:rPr>
                <w:rFonts w:asciiTheme="minorHAnsi" w:hAnsiTheme="minorHAnsi"/>
                <w:i/>
                <w:lang w:val="en-GB"/>
              </w:rPr>
              <w:t>national environmental mechanisms including the ecological fund and the National Environmental Standards Regulation Enforcement Agency.</w:t>
            </w:r>
            <w:r w:rsidR="00625D4D">
              <w:rPr>
                <w:rFonts w:asciiTheme="minorHAnsi" w:hAnsiTheme="minorHAnsi"/>
                <w:i/>
                <w:lang w:val="en-GB"/>
              </w:rPr>
              <w:t xml:space="preserve"> </w:t>
            </w:r>
            <w:r w:rsidRPr="00625D4D">
              <w:rPr>
                <w:rFonts w:asciiTheme="minorHAnsi" w:hAnsiTheme="minorHAnsi"/>
                <w:i/>
                <w:lang w:val="en-GB"/>
              </w:rPr>
              <w:t>The</w:t>
            </w:r>
            <w:r w:rsidR="00625D4D">
              <w:rPr>
                <w:rFonts w:asciiTheme="minorHAnsi" w:hAnsiTheme="minorHAnsi"/>
                <w:i/>
                <w:lang w:val="en-GB"/>
              </w:rPr>
              <w:t>se have</w:t>
            </w:r>
            <w:r w:rsidRPr="00625D4D">
              <w:rPr>
                <w:rFonts w:asciiTheme="minorHAnsi" w:hAnsiTheme="minorHAnsi"/>
                <w:i/>
                <w:lang w:val="en-GB"/>
              </w:rPr>
              <w:t xml:space="preserve"> redefined the framework for the management of the environment and natural resources, strengthened the nexus between climate change and disaster risks management and integrated emerging issues from the Post 2015 development dialogues</w:t>
            </w:r>
            <w:r w:rsidR="000A3305" w:rsidRPr="00625D4D">
              <w:rPr>
                <w:rFonts w:asciiTheme="minorHAnsi" w:hAnsiTheme="minorHAnsi"/>
                <w:i/>
                <w:lang w:val="en-GB"/>
              </w:rPr>
              <w:t xml:space="preserve">. </w:t>
            </w:r>
            <w:r w:rsidR="00176160">
              <w:rPr>
                <w:rFonts w:asciiTheme="minorHAnsi" w:hAnsiTheme="minorHAnsi"/>
                <w:i/>
                <w:lang w:val="en-GB"/>
              </w:rPr>
              <w:t>In demonstrating the benefits of this</w:t>
            </w:r>
            <w:r w:rsidR="00C91715">
              <w:rPr>
                <w:rFonts w:asciiTheme="minorHAnsi" w:hAnsiTheme="minorHAnsi"/>
                <w:i/>
                <w:lang w:val="en-GB"/>
              </w:rPr>
              <w:t>,</w:t>
            </w:r>
            <w:r w:rsidR="00176160">
              <w:rPr>
                <w:rFonts w:asciiTheme="minorHAnsi" w:hAnsiTheme="minorHAnsi"/>
                <w:i/>
                <w:lang w:val="en-GB"/>
              </w:rPr>
              <w:t xml:space="preserve"> the </w:t>
            </w:r>
            <w:r w:rsidR="00176160" w:rsidRPr="00176160">
              <w:rPr>
                <w:rFonts w:asciiTheme="minorHAnsi" w:hAnsiTheme="minorHAnsi"/>
                <w:i/>
                <w:lang w:val="en-GB"/>
              </w:rPr>
              <w:t>UNDP/GEF programme on Waste Management supported the Government of Nigeria in the reduction of UPOPs released from open burning</w:t>
            </w:r>
            <w:r w:rsidR="00176160">
              <w:rPr>
                <w:rFonts w:asciiTheme="minorHAnsi" w:hAnsiTheme="minorHAnsi"/>
                <w:i/>
                <w:lang w:val="en-GB"/>
              </w:rPr>
              <w:t xml:space="preserve"> </w:t>
            </w:r>
            <w:r w:rsidR="00176160" w:rsidRPr="00176160">
              <w:rPr>
                <w:rFonts w:asciiTheme="minorHAnsi" w:hAnsiTheme="minorHAnsi"/>
                <w:i/>
                <w:lang w:val="en-GB"/>
              </w:rPr>
              <w:t xml:space="preserve">of </w:t>
            </w:r>
            <w:r w:rsidR="00B4122F" w:rsidRPr="00B4122F">
              <w:rPr>
                <w:rFonts w:asciiTheme="minorHAnsi" w:hAnsiTheme="minorHAnsi"/>
                <w:i/>
              </w:rPr>
              <w:t>municipal and agricultural waste</w:t>
            </w:r>
            <w:r w:rsidR="00B4122F" w:rsidRPr="00B4122F">
              <w:rPr>
                <w:rFonts w:asciiTheme="minorHAnsi" w:hAnsiTheme="minorHAnsi"/>
                <w:i/>
                <w:lang w:val="en-GB"/>
              </w:rPr>
              <w:t xml:space="preserve"> </w:t>
            </w:r>
            <w:r w:rsidR="00176160" w:rsidRPr="00176160">
              <w:rPr>
                <w:rFonts w:asciiTheme="minorHAnsi" w:hAnsiTheme="minorHAnsi"/>
                <w:i/>
                <w:lang w:val="en-GB"/>
              </w:rPr>
              <w:t>from 315.5g I/TEQ in 2014 to 274.64g I/TEQ in 2015 (a 40.8g I/TEQ reduction) in two states, Kano and Anambra State</w:t>
            </w:r>
          </w:p>
          <w:p w:rsidR="000A3305" w:rsidRPr="00A735E4" w:rsidRDefault="000A3305" w:rsidP="00BC735B">
            <w:pPr>
              <w:pStyle w:val="BodyText2"/>
              <w:ind w:left="720"/>
              <w:rPr>
                <w:rFonts w:asciiTheme="minorHAnsi" w:hAnsiTheme="minorHAnsi"/>
                <w:i/>
                <w:lang w:val="en-GB"/>
              </w:rPr>
            </w:pPr>
          </w:p>
        </w:tc>
      </w:tr>
      <w:tr w:rsidR="005F2E08" w:rsidRPr="00F01FDE" w:rsidTr="004C4CF9">
        <w:tc>
          <w:tcPr>
            <w:tcW w:w="14040" w:type="dxa"/>
            <w:gridSpan w:val="5"/>
          </w:tcPr>
          <w:p w:rsidR="005F2E08" w:rsidRPr="00845340" w:rsidRDefault="005F2E08" w:rsidP="008D4556">
            <w:pPr>
              <w:pStyle w:val="BodyText2"/>
              <w:jc w:val="center"/>
              <w:rPr>
                <w:rFonts w:asciiTheme="minorHAnsi" w:hAnsiTheme="minorHAnsi"/>
                <w:b/>
              </w:rPr>
            </w:pPr>
          </w:p>
        </w:tc>
      </w:tr>
      <w:tr w:rsidR="009E7526" w:rsidRPr="00F01FDE" w:rsidTr="004C4CF9">
        <w:tc>
          <w:tcPr>
            <w:tcW w:w="14040" w:type="dxa"/>
            <w:gridSpan w:val="5"/>
          </w:tcPr>
          <w:p w:rsidR="009E7526" w:rsidRPr="00845340" w:rsidRDefault="009E7526" w:rsidP="009E7526">
            <w:pPr>
              <w:rPr>
                <w:rFonts w:asciiTheme="minorHAnsi" w:hAnsiTheme="minorHAnsi"/>
                <w:sz w:val="20"/>
                <w:u w:val="single"/>
              </w:rPr>
            </w:pPr>
            <w:r w:rsidRPr="00845340">
              <w:rPr>
                <w:rFonts w:asciiTheme="minorHAnsi" w:hAnsiTheme="minorHAnsi"/>
                <w:sz w:val="20"/>
                <w:u w:val="single"/>
              </w:rPr>
              <w:t>Summary of evaluation</w:t>
            </w:r>
            <w:r w:rsidR="00674B1A">
              <w:rPr>
                <w:rFonts w:asciiTheme="minorHAnsi" w:hAnsiTheme="minorHAnsi"/>
                <w:sz w:val="20"/>
                <w:u w:val="single"/>
              </w:rPr>
              <w:t xml:space="preserve"> finding</w:t>
            </w:r>
            <w:r w:rsidRPr="00845340">
              <w:rPr>
                <w:rFonts w:asciiTheme="minorHAnsi" w:hAnsiTheme="minorHAnsi"/>
                <w:sz w:val="20"/>
                <w:u w:val="single"/>
              </w:rPr>
              <w:t>s (</w:t>
            </w:r>
            <w:r w:rsidR="008F0A97" w:rsidRPr="00845340">
              <w:rPr>
                <w:rFonts w:asciiTheme="minorHAnsi" w:hAnsiTheme="minorHAnsi"/>
                <w:sz w:val="20"/>
                <w:u w:val="single"/>
              </w:rPr>
              <w:t xml:space="preserve">e.g. from outcome and project evaluations, UNDAF </w:t>
            </w:r>
            <w:r w:rsidRPr="00845340">
              <w:rPr>
                <w:rFonts w:asciiTheme="minorHAnsi" w:hAnsiTheme="minorHAnsi"/>
                <w:sz w:val="20"/>
                <w:u w:val="single"/>
              </w:rPr>
              <w:t xml:space="preserve">reviews, </w:t>
            </w:r>
            <w:r w:rsidR="008F0A97" w:rsidRPr="00845340">
              <w:rPr>
                <w:rFonts w:asciiTheme="minorHAnsi" w:hAnsiTheme="minorHAnsi"/>
                <w:sz w:val="20"/>
                <w:u w:val="single"/>
              </w:rPr>
              <w:t xml:space="preserve">and other </w:t>
            </w:r>
            <w:r w:rsidRPr="00845340">
              <w:rPr>
                <w:rFonts w:asciiTheme="minorHAnsi" w:hAnsiTheme="minorHAnsi"/>
                <w:sz w:val="20"/>
                <w:u w:val="single"/>
              </w:rPr>
              <w:t>assessments)</w:t>
            </w:r>
          </w:p>
          <w:p w:rsidR="00674B1A" w:rsidRDefault="00674B1A" w:rsidP="009E7526">
            <w:pPr>
              <w:jc w:val="both"/>
              <w:rPr>
                <w:rFonts w:asciiTheme="minorHAnsi" w:hAnsiTheme="minorHAnsi"/>
                <w:sz w:val="20"/>
              </w:rPr>
            </w:pPr>
          </w:p>
          <w:p w:rsidR="009E7526" w:rsidRDefault="009E7526" w:rsidP="004C4CF9">
            <w:pPr>
              <w:jc w:val="both"/>
              <w:rPr>
                <w:rFonts w:asciiTheme="minorHAnsi" w:hAnsiTheme="minorHAnsi"/>
                <w:sz w:val="20"/>
              </w:rPr>
            </w:pPr>
            <w:r w:rsidRPr="00674B1A">
              <w:rPr>
                <w:rFonts w:asciiTheme="minorHAnsi" w:hAnsiTheme="minorHAnsi"/>
                <w:sz w:val="20"/>
                <w:u w:val="single"/>
              </w:rPr>
              <w:t>Key Achievements</w:t>
            </w:r>
            <w:r w:rsidR="005F6261" w:rsidRPr="00845340">
              <w:rPr>
                <w:rFonts w:asciiTheme="minorHAnsi" w:hAnsiTheme="minorHAnsi"/>
                <w:sz w:val="20"/>
              </w:rPr>
              <w:t>:</w:t>
            </w:r>
            <w:r w:rsidR="00733E6A">
              <w:rPr>
                <w:rFonts w:asciiTheme="minorHAnsi" w:hAnsiTheme="minorHAnsi"/>
                <w:sz w:val="20"/>
              </w:rPr>
              <w:t xml:space="preserve"> </w:t>
            </w:r>
          </w:p>
          <w:p w:rsidR="00733E6A" w:rsidRPr="00AB4D93" w:rsidRDefault="00733E6A" w:rsidP="004C4CF9">
            <w:pPr>
              <w:jc w:val="both"/>
              <w:rPr>
                <w:rFonts w:asciiTheme="minorHAnsi" w:hAnsiTheme="minorHAnsi"/>
                <w:i/>
                <w:sz w:val="20"/>
              </w:rPr>
            </w:pPr>
            <w:r w:rsidRPr="00AB4D93">
              <w:rPr>
                <w:rFonts w:asciiTheme="minorHAnsi" w:hAnsiTheme="minorHAnsi"/>
                <w:i/>
                <w:sz w:val="20"/>
              </w:rPr>
              <w:t>Project evaluations under the Country Programme 2014 -2017,</w:t>
            </w:r>
            <w:r w:rsidRPr="00AB4D93">
              <w:rPr>
                <w:rFonts w:asciiTheme="minorHAnsi" w:hAnsiTheme="minorHAnsi"/>
                <w:i/>
                <w:sz w:val="20"/>
                <w:vertAlign w:val="superscript"/>
              </w:rPr>
              <w:t xml:space="preserve"> </w:t>
            </w:r>
            <w:r w:rsidRPr="00AB4D93">
              <w:rPr>
                <w:rFonts w:asciiTheme="minorHAnsi" w:hAnsiTheme="minorHAnsi"/>
                <w:i/>
                <w:sz w:val="20"/>
              </w:rPr>
              <w:t xml:space="preserve">noted that </w:t>
            </w:r>
            <w:r w:rsidRPr="00AB4D93">
              <w:rPr>
                <w:rFonts w:asciiTheme="minorHAnsi" w:hAnsiTheme="minorHAnsi"/>
                <w:i/>
                <w:sz w:val="20"/>
                <w:lang w:val="en-GB"/>
              </w:rPr>
              <w:t>UNDP in partnership with the Government has made significant contributions to the advancement of national frameworks for environmental management, climate risk and disaster management,</w:t>
            </w:r>
            <w:r w:rsidRPr="00AB4D93">
              <w:rPr>
                <w:rFonts w:asciiTheme="minorHAnsi" w:hAnsiTheme="minorHAnsi"/>
                <w:i/>
                <w:sz w:val="20"/>
              </w:rPr>
              <w:t xml:space="preserve"> elections, </w:t>
            </w:r>
            <w:r w:rsidRPr="00AB4D93">
              <w:rPr>
                <w:rFonts w:asciiTheme="minorHAnsi" w:hAnsiTheme="minorHAnsi"/>
                <w:i/>
                <w:sz w:val="20"/>
                <w:lang w:val="en-GB"/>
              </w:rPr>
              <w:t xml:space="preserve">anti-corruption and the legislature. </w:t>
            </w:r>
            <w:r w:rsidRPr="00AB4D93">
              <w:rPr>
                <w:rFonts w:asciiTheme="minorHAnsi" w:hAnsiTheme="minorHAnsi"/>
                <w:i/>
                <w:sz w:val="20"/>
              </w:rPr>
              <w:t xml:space="preserve">The evaluations recommended the need to focus programmes in targeted geographical areas, increase resource mobilization to maintain and expand programmatic interventions, build on emerging opportunities and partnerships, improve data availability and strengthen operational capacity of implementing partners. </w:t>
            </w:r>
          </w:p>
          <w:p w:rsidR="00733E6A" w:rsidRPr="00845340" w:rsidRDefault="00733E6A" w:rsidP="004C4CF9">
            <w:pPr>
              <w:jc w:val="both"/>
              <w:rPr>
                <w:rFonts w:asciiTheme="minorHAnsi" w:hAnsiTheme="minorHAnsi"/>
                <w:sz w:val="20"/>
              </w:rPr>
            </w:pPr>
          </w:p>
          <w:p w:rsidR="009E7526" w:rsidRPr="00AB4D93" w:rsidRDefault="009E7526" w:rsidP="004C4CF9">
            <w:pPr>
              <w:pStyle w:val="BodyText2"/>
              <w:jc w:val="both"/>
              <w:rPr>
                <w:rFonts w:asciiTheme="minorHAnsi" w:hAnsiTheme="minorHAnsi"/>
              </w:rPr>
            </w:pPr>
            <w:r w:rsidRPr="00AB4D93">
              <w:rPr>
                <w:rFonts w:asciiTheme="minorHAnsi" w:hAnsiTheme="minorHAnsi"/>
                <w:u w:val="single"/>
              </w:rPr>
              <w:t>Major Lessons Learnt</w:t>
            </w:r>
            <w:r w:rsidR="005F6261" w:rsidRPr="00AB4D93">
              <w:rPr>
                <w:rFonts w:asciiTheme="minorHAnsi" w:hAnsiTheme="minorHAnsi"/>
              </w:rPr>
              <w:t>:</w:t>
            </w:r>
          </w:p>
          <w:p w:rsidR="00BC735B" w:rsidRDefault="00BC735B" w:rsidP="004C4CF9">
            <w:pPr>
              <w:pStyle w:val="BodyText2"/>
              <w:jc w:val="both"/>
              <w:rPr>
                <w:rFonts w:asciiTheme="minorHAnsi" w:hAnsiTheme="minorHAnsi"/>
                <w:i/>
              </w:rPr>
            </w:pPr>
            <w:r w:rsidRPr="00BC735B">
              <w:rPr>
                <w:rFonts w:asciiTheme="minorHAnsi" w:hAnsiTheme="minorHAnsi"/>
                <w:i/>
              </w:rPr>
              <w:t>UNDP Nigeria recognizes the importance of its contribution to national development initiatives, corporate ratings and requirements, and more importantly, the significance of the acknowledgement of our support by Government and respective Implementing Partners</w:t>
            </w:r>
            <w:r>
              <w:rPr>
                <w:rFonts w:asciiTheme="minorHAnsi" w:hAnsiTheme="minorHAnsi"/>
                <w:i/>
              </w:rPr>
              <w:t>. There were</w:t>
            </w:r>
            <w:r w:rsidR="00AB4D93" w:rsidRPr="00AB4D93">
              <w:rPr>
                <w:rFonts w:asciiTheme="minorHAnsi" w:hAnsiTheme="minorHAnsi"/>
                <w:i/>
              </w:rPr>
              <w:t xml:space="preserve"> both economic and social challenges that impacted on successful implementation of this country programme cycle. These include: (a) the 2016 economic recession, (b) limited capacity of Government and national stakeholders to implement programme, (c) crisis in the North East and other areas including Niger Delta and the Middle Belt, (d) difficulties in mobilizing adequate resources for Nigeria, and (e) challenges faced by the new administration that took over after the 2015 elections</w:t>
            </w:r>
            <w:r>
              <w:rPr>
                <w:rFonts w:asciiTheme="minorHAnsi" w:hAnsiTheme="minorHAnsi"/>
                <w:i/>
              </w:rPr>
              <w:t xml:space="preserve"> resulting </w:t>
            </w:r>
            <w:r w:rsidR="00C91715">
              <w:rPr>
                <w:rFonts w:asciiTheme="minorHAnsi" w:hAnsiTheme="minorHAnsi"/>
                <w:i/>
              </w:rPr>
              <w:t xml:space="preserve">in </w:t>
            </w:r>
            <w:r>
              <w:rPr>
                <w:rFonts w:asciiTheme="minorHAnsi" w:hAnsiTheme="minorHAnsi"/>
                <w:i/>
              </w:rPr>
              <w:t>a slow take off by the administration.</w:t>
            </w:r>
          </w:p>
          <w:p w:rsidR="004C4CF9" w:rsidRDefault="004C4CF9" w:rsidP="004C4CF9">
            <w:pPr>
              <w:pStyle w:val="BodyText2"/>
              <w:jc w:val="both"/>
              <w:rPr>
                <w:rFonts w:asciiTheme="minorHAnsi" w:hAnsiTheme="minorHAnsi"/>
                <w:i/>
              </w:rPr>
            </w:pPr>
          </w:p>
          <w:p w:rsidR="00BC735B" w:rsidRPr="00BC735B" w:rsidRDefault="00BC735B" w:rsidP="004C4CF9">
            <w:pPr>
              <w:pStyle w:val="BodyText2"/>
              <w:jc w:val="both"/>
              <w:rPr>
                <w:rFonts w:asciiTheme="minorHAnsi" w:hAnsiTheme="minorHAnsi"/>
                <w:i/>
              </w:rPr>
            </w:pPr>
            <w:r>
              <w:rPr>
                <w:rFonts w:asciiTheme="minorHAnsi" w:hAnsiTheme="minorHAnsi"/>
                <w:i/>
              </w:rPr>
              <w:t>Despite these including the</w:t>
            </w:r>
            <w:r w:rsidRPr="00BC735B">
              <w:rPr>
                <w:rFonts w:asciiTheme="minorHAnsi" w:hAnsiTheme="minorHAnsi"/>
                <w:i/>
              </w:rPr>
              <w:t xml:space="preserve"> challenges experienced in the management of the DGD II and the BMGF/UNDP strategic projects, the CO has strengthened its learning institutional culture through the use of our global development network (EU-UNDP Partnership Office; RBA and the RSCA)</w:t>
            </w:r>
            <w:r>
              <w:rPr>
                <w:rFonts w:asciiTheme="minorHAnsi" w:hAnsiTheme="minorHAnsi"/>
                <w:i/>
              </w:rPr>
              <w:t xml:space="preserve"> and the</w:t>
            </w:r>
            <w:r w:rsidRPr="00BC735B">
              <w:rPr>
                <w:rFonts w:asciiTheme="minorHAnsi" w:hAnsiTheme="minorHAnsi"/>
                <w:i/>
              </w:rPr>
              <w:t xml:space="preserve"> programme alignment exercise</w:t>
            </w:r>
            <w:r>
              <w:rPr>
                <w:rFonts w:asciiTheme="minorHAnsi" w:hAnsiTheme="minorHAnsi"/>
                <w:i/>
              </w:rPr>
              <w:t>,</w:t>
            </w:r>
            <w:r w:rsidRPr="00BC735B">
              <w:rPr>
                <w:rFonts w:asciiTheme="minorHAnsi" w:hAnsiTheme="minorHAnsi"/>
                <w:i/>
              </w:rPr>
              <w:t xml:space="preserve"> which significantly enriched the quality of the CO’s positioning and programme implementation. It also led to better use and appreciation of our development global network in a very complex environment where national ownership/implementation has to be balanced with our respective Implementing Partners’ full understanding of our overall accountability for programme/project management. </w:t>
            </w:r>
          </w:p>
          <w:p w:rsidR="004C4CF9" w:rsidRDefault="004C4CF9" w:rsidP="004C4CF9">
            <w:pPr>
              <w:pStyle w:val="BodyText2"/>
              <w:jc w:val="both"/>
              <w:rPr>
                <w:rFonts w:asciiTheme="minorHAnsi" w:hAnsiTheme="minorHAnsi"/>
                <w:i/>
              </w:rPr>
            </w:pPr>
          </w:p>
          <w:p w:rsidR="00BC735B" w:rsidRPr="00BC735B" w:rsidRDefault="00F555A7" w:rsidP="004C4CF9">
            <w:pPr>
              <w:pStyle w:val="BodyText2"/>
              <w:jc w:val="both"/>
              <w:rPr>
                <w:rFonts w:asciiTheme="minorHAnsi" w:hAnsiTheme="minorHAnsi"/>
                <w:i/>
              </w:rPr>
            </w:pPr>
            <w:r w:rsidRPr="00F555A7">
              <w:rPr>
                <w:rFonts w:asciiTheme="minorHAnsi" w:hAnsiTheme="minorHAnsi"/>
                <w:i/>
              </w:rPr>
              <w:t xml:space="preserve">The lesson learned is that a more hands-on approach is critical for engagement with key Government (Federal and State), and Development Partners for successful programme implementation. </w:t>
            </w:r>
            <w:r w:rsidR="00BC735B" w:rsidRPr="00BC735B">
              <w:rPr>
                <w:rFonts w:asciiTheme="minorHAnsi" w:hAnsiTheme="minorHAnsi"/>
                <w:i/>
              </w:rPr>
              <w:t>The need for economic diversification from oil, to other sectors of the economy is a lesson not only for Nigeria but also for those who entirely depend oil as the mainstay of their economies. The resulting impact of falling global oil prices created huge Federal and State Government budget deficits, and the consequent Balance of Payments deficits put pressure on the Federal Government to devalue the Naira.</w:t>
            </w:r>
          </w:p>
        </w:tc>
      </w:tr>
    </w:tbl>
    <w:p w:rsidR="004B3911" w:rsidRDefault="004B3911">
      <w:pPr>
        <w:pStyle w:val="BodyText2"/>
        <w:rPr>
          <w:rFonts w:ascii="Times New Roman" w:hAnsi="Times New Roman"/>
          <w:sz w:val="24"/>
        </w:rPr>
      </w:pPr>
    </w:p>
    <w:p w:rsidR="004C4CF9" w:rsidRDefault="004C4CF9">
      <w:pPr>
        <w:pStyle w:val="BodyText2"/>
        <w:rPr>
          <w:rFonts w:ascii="Times New Roman" w:hAnsi="Times New Roman"/>
          <w:sz w:val="24"/>
        </w:rPr>
      </w:pPr>
    </w:p>
    <w:p w:rsidR="00E37E7A" w:rsidRPr="005474ED" w:rsidRDefault="00EA7740" w:rsidP="00E37E7A">
      <w:pPr>
        <w:pStyle w:val="BodyText2"/>
        <w:jc w:val="center"/>
        <w:rPr>
          <w:rFonts w:asciiTheme="minorHAnsi" w:hAnsiTheme="minorHAnsi"/>
          <w:sz w:val="24"/>
        </w:rPr>
      </w:pPr>
      <w:r>
        <w:rPr>
          <w:rFonts w:asciiTheme="minorHAnsi" w:hAnsiTheme="minorHAnsi"/>
          <w:sz w:val="24"/>
        </w:rPr>
        <w:lastRenderedPageBreak/>
        <w:t xml:space="preserve">III. </w:t>
      </w:r>
      <w:r w:rsidR="00673710" w:rsidRPr="005474ED">
        <w:rPr>
          <w:rFonts w:asciiTheme="minorHAnsi" w:hAnsiTheme="minorHAnsi"/>
          <w:sz w:val="24"/>
        </w:rPr>
        <w:t xml:space="preserve">Country Programme </w:t>
      </w:r>
      <w:r w:rsidR="00E37E7A" w:rsidRPr="005474ED">
        <w:rPr>
          <w:rFonts w:asciiTheme="minorHAnsi" w:hAnsiTheme="minorHAnsi"/>
          <w:sz w:val="24"/>
        </w:rPr>
        <w:t>Resources</w:t>
      </w:r>
    </w:p>
    <w:tbl>
      <w:tblPr>
        <w:tblStyle w:val="TableGrid"/>
        <w:tblW w:w="0" w:type="auto"/>
        <w:tblLook w:val="04A0" w:firstRow="1" w:lastRow="0" w:firstColumn="1" w:lastColumn="0" w:noHBand="0" w:noVBand="1"/>
      </w:tblPr>
      <w:tblGrid>
        <w:gridCol w:w="3573"/>
        <w:gridCol w:w="2996"/>
        <w:gridCol w:w="2996"/>
        <w:gridCol w:w="2996"/>
        <w:gridCol w:w="1389"/>
      </w:tblGrid>
      <w:tr w:rsidR="0015409F" w:rsidRPr="006900FE" w:rsidTr="000D6DE5">
        <w:tc>
          <w:tcPr>
            <w:tcW w:w="6228" w:type="dxa"/>
            <w:shd w:val="clear" w:color="auto" w:fill="000000" w:themeFill="text1"/>
          </w:tcPr>
          <w:p w:rsidR="0015409F" w:rsidRPr="006900FE" w:rsidRDefault="00525078" w:rsidP="00E37E7A">
            <w:pPr>
              <w:pStyle w:val="BodyText2"/>
              <w:jc w:val="center"/>
              <w:rPr>
                <w:rFonts w:asciiTheme="minorHAnsi" w:hAnsiTheme="minorHAnsi"/>
                <w:b/>
                <w:color w:val="FFFFFF" w:themeColor="background1"/>
                <w:sz w:val="24"/>
              </w:rPr>
            </w:pPr>
            <w:r>
              <w:rPr>
                <w:rFonts w:asciiTheme="minorHAnsi" w:hAnsiTheme="minorHAnsi"/>
                <w:b/>
                <w:color w:val="FFFFFF" w:themeColor="background1"/>
                <w:sz w:val="24"/>
              </w:rPr>
              <w:t>Year</w:t>
            </w:r>
          </w:p>
        </w:tc>
        <w:tc>
          <w:tcPr>
            <w:tcW w:w="5940" w:type="dxa"/>
            <w:gridSpan w:val="3"/>
            <w:shd w:val="clear" w:color="auto" w:fill="000000" w:themeFill="text1"/>
          </w:tcPr>
          <w:p w:rsidR="0015409F" w:rsidRPr="006900FE" w:rsidRDefault="000D6DE5" w:rsidP="00E37E7A">
            <w:pPr>
              <w:pStyle w:val="BodyText2"/>
              <w:jc w:val="center"/>
              <w:rPr>
                <w:rFonts w:asciiTheme="minorHAnsi" w:hAnsiTheme="minorHAnsi"/>
                <w:b/>
                <w:color w:val="FFFFFF" w:themeColor="background1"/>
                <w:sz w:val="24"/>
              </w:rPr>
            </w:pPr>
            <w:r w:rsidRPr="006900FE">
              <w:rPr>
                <w:rFonts w:asciiTheme="minorHAnsi" w:hAnsiTheme="minorHAnsi"/>
                <w:b/>
                <w:color w:val="FFFFFF" w:themeColor="background1"/>
                <w:sz w:val="24"/>
              </w:rPr>
              <w:t xml:space="preserve">Programme </w:t>
            </w:r>
            <w:r w:rsidR="0015409F" w:rsidRPr="006900FE">
              <w:rPr>
                <w:rFonts w:asciiTheme="minorHAnsi" w:hAnsiTheme="minorHAnsi"/>
                <w:b/>
                <w:color w:val="FFFFFF" w:themeColor="background1"/>
                <w:sz w:val="24"/>
              </w:rPr>
              <w:t>Expenditure ($)</w:t>
            </w:r>
          </w:p>
        </w:tc>
        <w:tc>
          <w:tcPr>
            <w:tcW w:w="2008" w:type="dxa"/>
            <w:shd w:val="clear" w:color="auto" w:fill="000000" w:themeFill="text1"/>
          </w:tcPr>
          <w:p w:rsidR="0015409F" w:rsidRPr="006900FE" w:rsidRDefault="0015409F" w:rsidP="00E37E7A">
            <w:pPr>
              <w:pStyle w:val="BodyText2"/>
              <w:jc w:val="center"/>
              <w:rPr>
                <w:rFonts w:asciiTheme="minorHAnsi" w:hAnsiTheme="minorHAnsi"/>
                <w:b/>
                <w:color w:val="FFFFFF" w:themeColor="background1"/>
                <w:sz w:val="24"/>
              </w:rPr>
            </w:pPr>
            <w:r w:rsidRPr="006900FE">
              <w:rPr>
                <w:rFonts w:asciiTheme="minorHAnsi" w:hAnsiTheme="minorHAnsi"/>
                <w:b/>
                <w:color w:val="FFFFFF" w:themeColor="background1"/>
                <w:sz w:val="24"/>
              </w:rPr>
              <w:t>% of Total</w:t>
            </w:r>
          </w:p>
        </w:tc>
      </w:tr>
      <w:tr w:rsidR="000D6DE5" w:rsidRPr="006900FE" w:rsidTr="000D6DE5">
        <w:tc>
          <w:tcPr>
            <w:tcW w:w="6228" w:type="dxa"/>
          </w:tcPr>
          <w:p w:rsidR="000D6DE5" w:rsidRPr="006900FE" w:rsidRDefault="000D6DE5" w:rsidP="00A0001A">
            <w:pPr>
              <w:pStyle w:val="BodyText2"/>
              <w:rPr>
                <w:rFonts w:asciiTheme="minorHAnsi" w:hAnsiTheme="minorHAnsi"/>
              </w:rPr>
            </w:pPr>
          </w:p>
        </w:tc>
        <w:tc>
          <w:tcPr>
            <w:tcW w:w="1890" w:type="dxa"/>
          </w:tcPr>
          <w:p w:rsidR="000D6DE5" w:rsidRPr="006900FE" w:rsidRDefault="000D6DE5" w:rsidP="00525078">
            <w:pPr>
              <w:pStyle w:val="BodyText2"/>
              <w:jc w:val="right"/>
              <w:rPr>
                <w:rFonts w:asciiTheme="minorHAnsi" w:hAnsiTheme="minorHAnsi"/>
              </w:rPr>
            </w:pPr>
            <w:r w:rsidRPr="006900FE">
              <w:rPr>
                <w:rFonts w:asciiTheme="minorHAnsi" w:hAnsiTheme="minorHAnsi"/>
              </w:rPr>
              <w:t>Regular (TRAC)</w:t>
            </w:r>
          </w:p>
        </w:tc>
        <w:tc>
          <w:tcPr>
            <w:tcW w:w="2070" w:type="dxa"/>
          </w:tcPr>
          <w:p w:rsidR="000D6DE5" w:rsidRPr="006900FE" w:rsidRDefault="000D6DE5" w:rsidP="00525078">
            <w:pPr>
              <w:pStyle w:val="BodyText2"/>
              <w:jc w:val="right"/>
              <w:rPr>
                <w:rFonts w:asciiTheme="minorHAnsi" w:hAnsiTheme="minorHAnsi"/>
              </w:rPr>
            </w:pPr>
            <w:r w:rsidRPr="006900FE">
              <w:rPr>
                <w:rFonts w:asciiTheme="minorHAnsi" w:hAnsiTheme="minorHAnsi"/>
              </w:rPr>
              <w:t>Other</w:t>
            </w:r>
          </w:p>
        </w:tc>
        <w:tc>
          <w:tcPr>
            <w:tcW w:w="1980" w:type="dxa"/>
          </w:tcPr>
          <w:p w:rsidR="000D6DE5" w:rsidRPr="006900FE" w:rsidRDefault="000D6DE5" w:rsidP="00525078">
            <w:pPr>
              <w:pStyle w:val="BodyText2"/>
              <w:jc w:val="right"/>
              <w:rPr>
                <w:rFonts w:asciiTheme="minorHAnsi" w:hAnsiTheme="minorHAnsi"/>
              </w:rPr>
            </w:pPr>
            <w:r w:rsidRPr="006900FE">
              <w:rPr>
                <w:rFonts w:asciiTheme="minorHAnsi" w:hAnsiTheme="minorHAnsi"/>
              </w:rPr>
              <w:t>Total</w:t>
            </w:r>
          </w:p>
        </w:tc>
        <w:tc>
          <w:tcPr>
            <w:tcW w:w="2008" w:type="dxa"/>
          </w:tcPr>
          <w:p w:rsidR="000D6DE5" w:rsidRPr="006900FE" w:rsidRDefault="000D6DE5" w:rsidP="00E37E7A">
            <w:pPr>
              <w:pStyle w:val="BodyText2"/>
              <w:jc w:val="center"/>
              <w:rPr>
                <w:rFonts w:asciiTheme="minorHAnsi" w:hAnsiTheme="minorHAnsi"/>
              </w:rPr>
            </w:pPr>
          </w:p>
        </w:tc>
      </w:tr>
      <w:tr w:rsidR="00525078" w:rsidRPr="006900FE" w:rsidTr="00525078">
        <w:tc>
          <w:tcPr>
            <w:tcW w:w="6228" w:type="dxa"/>
            <w:vAlign w:val="center"/>
          </w:tcPr>
          <w:p w:rsidR="00525078" w:rsidRPr="006900FE" w:rsidRDefault="00525078" w:rsidP="00525078">
            <w:pPr>
              <w:pStyle w:val="BodyText2"/>
              <w:jc w:val="center"/>
              <w:rPr>
                <w:rFonts w:asciiTheme="minorHAnsi" w:hAnsiTheme="minorHAnsi"/>
              </w:rPr>
            </w:pPr>
            <w:r>
              <w:rPr>
                <w:color w:val="000000"/>
              </w:rPr>
              <w:t>2014</w:t>
            </w:r>
          </w:p>
        </w:tc>
        <w:tc>
          <w:tcPr>
            <w:tcW w:w="1890" w:type="dxa"/>
            <w:vAlign w:val="center"/>
          </w:tcPr>
          <w:p w:rsidR="00525078" w:rsidRPr="006900FE" w:rsidRDefault="00525078" w:rsidP="00525078">
            <w:pPr>
              <w:pStyle w:val="BodyText2"/>
              <w:jc w:val="center"/>
              <w:rPr>
                <w:rFonts w:asciiTheme="minorHAnsi" w:hAnsiTheme="minorHAnsi"/>
              </w:rPr>
            </w:pPr>
            <w:r>
              <w:rPr>
                <w:color w:val="000000"/>
              </w:rPr>
              <w:t xml:space="preserve">                          11,175,056.56 </w:t>
            </w:r>
          </w:p>
        </w:tc>
        <w:tc>
          <w:tcPr>
            <w:tcW w:w="2070" w:type="dxa"/>
            <w:vAlign w:val="center"/>
          </w:tcPr>
          <w:p w:rsidR="00525078" w:rsidRPr="006900FE" w:rsidRDefault="00525078" w:rsidP="00525078">
            <w:pPr>
              <w:pStyle w:val="BodyText2"/>
              <w:jc w:val="center"/>
              <w:rPr>
                <w:rFonts w:asciiTheme="minorHAnsi" w:hAnsiTheme="minorHAnsi"/>
              </w:rPr>
            </w:pPr>
            <w:r>
              <w:rPr>
                <w:color w:val="000000"/>
              </w:rPr>
              <w:t xml:space="preserve">                          29,689,734.95 </w:t>
            </w:r>
          </w:p>
        </w:tc>
        <w:tc>
          <w:tcPr>
            <w:tcW w:w="1980" w:type="dxa"/>
            <w:vAlign w:val="center"/>
          </w:tcPr>
          <w:p w:rsidR="00525078" w:rsidRPr="006900FE" w:rsidRDefault="00525078" w:rsidP="00525078">
            <w:pPr>
              <w:pStyle w:val="BodyText2"/>
              <w:jc w:val="center"/>
              <w:rPr>
                <w:rFonts w:asciiTheme="minorHAnsi" w:hAnsiTheme="minorHAnsi"/>
              </w:rPr>
            </w:pPr>
            <w:r>
              <w:rPr>
                <w:color w:val="000000"/>
              </w:rPr>
              <w:t xml:space="preserve">                          40,864,791.51 </w:t>
            </w:r>
          </w:p>
        </w:tc>
        <w:tc>
          <w:tcPr>
            <w:tcW w:w="2008" w:type="dxa"/>
            <w:vAlign w:val="center"/>
          </w:tcPr>
          <w:p w:rsidR="00525078" w:rsidRPr="006900FE" w:rsidRDefault="00525078" w:rsidP="00525078">
            <w:pPr>
              <w:pStyle w:val="BodyText2"/>
              <w:jc w:val="center"/>
              <w:rPr>
                <w:rFonts w:asciiTheme="minorHAnsi" w:hAnsiTheme="minorHAnsi"/>
              </w:rPr>
            </w:pPr>
            <w:r>
              <w:rPr>
                <w:color w:val="000000"/>
              </w:rPr>
              <w:t>37%</w:t>
            </w:r>
          </w:p>
        </w:tc>
      </w:tr>
      <w:tr w:rsidR="00525078" w:rsidRPr="006900FE" w:rsidTr="00525078">
        <w:tc>
          <w:tcPr>
            <w:tcW w:w="6228" w:type="dxa"/>
            <w:vAlign w:val="center"/>
          </w:tcPr>
          <w:p w:rsidR="00525078" w:rsidRPr="006900FE" w:rsidRDefault="00525078" w:rsidP="00525078">
            <w:pPr>
              <w:pStyle w:val="BodyText2"/>
              <w:jc w:val="center"/>
              <w:rPr>
                <w:rFonts w:asciiTheme="minorHAnsi" w:hAnsiTheme="minorHAnsi"/>
              </w:rPr>
            </w:pPr>
            <w:r>
              <w:rPr>
                <w:color w:val="000000"/>
              </w:rPr>
              <w:t>2015</w:t>
            </w:r>
          </w:p>
        </w:tc>
        <w:tc>
          <w:tcPr>
            <w:tcW w:w="1890" w:type="dxa"/>
            <w:vAlign w:val="center"/>
          </w:tcPr>
          <w:p w:rsidR="00525078" w:rsidRPr="006900FE" w:rsidRDefault="00525078" w:rsidP="00525078">
            <w:pPr>
              <w:pStyle w:val="BodyText2"/>
              <w:jc w:val="center"/>
              <w:rPr>
                <w:rFonts w:asciiTheme="minorHAnsi" w:hAnsiTheme="minorHAnsi"/>
              </w:rPr>
            </w:pPr>
            <w:r>
              <w:rPr>
                <w:color w:val="000000"/>
              </w:rPr>
              <w:t xml:space="preserve">                          10,189,452.93 </w:t>
            </w:r>
          </w:p>
        </w:tc>
        <w:tc>
          <w:tcPr>
            <w:tcW w:w="2070" w:type="dxa"/>
            <w:vAlign w:val="center"/>
          </w:tcPr>
          <w:p w:rsidR="00525078" w:rsidRPr="006900FE" w:rsidRDefault="00525078" w:rsidP="00525078">
            <w:pPr>
              <w:pStyle w:val="BodyText2"/>
              <w:jc w:val="center"/>
              <w:rPr>
                <w:rFonts w:asciiTheme="minorHAnsi" w:hAnsiTheme="minorHAnsi"/>
              </w:rPr>
            </w:pPr>
            <w:r>
              <w:rPr>
                <w:color w:val="000000"/>
              </w:rPr>
              <w:t xml:space="preserve">                          31,892,251.14 </w:t>
            </w:r>
          </w:p>
        </w:tc>
        <w:tc>
          <w:tcPr>
            <w:tcW w:w="1980" w:type="dxa"/>
            <w:vAlign w:val="center"/>
          </w:tcPr>
          <w:p w:rsidR="00525078" w:rsidRPr="006900FE" w:rsidRDefault="00525078" w:rsidP="00525078">
            <w:pPr>
              <w:pStyle w:val="BodyText2"/>
              <w:jc w:val="center"/>
              <w:rPr>
                <w:rFonts w:asciiTheme="minorHAnsi" w:hAnsiTheme="minorHAnsi"/>
              </w:rPr>
            </w:pPr>
            <w:r>
              <w:rPr>
                <w:color w:val="000000"/>
              </w:rPr>
              <w:t xml:space="preserve">                          42,081,704.07 </w:t>
            </w:r>
          </w:p>
        </w:tc>
        <w:tc>
          <w:tcPr>
            <w:tcW w:w="2008" w:type="dxa"/>
            <w:vAlign w:val="center"/>
          </w:tcPr>
          <w:p w:rsidR="00525078" w:rsidRPr="006900FE" w:rsidRDefault="00525078" w:rsidP="00525078">
            <w:pPr>
              <w:pStyle w:val="BodyText2"/>
              <w:jc w:val="center"/>
              <w:rPr>
                <w:rFonts w:asciiTheme="minorHAnsi" w:hAnsiTheme="minorHAnsi"/>
              </w:rPr>
            </w:pPr>
            <w:r>
              <w:rPr>
                <w:color w:val="000000"/>
              </w:rPr>
              <w:t>38%</w:t>
            </w:r>
          </w:p>
        </w:tc>
      </w:tr>
      <w:tr w:rsidR="00525078" w:rsidRPr="006900FE" w:rsidTr="00525078">
        <w:tc>
          <w:tcPr>
            <w:tcW w:w="6228" w:type="dxa"/>
            <w:vAlign w:val="center"/>
          </w:tcPr>
          <w:p w:rsidR="00525078" w:rsidRPr="006900FE" w:rsidRDefault="00525078" w:rsidP="00525078">
            <w:pPr>
              <w:pStyle w:val="BodyText2"/>
              <w:jc w:val="center"/>
              <w:rPr>
                <w:rFonts w:asciiTheme="minorHAnsi" w:hAnsiTheme="minorHAnsi"/>
              </w:rPr>
            </w:pPr>
            <w:r>
              <w:rPr>
                <w:color w:val="000000"/>
              </w:rPr>
              <w:t>2016</w:t>
            </w:r>
          </w:p>
        </w:tc>
        <w:tc>
          <w:tcPr>
            <w:tcW w:w="1890" w:type="dxa"/>
            <w:vAlign w:val="center"/>
          </w:tcPr>
          <w:p w:rsidR="00525078" w:rsidRPr="006900FE" w:rsidRDefault="00525078" w:rsidP="00525078">
            <w:pPr>
              <w:pStyle w:val="BodyText2"/>
              <w:jc w:val="center"/>
              <w:rPr>
                <w:rFonts w:asciiTheme="minorHAnsi" w:hAnsiTheme="minorHAnsi"/>
              </w:rPr>
            </w:pPr>
            <w:r>
              <w:rPr>
                <w:color w:val="000000"/>
              </w:rPr>
              <w:t xml:space="preserve">                             9,924,946.95 </w:t>
            </w:r>
          </w:p>
        </w:tc>
        <w:tc>
          <w:tcPr>
            <w:tcW w:w="2070" w:type="dxa"/>
            <w:vAlign w:val="center"/>
          </w:tcPr>
          <w:p w:rsidR="00525078" w:rsidRPr="006900FE" w:rsidRDefault="00525078" w:rsidP="00525078">
            <w:pPr>
              <w:pStyle w:val="BodyText2"/>
              <w:jc w:val="center"/>
              <w:rPr>
                <w:rFonts w:asciiTheme="minorHAnsi" w:hAnsiTheme="minorHAnsi"/>
              </w:rPr>
            </w:pPr>
            <w:r>
              <w:rPr>
                <w:color w:val="000000"/>
              </w:rPr>
              <w:t xml:space="preserve">                          10,778,170.22 </w:t>
            </w:r>
          </w:p>
        </w:tc>
        <w:tc>
          <w:tcPr>
            <w:tcW w:w="1980" w:type="dxa"/>
            <w:vAlign w:val="center"/>
          </w:tcPr>
          <w:p w:rsidR="00525078" w:rsidRPr="006900FE" w:rsidRDefault="00525078" w:rsidP="00525078">
            <w:pPr>
              <w:pStyle w:val="BodyText2"/>
              <w:jc w:val="center"/>
              <w:rPr>
                <w:rFonts w:asciiTheme="minorHAnsi" w:hAnsiTheme="minorHAnsi"/>
              </w:rPr>
            </w:pPr>
            <w:r>
              <w:rPr>
                <w:color w:val="000000"/>
              </w:rPr>
              <w:t xml:space="preserve">                          20,703,117.17 </w:t>
            </w:r>
          </w:p>
        </w:tc>
        <w:tc>
          <w:tcPr>
            <w:tcW w:w="2008" w:type="dxa"/>
            <w:vAlign w:val="center"/>
          </w:tcPr>
          <w:p w:rsidR="00525078" w:rsidRPr="006900FE" w:rsidRDefault="00525078" w:rsidP="00525078">
            <w:pPr>
              <w:pStyle w:val="BodyText2"/>
              <w:jc w:val="center"/>
              <w:rPr>
                <w:rFonts w:asciiTheme="minorHAnsi" w:hAnsiTheme="minorHAnsi"/>
              </w:rPr>
            </w:pPr>
            <w:r>
              <w:rPr>
                <w:color w:val="000000"/>
              </w:rPr>
              <w:t>19%</w:t>
            </w:r>
          </w:p>
        </w:tc>
      </w:tr>
      <w:tr w:rsidR="00525078" w:rsidRPr="006900FE" w:rsidTr="00525078">
        <w:tc>
          <w:tcPr>
            <w:tcW w:w="6228" w:type="dxa"/>
            <w:vAlign w:val="center"/>
          </w:tcPr>
          <w:p w:rsidR="00525078" w:rsidRPr="006900FE" w:rsidRDefault="00525078" w:rsidP="00525078">
            <w:pPr>
              <w:pStyle w:val="BodyText2"/>
              <w:jc w:val="center"/>
              <w:rPr>
                <w:rFonts w:asciiTheme="minorHAnsi" w:hAnsiTheme="minorHAnsi"/>
              </w:rPr>
            </w:pPr>
            <w:r>
              <w:rPr>
                <w:color w:val="000000"/>
              </w:rPr>
              <w:t>2017 (as at 9 May 2017)</w:t>
            </w:r>
          </w:p>
        </w:tc>
        <w:tc>
          <w:tcPr>
            <w:tcW w:w="1890" w:type="dxa"/>
            <w:vAlign w:val="center"/>
          </w:tcPr>
          <w:p w:rsidR="00525078" w:rsidRPr="006900FE" w:rsidRDefault="00525078" w:rsidP="00525078">
            <w:pPr>
              <w:pStyle w:val="BodyText2"/>
              <w:jc w:val="center"/>
              <w:rPr>
                <w:rFonts w:asciiTheme="minorHAnsi" w:hAnsiTheme="minorHAnsi"/>
              </w:rPr>
            </w:pPr>
            <w:r>
              <w:rPr>
                <w:color w:val="000000"/>
              </w:rPr>
              <w:t xml:space="preserve">                             2,154,633.36 </w:t>
            </w:r>
          </w:p>
        </w:tc>
        <w:tc>
          <w:tcPr>
            <w:tcW w:w="2070" w:type="dxa"/>
            <w:vAlign w:val="center"/>
          </w:tcPr>
          <w:p w:rsidR="00525078" w:rsidRPr="006900FE" w:rsidRDefault="00525078" w:rsidP="00525078">
            <w:pPr>
              <w:pStyle w:val="BodyText2"/>
              <w:jc w:val="center"/>
              <w:rPr>
                <w:rFonts w:asciiTheme="minorHAnsi" w:hAnsiTheme="minorHAnsi"/>
              </w:rPr>
            </w:pPr>
            <w:r>
              <w:rPr>
                <w:color w:val="000000"/>
              </w:rPr>
              <w:t xml:space="preserve">                             4,403,507.13 </w:t>
            </w:r>
          </w:p>
        </w:tc>
        <w:tc>
          <w:tcPr>
            <w:tcW w:w="1980" w:type="dxa"/>
            <w:vAlign w:val="center"/>
          </w:tcPr>
          <w:p w:rsidR="00525078" w:rsidRPr="006900FE" w:rsidRDefault="00525078" w:rsidP="00525078">
            <w:pPr>
              <w:pStyle w:val="BodyText2"/>
              <w:jc w:val="center"/>
              <w:rPr>
                <w:rFonts w:asciiTheme="minorHAnsi" w:hAnsiTheme="minorHAnsi"/>
              </w:rPr>
            </w:pPr>
            <w:r>
              <w:rPr>
                <w:color w:val="000000"/>
              </w:rPr>
              <w:t xml:space="preserve">                             6,558,140.49 </w:t>
            </w:r>
          </w:p>
        </w:tc>
        <w:tc>
          <w:tcPr>
            <w:tcW w:w="2008" w:type="dxa"/>
            <w:vAlign w:val="center"/>
          </w:tcPr>
          <w:p w:rsidR="00525078" w:rsidRPr="006900FE" w:rsidRDefault="00525078" w:rsidP="00525078">
            <w:pPr>
              <w:pStyle w:val="BodyText2"/>
              <w:jc w:val="center"/>
              <w:rPr>
                <w:rFonts w:asciiTheme="minorHAnsi" w:hAnsiTheme="minorHAnsi"/>
              </w:rPr>
            </w:pPr>
            <w:r>
              <w:rPr>
                <w:color w:val="000000"/>
              </w:rPr>
              <w:t>6%</w:t>
            </w:r>
          </w:p>
        </w:tc>
      </w:tr>
      <w:tr w:rsidR="00525078" w:rsidRPr="006900FE" w:rsidTr="00525078">
        <w:tc>
          <w:tcPr>
            <w:tcW w:w="6228" w:type="dxa"/>
            <w:shd w:val="clear" w:color="auto" w:fill="00B0F0"/>
            <w:vAlign w:val="center"/>
          </w:tcPr>
          <w:p w:rsidR="00525078" w:rsidRPr="006900FE" w:rsidRDefault="00525078" w:rsidP="00525078">
            <w:pPr>
              <w:pStyle w:val="BodyText2"/>
              <w:jc w:val="center"/>
              <w:rPr>
                <w:rFonts w:asciiTheme="minorHAnsi" w:hAnsiTheme="minorHAnsi"/>
              </w:rPr>
            </w:pPr>
            <w:r>
              <w:rPr>
                <w:color w:val="000000"/>
              </w:rPr>
              <w:t>Total</w:t>
            </w:r>
          </w:p>
        </w:tc>
        <w:tc>
          <w:tcPr>
            <w:tcW w:w="1890" w:type="dxa"/>
            <w:shd w:val="clear" w:color="auto" w:fill="00B0F0"/>
            <w:vAlign w:val="center"/>
          </w:tcPr>
          <w:p w:rsidR="00525078" w:rsidRPr="006900FE" w:rsidRDefault="00525078" w:rsidP="00525078">
            <w:pPr>
              <w:pStyle w:val="BodyText2"/>
              <w:jc w:val="center"/>
              <w:rPr>
                <w:rFonts w:asciiTheme="minorHAnsi" w:hAnsiTheme="minorHAnsi"/>
              </w:rPr>
            </w:pPr>
            <w:r>
              <w:rPr>
                <w:color w:val="000000"/>
              </w:rPr>
              <w:t xml:space="preserve">                          33,444,089.80 </w:t>
            </w:r>
          </w:p>
        </w:tc>
        <w:tc>
          <w:tcPr>
            <w:tcW w:w="2070" w:type="dxa"/>
            <w:shd w:val="clear" w:color="auto" w:fill="00B0F0"/>
            <w:vAlign w:val="center"/>
          </w:tcPr>
          <w:p w:rsidR="00525078" w:rsidRPr="006900FE" w:rsidRDefault="00525078" w:rsidP="00525078">
            <w:pPr>
              <w:pStyle w:val="BodyText2"/>
              <w:jc w:val="center"/>
              <w:rPr>
                <w:rFonts w:asciiTheme="minorHAnsi" w:hAnsiTheme="minorHAnsi"/>
              </w:rPr>
            </w:pPr>
            <w:r>
              <w:rPr>
                <w:color w:val="000000"/>
              </w:rPr>
              <w:t xml:space="preserve">                          76,763,663.44 </w:t>
            </w:r>
          </w:p>
        </w:tc>
        <w:tc>
          <w:tcPr>
            <w:tcW w:w="1980" w:type="dxa"/>
            <w:shd w:val="clear" w:color="auto" w:fill="00B0F0"/>
            <w:vAlign w:val="center"/>
          </w:tcPr>
          <w:p w:rsidR="00525078" w:rsidRPr="006900FE" w:rsidRDefault="00525078" w:rsidP="00525078">
            <w:pPr>
              <w:pStyle w:val="BodyText2"/>
              <w:jc w:val="center"/>
              <w:rPr>
                <w:rFonts w:asciiTheme="minorHAnsi" w:hAnsiTheme="minorHAnsi"/>
              </w:rPr>
            </w:pPr>
            <w:r>
              <w:rPr>
                <w:color w:val="000000"/>
              </w:rPr>
              <w:t xml:space="preserve">                        110,207,753.24 </w:t>
            </w:r>
          </w:p>
        </w:tc>
        <w:tc>
          <w:tcPr>
            <w:tcW w:w="2008" w:type="dxa"/>
            <w:shd w:val="clear" w:color="auto" w:fill="00B0F0"/>
            <w:vAlign w:val="center"/>
          </w:tcPr>
          <w:p w:rsidR="00525078" w:rsidRPr="006900FE" w:rsidRDefault="00525078" w:rsidP="00525078">
            <w:pPr>
              <w:pStyle w:val="BodyText2"/>
              <w:jc w:val="center"/>
              <w:rPr>
                <w:rFonts w:asciiTheme="minorHAnsi" w:hAnsiTheme="minorHAnsi"/>
              </w:rPr>
            </w:pPr>
            <w:r>
              <w:rPr>
                <w:color w:val="000000"/>
              </w:rPr>
              <w:t> </w:t>
            </w:r>
          </w:p>
        </w:tc>
      </w:tr>
    </w:tbl>
    <w:p w:rsidR="00635929" w:rsidRPr="006900FE" w:rsidRDefault="00635929" w:rsidP="002315A5">
      <w:pPr>
        <w:pStyle w:val="BodyText2"/>
        <w:rPr>
          <w:rFonts w:asciiTheme="minorHAnsi" w:hAnsiTheme="minorHAnsi"/>
          <w:sz w:val="24"/>
        </w:rPr>
      </w:pPr>
    </w:p>
    <w:tbl>
      <w:tblPr>
        <w:tblStyle w:val="TableGrid"/>
        <w:tblW w:w="0" w:type="auto"/>
        <w:tblLook w:val="04A0" w:firstRow="1" w:lastRow="0" w:firstColumn="1" w:lastColumn="0" w:noHBand="0" w:noVBand="1"/>
      </w:tblPr>
      <w:tblGrid>
        <w:gridCol w:w="13950"/>
      </w:tblGrid>
      <w:tr w:rsidR="002547CF" w:rsidRPr="006900FE" w:rsidTr="00B64ACA">
        <w:tc>
          <w:tcPr>
            <w:tcW w:w="14176" w:type="dxa"/>
          </w:tcPr>
          <w:p w:rsidR="002547CF" w:rsidRPr="006900FE" w:rsidRDefault="002547CF" w:rsidP="005E0C05">
            <w:pPr>
              <w:pStyle w:val="BodyText2"/>
              <w:rPr>
                <w:rFonts w:asciiTheme="minorHAnsi" w:hAnsiTheme="minorHAnsi"/>
                <w:b/>
              </w:rPr>
            </w:pPr>
            <w:r w:rsidRPr="006900FE">
              <w:rPr>
                <w:rFonts w:asciiTheme="minorHAnsi" w:hAnsiTheme="minorHAnsi"/>
                <w:b/>
              </w:rPr>
              <w:t xml:space="preserve">Data sources:  (please indicate the main sources from which data were obtained for this report.) </w:t>
            </w:r>
          </w:p>
        </w:tc>
      </w:tr>
      <w:tr w:rsidR="00B64ACA" w:rsidRPr="006900FE" w:rsidTr="00B64ACA">
        <w:tc>
          <w:tcPr>
            <w:tcW w:w="14176" w:type="dxa"/>
          </w:tcPr>
          <w:p w:rsidR="00733E6A" w:rsidRPr="00F476FE" w:rsidRDefault="00733E6A" w:rsidP="00733E6A">
            <w:pPr>
              <w:pStyle w:val="BodyText2"/>
              <w:rPr>
                <w:rFonts w:asciiTheme="minorHAnsi" w:hAnsiTheme="minorHAnsi"/>
              </w:rPr>
            </w:pPr>
            <w:r w:rsidRPr="00F476FE">
              <w:rPr>
                <w:rFonts w:asciiTheme="minorHAnsi" w:hAnsiTheme="minorHAnsi"/>
              </w:rPr>
              <w:t>Country Programme Document 2012-2016</w:t>
            </w:r>
          </w:p>
          <w:p w:rsidR="00733E6A" w:rsidRDefault="00733E6A" w:rsidP="00733E6A">
            <w:pPr>
              <w:pStyle w:val="BodyText2"/>
              <w:rPr>
                <w:rFonts w:asciiTheme="minorHAnsi" w:hAnsiTheme="minorHAnsi"/>
              </w:rPr>
            </w:pPr>
            <w:r w:rsidRPr="00733E6A">
              <w:rPr>
                <w:rFonts w:asciiTheme="minorHAnsi" w:hAnsiTheme="minorHAnsi"/>
              </w:rPr>
              <w:t>ROAR 2014, 2015, 2016</w:t>
            </w:r>
          </w:p>
          <w:p w:rsidR="00F555A7" w:rsidRDefault="00F555A7" w:rsidP="00733E6A">
            <w:pPr>
              <w:pStyle w:val="BodyText2"/>
              <w:rPr>
                <w:rFonts w:asciiTheme="minorHAnsi" w:hAnsiTheme="minorHAnsi"/>
              </w:rPr>
            </w:pPr>
            <w:r>
              <w:rPr>
                <w:rFonts w:asciiTheme="minorHAnsi" w:hAnsiTheme="minorHAnsi"/>
              </w:rPr>
              <w:t>UNDAF III Mid-term report</w:t>
            </w:r>
          </w:p>
          <w:p w:rsidR="00F555A7" w:rsidRPr="00733E6A" w:rsidRDefault="00F555A7" w:rsidP="00733E6A">
            <w:pPr>
              <w:pStyle w:val="BodyText2"/>
              <w:rPr>
                <w:rFonts w:asciiTheme="minorHAnsi" w:hAnsiTheme="minorHAnsi"/>
              </w:rPr>
            </w:pPr>
            <w:r>
              <w:rPr>
                <w:rFonts w:asciiTheme="minorHAnsi" w:hAnsiTheme="minorHAnsi"/>
              </w:rPr>
              <w:t>2016 CCA &amp; Gap Analysis</w:t>
            </w:r>
          </w:p>
          <w:p w:rsidR="008D791F" w:rsidRPr="00DC6B2C" w:rsidRDefault="00733E6A" w:rsidP="002315A5">
            <w:pPr>
              <w:pStyle w:val="BodyText2"/>
              <w:rPr>
                <w:rFonts w:asciiTheme="minorHAnsi" w:hAnsiTheme="minorHAnsi"/>
              </w:rPr>
            </w:pPr>
            <w:r>
              <w:rPr>
                <w:rFonts w:asciiTheme="minorHAnsi" w:hAnsiTheme="minorHAnsi"/>
              </w:rPr>
              <w:t>P</w:t>
            </w:r>
            <w:r w:rsidRPr="00733E6A">
              <w:rPr>
                <w:rFonts w:asciiTheme="minorHAnsi" w:hAnsiTheme="minorHAnsi"/>
              </w:rPr>
              <w:t>roject reports</w:t>
            </w:r>
            <w:r w:rsidR="00F476FE">
              <w:rPr>
                <w:rFonts w:asciiTheme="minorHAnsi" w:hAnsiTheme="minorHAnsi"/>
              </w:rPr>
              <w:t xml:space="preserve"> and evaluations</w:t>
            </w:r>
          </w:p>
        </w:tc>
      </w:tr>
    </w:tbl>
    <w:p w:rsidR="00635929" w:rsidRDefault="00635929" w:rsidP="005E0C05">
      <w:pPr>
        <w:pStyle w:val="BodyText2"/>
        <w:rPr>
          <w:rFonts w:ascii="Times New Roman" w:hAnsi="Times New Roman"/>
          <w:sz w:val="24"/>
        </w:rPr>
      </w:pPr>
    </w:p>
    <w:sectPr w:rsidR="00635929" w:rsidSect="0037523B">
      <w:endnotePr>
        <w:numFmt w:val="decimal"/>
      </w:endnotePr>
      <w:pgSz w:w="16840"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D63" w:rsidRDefault="00042D63">
      <w:r>
        <w:separator/>
      </w:r>
    </w:p>
  </w:endnote>
  <w:endnote w:type="continuationSeparator" w:id="0">
    <w:p w:rsidR="00042D63" w:rsidRDefault="00042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Univers">
    <w:panose1 w:val="00000000000000000000"/>
    <w:charset w:val="00"/>
    <w:family w:val="swiss"/>
    <w:notTrueType/>
    <w:pitch w:val="variable"/>
    <w:sig w:usb0="00000003" w:usb1="00000000" w:usb2="00000000" w:usb3="00000000" w:csb0="00000001" w:csb1="00000000"/>
  </w:font>
  <w:font w:name="Lucida Grande">
    <w:altName w:val="Courier New"/>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407"/>
      <w:docPartObj>
        <w:docPartGallery w:val="Page Numbers (Bottom of Page)"/>
        <w:docPartUnique/>
      </w:docPartObj>
    </w:sdtPr>
    <w:sdtEndPr/>
    <w:sdtContent>
      <w:p w:rsidR="00200526" w:rsidRDefault="00200526">
        <w:pPr>
          <w:pStyle w:val="Footer"/>
          <w:jc w:val="center"/>
        </w:pPr>
        <w:r>
          <w:fldChar w:fldCharType="begin"/>
        </w:r>
        <w:r>
          <w:instrText xml:space="preserve"> PAGE   \* MERGEFORMAT </w:instrText>
        </w:r>
        <w:r>
          <w:fldChar w:fldCharType="separate"/>
        </w:r>
        <w:r w:rsidR="000B2FC2">
          <w:rPr>
            <w:noProof/>
          </w:rPr>
          <w:t>7</w:t>
        </w:r>
        <w:r>
          <w:rPr>
            <w:noProof/>
          </w:rPr>
          <w:fldChar w:fldCharType="end"/>
        </w:r>
      </w:p>
    </w:sdtContent>
  </w:sdt>
  <w:p w:rsidR="00200526" w:rsidRDefault="00200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D63" w:rsidRDefault="00042D63">
      <w:r>
        <w:separator/>
      </w:r>
    </w:p>
  </w:footnote>
  <w:footnote w:type="continuationSeparator" w:id="0">
    <w:p w:rsidR="00042D63" w:rsidRDefault="00042D63">
      <w:r>
        <w:continuationSeparator/>
      </w:r>
    </w:p>
  </w:footnote>
  <w:footnote w:id="1">
    <w:p w:rsidR="00200526" w:rsidRPr="00DC6B2C" w:rsidRDefault="00200526" w:rsidP="00DC6B2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526" w:rsidRPr="00517955" w:rsidRDefault="00200526">
    <w:pPr>
      <w:pStyle w:val="Header"/>
      <w:rPr>
        <w:rFonts w:asciiTheme="minorHAnsi" w:hAnsiTheme="minorHAnsi"/>
      </w:rPr>
    </w:pPr>
    <w:r w:rsidRPr="00517955">
      <w:rPr>
        <w:rFonts w:asciiTheme="minorHAnsi" w:hAnsiTheme="minorHAnsi"/>
      </w:rPr>
      <w:t>DRAFT DOCUMENT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A39EF"/>
    <w:multiLevelType w:val="hybridMultilevel"/>
    <w:tmpl w:val="2E34CBA8"/>
    <w:lvl w:ilvl="0" w:tplc="89B6A30A">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74DD3"/>
    <w:multiLevelType w:val="hybridMultilevel"/>
    <w:tmpl w:val="8D26551A"/>
    <w:lvl w:ilvl="0" w:tplc="32D459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A47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2A68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391950"/>
    <w:multiLevelType w:val="hybridMultilevel"/>
    <w:tmpl w:val="05DAE228"/>
    <w:lvl w:ilvl="0" w:tplc="0C8EE990">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120B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C30BE2"/>
    <w:multiLevelType w:val="hybridMultilevel"/>
    <w:tmpl w:val="FF4C982A"/>
    <w:lvl w:ilvl="0" w:tplc="F6FE1EFC">
      <w:numFmt w:val="bullet"/>
      <w:lvlText w:val="-"/>
      <w:lvlJc w:val="left"/>
      <w:pPr>
        <w:tabs>
          <w:tab w:val="num" w:pos="572"/>
        </w:tabs>
        <w:ind w:left="572" w:hanging="360"/>
      </w:pPr>
      <w:rPr>
        <w:rFonts w:ascii="Arial" w:hAnsi="Aria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0C76E6"/>
    <w:multiLevelType w:val="hybridMultilevel"/>
    <w:tmpl w:val="C31ED728"/>
    <w:lvl w:ilvl="0" w:tplc="32D459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D66C9E"/>
    <w:multiLevelType w:val="hybridMultilevel"/>
    <w:tmpl w:val="2E34CBA8"/>
    <w:lvl w:ilvl="0" w:tplc="89B6A30A">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3B69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284809"/>
    <w:multiLevelType w:val="hybridMultilevel"/>
    <w:tmpl w:val="5BCC15D6"/>
    <w:lvl w:ilvl="0" w:tplc="08260F98">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587310"/>
    <w:multiLevelType w:val="hybridMultilevel"/>
    <w:tmpl w:val="8D26551A"/>
    <w:lvl w:ilvl="0" w:tplc="32D459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E91BBE"/>
    <w:multiLevelType w:val="hybridMultilevel"/>
    <w:tmpl w:val="06C04FAC"/>
    <w:lvl w:ilvl="0" w:tplc="F6FE1EFC">
      <w:numFmt w:val="bullet"/>
      <w:lvlText w:val="-"/>
      <w:lvlJc w:val="left"/>
      <w:pPr>
        <w:tabs>
          <w:tab w:val="num" w:pos="1112"/>
        </w:tabs>
        <w:ind w:left="1112" w:hanging="360"/>
      </w:pPr>
      <w:rPr>
        <w:rFonts w:ascii="Arial" w:hAnsi="Arial"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B020A94"/>
    <w:multiLevelType w:val="hybridMultilevel"/>
    <w:tmpl w:val="8D26551A"/>
    <w:lvl w:ilvl="0" w:tplc="32D459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4B7DAA"/>
    <w:multiLevelType w:val="hybridMultilevel"/>
    <w:tmpl w:val="B1BC2630"/>
    <w:lvl w:ilvl="0" w:tplc="637AB9C8">
      <w:start w:val="1"/>
      <w:numFmt w:val="decimal"/>
      <w:lvlText w:val="%1)"/>
      <w:lvlJc w:val="left"/>
      <w:pPr>
        <w:tabs>
          <w:tab w:val="num" w:pos="1440"/>
        </w:tabs>
        <w:ind w:left="1440" w:hanging="360"/>
      </w:pPr>
      <w:rPr>
        <w:rFonts w:cs="Times New Roman" w:hint="default"/>
      </w:rPr>
    </w:lvl>
    <w:lvl w:ilvl="1" w:tplc="C2CCC016" w:tentative="1">
      <w:start w:val="1"/>
      <w:numFmt w:val="lowerLetter"/>
      <w:lvlText w:val="%2."/>
      <w:lvlJc w:val="left"/>
      <w:pPr>
        <w:tabs>
          <w:tab w:val="num" w:pos="2160"/>
        </w:tabs>
        <w:ind w:left="2160" w:hanging="360"/>
      </w:pPr>
    </w:lvl>
    <w:lvl w:ilvl="2" w:tplc="7F520C4C" w:tentative="1">
      <w:start w:val="1"/>
      <w:numFmt w:val="lowerRoman"/>
      <w:lvlText w:val="%3."/>
      <w:lvlJc w:val="right"/>
      <w:pPr>
        <w:tabs>
          <w:tab w:val="num" w:pos="2880"/>
        </w:tabs>
        <w:ind w:left="2880" w:hanging="180"/>
      </w:pPr>
    </w:lvl>
    <w:lvl w:ilvl="3" w:tplc="FEA22EFE" w:tentative="1">
      <w:start w:val="1"/>
      <w:numFmt w:val="decimal"/>
      <w:lvlText w:val="%4."/>
      <w:lvlJc w:val="left"/>
      <w:pPr>
        <w:tabs>
          <w:tab w:val="num" w:pos="3600"/>
        </w:tabs>
        <w:ind w:left="3600" w:hanging="360"/>
      </w:pPr>
    </w:lvl>
    <w:lvl w:ilvl="4" w:tplc="16E80030" w:tentative="1">
      <w:start w:val="1"/>
      <w:numFmt w:val="lowerLetter"/>
      <w:lvlText w:val="%5."/>
      <w:lvlJc w:val="left"/>
      <w:pPr>
        <w:tabs>
          <w:tab w:val="num" w:pos="4320"/>
        </w:tabs>
        <w:ind w:left="4320" w:hanging="360"/>
      </w:pPr>
    </w:lvl>
    <w:lvl w:ilvl="5" w:tplc="B0F6687C" w:tentative="1">
      <w:start w:val="1"/>
      <w:numFmt w:val="lowerRoman"/>
      <w:lvlText w:val="%6."/>
      <w:lvlJc w:val="right"/>
      <w:pPr>
        <w:tabs>
          <w:tab w:val="num" w:pos="5040"/>
        </w:tabs>
        <w:ind w:left="5040" w:hanging="180"/>
      </w:pPr>
    </w:lvl>
    <w:lvl w:ilvl="6" w:tplc="EE283A6C" w:tentative="1">
      <w:start w:val="1"/>
      <w:numFmt w:val="decimal"/>
      <w:lvlText w:val="%7."/>
      <w:lvlJc w:val="left"/>
      <w:pPr>
        <w:tabs>
          <w:tab w:val="num" w:pos="5760"/>
        </w:tabs>
        <w:ind w:left="5760" w:hanging="360"/>
      </w:pPr>
    </w:lvl>
    <w:lvl w:ilvl="7" w:tplc="C4B860EC" w:tentative="1">
      <w:start w:val="1"/>
      <w:numFmt w:val="lowerLetter"/>
      <w:lvlText w:val="%8."/>
      <w:lvlJc w:val="left"/>
      <w:pPr>
        <w:tabs>
          <w:tab w:val="num" w:pos="6480"/>
        </w:tabs>
        <w:ind w:left="6480" w:hanging="360"/>
      </w:pPr>
    </w:lvl>
    <w:lvl w:ilvl="8" w:tplc="B75AACE8" w:tentative="1">
      <w:start w:val="1"/>
      <w:numFmt w:val="lowerRoman"/>
      <w:lvlText w:val="%9."/>
      <w:lvlJc w:val="right"/>
      <w:pPr>
        <w:tabs>
          <w:tab w:val="num" w:pos="7200"/>
        </w:tabs>
        <w:ind w:left="7200" w:hanging="180"/>
      </w:pPr>
    </w:lvl>
  </w:abstractNum>
  <w:abstractNum w:abstractNumId="15" w15:restartNumberingAfterBreak="0">
    <w:nsid w:val="403569F9"/>
    <w:multiLevelType w:val="hybridMultilevel"/>
    <w:tmpl w:val="245099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977C9"/>
    <w:multiLevelType w:val="hybridMultilevel"/>
    <w:tmpl w:val="3CA02C6C"/>
    <w:lvl w:ilvl="0" w:tplc="B7AEFE40">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A50B88"/>
    <w:multiLevelType w:val="hybridMultilevel"/>
    <w:tmpl w:val="33300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BB13F6"/>
    <w:multiLevelType w:val="hybridMultilevel"/>
    <w:tmpl w:val="C31ED728"/>
    <w:lvl w:ilvl="0" w:tplc="32D459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557F3D"/>
    <w:multiLevelType w:val="hybridMultilevel"/>
    <w:tmpl w:val="AB926C66"/>
    <w:lvl w:ilvl="0" w:tplc="1924D38C">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A55245"/>
    <w:multiLevelType w:val="hybridMultilevel"/>
    <w:tmpl w:val="2A243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B51D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90321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AE602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387FF6"/>
    <w:multiLevelType w:val="hybridMultilevel"/>
    <w:tmpl w:val="BB401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8708F8"/>
    <w:multiLevelType w:val="hybridMultilevel"/>
    <w:tmpl w:val="3CA02C6C"/>
    <w:lvl w:ilvl="0" w:tplc="B7AEFE40">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1691847"/>
    <w:multiLevelType w:val="hybridMultilevel"/>
    <w:tmpl w:val="05DAE228"/>
    <w:lvl w:ilvl="0" w:tplc="0C8EE990">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D14FD5"/>
    <w:multiLevelType w:val="hybridMultilevel"/>
    <w:tmpl w:val="C526E486"/>
    <w:lvl w:ilvl="0" w:tplc="6A00F7F2">
      <w:start w:val="16"/>
      <w:numFmt w:val="bullet"/>
      <w:lvlText w:val=""/>
      <w:lvlJc w:val="left"/>
      <w:pPr>
        <w:tabs>
          <w:tab w:val="num" w:pos="1472"/>
        </w:tabs>
        <w:ind w:left="1472" w:hanging="720"/>
      </w:pPr>
      <w:rPr>
        <w:rFonts w:ascii="Symbol" w:eastAsia="Times New Roman" w:hAnsi="Symbol"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7BE71BF5"/>
    <w:multiLevelType w:val="hybridMultilevel"/>
    <w:tmpl w:val="874E4A64"/>
    <w:lvl w:ilvl="0" w:tplc="5EF096B8">
      <w:start w:val="1"/>
      <w:numFmt w:val="bullet"/>
      <w:lvlText w:val="•"/>
      <w:lvlJc w:val="left"/>
      <w:pPr>
        <w:tabs>
          <w:tab w:val="num" w:pos="720"/>
        </w:tabs>
        <w:ind w:left="720" w:hanging="360"/>
      </w:pPr>
      <w:rPr>
        <w:rFonts w:ascii="Arial" w:hAnsi="Arial" w:hint="default"/>
      </w:rPr>
    </w:lvl>
    <w:lvl w:ilvl="1" w:tplc="BC36D5E2" w:tentative="1">
      <w:start w:val="1"/>
      <w:numFmt w:val="bullet"/>
      <w:lvlText w:val="•"/>
      <w:lvlJc w:val="left"/>
      <w:pPr>
        <w:tabs>
          <w:tab w:val="num" w:pos="1440"/>
        </w:tabs>
        <w:ind w:left="1440" w:hanging="360"/>
      </w:pPr>
      <w:rPr>
        <w:rFonts w:ascii="Arial" w:hAnsi="Arial" w:hint="default"/>
      </w:rPr>
    </w:lvl>
    <w:lvl w:ilvl="2" w:tplc="C742D84C" w:tentative="1">
      <w:start w:val="1"/>
      <w:numFmt w:val="bullet"/>
      <w:lvlText w:val="•"/>
      <w:lvlJc w:val="left"/>
      <w:pPr>
        <w:tabs>
          <w:tab w:val="num" w:pos="2160"/>
        </w:tabs>
        <w:ind w:left="2160" w:hanging="360"/>
      </w:pPr>
      <w:rPr>
        <w:rFonts w:ascii="Arial" w:hAnsi="Arial" w:hint="default"/>
      </w:rPr>
    </w:lvl>
    <w:lvl w:ilvl="3" w:tplc="8FB47304" w:tentative="1">
      <w:start w:val="1"/>
      <w:numFmt w:val="bullet"/>
      <w:lvlText w:val="•"/>
      <w:lvlJc w:val="left"/>
      <w:pPr>
        <w:tabs>
          <w:tab w:val="num" w:pos="2880"/>
        </w:tabs>
        <w:ind w:left="2880" w:hanging="360"/>
      </w:pPr>
      <w:rPr>
        <w:rFonts w:ascii="Arial" w:hAnsi="Arial" w:hint="default"/>
      </w:rPr>
    </w:lvl>
    <w:lvl w:ilvl="4" w:tplc="C0BEAECC" w:tentative="1">
      <w:start w:val="1"/>
      <w:numFmt w:val="bullet"/>
      <w:lvlText w:val="•"/>
      <w:lvlJc w:val="left"/>
      <w:pPr>
        <w:tabs>
          <w:tab w:val="num" w:pos="3600"/>
        </w:tabs>
        <w:ind w:left="3600" w:hanging="360"/>
      </w:pPr>
      <w:rPr>
        <w:rFonts w:ascii="Arial" w:hAnsi="Arial" w:hint="default"/>
      </w:rPr>
    </w:lvl>
    <w:lvl w:ilvl="5" w:tplc="6BF88E5C" w:tentative="1">
      <w:start w:val="1"/>
      <w:numFmt w:val="bullet"/>
      <w:lvlText w:val="•"/>
      <w:lvlJc w:val="left"/>
      <w:pPr>
        <w:tabs>
          <w:tab w:val="num" w:pos="4320"/>
        </w:tabs>
        <w:ind w:left="4320" w:hanging="360"/>
      </w:pPr>
      <w:rPr>
        <w:rFonts w:ascii="Arial" w:hAnsi="Arial" w:hint="default"/>
      </w:rPr>
    </w:lvl>
    <w:lvl w:ilvl="6" w:tplc="CB202BDC" w:tentative="1">
      <w:start w:val="1"/>
      <w:numFmt w:val="bullet"/>
      <w:lvlText w:val="•"/>
      <w:lvlJc w:val="left"/>
      <w:pPr>
        <w:tabs>
          <w:tab w:val="num" w:pos="5040"/>
        </w:tabs>
        <w:ind w:left="5040" w:hanging="360"/>
      </w:pPr>
      <w:rPr>
        <w:rFonts w:ascii="Arial" w:hAnsi="Arial" w:hint="default"/>
      </w:rPr>
    </w:lvl>
    <w:lvl w:ilvl="7" w:tplc="E2080E5C" w:tentative="1">
      <w:start w:val="1"/>
      <w:numFmt w:val="bullet"/>
      <w:lvlText w:val="•"/>
      <w:lvlJc w:val="left"/>
      <w:pPr>
        <w:tabs>
          <w:tab w:val="num" w:pos="5760"/>
        </w:tabs>
        <w:ind w:left="5760" w:hanging="360"/>
      </w:pPr>
      <w:rPr>
        <w:rFonts w:ascii="Arial" w:hAnsi="Arial" w:hint="default"/>
      </w:rPr>
    </w:lvl>
    <w:lvl w:ilvl="8" w:tplc="21286CEE"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2"/>
  </w:num>
  <w:num w:numId="3">
    <w:abstractNumId w:val="9"/>
  </w:num>
  <w:num w:numId="4">
    <w:abstractNumId w:val="5"/>
  </w:num>
  <w:num w:numId="5">
    <w:abstractNumId w:val="21"/>
  </w:num>
  <w:num w:numId="6">
    <w:abstractNumId w:val="23"/>
  </w:num>
  <w:num w:numId="7">
    <w:abstractNumId w:val="3"/>
  </w:num>
  <w:num w:numId="8">
    <w:abstractNumId w:val="22"/>
  </w:num>
  <w:num w:numId="9">
    <w:abstractNumId w:val="6"/>
  </w:num>
  <w:num w:numId="10">
    <w:abstractNumId w:val="12"/>
  </w:num>
  <w:num w:numId="11">
    <w:abstractNumId w:val="27"/>
  </w:num>
  <w:num w:numId="12">
    <w:abstractNumId w:val="15"/>
  </w:num>
  <w:num w:numId="13">
    <w:abstractNumId w:val="19"/>
  </w:num>
  <w:num w:numId="14">
    <w:abstractNumId w:val="10"/>
  </w:num>
  <w:num w:numId="15">
    <w:abstractNumId w:val="0"/>
  </w:num>
  <w:num w:numId="16">
    <w:abstractNumId w:val="25"/>
  </w:num>
  <w:num w:numId="17">
    <w:abstractNumId w:val="24"/>
  </w:num>
  <w:num w:numId="18">
    <w:abstractNumId w:val="28"/>
  </w:num>
  <w:num w:numId="19">
    <w:abstractNumId w:val="8"/>
  </w:num>
  <w:num w:numId="20">
    <w:abstractNumId w:val="16"/>
  </w:num>
  <w:num w:numId="21">
    <w:abstractNumId w:val="1"/>
  </w:num>
  <w:num w:numId="22">
    <w:abstractNumId w:val="13"/>
  </w:num>
  <w:num w:numId="23">
    <w:abstractNumId w:val="11"/>
  </w:num>
  <w:num w:numId="24">
    <w:abstractNumId w:val="18"/>
  </w:num>
  <w:num w:numId="25">
    <w:abstractNumId w:val="7"/>
  </w:num>
  <w:num w:numId="26">
    <w:abstractNumId w:val="20"/>
  </w:num>
  <w:num w:numId="27">
    <w:abstractNumId w:val="26"/>
  </w:num>
  <w:num w:numId="28">
    <w:abstractNumId w:val="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168"/>
    <w:rsid w:val="0000312C"/>
    <w:rsid w:val="00007461"/>
    <w:rsid w:val="000079CC"/>
    <w:rsid w:val="00011A63"/>
    <w:rsid w:val="000135A8"/>
    <w:rsid w:val="00042D63"/>
    <w:rsid w:val="000502AD"/>
    <w:rsid w:val="000642D6"/>
    <w:rsid w:val="000823AC"/>
    <w:rsid w:val="00085C90"/>
    <w:rsid w:val="000A049E"/>
    <w:rsid w:val="000A3305"/>
    <w:rsid w:val="000A46A9"/>
    <w:rsid w:val="000B2FC2"/>
    <w:rsid w:val="000C09B4"/>
    <w:rsid w:val="000C1D36"/>
    <w:rsid w:val="000C22A7"/>
    <w:rsid w:val="000C4457"/>
    <w:rsid w:val="000D6DE5"/>
    <w:rsid w:val="000F77FD"/>
    <w:rsid w:val="00103201"/>
    <w:rsid w:val="001174AC"/>
    <w:rsid w:val="0015409F"/>
    <w:rsid w:val="00157815"/>
    <w:rsid w:val="001663A4"/>
    <w:rsid w:val="00167DA9"/>
    <w:rsid w:val="00176076"/>
    <w:rsid w:val="00176160"/>
    <w:rsid w:val="00181A66"/>
    <w:rsid w:val="001956C7"/>
    <w:rsid w:val="001A4946"/>
    <w:rsid w:val="001A4D75"/>
    <w:rsid w:val="001B721D"/>
    <w:rsid w:val="001C1FE6"/>
    <w:rsid w:val="001C6839"/>
    <w:rsid w:val="001F3524"/>
    <w:rsid w:val="00200526"/>
    <w:rsid w:val="0021278D"/>
    <w:rsid w:val="00225D48"/>
    <w:rsid w:val="00230A0E"/>
    <w:rsid w:val="002315A5"/>
    <w:rsid w:val="00232597"/>
    <w:rsid w:val="00234FCA"/>
    <w:rsid w:val="002547CF"/>
    <w:rsid w:val="0026321D"/>
    <w:rsid w:val="0029420C"/>
    <w:rsid w:val="002B5DAF"/>
    <w:rsid w:val="002C4B80"/>
    <w:rsid w:val="002F0C46"/>
    <w:rsid w:val="002F7E65"/>
    <w:rsid w:val="00316649"/>
    <w:rsid w:val="0032175A"/>
    <w:rsid w:val="00322DEA"/>
    <w:rsid w:val="00343104"/>
    <w:rsid w:val="00346615"/>
    <w:rsid w:val="00354CB5"/>
    <w:rsid w:val="00357B0E"/>
    <w:rsid w:val="00363EC5"/>
    <w:rsid w:val="00366AD1"/>
    <w:rsid w:val="0037523B"/>
    <w:rsid w:val="003B037A"/>
    <w:rsid w:val="003B422F"/>
    <w:rsid w:val="003B716E"/>
    <w:rsid w:val="003C6C8A"/>
    <w:rsid w:val="003D653B"/>
    <w:rsid w:val="003F0F1F"/>
    <w:rsid w:val="004004FC"/>
    <w:rsid w:val="004055FE"/>
    <w:rsid w:val="00417008"/>
    <w:rsid w:val="00424E4F"/>
    <w:rsid w:val="00461D62"/>
    <w:rsid w:val="004B3911"/>
    <w:rsid w:val="004C4CF9"/>
    <w:rsid w:val="004C595C"/>
    <w:rsid w:val="004D3DBE"/>
    <w:rsid w:val="0051183A"/>
    <w:rsid w:val="00516AC8"/>
    <w:rsid w:val="00517955"/>
    <w:rsid w:val="00525078"/>
    <w:rsid w:val="00530FDE"/>
    <w:rsid w:val="00537A80"/>
    <w:rsid w:val="005474ED"/>
    <w:rsid w:val="00597D45"/>
    <w:rsid w:val="005A7B65"/>
    <w:rsid w:val="005C256C"/>
    <w:rsid w:val="005C6168"/>
    <w:rsid w:val="005E0C05"/>
    <w:rsid w:val="005F2E08"/>
    <w:rsid w:val="005F6261"/>
    <w:rsid w:val="00612159"/>
    <w:rsid w:val="00625987"/>
    <w:rsid w:val="00625D4D"/>
    <w:rsid w:val="00635929"/>
    <w:rsid w:val="0064746F"/>
    <w:rsid w:val="00673710"/>
    <w:rsid w:val="00674B1A"/>
    <w:rsid w:val="006900FE"/>
    <w:rsid w:val="00700521"/>
    <w:rsid w:val="0072147E"/>
    <w:rsid w:val="00733E6A"/>
    <w:rsid w:val="00750717"/>
    <w:rsid w:val="00760E32"/>
    <w:rsid w:val="00764E41"/>
    <w:rsid w:val="00771515"/>
    <w:rsid w:val="00776056"/>
    <w:rsid w:val="00783CF3"/>
    <w:rsid w:val="0078599A"/>
    <w:rsid w:val="00790C12"/>
    <w:rsid w:val="007C05FE"/>
    <w:rsid w:val="007C1B15"/>
    <w:rsid w:val="007E1663"/>
    <w:rsid w:val="008018C5"/>
    <w:rsid w:val="00813F1E"/>
    <w:rsid w:val="0081403B"/>
    <w:rsid w:val="00837C4B"/>
    <w:rsid w:val="00842737"/>
    <w:rsid w:val="00843006"/>
    <w:rsid w:val="008440D9"/>
    <w:rsid w:val="00844110"/>
    <w:rsid w:val="00845340"/>
    <w:rsid w:val="00867AAC"/>
    <w:rsid w:val="00882ECA"/>
    <w:rsid w:val="008844F7"/>
    <w:rsid w:val="008A3D3B"/>
    <w:rsid w:val="008B06DD"/>
    <w:rsid w:val="008B116C"/>
    <w:rsid w:val="008D4556"/>
    <w:rsid w:val="008D791F"/>
    <w:rsid w:val="008F0A97"/>
    <w:rsid w:val="00920DBC"/>
    <w:rsid w:val="009353D7"/>
    <w:rsid w:val="00942B3B"/>
    <w:rsid w:val="00956552"/>
    <w:rsid w:val="009600FF"/>
    <w:rsid w:val="0097197E"/>
    <w:rsid w:val="00975566"/>
    <w:rsid w:val="00990CED"/>
    <w:rsid w:val="0099335A"/>
    <w:rsid w:val="009A0824"/>
    <w:rsid w:val="009B76A1"/>
    <w:rsid w:val="009E2C14"/>
    <w:rsid w:val="009E4429"/>
    <w:rsid w:val="009E7526"/>
    <w:rsid w:val="009F21FD"/>
    <w:rsid w:val="00A0001A"/>
    <w:rsid w:val="00A0594D"/>
    <w:rsid w:val="00A1786A"/>
    <w:rsid w:val="00A210CD"/>
    <w:rsid w:val="00A30EBB"/>
    <w:rsid w:val="00A40130"/>
    <w:rsid w:val="00A44F24"/>
    <w:rsid w:val="00A45528"/>
    <w:rsid w:val="00A57912"/>
    <w:rsid w:val="00A661F9"/>
    <w:rsid w:val="00A7108C"/>
    <w:rsid w:val="00A735E4"/>
    <w:rsid w:val="00A74149"/>
    <w:rsid w:val="00A85E34"/>
    <w:rsid w:val="00AB4D93"/>
    <w:rsid w:val="00AF04CB"/>
    <w:rsid w:val="00AF320A"/>
    <w:rsid w:val="00B00E5C"/>
    <w:rsid w:val="00B053BE"/>
    <w:rsid w:val="00B2050D"/>
    <w:rsid w:val="00B25B8C"/>
    <w:rsid w:val="00B32ADA"/>
    <w:rsid w:val="00B4122F"/>
    <w:rsid w:val="00B55B85"/>
    <w:rsid w:val="00B64ACA"/>
    <w:rsid w:val="00B95D24"/>
    <w:rsid w:val="00BC38E0"/>
    <w:rsid w:val="00BC735B"/>
    <w:rsid w:val="00BD2655"/>
    <w:rsid w:val="00BE2925"/>
    <w:rsid w:val="00C522C9"/>
    <w:rsid w:val="00C543C5"/>
    <w:rsid w:val="00C66DE1"/>
    <w:rsid w:val="00C91715"/>
    <w:rsid w:val="00C97E31"/>
    <w:rsid w:val="00CA6190"/>
    <w:rsid w:val="00CB647D"/>
    <w:rsid w:val="00D20A1D"/>
    <w:rsid w:val="00D30BE3"/>
    <w:rsid w:val="00D578C9"/>
    <w:rsid w:val="00D80A4F"/>
    <w:rsid w:val="00D9192E"/>
    <w:rsid w:val="00DA107E"/>
    <w:rsid w:val="00DA7CFB"/>
    <w:rsid w:val="00DA7DB9"/>
    <w:rsid w:val="00DB31C8"/>
    <w:rsid w:val="00DC4D86"/>
    <w:rsid w:val="00DC6B2C"/>
    <w:rsid w:val="00DC7354"/>
    <w:rsid w:val="00DD4368"/>
    <w:rsid w:val="00DF0357"/>
    <w:rsid w:val="00E06A4E"/>
    <w:rsid w:val="00E1547F"/>
    <w:rsid w:val="00E17443"/>
    <w:rsid w:val="00E32ACA"/>
    <w:rsid w:val="00E37C11"/>
    <w:rsid w:val="00E37E7A"/>
    <w:rsid w:val="00E770DC"/>
    <w:rsid w:val="00EA7740"/>
    <w:rsid w:val="00EC7BBC"/>
    <w:rsid w:val="00ED668D"/>
    <w:rsid w:val="00EE1D60"/>
    <w:rsid w:val="00F01FDE"/>
    <w:rsid w:val="00F16195"/>
    <w:rsid w:val="00F20CFE"/>
    <w:rsid w:val="00F31949"/>
    <w:rsid w:val="00F34E69"/>
    <w:rsid w:val="00F37FA7"/>
    <w:rsid w:val="00F476FE"/>
    <w:rsid w:val="00F53770"/>
    <w:rsid w:val="00F555A7"/>
    <w:rsid w:val="00F777F6"/>
    <w:rsid w:val="00F826EC"/>
    <w:rsid w:val="00F84FD4"/>
    <w:rsid w:val="00F91CC5"/>
    <w:rsid w:val="00FB2C4C"/>
    <w:rsid w:val="00FB3DB2"/>
    <w:rsid w:val="00FD0E4D"/>
    <w:rsid w:val="00FE0104"/>
    <w:rsid w:val="00FE3711"/>
    <w:rsid w:val="00FF3E9E"/>
    <w:rsid w:val="00FF5BC4"/>
    <w:rsid w:val="00FF7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58E6E67-0CB9-4018-B73A-2B1A9A9A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BC4"/>
    <w:pPr>
      <w:widowControl w:val="0"/>
    </w:pPr>
    <w:rPr>
      <w:sz w:val="24"/>
    </w:rPr>
  </w:style>
  <w:style w:type="paragraph" w:styleId="Heading1">
    <w:name w:val="heading 1"/>
    <w:basedOn w:val="Normal"/>
    <w:next w:val="Normal"/>
    <w:link w:val="Heading1Char"/>
    <w:qFormat/>
    <w:rsid w:val="00DC73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FF5BC4"/>
    <w:pPr>
      <w:keepNext/>
      <w:shd w:val="pct15" w:color="auto" w:fill="FFFFFF"/>
      <w:jc w:val="center"/>
      <w:outlineLvl w:val="2"/>
    </w:pPr>
    <w:rPr>
      <w:rFonts w:ascii="Arial" w:hAnsi="Arial"/>
      <w:bCs/>
    </w:rPr>
  </w:style>
  <w:style w:type="paragraph" w:styleId="Heading4">
    <w:name w:val="heading 4"/>
    <w:basedOn w:val="Normal"/>
    <w:next w:val="Normal"/>
    <w:qFormat/>
    <w:rsid w:val="00FF5BC4"/>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5BC4"/>
    <w:pPr>
      <w:widowControl/>
    </w:pPr>
    <w:rPr>
      <w:rFonts w:ascii="Univers" w:hAnsi="Univers"/>
      <w:sz w:val="22"/>
    </w:rPr>
  </w:style>
  <w:style w:type="paragraph" w:styleId="BodyText2">
    <w:name w:val="Body Text 2"/>
    <w:basedOn w:val="Normal"/>
    <w:rsid w:val="00FF5BC4"/>
    <w:pPr>
      <w:widowControl/>
    </w:pPr>
    <w:rPr>
      <w:rFonts w:ascii="Arial" w:hAnsi="Arial"/>
      <w:sz w:val="20"/>
    </w:rPr>
  </w:style>
  <w:style w:type="paragraph" w:styleId="BodyText3">
    <w:name w:val="Body Text 3"/>
    <w:basedOn w:val="Normal"/>
    <w:rsid w:val="00FF5BC4"/>
    <w:pPr>
      <w:jc w:val="both"/>
    </w:pPr>
    <w:rPr>
      <w:szCs w:val="24"/>
    </w:rPr>
  </w:style>
  <w:style w:type="paragraph" w:styleId="Header">
    <w:name w:val="header"/>
    <w:basedOn w:val="Normal"/>
    <w:rsid w:val="00FF5BC4"/>
    <w:pPr>
      <w:tabs>
        <w:tab w:val="center" w:pos="4320"/>
        <w:tab w:val="right" w:pos="8640"/>
      </w:tabs>
    </w:pPr>
  </w:style>
  <w:style w:type="paragraph" w:styleId="Footer">
    <w:name w:val="footer"/>
    <w:basedOn w:val="Normal"/>
    <w:link w:val="FooterChar"/>
    <w:uiPriority w:val="99"/>
    <w:rsid w:val="00FF5BC4"/>
    <w:pPr>
      <w:tabs>
        <w:tab w:val="center" w:pos="4320"/>
        <w:tab w:val="right" w:pos="8640"/>
      </w:tabs>
    </w:pPr>
  </w:style>
  <w:style w:type="table" w:styleId="TableGrid">
    <w:name w:val="Table Grid"/>
    <w:basedOn w:val="TableNormal"/>
    <w:rsid w:val="008018C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C7354"/>
    <w:rPr>
      <w:rFonts w:asciiTheme="majorHAnsi" w:eastAsiaTheme="majorEastAsia" w:hAnsiTheme="majorHAnsi" w:cstheme="majorBidi"/>
      <w:b/>
      <w:bCs/>
      <w:color w:val="365F91" w:themeColor="accent1" w:themeShade="BF"/>
      <w:sz w:val="28"/>
      <w:szCs w:val="28"/>
    </w:rPr>
  </w:style>
  <w:style w:type="character" w:customStyle="1" w:styleId="FooterChar">
    <w:name w:val="Footer Char"/>
    <w:basedOn w:val="DefaultParagraphFont"/>
    <w:link w:val="Footer"/>
    <w:uiPriority w:val="99"/>
    <w:rsid w:val="00A210CD"/>
    <w:rPr>
      <w:sz w:val="24"/>
    </w:rPr>
  </w:style>
  <w:style w:type="paragraph" w:styleId="FootnoteText">
    <w:name w:val="footnote text"/>
    <w:basedOn w:val="Normal"/>
    <w:link w:val="FootnoteTextChar"/>
    <w:rsid w:val="001F3524"/>
    <w:rPr>
      <w:sz w:val="20"/>
    </w:rPr>
  </w:style>
  <w:style w:type="character" w:customStyle="1" w:styleId="FootnoteTextChar">
    <w:name w:val="Footnote Text Char"/>
    <w:basedOn w:val="DefaultParagraphFont"/>
    <w:link w:val="FootnoteText"/>
    <w:rsid w:val="001F3524"/>
  </w:style>
  <w:style w:type="character" w:styleId="FootnoteReference">
    <w:name w:val="footnote reference"/>
    <w:basedOn w:val="DefaultParagraphFont"/>
    <w:rsid w:val="001F3524"/>
    <w:rPr>
      <w:vertAlign w:val="superscript"/>
    </w:rPr>
  </w:style>
  <w:style w:type="paragraph" w:styleId="ListParagraph">
    <w:name w:val="List Paragraph"/>
    <w:basedOn w:val="Normal"/>
    <w:uiPriority w:val="34"/>
    <w:qFormat/>
    <w:rsid w:val="00181A66"/>
    <w:pPr>
      <w:widowControl/>
      <w:ind w:left="720"/>
      <w:contextualSpacing/>
    </w:pPr>
    <w:rPr>
      <w:szCs w:val="24"/>
      <w:lang w:val="en-GB" w:eastAsia="en-GB"/>
    </w:rPr>
  </w:style>
  <w:style w:type="paragraph" w:styleId="BalloonText">
    <w:name w:val="Balloon Text"/>
    <w:basedOn w:val="Normal"/>
    <w:link w:val="BalloonTextChar"/>
    <w:rsid w:val="00200526"/>
    <w:rPr>
      <w:rFonts w:ascii="Lucida Grande" w:hAnsi="Lucida Grande" w:cs="Lucida Grande"/>
      <w:sz w:val="18"/>
      <w:szCs w:val="18"/>
    </w:rPr>
  </w:style>
  <w:style w:type="character" w:customStyle="1" w:styleId="BalloonTextChar">
    <w:name w:val="Balloon Text Char"/>
    <w:basedOn w:val="DefaultParagraphFont"/>
    <w:link w:val="BalloonText"/>
    <w:rsid w:val="0020052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087665">
      <w:bodyDiv w:val="1"/>
      <w:marLeft w:val="0"/>
      <w:marRight w:val="0"/>
      <w:marTop w:val="0"/>
      <w:marBottom w:val="0"/>
      <w:divBdr>
        <w:top w:val="none" w:sz="0" w:space="0" w:color="auto"/>
        <w:left w:val="none" w:sz="0" w:space="0" w:color="auto"/>
        <w:bottom w:val="none" w:sz="0" w:space="0" w:color="auto"/>
        <w:right w:val="none" w:sz="0" w:space="0" w:color="auto"/>
      </w:divBdr>
    </w:div>
    <w:div w:id="1492255610">
      <w:bodyDiv w:val="1"/>
      <w:marLeft w:val="0"/>
      <w:marRight w:val="0"/>
      <w:marTop w:val="0"/>
      <w:marBottom w:val="0"/>
      <w:divBdr>
        <w:top w:val="none" w:sz="0" w:space="0" w:color="auto"/>
        <w:left w:val="none" w:sz="0" w:space="0" w:color="auto"/>
        <w:bottom w:val="none" w:sz="0" w:space="0" w:color="auto"/>
        <w:right w:val="none" w:sz="0" w:space="0" w:color="auto"/>
      </w:divBdr>
      <w:divsChild>
        <w:div w:id="1226645719">
          <w:marLeft w:val="446"/>
          <w:marRight w:val="0"/>
          <w:marTop w:val="0"/>
          <w:marBottom w:val="0"/>
          <w:divBdr>
            <w:top w:val="none" w:sz="0" w:space="0" w:color="auto"/>
            <w:left w:val="none" w:sz="0" w:space="0" w:color="auto"/>
            <w:bottom w:val="none" w:sz="0" w:space="0" w:color="auto"/>
            <w:right w:val="none" w:sz="0" w:space="0" w:color="auto"/>
          </w:divBdr>
        </w:div>
      </w:divsChild>
    </w:div>
    <w:div w:id="1758745392">
      <w:bodyDiv w:val="1"/>
      <w:marLeft w:val="0"/>
      <w:marRight w:val="0"/>
      <w:marTop w:val="0"/>
      <w:marBottom w:val="0"/>
      <w:divBdr>
        <w:top w:val="none" w:sz="0" w:space="0" w:color="auto"/>
        <w:left w:val="none" w:sz="0" w:space="0" w:color="auto"/>
        <w:bottom w:val="none" w:sz="0" w:space="0" w:color="auto"/>
        <w:right w:val="none" w:sz="0" w:space="0" w:color="auto"/>
      </w:divBdr>
    </w:div>
    <w:div w:id="1770461887">
      <w:bodyDiv w:val="1"/>
      <w:marLeft w:val="0"/>
      <w:marRight w:val="0"/>
      <w:marTop w:val="0"/>
      <w:marBottom w:val="0"/>
      <w:divBdr>
        <w:top w:val="none" w:sz="0" w:space="0" w:color="auto"/>
        <w:left w:val="none" w:sz="0" w:space="0" w:color="auto"/>
        <w:bottom w:val="none" w:sz="0" w:space="0" w:color="auto"/>
        <w:right w:val="none" w:sz="0" w:space="0" w:color="auto"/>
      </w:divBdr>
    </w:div>
    <w:div w:id="195625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PlannedReviewDate xmlns="83ed2304-0f0e-45ba-b0cc-7d360cbc1769"/>
    <UNDPEffectiveDate xmlns="83ed2304-0f0e-45ba-b0cc-7d360cbc1769"/>
    <UNDPResponsibleUnit xmlns="83ed2304-0f0e-45ba-b0cc-7d360cbc1769"/>
    <UNDPCreator xmlns="83ed2304-0f0e-45ba-b0cc-7d360cbc1769">
      <UserInfo>
        <DisplayName/>
        <AccountId/>
        <AccountType/>
      </UserInfo>
    </UNDPCreator>
    <UNDPApplicability xmlns="83ed2304-0f0e-45ba-b0cc-7d360cbc1769"/>
    <UNDPActualReviewDate xmlns="83ed2304-0f0e-45ba-b0cc-7d360cbc1769" xsi:nil="true"/>
    <UNDPPOPPFunctionalArea xmlns="83ed2304-0f0e-45ba-b0cc-7d360cbc1769">Programme and Project</UNDPPOPPFunctionalArea>
    <UNDPPOPPSubprocess xmlns="83ed2304-0f0e-45ba-b0cc-7d360cbc1769">Programme Completion and Transition</UNDPPOPPSubprocess>
    <UNDPPublishedDate xmlns="83ed2304-0f0e-45ba-b0cc-7d360cbc1769"/>
    <UNDPPOPPProcess xmlns="83ed2304-0f0e-45ba-b0cc-7d360cbc1769">Programme Management</UNDPPOPPProcess>
    <UNDPPOPPSubsubprocess xmlns="83ed2304-0f0e-45ba-b0cc-7d360cbc1769" xsi:nil="true"/>
    <UNDPIssuanceDate xmlns="83ed2304-0f0e-45ba-b0cc-7d360cbc1769"/>
    <UNDPSummary xmlns="83ed2304-0f0e-45ba-b0cc-7d360cbc1769" xsi:nil="true"/>
    <UNDPFocalpoint xmlns="83ed2304-0f0e-45ba-b0cc-7d360cbc1769">
      <UserInfo>
        <DisplayName/>
        <AccountId/>
        <AccountType/>
      </UserInfo>
    </UNDPFocalpoint>
    <UNDPPOPPKeywordsTaxHTField0 xmlns="83ed2304-0f0e-45ba-b0cc-7d360cbc1769">
      <Terms xmlns="http://schemas.microsoft.com/office/infopath/2007/PartnerControls"/>
    </UNDPPOPPKeywordsTaxHTField0>
    <UNDPPOPPSubsubsubprocess xmlns="83ed2304-0f0e-45ba-b0cc-7d360cbc1769" xsi:nil="true"/>
    <UNDPPOPPPrescriptiveContentSelection xmlns="83ed2304-0f0e-45ba-b0cc-7d360cbc1769"/>
  </documentManagement>
</p:properties>
</file>

<file path=customXml/item3.xml><?xml version="1.0" encoding="utf-8"?>
<ct:contentTypeSchema xmlns:ct="http://schemas.microsoft.com/office/2006/metadata/contentType" xmlns:ma="http://schemas.microsoft.com/office/2006/metadata/properties/metaAttributes" ct:_="" ma:_="" ma:contentTypeName="POPP Deliverable" ma:contentTypeID="0x01010023A92725C93E4830A7421C44D384B7FC00AA2C51EDC20547BE9D8059E930612AF900BB1DAF2B020D674E95D024E21C9B8446" ma:contentTypeVersion="271" ma:contentTypeDescription="Create a new POPP Deliverable document" ma:contentTypeScope="" ma:versionID="e6de6f4a163210476040df223df441e8">
  <xsd:schema xmlns:xsd="http://www.w3.org/2001/XMLSchema" xmlns:xs="http://www.w3.org/2001/XMLSchema" xmlns:p="http://schemas.microsoft.com/office/2006/metadata/properties" xmlns:ns2="83ed2304-0f0e-45ba-b0cc-7d360cbc1769" targetNamespace="http://schemas.microsoft.com/office/2006/metadata/properties" ma:root="true" ma:fieldsID="75b7e553a872fe2836fe2ecc2b8c7ab0" ns2:_="">
    <xsd:import namespace="83ed2304-0f0e-45ba-b0cc-7d360cbc1769"/>
    <xsd:element name="properties">
      <xsd:complexType>
        <xsd:sequence>
          <xsd:element name="documentManagement">
            <xsd:complexType>
              <xsd:all>
                <xsd:element ref="ns2:UNDPPOPPPrescriptiveContentSelection"/>
                <xsd:element ref="ns2:UNDPPOPPFunctionalArea" minOccurs="0"/>
                <xsd:element ref="ns2:UNDPPOPPProcess" minOccurs="0"/>
                <xsd:element ref="ns2:UNDPPOPPSubprocess" minOccurs="0"/>
                <xsd:element ref="ns2:UNDPPOPPSubsubprocess" minOccurs="0"/>
                <xsd:element ref="ns2:UNDPPOPPSubsubsubprocess" minOccurs="0"/>
                <xsd:element ref="ns2:UNDPPOPPKeywordsTaxHTField0" minOccurs="0"/>
                <xsd:element ref="ns2:UNDPFocalpoint"/>
                <xsd:element ref="ns2:UNDPPublishedDate"/>
                <xsd:element ref="ns2:UNDPEffectiveDate"/>
                <xsd:element ref="ns2:UNDPResponsibleUnit"/>
                <xsd:element ref="ns2:UNDPCreator"/>
                <xsd:element ref="ns2:UNDPIssuanceDate"/>
                <xsd:element ref="ns2:UNDPPlannedReviewDate"/>
                <xsd:element ref="ns2:UNDPActualReviewDate" minOccurs="0"/>
                <xsd:element ref="ns2:UNDPSummary" minOccurs="0"/>
                <xsd:element ref="ns2:UNDPApplicabil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PrescriptiveContentSelection" ma:index="8" ma:displayName="POPP Prescriptive Content Selection" ma:format="RadioButtons" ma:internalName="UNDPPOPPPrescriptiveContentSelection" ma:readOnly="false">
      <xsd:simpleType>
        <xsd:restriction base="dms:Choice">
          <xsd:enumeration value="Yes"/>
          <xsd:enumeration value="No"/>
        </xsd:restriction>
      </xsd:simpleType>
    </xsd:element>
    <xsd:element name="UNDPPOPPFunctionalArea" ma:index="9"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OPPProcess" ma:index="10" nillable="true" ma:displayName="POPP Process" ma:format="Dropdown" ma:internalName="UNDPPOPPProcess">
      <xsd:simpleType>
        <xsd:restriction base="dms:Choice">
          <xsd:enumeration value="Accountability &amp; Delegation of Authority"/>
          <xsd:enumeration value="Accounting for Capital and Non-Capital Assets"/>
          <xsd:enumeration value="Annual and special leave"/>
          <xsd:enumeration value="Appointment and promotion"/>
          <xsd:enumeration value="Asset Management"/>
          <xsd:enumeration value="Award of Contract"/>
          <xsd:enumeration value="Cash Banking and Investment"/>
          <xsd:enumeration value="Civil society"/>
          <xsd:enumeration value="Classification of posts and staff"/>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HACT"/>
          <xsd:enumeration value="ICT Oversight"/>
          <xsd:enumeration value="ICT Security"/>
          <xsd:enumeration value="Information Disclosure"/>
          <xsd:enumeration value="Internal Control Framework"/>
          <xsd:enumeration value="Legal Framework"/>
          <xsd:enumeration value="Lease Management"/>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Review Committee"/>
          <xsd:enumeration value="Procurement Strategies and Planning"/>
          <xsd:enumeration value="Programme &amp; Project Management Arrangements"/>
          <xsd:enumeration value="Programme Management"/>
          <xsd:enumeration value="Project Management"/>
          <xsd:enumeration value="Purchasing Card, Insurance, Vehicle and Assets Management"/>
          <xsd:enumeration value="Purchasing Card, Insurance and Vehicle Management"/>
          <xsd:enumeration value="Protection against retaliation"/>
          <xsd:enumeration value="Quality Assurance Procedure"/>
          <xsd:enumeration value="Receivables and Expenditures"/>
          <xsd:enumeration value="Revenue and Expense Management"/>
          <xsd:enumeration value="Requisitions"/>
          <xsd:enumeration value="Resource Center"/>
          <xsd:enumeration value="Resource Planning and Budgeting"/>
          <xsd:enumeration value="Resources and Funding Mechanism"/>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11" nillable="true" ma:displayName="POPP Subprocess" ma:format="Dropdown" ma:indexed="true" ma:internalName="UNDPPOPPSubprocess">
      <xsd:simpleType>
        <xsd:restriction base="dms:Choice">
          <xsd:enumeration value="Accompanied and Excess Baggage"/>
          <xsd:enumeration value="Accountability &amp; Delegation of Authority"/>
          <xsd:enumeration value="Activating Fast Track Procedures"/>
          <xsd:enumeration value="Additional information"/>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Arrangements"/>
          <xsd:enumeration value="Cash Management"/>
          <xsd:enumeration value="Change Control and Release Management Standards"/>
          <xsd:enumeration value="Change Management Clearance"/>
          <xsd:enumeration value="Civil Society Organizations"/>
          <xsd:enumeration value="Classification and Duration"/>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CPR-TTF Project co-financing"/>
          <xsd:enumeration value="Defining a Project"/>
          <xsd:enumeration value="Definitions and Objectives"/>
          <xsd:enumeration value="Definitions, Objectives and Benefits"/>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lth"/>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creased Delegation of Procurement Authority"/>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Managemen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asehold Improvements"/>
          <xsd:enumeration value="Legal Framework"/>
          <xsd:enumeration value="Legal Status of IC"/>
          <xsd:enumeration value="LTAs"/>
          <xsd:enumeration value="Making Information Available to the Public"/>
          <xsd:enumeration value="Management of Leases (Premises and Equipment)"/>
          <xsd:enumeration value="Management of Obligations (Expenditure)"/>
          <xsd:enumeration value="Management of Plant and Property"/>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curement Review Committees and Cooperative Procurement"/>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roperty Plant and Equipment (PP&amp;E)"/>
          <xsd:enumeration value="Property Plant and Equipment (PP&amp;E)"/>
          <xsd:enumeration value="Purchasing Card Management"/>
          <xsd:enumeration value="QA Review and Publishing"/>
          <xsd:enumeration value="Quality Assurance for National and Regional Human Development Reports"/>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ment of Official Consignments/Goods"/>
          <xsd:enumeration value="Shipping and Insurance"/>
          <xsd:enumeration value="Solicitation Documents"/>
          <xsd:enumeration value="Sourcing and Market Research"/>
          <xsd:enumeration value="Staff and Their Recognized Dependants on Official Travel"/>
          <xsd:enumeration value="Standards of Conduct"/>
          <xsd:enumeration value="Statutory and Financial Reporting"/>
          <xsd:enumeration value="Submission and Receipt Offers"/>
          <xsd:enumeration value="Submissions, Direct Review and Post Facto"/>
          <xsd:enumeration value="Sustainable Procurement"/>
          <xsd:enumeration value="System Logon Banner Standards"/>
          <xsd:enumeration value="Termination of IC"/>
          <xsd:enumeration value="Termination of SSA"/>
          <xsd:enumeration value="Thresholds and Composition"/>
          <xsd:enumeration value="Track 1-1-3 Category I, III and IV"/>
          <xsd:enumeration value="Track 1-1-3 Category II"/>
          <xsd:enumeration value="Track 1-1-3 Category V"/>
          <xsd:enumeration value="Transfers where unexpended balances are not refunded to donors"/>
          <xsd:enumeration value="Types of Competition"/>
          <xsd:enumeration value="Types of Leave"/>
          <xsd:enumeration value="Types of Separation"/>
          <xsd:enumeration value="Types, Configurations and setting up an LTA"/>
          <xsd:enumeration value="UN Flag Code"/>
          <xsd:enumeration value="Unaccompanied Shipment Personal Effects"/>
          <xsd:enumeration value="UNDP Housing"/>
          <xsd:enumeration value="UNDP Intangible Assets"/>
          <xsd:enumeration value="UNDP Intangible Assets"/>
          <xsd:enumeration value="UNDP Non Expendable (Fixed) Asset Management"/>
          <xsd:enumeration value="UNDP Offices/Premises"/>
          <xsd:enumeration value="UNDP Vehicles"/>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12" nillable="true" ma:displayName="POPP Sub-subprocess" ma:format="Dropdown" ma:internalName="UNDPPOPPSubsubprocess">
      <xsd:simpleType>
        <xsd:restriction base="dms:Choice">
          <xsd:enumeration value="Abandonment of Post"/>
          <xsd:enumeration value="Absence Management Guidelines"/>
          <xsd:enumeration value="Accompanied and Excess Baggage"/>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Disposal and Write-Off"/>
          <xsd:enumeration value="Asset Disposal and Write-Off"/>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Operations"/>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anger Pay"/>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ntitlements upon separation – Introduction"/>
          <xsd:enumeration value="Equipment - Depreciation, Reconciliations Reports and Centralized Functions"/>
          <xsd:enumeration value="Equipment - Depreciation, Reconciliations Reports and Centralized Functions"/>
          <xsd:enumeration value="Establishment and Use of Electronic Banking Systems"/>
          <xsd:enumeration value="Euro Reporting Guidelines"/>
          <xsd:enumeration value="Executive Board Papers"/>
          <xsd:enumeration value="Expenditure of Income Accrued from Cost Recovery"/>
          <xsd:enumeration value="Expense Management of UNODC Funded Activities"/>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Furniture and Equipment Acquisition and Maintenance"/>
          <xsd:enumeration value="Furniture and Equipment Acquisition and Maintenance"/>
          <xsd:enumeration value="Guidelines for Cash Arrangements"/>
          <xsd:enumeration value="Handling of Cash and Receipts"/>
          <xsd:enumeration value="Hazard Pay"/>
          <xsd:enumeration value="Home Leave"/>
          <xsd:enumeration value="Hospitality Expenditures"/>
          <xsd:enumeration value="Hospitality Expense"/>
          <xsd:enumeration value="Intangible Asset Disposal and Write-Off"/>
          <xsd:enumeration value="Intangible Asset Disposal and Write-Off"/>
          <xsd:enumeration value="Intangible Assets Acquisition, Development and Maintenance"/>
          <xsd:enumeration value="Intangible Assets Acquisition, Development and Maintenance"/>
          <xsd:enumeration value="Intangible Assets Amortizations, Reconciliations, Reports and Centralized Functions"/>
          <xsd:enumeration value="Intangible Assets Amortizations, Reconciliations, Reports and Centralized Functions"/>
          <xsd:enumeration value="Introduction"/>
          <xsd:enumeration value="Issuing Letters of Credit"/>
          <xsd:enumeration value="Language Allowance"/>
          <xsd:enumeration value="Last Day for Pay Purposes"/>
          <xsd:enumeration value="Leasehold Improvement Disposal and Write-Off"/>
          <xsd:enumeration value="Leasehold Improvement Disposal and Write-Off"/>
          <xsd:enumeration value="Leasehold Improvements - Acquisition and Maintenance"/>
          <xsd:enumeration value="Leasehold Improvements - Acquisition and Maintenance"/>
          <xsd:enumeration value="Leasehold Improvements - Depreciation, Reconciliations Reports and Centralized Functions"/>
          <xsd:enumeration value="Leasehold Improvements - Depreciation, Reconciliations Reports and Centralized Functions"/>
          <xsd:enumeration value="Leasehold Improvements within Common Premises"/>
          <xsd:enumeration value="Leasehold Improvements within Common Premi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perational Procedures for Acquisition, Renewal and Termination of Premises"/>
          <xsd:enumeration value="Operational Procedures for Acquisition, Renewal and Termination of Premises Leases"/>
          <xsd:enumeration value="Operational Procedures for Equipment Leases"/>
          <xsd:enumeration value="Operational Procedures for Equipment Lease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etty Cash Fund for Management Project (PCF)"/>
          <xsd:enumeration value="Plan and Property Acquisition and Maintenance"/>
          <xsd:enumeration value="Plan and Property Acquisition and Maintenance"/>
          <xsd:enumeration value="Plant and Property - Depreciation, Reconciliations Reports and Centralized Functions"/>
          <xsd:enumeration value="Plant and Property - Depreciation, Reconciliations Reports and Centralized Functions"/>
          <xsd:enumeration value="Plant and Property Disposal and Write-Off"/>
          <xsd:enumeration value="Plant and Property Disposal and Write-Off"/>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Cash Advance (PCA)"/>
          <xsd:enumeration value="Project Cash on Hand for DIM Projects (PCH)"/>
          <xsd:enumeration value="Project Management of UNODC Funded Activities"/>
          <xsd:enumeration value="Project Petty Cash Fund (PPCF)"/>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ntal Subsidy"/>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hipment of official Consignments/Goods"/>
          <xsd:enumeration value="Special Leave"/>
          <xsd:enumeration value="Special Operations Approach (SOA)"/>
          <xsd:enumeration value="Staff and Their Recognized Defendants on Official Travel"/>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Type of Leases and Treatment in UNDP Books"/>
          <xsd:enumeration value="Type of Leases and Treatment in UNDP Books"/>
          <xsd:enumeration value="UN Flag Code"/>
          <xsd:enumeration value="Unaccompanied Shipment of Personal Effects and Household Goods"/>
          <xsd:enumeration value="UNDP Housing"/>
          <xsd:enumeration value="UNDP Offices/Premises"/>
          <xsd:enumeration value="UNDP Vehicle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13" nillable="true" ma:displayName="POPP Sub-sub-subprocess" ma:format="Dropdown" ma:internalName="UNDPPOPPSubsubsubprocess">
      <xsd:simpleType>
        <xsd:restriction base="dms:Choice">
          <xsd:enumeration value="Accounts Receivable"/>
          <xsd:enumeration value="Cash Operations"/>
          <xsd:enumeration value="Cash Operations"/>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Petty Cash Fund for Management Project (PCF)"/>
          <xsd:enumeration value="Petty Cash Fund for Management Project (PCF)"/>
          <xsd:enumeration value="Project Cash Advance (PCA)"/>
          <xsd:enumeration value="Project Cash Advance (PCA)"/>
          <xsd:enumeration value="Project Cash on Hand for DIM Projects (PCH)"/>
          <xsd:enumeration value="Project Cash on Hand for DIM Projects (PCH)"/>
          <xsd:enumeration value="Project Petty Cash Fund (PPCF)"/>
          <xsd:enumeration value="Project Petty Cash Fund (PPCF)"/>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OPPKeywordsTaxHTField0" ma:index="15"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Focalpoint" ma:index="16" ma:displayName="Focalpoint" ma:SearchPeopleOnly="false" ma:SharePointGroup="0" ma:internalName="Focalpoin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NDPPublishedDate" ma:index="17" ma:displayName="Published Date" ma:description="The date the document was published" ma:format="DateOnly" ma:internalName="UNDPPublishedDate">
      <xsd:simpleType>
        <xsd:restriction base="dms:DateTime"/>
      </xsd:simpleType>
    </xsd:element>
    <xsd:element name="UNDPEffectiveDate" ma:index="18" ma:displayName="Effective Date" ma:format="DateOnly" ma:internalName="UNDPEffectiveDate">
      <xsd:simpleType>
        <xsd:restriction base="dms:DateTime"/>
      </xsd:simpleType>
    </xsd:element>
    <xsd:element name="UNDPResponsibleUnit" ma:index="19" ma:displayName="Responsible Unit" ma:internalName="UNDPResponsibleUnit">
      <xsd:simpleType>
        <xsd:restriction base="dms:Text"/>
      </xsd:simpleType>
    </xsd:element>
    <xsd:element name="UNDPCreator" ma:index="20"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NDPIssuanceDate" ma:index="21" ma:displayName="Approval Date" ma:format="DateOnly" ma:internalName="UNDPIssuanceDate">
      <xsd:simpleType>
        <xsd:restriction base="dms:DateTime"/>
      </xsd:simpleType>
    </xsd:element>
    <xsd:element name="UNDPPlannedReviewDate" ma:index="22" ma:displayName="Planned Review Date" ma:format="DateOnly" ma:internalName="UNDPPlannedReviewDate">
      <xsd:simpleType>
        <xsd:restriction base="dms:DateTime"/>
      </xsd:simpleType>
    </xsd:element>
    <xsd:element name="UNDPActualReviewDate" ma:index="23" nillable="true" ma:displayName="Actual Review Date" ma:format="DateOnly" ma:internalName="UNDPActualReviewDate">
      <xsd:simpleType>
        <xsd:restriction base="dms:DateTime"/>
      </xsd:simpleType>
    </xsd:element>
    <xsd:element name="UNDPSummary" ma:index="24" nillable="true" ma:displayName="Summary" ma:description="A brief description or summary of the document that will displayed in search results." ma:internalName="UNDPSummary">
      <xsd:simpleType>
        <xsd:restriction base="dms:Note">
          <xsd:maxLength value="255"/>
        </xsd:restriction>
      </xsd:simpleType>
    </xsd:element>
    <xsd:element name="UNDPApplicability" ma:index="25" ma:displayName="Applicability" ma:internalName="UNDPApplicabilit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8e6c43a-9e99-4bdd-9574-a0fa4ea3b61e" ContentTypeId="0x01010023A92725C93E4830A7421C44D384B7FC00AA2C51EDC20547BE9D8059E930612AF9"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776AA-53A5-40ED-AB02-F651111B29B6}">
  <ds:schemaRefs>
    <ds:schemaRef ds:uri="http://schemas.microsoft.com/sharepoint/v3/contenttype/forms"/>
  </ds:schemaRefs>
</ds:datastoreItem>
</file>

<file path=customXml/itemProps2.xml><?xml version="1.0" encoding="utf-8"?>
<ds:datastoreItem xmlns:ds="http://schemas.openxmlformats.org/officeDocument/2006/customXml" ds:itemID="{326F30E3-F037-4347-A061-0F786D120BC7}">
  <ds:schemaRefs>
    <ds:schemaRef ds:uri="http://schemas.microsoft.com/office/2006/metadata/properties"/>
    <ds:schemaRef ds:uri="http://schemas.microsoft.com/office/infopath/2007/PartnerControls"/>
    <ds:schemaRef ds:uri="83ed2304-0f0e-45ba-b0cc-7d360cbc1769"/>
  </ds:schemaRefs>
</ds:datastoreItem>
</file>

<file path=customXml/itemProps3.xml><?xml version="1.0" encoding="utf-8"?>
<ds:datastoreItem xmlns:ds="http://schemas.openxmlformats.org/officeDocument/2006/customXml" ds:itemID="{BBF204ED-984C-407A-92BA-8E5AD42E0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d2304-0f0e-45ba-b0cc-7d360cbc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8BF1EB-6965-48EE-990A-C332F8C77939}">
  <ds:schemaRefs>
    <ds:schemaRef ds:uri="Microsoft.SharePoint.Taxonomy.ContentTypeSync"/>
  </ds:schemaRefs>
</ds:datastoreItem>
</file>

<file path=customXml/itemProps5.xml><?xml version="1.0" encoding="utf-8"?>
<ds:datastoreItem xmlns:ds="http://schemas.openxmlformats.org/officeDocument/2006/customXml" ds:itemID="{780500B2-D380-49CC-890B-C8F8A14A95BC}">
  <ds:schemaRefs>
    <ds:schemaRef ds:uri="http://schemas.microsoft.com/sharepoint/events"/>
  </ds:schemaRefs>
</ds:datastoreItem>
</file>

<file path=customXml/itemProps6.xml><?xml version="1.0" encoding="utf-8"?>
<ds:datastoreItem xmlns:ds="http://schemas.openxmlformats.org/officeDocument/2006/customXml" ds:itemID="{80B2E3A2-423E-485F-AB97-F5D1AC2B3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3010</Words>
  <Characters>18879</Characters>
  <Application>Microsoft Office Word</Application>
  <DocSecurity>0</DocSecurity>
  <Lines>629</Lines>
  <Paragraphs>243</Paragraphs>
  <ScaleCrop>false</ScaleCrop>
  <HeadingPairs>
    <vt:vector size="2" baseType="variant">
      <vt:variant>
        <vt:lpstr>Title</vt:lpstr>
      </vt:variant>
      <vt:variant>
        <vt:i4>1</vt:i4>
      </vt:variant>
    </vt:vector>
  </HeadingPairs>
  <TitlesOfParts>
    <vt:vector size="1" baseType="lpstr">
      <vt:lpstr>CP results summary</vt:lpstr>
    </vt:vector>
  </TitlesOfParts>
  <Company>UNDP</Company>
  <LinksUpToDate>false</LinksUpToDate>
  <CharactersWithSpaces>21646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results summary</dc:title>
  <dc:subject/>
  <dc:creator>DGO</dc:creator>
  <cp:keywords/>
  <dc:description/>
  <cp:lastModifiedBy>Svetlana Iazykova</cp:lastModifiedBy>
  <cp:revision>3</cp:revision>
  <cp:lastPrinted>2008-06-06T15:39:00Z</cp:lastPrinted>
  <dcterms:created xsi:type="dcterms:W3CDTF">2017-05-25T16:09:00Z</dcterms:created>
  <dcterms:modified xsi:type="dcterms:W3CDTF">2017-05-25T16:09:00Z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0x01010023A92725C93E4830A7421C44D384B7FC00AA2C51EDC20547BE9D8059E930612AF900BB1DAF2B020D674E95D024E21C9B8446</vt:lpwstr>
  </property>
  <property fmtid="{D5CDD505-2E9C-101B-9397-08002B2CF9AE}" pid="3" name="_dlc_DocIdItemGuid">
    <vt:lpwstr>d1e13303-6ece-4102-9f8f-5a459fba30ed</vt:lpwstr>
  </property>
  <property fmtid="{D5CDD505-2E9C-101B-9397-08002B2CF9AE}" pid="4" name="UNDPPOPPKeywords">
    <vt:lpwstr/>
  </property>
  <property fmtid="{D5CDD505-2E9C-101B-9397-08002B2CF9AE}" pid="5" name="TaxCatchAll">
    <vt:lpwstr/>
  </property>
  <property fmtid="{D5CDD505-2E9C-101B-9397-08002B2CF9AE}" pid="6" name="UNDPAuthor">
    <vt:lpwstr/>
  </property>
  <property fmtid="{D5CDD505-2E9C-101B-9397-08002B2CF9AE}" pid="7" name="Order">
    <vt:r8>9200</vt:r8>
  </property>
  <property fmtid="{D5CDD505-2E9C-101B-9397-08002B2CF9AE}" pid="8" name="_dlc_DocId">
    <vt:lpwstr>UNDPGBL-229-92</vt:lpwstr>
  </property>
  <property fmtid="{D5CDD505-2E9C-101B-9397-08002B2CF9AE}" pid="9" name="_dlc_DocIdUrl">
    <vt:lpwstr>https://intranet.undp.org/global/documents/_layouts/DocIdRedir.aspx?ID=UNDPGBL-229-92, UNDPGBL-229-92</vt:lpwstr>
  </property>
</Properties>
</file>