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2FC6A" w14:textId="5026FDC4" w:rsidR="005B78D8" w:rsidRPr="005B78D8" w:rsidRDefault="005B78D8" w:rsidP="005B78D8">
      <w:pPr>
        <w:spacing w:line="240" w:lineRule="auto"/>
        <w:jc w:val="center"/>
        <w:rPr>
          <w:rFonts w:ascii="Calibri" w:eastAsia="Calibri" w:hAnsi="Calibri" w:cs="Times New Roman"/>
          <w:b/>
          <w:sz w:val="24"/>
          <w:szCs w:val="24"/>
        </w:rPr>
      </w:pPr>
      <w:r w:rsidRPr="005B78D8">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MADAGASCAR</w:t>
      </w:r>
      <w:r w:rsidRPr="005B78D8">
        <w:rPr>
          <w:rFonts w:ascii="Calibri" w:eastAsia="Calibri" w:hAnsi="Calibri" w:cs="Times New Roman"/>
          <w:b/>
          <w:sz w:val="24"/>
          <w:szCs w:val="24"/>
        </w:rPr>
        <w:t xml:space="preserve"> (2021-202</w:t>
      </w:r>
      <w:r>
        <w:rPr>
          <w:rFonts w:ascii="Calibri" w:eastAsia="Calibri" w:hAnsi="Calibri" w:cs="Times New Roman"/>
          <w:b/>
          <w:sz w:val="24"/>
          <w:szCs w:val="24"/>
        </w:rPr>
        <w:t>3</w:t>
      </w:r>
      <w:r w:rsidRPr="005B78D8">
        <w:rPr>
          <w:rFonts w:ascii="Calibri" w:eastAsia="Calibri" w:hAnsi="Calibri" w:cs="Times New Roman"/>
          <w:b/>
          <w:sz w:val="24"/>
          <w:szCs w:val="24"/>
        </w:rPr>
        <w:t>)</w:t>
      </w:r>
    </w:p>
    <w:p w14:paraId="75EA578E" w14:textId="1916A9C3" w:rsidR="005B78D8" w:rsidRPr="005B78D8" w:rsidRDefault="005B78D8" w:rsidP="005B78D8">
      <w:pPr>
        <w:spacing w:after="240" w:line="240" w:lineRule="auto"/>
        <w:jc w:val="center"/>
        <w:rPr>
          <w:rFonts w:ascii="Calibri" w:eastAsia="Calibri" w:hAnsi="Calibri" w:cs="Times New Roman"/>
          <w:i/>
          <w:sz w:val="24"/>
          <w:szCs w:val="24"/>
        </w:rPr>
      </w:pPr>
      <w:r>
        <w:rPr>
          <w:rFonts w:ascii="Calibri" w:eastAsia="Calibri" w:hAnsi="Calibri" w:cs="Times New Roman"/>
          <w:i/>
          <w:sz w:val="24"/>
          <w:szCs w:val="24"/>
        </w:rPr>
        <w:t>Second</w:t>
      </w:r>
      <w:r w:rsidRPr="005B78D8">
        <w:rPr>
          <w:rFonts w:ascii="Calibri" w:eastAsia="Calibri" w:hAnsi="Calibri" w:cs="Times New Roman"/>
          <w:i/>
          <w:sz w:val="24"/>
          <w:szCs w:val="24"/>
        </w:rPr>
        <w:t xml:space="preserve"> regular session 2021</w:t>
      </w:r>
    </w:p>
    <w:tbl>
      <w:tblPr>
        <w:tblStyle w:val="TableGrid"/>
        <w:tblW w:w="13855" w:type="dxa"/>
        <w:tblLook w:val="04A0" w:firstRow="1" w:lastRow="0" w:firstColumn="1" w:lastColumn="0" w:noHBand="0" w:noVBand="1"/>
      </w:tblPr>
      <w:tblGrid>
        <w:gridCol w:w="5111"/>
        <w:gridCol w:w="2693"/>
        <w:gridCol w:w="6051"/>
      </w:tblGrid>
      <w:tr w:rsidR="00E52142" w:rsidRPr="00E52142" w14:paraId="218C0B4A" w14:textId="321A364D" w:rsidTr="005B78D8">
        <w:trPr>
          <w:trHeight w:val="476"/>
        </w:trPr>
        <w:tc>
          <w:tcPr>
            <w:tcW w:w="5111" w:type="dxa"/>
            <w:vAlign w:val="center"/>
          </w:tcPr>
          <w:p w14:paraId="4E86B9A0" w14:textId="55D920C3" w:rsidR="00CF7EDE" w:rsidRPr="00E52142" w:rsidRDefault="00CD42B0" w:rsidP="00A457DA">
            <w:pPr>
              <w:jc w:val="center"/>
              <w:rPr>
                <w:rFonts w:cstheme="minorHAnsi"/>
                <w:b/>
                <w:color w:val="000000" w:themeColor="text1"/>
                <w:sz w:val="24"/>
                <w:szCs w:val="24"/>
              </w:rPr>
            </w:pPr>
            <w:r w:rsidRPr="00E52142">
              <w:rPr>
                <w:rFonts w:cstheme="minorHAnsi"/>
                <w:color w:val="000000" w:themeColor="text1"/>
                <w:sz w:val="24"/>
                <w:szCs w:val="24"/>
              </w:rPr>
              <w:t xml:space="preserve"> </w:t>
            </w:r>
            <w:r w:rsidR="00CF7EDE" w:rsidRPr="00E52142">
              <w:rPr>
                <w:rFonts w:cstheme="minorHAnsi"/>
                <w:b/>
                <w:color w:val="000000" w:themeColor="text1"/>
                <w:sz w:val="24"/>
                <w:szCs w:val="24"/>
              </w:rPr>
              <w:t>Member State</w:t>
            </w:r>
            <w:r w:rsidR="00F73B82">
              <w:rPr>
                <w:rFonts w:cstheme="minorHAnsi"/>
                <w:b/>
                <w:color w:val="000000" w:themeColor="text1"/>
                <w:sz w:val="24"/>
                <w:szCs w:val="24"/>
              </w:rPr>
              <w:t xml:space="preserve"> comments</w:t>
            </w:r>
            <w:r w:rsidR="00CF7EDE" w:rsidRPr="00E52142">
              <w:rPr>
                <w:rFonts w:cstheme="minorHAnsi"/>
                <w:b/>
                <w:color w:val="000000" w:themeColor="text1"/>
                <w:sz w:val="24"/>
                <w:szCs w:val="24"/>
              </w:rPr>
              <w:t xml:space="preserve"> </w:t>
            </w:r>
            <w:r w:rsidR="00F73B82">
              <w:rPr>
                <w:rFonts w:cstheme="minorHAnsi"/>
                <w:b/>
                <w:color w:val="000000" w:themeColor="text1"/>
                <w:sz w:val="24"/>
                <w:szCs w:val="24"/>
              </w:rPr>
              <w:t xml:space="preserve"> </w:t>
            </w:r>
            <w:r w:rsidR="00CF7EDE" w:rsidRPr="00E52142">
              <w:rPr>
                <w:rFonts w:cstheme="minorHAnsi"/>
                <w:b/>
                <w:color w:val="000000" w:themeColor="text1"/>
                <w:sz w:val="24"/>
                <w:szCs w:val="24"/>
              </w:rPr>
              <w:t xml:space="preserve"> </w:t>
            </w:r>
            <w:r w:rsidR="00F73B82">
              <w:rPr>
                <w:rFonts w:cstheme="minorHAnsi"/>
                <w:b/>
                <w:color w:val="000000" w:themeColor="text1"/>
                <w:sz w:val="24"/>
                <w:szCs w:val="24"/>
              </w:rPr>
              <w:t xml:space="preserve"> </w:t>
            </w:r>
            <w:r w:rsidR="00CF7EDE" w:rsidRPr="00E52142">
              <w:rPr>
                <w:rFonts w:cstheme="minorHAnsi"/>
                <w:b/>
                <w:color w:val="000000" w:themeColor="text1"/>
                <w:sz w:val="24"/>
                <w:szCs w:val="24"/>
              </w:rPr>
              <w:t xml:space="preserve"> </w:t>
            </w:r>
            <w:r w:rsidR="00F73B82">
              <w:rPr>
                <w:rFonts w:cstheme="minorHAnsi"/>
                <w:b/>
                <w:color w:val="000000" w:themeColor="text1"/>
                <w:sz w:val="24"/>
                <w:szCs w:val="24"/>
              </w:rPr>
              <w:t xml:space="preserve"> </w:t>
            </w:r>
          </w:p>
        </w:tc>
        <w:tc>
          <w:tcPr>
            <w:tcW w:w="2693" w:type="dxa"/>
            <w:vAlign w:val="center"/>
          </w:tcPr>
          <w:p w14:paraId="0BB4B35F" w14:textId="4C7DE5A3" w:rsidR="00CF7EDE" w:rsidRPr="00E52142" w:rsidRDefault="00CF7EDE" w:rsidP="00A457DA">
            <w:pPr>
              <w:jc w:val="center"/>
              <w:rPr>
                <w:rFonts w:cstheme="minorHAnsi"/>
                <w:b/>
                <w:color w:val="000000" w:themeColor="text1"/>
                <w:sz w:val="24"/>
                <w:szCs w:val="24"/>
              </w:rPr>
            </w:pPr>
            <w:r w:rsidRPr="00E52142">
              <w:rPr>
                <w:rFonts w:cstheme="minorHAnsi"/>
                <w:b/>
                <w:color w:val="000000" w:themeColor="text1"/>
                <w:sz w:val="24"/>
                <w:szCs w:val="24"/>
              </w:rPr>
              <w:t xml:space="preserve">Change to CPD </w:t>
            </w:r>
          </w:p>
        </w:tc>
        <w:tc>
          <w:tcPr>
            <w:tcW w:w="6051" w:type="dxa"/>
            <w:vAlign w:val="center"/>
          </w:tcPr>
          <w:p w14:paraId="32A1E5CA" w14:textId="62ECB010" w:rsidR="00CF7EDE" w:rsidRPr="00E52142" w:rsidRDefault="00CF7EDE" w:rsidP="00A457DA">
            <w:pPr>
              <w:jc w:val="center"/>
              <w:rPr>
                <w:rFonts w:cstheme="minorHAnsi"/>
                <w:b/>
                <w:color w:val="000000" w:themeColor="text1"/>
                <w:sz w:val="24"/>
                <w:szCs w:val="24"/>
              </w:rPr>
            </w:pPr>
            <w:r w:rsidRPr="00E52142">
              <w:rPr>
                <w:rFonts w:cstheme="minorHAnsi"/>
                <w:b/>
                <w:color w:val="000000" w:themeColor="text1"/>
                <w:sz w:val="24"/>
                <w:szCs w:val="24"/>
              </w:rPr>
              <w:t>C</w:t>
            </w:r>
            <w:r w:rsidR="00C41880">
              <w:rPr>
                <w:rFonts w:cstheme="minorHAnsi"/>
                <w:b/>
                <w:color w:val="000000" w:themeColor="text1"/>
                <w:sz w:val="24"/>
                <w:szCs w:val="24"/>
              </w:rPr>
              <w:t>ountry Office</w:t>
            </w:r>
            <w:r w:rsidRPr="00E52142">
              <w:rPr>
                <w:rFonts w:cstheme="minorHAnsi"/>
                <w:b/>
                <w:color w:val="000000" w:themeColor="text1"/>
                <w:sz w:val="24"/>
                <w:szCs w:val="24"/>
              </w:rPr>
              <w:t xml:space="preserve"> comments </w:t>
            </w:r>
          </w:p>
        </w:tc>
      </w:tr>
      <w:tr w:rsidR="00E52142" w:rsidRPr="00E52142" w14:paraId="6AEADD8A" w14:textId="77777777" w:rsidTr="00DA2AE2">
        <w:trPr>
          <w:trHeight w:val="476"/>
        </w:trPr>
        <w:tc>
          <w:tcPr>
            <w:tcW w:w="13855" w:type="dxa"/>
            <w:gridSpan w:val="3"/>
            <w:shd w:val="clear" w:color="auto" w:fill="0070C0"/>
            <w:vAlign w:val="center"/>
          </w:tcPr>
          <w:p w14:paraId="115AFEBA" w14:textId="1BF436DC" w:rsidR="005B6C60" w:rsidRPr="00E52142" w:rsidRDefault="00352B37" w:rsidP="005B6C60">
            <w:pPr>
              <w:rPr>
                <w:rFonts w:cstheme="minorHAnsi"/>
                <w:b/>
                <w:bCs/>
                <w:color w:val="000000" w:themeColor="text1"/>
                <w:sz w:val="24"/>
                <w:szCs w:val="24"/>
              </w:rPr>
            </w:pPr>
            <w:r w:rsidRPr="00025AEB">
              <w:rPr>
                <w:rFonts w:cstheme="minorHAnsi"/>
                <w:b/>
                <w:bCs/>
                <w:color w:val="FFFFFF" w:themeColor="background1"/>
                <w:sz w:val="24"/>
                <w:szCs w:val="24"/>
              </w:rPr>
              <w:t>The United States of America</w:t>
            </w:r>
          </w:p>
        </w:tc>
      </w:tr>
      <w:tr w:rsidR="00E52142" w:rsidRPr="00E52142" w14:paraId="59FFD639" w14:textId="07F94A9B" w:rsidTr="00467ADC">
        <w:trPr>
          <w:trHeight w:val="476"/>
        </w:trPr>
        <w:tc>
          <w:tcPr>
            <w:tcW w:w="5111" w:type="dxa"/>
            <w:vAlign w:val="center"/>
          </w:tcPr>
          <w:p w14:paraId="4500D87D" w14:textId="3A3CE865" w:rsidR="00352B37" w:rsidRPr="00352B37" w:rsidRDefault="00352B37" w:rsidP="00352B37">
            <w:pPr>
              <w:numPr>
                <w:ilvl w:val="0"/>
                <w:numId w:val="12"/>
              </w:numPr>
              <w:ind w:right="600"/>
              <w:rPr>
                <w:sz w:val="20"/>
                <w:szCs w:val="20"/>
                <w:lang w:val="en"/>
              </w:rPr>
            </w:pPr>
            <w:r>
              <w:rPr>
                <w:sz w:val="20"/>
                <w:szCs w:val="20"/>
              </w:rPr>
              <w:t xml:space="preserve">We welcome UNDP’s Country Program Document for Madagascar and appreciate UNDP Madagascar’s consultative and collaborative approach at the country-level.  We encourage the country office to continue its engagement with stakeholders to provide additional information on the following questions related to the CPD: </w:t>
            </w:r>
          </w:p>
          <w:p w14:paraId="4DAC2BF4" w14:textId="77777777" w:rsidR="00352B37" w:rsidRPr="00352B37" w:rsidRDefault="00352B37" w:rsidP="00352B37">
            <w:pPr>
              <w:ind w:left="720" w:right="600"/>
              <w:rPr>
                <w:sz w:val="20"/>
                <w:szCs w:val="20"/>
                <w:lang w:val="en"/>
              </w:rPr>
            </w:pPr>
          </w:p>
          <w:p w14:paraId="4547F74E" w14:textId="6DE83047" w:rsidR="00CF7EDE" w:rsidRPr="00D55E8B" w:rsidRDefault="00352B37" w:rsidP="00B65822">
            <w:pPr>
              <w:numPr>
                <w:ilvl w:val="0"/>
                <w:numId w:val="12"/>
              </w:numPr>
              <w:ind w:right="600"/>
              <w:rPr>
                <w:rFonts w:cstheme="minorHAnsi"/>
                <w:color w:val="000000" w:themeColor="text1"/>
                <w:sz w:val="24"/>
                <w:szCs w:val="24"/>
              </w:rPr>
            </w:pPr>
            <w:r w:rsidRPr="00D55E8B">
              <w:rPr>
                <w:sz w:val="20"/>
                <w:szCs w:val="20"/>
              </w:rPr>
              <w:t xml:space="preserve">How is UNDP’s strategy </w:t>
            </w:r>
            <w:proofErr w:type="gramStart"/>
            <w:r w:rsidRPr="00D55E8B">
              <w:rPr>
                <w:sz w:val="20"/>
                <w:szCs w:val="20"/>
              </w:rPr>
              <w:t>taking into account</w:t>
            </w:r>
            <w:proofErr w:type="gramEnd"/>
            <w:r w:rsidRPr="00D55E8B">
              <w:rPr>
                <w:sz w:val="20"/>
                <w:szCs w:val="20"/>
              </w:rPr>
              <w:t xml:space="preserve"> issues of deep isolation and lack of infrastructure in the south, including roads, to better open and link up markets, reduce transportation/business costs, and create a more conducive investment climate? </w:t>
            </w:r>
          </w:p>
          <w:p w14:paraId="106DA92D" w14:textId="1D82FD9B" w:rsidR="00352B37" w:rsidRPr="00352B37" w:rsidRDefault="00352B37" w:rsidP="00352B37">
            <w:pPr>
              <w:rPr>
                <w:rFonts w:cstheme="minorHAnsi"/>
                <w:color w:val="000000" w:themeColor="text1"/>
                <w:sz w:val="24"/>
                <w:szCs w:val="24"/>
              </w:rPr>
            </w:pPr>
          </w:p>
        </w:tc>
        <w:tc>
          <w:tcPr>
            <w:tcW w:w="2693" w:type="dxa"/>
          </w:tcPr>
          <w:p w14:paraId="7B8931C8" w14:textId="77777777" w:rsidR="00CF7EDE" w:rsidRDefault="00CF7EDE" w:rsidP="00CF7EDE">
            <w:pPr>
              <w:ind w:left="360"/>
              <w:rPr>
                <w:rFonts w:cstheme="minorHAnsi"/>
                <w:color w:val="000000" w:themeColor="text1"/>
                <w:sz w:val="24"/>
                <w:szCs w:val="24"/>
              </w:rPr>
            </w:pPr>
          </w:p>
          <w:p w14:paraId="2E6D9E0D" w14:textId="77777777" w:rsidR="00246ADD" w:rsidRDefault="00246ADD" w:rsidP="00CF7EDE">
            <w:pPr>
              <w:ind w:left="360"/>
              <w:rPr>
                <w:rFonts w:cstheme="minorHAnsi"/>
                <w:color w:val="000000" w:themeColor="text1"/>
                <w:sz w:val="24"/>
                <w:szCs w:val="24"/>
              </w:rPr>
            </w:pPr>
          </w:p>
          <w:p w14:paraId="63A74552" w14:textId="77777777" w:rsidR="00246ADD" w:rsidRDefault="00246ADD" w:rsidP="00CF7EDE">
            <w:pPr>
              <w:ind w:left="360"/>
              <w:rPr>
                <w:rFonts w:cstheme="minorHAnsi"/>
                <w:color w:val="000000" w:themeColor="text1"/>
                <w:sz w:val="24"/>
                <w:szCs w:val="24"/>
              </w:rPr>
            </w:pPr>
          </w:p>
          <w:p w14:paraId="69D806F4" w14:textId="77777777" w:rsidR="00246ADD" w:rsidRDefault="00246ADD" w:rsidP="00CF7EDE">
            <w:pPr>
              <w:ind w:left="360"/>
              <w:rPr>
                <w:rFonts w:cstheme="minorHAnsi"/>
                <w:color w:val="000000" w:themeColor="text1"/>
                <w:sz w:val="24"/>
                <w:szCs w:val="24"/>
              </w:rPr>
            </w:pPr>
          </w:p>
          <w:p w14:paraId="675464C1" w14:textId="77777777" w:rsidR="00246ADD" w:rsidRDefault="00246ADD" w:rsidP="00CF7EDE">
            <w:pPr>
              <w:ind w:left="360"/>
              <w:rPr>
                <w:rFonts w:cstheme="minorHAnsi"/>
                <w:color w:val="000000" w:themeColor="text1"/>
                <w:sz w:val="24"/>
                <w:szCs w:val="24"/>
              </w:rPr>
            </w:pPr>
          </w:p>
          <w:p w14:paraId="386D4EE8" w14:textId="77777777" w:rsidR="00246ADD" w:rsidRDefault="00246ADD" w:rsidP="00CF7EDE">
            <w:pPr>
              <w:ind w:left="360"/>
              <w:rPr>
                <w:rFonts w:cstheme="minorHAnsi"/>
                <w:color w:val="000000" w:themeColor="text1"/>
                <w:sz w:val="24"/>
                <w:szCs w:val="24"/>
              </w:rPr>
            </w:pPr>
          </w:p>
          <w:p w14:paraId="3F42BA8C" w14:textId="77777777" w:rsidR="00246ADD" w:rsidRDefault="00246ADD" w:rsidP="00CF7EDE">
            <w:pPr>
              <w:ind w:left="360"/>
              <w:rPr>
                <w:rFonts w:cstheme="minorHAnsi"/>
                <w:color w:val="000000" w:themeColor="text1"/>
                <w:sz w:val="24"/>
                <w:szCs w:val="24"/>
              </w:rPr>
            </w:pPr>
          </w:p>
          <w:p w14:paraId="2EB428D1" w14:textId="77777777" w:rsidR="00246ADD" w:rsidRDefault="00246ADD" w:rsidP="00CF7EDE">
            <w:pPr>
              <w:ind w:left="360"/>
              <w:rPr>
                <w:rFonts w:cstheme="minorHAnsi"/>
                <w:color w:val="000000" w:themeColor="text1"/>
                <w:sz w:val="24"/>
                <w:szCs w:val="24"/>
              </w:rPr>
            </w:pPr>
          </w:p>
          <w:p w14:paraId="09E4624C" w14:textId="77777777" w:rsidR="00246ADD" w:rsidRDefault="00246ADD" w:rsidP="00CF7EDE">
            <w:pPr>
              <w:ind w:left="360"/>
              <w:rPr>
                <w:rFonts w:cstheme="minorHAnsi"/>
                <w:color w:val="000000" w:themeColor="text1"/>
                <w:sz w:val="24"/>
                <w:szCs w:val="24"/>
              </w:rPr>
            </w:pPr>
          </w:p>
          <w:p w14:paraId="062D1BED" w14:textId="77777777" w:rsidR="00246ADD" w:rsidRDefault="00246ADD" w:rsidP="00CF7EDE">
            <w:pPr>
              <w:ind w:left="360"/>
              <w:rPr>
                <w:rFonts w:cstheme="minorHAnsi"/>
                <w:color w:val="000000" w:themeColor="text1"/>
                <w:sz w:val="24"/>
                <w:szCs w:val="24"/>
              </w:rPr>
            </w:pPr>
          </w:p>
          <w:p w14:paraId="1A772E55" w14:textId="7E82C087" w:rsidR="00246ADD" w:rsidRPr="00E52142" w:rsidRDefault="00246ADD" w:rsidP="00CF7EDE">
            <w:pPr>
              <w:ind w:left="360"/>
              <w:rPr>
                <w:rFonts w:cstheme="minorHAnsi"/>
                <w:color w:val="000000" w:themeColor="text1"/>
                <w:sz w:val="24"/>
                <w:szCs w:val="24"/>
              </w:rPr>
            </w:pPr>
          </w:p>
        </w:tc>
        <w:tc>
          <w:tcPr>
            <w:tcW w:w="6051" w:type="dxa"/>
          </w:tcPr>
          <w:p w14:paraId="6B3BEDAA" w14:textId="129FF4B8" w:rsidR="00246ADD" w:rsidRDefault="00246ADD" w:rsidP="00246ADD">
            <w:pPr>
              <w:rPr>
                <w:rFonts w:cstheme="minorHAnsi"/>
                <w:color w:val="000000" w:themeColor="text1"/>
                <w:sz w:val="24"/>
                <w:szCs w:val="24"/>
              </w:rPr>
            </w:pPr>
          </w:p>
          <w:p w14:paraId="1D7BED65" w14:textId="364EF829" w:rsidR="00246ADD" w:rsidRDefault="00246ADD" w:rsidP="00246ADD">
            <w:pPr>
              <w:rPr>
                <w:rFonts w:cstheme="minorHAnsi"/>
                <w:color w:val="000000" w:themeColor="text1"/>
                <w:sz w:val="24"/>
                <w:szCs w:val="24"/>
              </w:rPr>
            </w:pPr>
          </w:p>
          <w:p w14:paraId="0E9306C7" w14:textId="3977B784" w:rsidR="00246ADD" w:rsidRDefault="00246ADD" w:rsidP="00246ADD">
            <w:pPr>
              <w:rPr>
                <w:rFonts w:cstheme="minorHAnsi"/>
                <w:color w:val="000000" w:themeColor="text1"/>
                <w:sz w:val="24"/>
                <w:szCs w:val="24"/>
              </w:rPr>
            </w:pPr>
          </w:p>
          <w:p w14:paraId="40C817C6" w14:textId="5744D215" w:rsidR="00246ADD" w:rsidRDefault="00246ADD" w:rsidP="00246ADD">
            <w:pPr>
              <w:rPr>
                <w:rFonts w:cstheme="minorHAnsi"/>
                <w:color w:val="000000" w:themeColor="text1"/>
                <w:sz w:val="24"/>
                <w:szCs w:val="24"/>
              </w:rPr>
            </w:pPr>
          </w:p>
          <w:p w14:paraId="063C5097" w14:textId="52EC65FB" w:rsidR="00246ADD" w:rsidRDefault="00246ADD" w:rsidP="00246ADD">
            <w:pPr>
              <w:rPr>
                <w:rFonts w:cstheme="minorHAnsi"/>
                <w:color w:val="000000" w:themeColor="text1"/>
                <w:sz w:val="24"/>
                <w:szCs w:val="24"/>
              </w:rPr>
            </w:pPr>
          </w:p>
          <w:p w14:paraId="52111FB4" w14:textId="75FA2E34" w:rsidR="00246ADD" w:rsidRDefault="00246ADD" w:rsidP="00246ADD">
            <w:pPr>
              <w:rPr>
                <w:rFonts w:cstheme="minorHAnsi"/>
                <w:color w:val="000000" w:themeColor="text1"/>
                <w:sz w:val="24"/>
                <w:szCs w:val="24"/>
              </w:rPr>
            </w:pPr>
          </w:p>
          <w:p w14:paraId="19CB7DB9" w14:textId="2EA2ED5D" w:rsidR="00246ADD" w:rsidRDefault="00246ADD" w:rsidP="00246ADD">
            <w:pPr>
              <w:rPr>
                <w:rFonts w:cstheme="minorHAnsi"/>
                <w:color w:val="000000" w:themeColor="text1"/>
                <w:sz w:val="24"/>
                <w:szCs w:val="24"/>
              </w:rPr>
            </w:pPr>
          </w:p>
          <w:p w14:paraId="3B78C361" w14:textId="22EC3BBA" w:rsidR="00246ADD" w:rsidRDefault="00246ADD" w:rsidP="00246ADD">
            <w:pPr>
              <w:rPr>
                <w:rFonts w:cstheme="minorHAnsi"/>
                <w:color w:val="000000" w:themeColor="text1"/>
                <w:sz w:val="24"/>
                <w:szCs w:val="24"/>
              </w:rPr>
            </w:pPr>
          </w:p>
          <w:p w14:paraId="5BBC2017" w14:textId="5B28042C" w:rsidR="00246ADD" w:rsidRDefault="00246ADD" w:rsidP="00246ADD">
            <w:pPr>
              <w:rPr>
                <w:rFonts w:cstheme="minorHAnsi"/>
                <w:color w:val="000000" w:themeColor="text1"/>
                <w:sz w:val="24"/>
                <w:szCs w:val="24"/>
              </w:rPr>
            </w:pPr>
          </w:p>
          <w:p w14:paraId="2934E274" w14:textId="77777777" w:rsidR="00246ADD" w:rsidRPr="00246ADD" w:rsidRDefault="00246ADD" w:rsidP="00246ADD">
            <w:pPr>
              <w:rPr>
                <w:rFonts w:cstheme="minorHAnsi"/>
                <w:color w:val="000000" w:themeColor="text1"/>
                <w:sz w:val="24"/>
                <w:szCs w:val="24"/>
              </w:rPr>
            </w:pPr>
          </w:p>
          <w:p w14:paraId="27F51AF9" w14:textId="7E2BA912" w:rsidR="00231EDD" w:rsidRDefault="005345F6" w:rsidP="00534E03">
            <w:pPr>
              <w:pStyle w:val="ListParagraph"/>
              <w:numPr>
                <w:ilvl w:val="0"/>
                <w:numId w:val="12"/>
              </w:numPr>
              <w:rPr>
                <w:rFonts w:cstheme="minorHAnsi"/>
                <w:color w:val="000000" w:themeColor="text1"/>
                <w:sz w:val="24"/>
                <w:szCs w:val="24"/>
              </w:rPr>
            </w:pPr>
            <w:r>
              <w:rPr>
                <w:rFonts w:cstheme="minorHAnsi"/>
                <w:color w:val="000000" w:themeColor="text1"/>
                <w:sz w:val="24"/>
                <w:szCs w:val="24"/>
              </w:rPr>
              <w:t xml:space="preserve">Kindly refer to </w:t>
            </w:r>
            <w:r w:rsidR="00231EDD">
              <w:rPr>
                <w:rFonts w:cstheme="minorHAnsi"/>
                <w:color w:val="000000" w:themeColor="text1"/>
                <w:sz w:val="24"/>
                <w:szCs w:val="24"/>
              </w:rPr>
              <w:t xml:space="preserve">Paragraph 26 (page 6) </w:t>
            </w:r>
            <w:r w:rsidR="00F9204C">
              <w:rPr>
                <w:rFonts w:cstheme="minorHAnsi"/>
                <w:color w:val="000000" w:themeColor="text1"/>
                <w:sz w:val="24"/>
                <w:szCs w:val="24"/>
              </w:rPr>
              <w:t xml:space="preserve">which </w:t>
            </w:r>
            <w:r w:rsidR="00231EDD">
              <w:rPr>
                <w:rFonts w:cstheme="minorHAnsi"/>
                <w:color w:val="000000" w:themeColor="text1"/>
                <w:sz w:val="24"/>
                <w:szCs w:val="24"/>
              </w:rPr>
              <w:t xml:space="preserve">clearly mentions that UNDP will support construction and rehabilitation of socioeconomics infrastructures and this will include </w:t>
            </w:r>
            <w:r w:rsidR="00231EDD" w:rsidRPr="002F62EA">
              <w:rPr>
                <w:rFonts w:cstheme="minorHAnsi"/>
                <w:color w:val="000000" w:themeColor="text1"/>
                <w:sz w:val="24"/>
                <w:szCs w:val="24"/>
              </w:rPr>
              <w:t>sub-hydro-agricultural, rural roads, solar power plant</w:t>
            </w:r>
            <w:r w:rsidR="00231EDD">
              <w:rPr>
                <w:rFonts w:cstheme="minorHAnsi"/>
                <w:color w:val="000000" w:themeColor="text1"/>
                <w:sz w:val="24"/>
                <w:szCs w:val="24"/>
              </w:rPr>
              <w:t xml:space="preserve">, intercommunal market as per </w:t>
            </w:r>
            <w:r w:rsidR="00B71AE9">
              <w:rPr>
                <w:rFonts w:cstheme="minorHAnsi"/>
                <w:color w:val="000000" w:themeColor="text1"/>
                <w:sz w:val="24"/>
                <w:szCs w:val="24"/>
              </w:rPr>
              <w:t xml:space="preserve">the </w:t>
            </w:r>
            <w:r w:rsidR="00231EDD">
              <w:rPr>
                <w:rFonts w:cstheme="minorHAnsi"/>
                <w:color w:val="000000" w:themeColor="text1"/>
                <w:sz w:val="24"/>
                <w:szCs w:val="24"/>
              </w:rPr>
              <w:t>need assessments</w:t>
            </w:r>
            <w:r w:rsidR="00B71AE9">
              <w:rPr>
                <w:rFonts w:cstheme="minorHAnsi"/>
                <w:color w:val="000000" w:themeColor="text1"/>
                <w:sz w:val="24"/>
                <w:szCs w:val="24"/>
              </w:rPr>
              <w:t>.</w:t>
            </w:r>
          </w:p>
          <w:p w14:paraId="01AFD615" w14:textId="440E954F" w:rsidR="00CF7EDE" w:rsidRPr="00E52142" w:rsidRDefault="00CF7EDE" w:rsidP="00231EDD">
            <w:pPr>
              <w:pStyle w:val="ListParagraph"/>
              <w:rPr>
                <w:rFonts w:cstheme="minorHAnsi"/>
                <w:color w:val="000000" w:themeColor="text1"/>
                <w:sz w:val="24"/>
                <w:szCs w:val="24"/>
              </w:rPr>
            </w:pPr>
          </w:p>
        </w:tc>
      </w:tr>
      <w:tr w:rsidR="00E52142" w:rsidRPr="00E52142" w14:paraId="1F829039" w14:textId="51B498D4" w:rsidTr="00467ADC">
        <w:trPr>
          <w:trHeight w:val="476"/>
        </w:trPr>
        <w:tc>
          <w:tcPr>
            <w:tcW w:w="5111" w:type="dxa"/>
            <w:vAlign w:val="center"/>
          </w:tcPr>
          <w:p w14:paraId="4B60263D" w14:textId="77777777" w:rsidR="00D55E8B" w:rsidRDefault="00D55E8B" w:rsidP="00D55E8B">
            <w:pPr>
              <w:numPr>
                <w:ilvl w:val="0"/>
                <w:numId w:val="12"/>
              </w:numPr>
              <w:ind w:right="600"/>
              <w:rPr>
                <w:sz w:val="20"/>
                <w:szCs w:val="20"/>
              </w:rPr>
            </w:pPr>
            <w:r w:rsidRPr="242719B1">
              <w:rPr>
                <w:sz w:val="20"/>
                <w:szCs w:val="20"/>
              </w:rPr>
              <w:t xml:space="preserve">Will the budget be sufficient to support UNDP’s strategy, and its scaling and sustainability, when the strategy focuses on the most impoverished and challenging area of the country--the south of Madagascar--which has been further undermined by current humanitarian crisis and the COVID-19 pandemic?  </w:t>
            </w:r>
          </w:p>
          <w:p w14:paraId="7B1CEB7A" w14:textId="3945F15F" w:rsidR="00CF7EDE" w:rsidRPr="00E52142" w:rsidRDefault="00CF7EDE" w:rsidP="00D55E8B">
            <w:pPr>
              <w:pStyle w:val="ListParagraph"/>
              <w:rPr>
                <w:rFonts w:cstheme="minorHAnsi"/>
                <w:color w:val="000000" w:themeColor="text1"/>
                <w:sz w:val="24"/>
                <w:szCs w:val="24"/>
              </w:rPr>
            </w:pPr>
          </w:p>
        </w:tc>
        <w:tc>
          <w:tcPr>
            <w:tcW w:w="2693" w:type="dxa"/>
          </w:tcPr>
          <w:p w14:paraId="5432F82E" w14:textId="4AE55D66" w:rsidR="00CF7EDE" w:rsidRPr="00E52142" w:rsidRDefault="00F9778B" w:rsidP="00F9778B">
            <w:pPr>
              <w:rPr>
                <w:rFonts w:cstheme="minorHAnsi"/>
                <w:color w:val="000000" w:themeColor="text1"/>
                <w:sz w:val="24"/>
                <w:szCs w:val="24"/>
                <w:lang w:val="en-US"/>
              </w:rPr>
            </w:pPr>
            <w:r w:rsidRPr="00E52142">
              <w:rPr>
                <w:rFonts w:cstheme="minorHAnsi"/>
                <w:color w:val="000000" w:themeColor="text1"/>
                <w:sz w:val="24"/>
                <w:szCs w:val="24"/>
                <w:lang w:val="en-US"/>
              </w:rPr>
              <w:lastRenderedPageBreak/>
              <w:t xml:space="preserve">    </w:t>
            </w:r>
          </w:p>
        </w:tc>
        <w:tc>
          <w:tcPr>
            <w:tcW w:w="6051" w:type="dxa"/>
          </w:tcPr>
          <w:p w14:paraId="1857D583" w14:textId="5E6E48E9" w:rsidR="00C572BB" w:rsidRPr="00C572BB" w:rsidRDefault="00C572BB" w:rsidP="00C572BB">
            <w:pPr>
              <w:pStyle w:val="ListParagraph"/>
              <w:numPr>
                <w:ilvl w:val="0"/>
                <w:numId w:val="12"/>
              </w:numPr>
              <w:rPr>
                <w:rFonts w:cstheme="minorHAnsi"/>
                <w:color w:val="000000" w:themeColor="text1"/>
                <w:sz w:val="24"/>
                <w:szCs w:val="24"/>
              </w:rPr>
            </w:pPr>
            <w:r>
              <w:rPr>
                <w:rFonts w:cstheme="minorHAnsi"/>
                <w:color w:val="000000" w:themeColor="text1"/>
                <w:sz w:val="24"/>
                <w:szCs w:val="24"/>
              </w:rPr>
              <w:t xml:space="preserve">UNDP interventions in the south will not be carried out in isolation, but in close coordination and complementarity with other UN Agencies (including joint programmes) and development partner in accordance with the </w:t>
            </w:r>
            <w:proofErr w:type="spellStart"/>
            <w:r>
              <w:rPr>
                <w:rFonts w:cstheme="minorHAnsi"/>
                <w:color w:val="000000" w:themeColor="text1"/>
                <w:sz w:val="24"/>
                <w:szCs w:val="24"/>
              </w:rPr>
              <w:t>ToC</w:t>
            </w:r>
            <w:proofErr w:type="spellEnd"/>
            <w:r>
              <w:rPr>
                <w:rFonts w:cstheme="minorHAnsi"/>
                <w:color w:val="000000" w:themeColor="text1"/>
                <w:sz w:val="24"/>
                <w:szCs w:val="24"/>
              </w:rPr>
              <w:t xml:space="preserve"> of the UNSDCF. Furthermore, UNDP intends to strengthen its </w:t>
            </w:r>
            <w:r>
              <w:rPr>
                <w:rFonts w:cstheme="minorHAnsi"/>
                <w:color w:val="000000" w:themeColor="text1"/>
                <w:sz w:val="24"/>
                <w:szCs w:val="24"/>
              </w:rPr>
              <w:lastRenderedPageBreak/>
              <w:t>resource mobilization strategy in order to advance the scaling and sustainability of the Program.</w:t>
            </w:r>
          </w:p>
        </w:tc>
      </w:tr>
      <w:tr w:rsidR="00E52142" w:rsidRPr="00E52142" w14:paraId="08712356" w14:textId="7CA6BA8F" w:rsidTr="00467ADC">
        <w:trPr>
          <w:trHeight w:val="476"/>
        </w:trPr>
        <w:tc>
          <w:tcPr>
            <w:tcW w:w="5111" w:type="dxa"/>
            <w:vAlign w:val="center"/>
          </w:tcPr>
          <w:p w14:paraId="42D1DF52" w14:textId="7F910FF2" w:rsidR="00CF7EDE" w:rsidRPr="00E52142" w:rsidRDefault="00D55E8B" w:rsidP="00D55E8B">
            <w:pPr>
              <w:numPr>
                <w:ilvl w:val="0"/>
                <w:numId w:val="12"/>
              </w:numPr>
              <w:ind w:right="600"/>
              <w:rPr>
                <w:rFonts w:cstheme="minorHAnsi"/>
                <w:color w:val="000000" w:themeColor="text1"/>
                <w:sz w:val="24"/>
                <w:szCs w:val="24"/>
              </w:rPr>
            </w:pPr>
            <w:r w:rsidRPr="242719B1">
              <w:rPr>
                <w:sz w:val="20"/>
                <w:szCs w:val="20"/>
              </w:rPr>
              <w:lastRenderedPageBreak/>
              <w:t xml:space="preserve">Indicator 1.3 Corruption Perception Index- It seems the baseline and target are </w:t>
            </w:r>
            <w:r w:rsidRPr="0002024E">
              <w:rPr>
                <w:sz w:val="20"/>
                <w:szCs w:val="20"/>
              </w:rPr>
              <w:t>identical. Is this by design?</w:t>
            </w:r>
          </w:p>
        </w:tc>
        <w:tc>
          <w:tcPr>
            <w:tcW w:w="2693" w:type="dxa"/>
          </w:tcPr>
          <w:p w14:paraId="7EA7F3FA" w14:textId="24742B3B" w:rsidR="00352B37" w:rsidRPr="00E52142" w:rsidRDefault="00D32BB6" w:rsidP="00352B37">
            <w:pPr>
              <w:pStyle w:val="CommentText"/>
              <w:rPr>
                <w:rFonts w:cstheme="minorHAnsi"/>
                <w:color w:val="000000" w:themeColor="text1"/>
                <w:sz w:val="24"/>
                <w:szCs w:val="24"/>
              </w:rPr>
            </w:pPr>
            <w:r w:rsidRPr="00E52142">
              <w:rPr>
                <w:rFonts w:cstheme="minorHAnsi"/>
                <w:color w:val="000000" w:themeColor="text1"/>
                <w:sz w:val="24"/>
                <w:szCs w:val="24"/>
              </w:rPr>
              <w:t xml:space="preserve"> </w:t>
            </w:r>
          </w:p>
          <w:p w14:paraId="28562617" w14:textId="76F41F18" w:rsidR="00CF7EDE" w:rsidRPr="00E52142" w:rsidRDefault="00CF7EDE" w:rsidP="00CF7EDE">
            <w:pPr>
              <w:pStyle w:val="CommentText"/>
              <w:rPr>
                <w:rFonts w:cstheme="minorHAnsi"/>
                <w:color w:val="000000" w:themeColor="text1"/>
                <w:sz w:val="24"/>
                <w:szCs w:val="24"/>
              </w:rPr>
            </w:pPr>
          </w:p>
        </w:tc>
        <w:tc>
          <w:tcPr>
            <w:tcW w:w="6051" w:type="dxa"/>
          </w:tcPr>
          <w:p w14:paraId="234FF417" w14:textId="4DCC4494" w:rsidR="00CF7EDE" w:rsidRPr="004F1DC7" w:rsidRDefault="002939FC" w:rsidP="004F1DC7">
            <w:pPr>
              <w:pStyle w:val="ListParagraph"/>
              <w:rPr>
                <w:rFonts w:cstheme="minorHAnsi"/>
                <w:bCs/>
                <w:color w:val="000000" w:themeColor="text1"/>
                <w:sz w:val="24"/>
                <w:szCs w:val="24"/>
              </w:rPr>
            </w:pPr>
            <w:r w:rsidRPr="0002024E">
              <w:rPr>
                <w:rFonts w:cstheme="minorHAnsi"/>
                <w:bCs/>
                <w:color w:val="000000" w:themeColor="text1"/>
                <w:sz w:val="24"/>
                <w:szCs w:val="24"/>
              </w:rPr>
              <w:t xml:space="preserve">Yes, this is the </w:t>
            </w:r>
            <w:r w:rsidR="00B944B3" w:rsidRPr="0002024E">
              <w:rPr>
                <w:rFonts w:cstheme="minorHAnsi"/>
                <w:bCs/>
                <w:color w:val="000000" w:themeColor="text1"/>
                <w:sz w:val="24"/>
                <w:szCs w:val="24"/>
              </w:rPr>
              <w:t xml:space="preserve">pragmatic </w:t>
            </w:r>
            <w:r w:rsidRPr="0002024E">
              <w:rPr>
                <w:rFonts w:cstheme="minorHAnsi"/>
                <w:bCs/>
                <w:color w:val="000000" w:themeColor="text1"/>
                <w:sz w:val="24"/>
                <w:szCs w:val="24"/>
              </w:rPr>
              <w:t>desi</w:t>
            </w:r>
            <w:r w:rsidR="0040303C" w:rsidRPr="0002024E">
              <w:rPr>
                <w:rFonts w:cstheme="minorHAnsi"/>
                <w:bCs/>
                <w:color w:val="000000" w:themeColor="text1"/>
                <w:sz w:val="24"/>
                <w:szCs w:val="24"/>
              </w:rPr>
              <w:t xml:space="preserve">gn when we see the trend </w:t>
            </w:r>
            <w:r w:rsidR="00EF28CF" w:rsidRPr="0002024E">
              <w:rPr>
                <w:rFonts w:cstheme="minorHAnsi"/>
                <w:bCs/>
                <w:color w:val="000000" w:themeColor="text1"/>
                <w:sz w:val="24"/>
                <w:szCs w:val="24"/>
              </w:rPr>
              <w:t xml:space="preserve">of </w:t>
            </w:r>
            <w:r w:rsidR="00113FE2" w:rsidRPr="0002024E">
              <w:rPr>
                <w:rFonts w:cstheme="minorHAnsi"/>
                <w:bCs/>
                <w:color w:val="000000" w:themeColor="text1"/>
                <w:sz w:val="24"/>
                <w:szCs w:val="24"/>
              </w:rPr>
              <w:t>the</w:t>
            </w:r>
            <w:r w:rsidR="00113FE2">
              <w:rPr>
                <w:rFonts w:cstheme="minorHAnsi"/>
                <w:bCs/>
                <w:color w:val="000000" w:themeColor="text1"/>
                <w:sz w:val="24"/>
                <w:szCs w:val="24"/>
              </w:rPr>
              <w:t xml:space="preserve"> last couple of years</w:t>
            </w:r>
            <w:r w:rsidR="00EF418D">
              <w:rPr>
                <w:rFonts w:cstheme="minorHAnsi"/>
                <w:bCs/>
                <w:color w:val="000000" w:themeColor="text1"/>
                <w:sz w:val="24"/>
                <w:szCs w:val="24"/>
              </w:rPr>
              <w:t xml:space="preserve"> </w:t>
            </w:r>
            <w:r w:rsidR="000A7743">
              <w:rPr>
                <w:rFonts w:cstheme="minorHAnsi"/>
                <w:bCs/>
                <w:color w:val="000000" w:themeColor="text1"/>
                <w:sz w:val="24"/>
                <w:szCs w:val="24"/>
              </w:rPr>
              <w:t>(25</w:t>
            </w:r>
            <w:r w:rsidR="00D110E0">
              <w:rPr>
                <w:rFonts w:cstheme="minorHAnsi"/>
                <w:bCs/>
                <w:color w:val="000000" w:themeColor="text1"/>
                <w:sz w:val="24"/>
                <w:szCs w:val="24"/>
              </w:rPr>
              <w:t xml:space="preserve">/100 in 2020; 24/100 in 2019; 25/100 in 2018; </w:t>
            </w:r>
            <w:r w:rsidR="001234FF">
              <w:rPr>
                <w:rFonts w:cstheme="minorHAnsi"/>
                <w:bCs/>
                <w:color w:val="000000" w:themeColor="text1"/>
                <w:sz w:val="24"/>
                <w:szCs w:val="24"/>
              </w:rPr>
              <w:t>24/100 in 2017)</w:t>
            </w:r>
            <w:r w:rsidR="00113FE2">
              <w:rPr>
                <w:rFonts w:cstheme="minorHAnsi"/>
                <w:bCs/>
                <w:color w:val="000000" w:themeColor="text1"/>
                <w:sz w:val="24"/>
                <w:szCs w:val="24"/>
              </w:rPr>
              <w:t>.</w:t>
            </w:r>
            <w:r w:rsidR="004F1DC7">
              <w:rPr>
                <w:rFonts w:cstheme="minorHAnsi"/>
                <w:bCs/>
                <w:color w:val="000000" w:themeColor="text1"/>
                <w:sz w:val="24"/>
                <w:szCs w:val="24"/>
              </w:rPr>
              <w:t xml:space="preserve"> </w:t>
            </w:r>
            <w:r w:rsidR="001234FF">
              <w:rPr>
                <w:rFonts w:cstheme="minorHAnsi"/>
                <w:bCs/>
                <w:color w:val="000000" w:themeColor="text1"/>
                <w:sz w:val="24"/>
                <w:szCs w:val="24"/>
              </w:rPr>
              <w:t>T</w:t>
            </w:r>
            <w:r w:rsidR="00246ADD">
              <w:rPr>
                <w:rFonts w:cstheme="minorHAnsi"/>
                <w:bCs/>
                <w:color w:val="000000" w:themeColor="text1"/>
                <w:sz w:val="24"/>
                <w:szCs w:val="24"/>
              </w:rPr>
              <w:t xml:space="preserve">he current CPD cycle planned for 2,5years is focusing on interventions </w:t>
            </w:r>
            <w:r w:rsidR="002F62EA">
              <w:rPr>
                <w:rFonts w:cstheme="minorHAnsi"/>
                <w:bCs/>
                <w:color w:val="000000" w:themeColor="text1"/>
                <w:sz w:val="24"/>
                <w:szCs w:val="24"/>
              </w:rPr>
              <w:t xml:space="preserve">aiming at </w:t>
            </w:r>
            <w:r w:rsidR="00C572BB">
              <w:rPr>
                <w:rFonts w:cstheme="minorHAnsi"/>
                <w:bCs/>
                <w:color w:val="000000" w:themeColor="text1"/>
                <w:sz w:val="24"/>
                <w:szCs w:val="24"/>
              </w:rPr>
              <w:t xml:space="preserve">laying the foundation </w:t>
            </w:r>
            <w:r w:rsidR="002F62EA" w:rsidRPr="004F1DC7">
              <w:rPr>
                <w:rFonts w:cstheme="minorHAnsi"/>
                <w:bCs/>
                <w:color w:val="000000" w:themeColor="text1"/>
                <w:sz w:val="24"/>
                <w:szCs w:val="24"/>
              </w:rPr>
              <w:t xml:space="preserve">and preparing robust baselines </w:t>
            </w:r>
            <w:r w:rsidR="004F1DC7">
              <w:rPr>
                <w:rFonts w:cstheme="minorHAnsi"/>
                <w:bCs/>
                <w:color w:val="000000" w:themeColor="text1"/>
                <w:sz w:val="24"/>
                <w:szCs w:val="24"/>
              </w:rPr>
              <w:t xml:space="preserve">for reducing the Corruption by 2030. And this implies at least </w:t>
            </w:r>
            <w:r w:rsidR="00DF53DB">
              <w:rPr>
                <w:rFonts w:cstheme="minorHAnsi"/>
                <w:bCs/>
                <w:color w:val="000000" w:themeColor="text1"/>
                <w:sz w:val="24"/>
                <w:szCs w:val="24"/>
              </w:rPr>
              <w:t xml:space="preserve">contributing to </w:t>
            </w:r>
            <w:r w:rsidR="004F1DC7">
              <w:rPr>
                <w:rFonts w:cstheme="minorHAnsi"/>
                <w:bCs/>
                <w:color w:val="000000" w:themeColor="text1"/>
                <w:sz w:val="24"/>
                <w:szCs w:val="24"/>
              </w:rPr>
              <w:t>maintain</w:t>
            </w:r>
            <w:r w:rsidR="00DF53DB">
              <w:rPr>
                <w:rFonts w:cstheme="minorHAnsi"/>
                <w:bCs/>
                <w:color w:val="000000" w:themeColor="text1"/>
                <w:sz w:val="24"/>
                <w:szCs w:val="24"/>
              </w:rPr>
              <w:t xml:space="preserve"> </w:t>
            </w:r>
            <w:r w:rsidR="004F1DC7">
              <w:rPr>
                <w:rFonts w:cstheme="minorHAnsi"/>
                <w:bCs/>
                <w:color w:val="000000" w:themeColor="text1"/>
                <w:sz w:val="24"/>
                <w:szCs w:val="24"/>
              </w:rPr>
              <w:t xml:space="preserve">the progress made </w:t>
            </w:r>
            <w:r w:rsidR="001234FF">
              <w:rPr>
                <w:rFonts w:cstheme="minorHAnsi"/>
                <w:bCs/>
                <w:color w:val="000000" w:themeColor="text1"/>
                <w:sz w:val="24"/>
                <w:szCs w:val="24"/>
              </w:rPr>
              <w:t>in 2020</w:t>
            </w:r>
            <w:r w:rsidR="004F1DC7">
              <w:rPr>
                <w:rFonts w:cstheme="minorHAnsi"/>
                <w:bCs/>
                <w:color w:val="000000" w:themeColor="text1"/>
                <w:sz w:val="24"/>
                <w:szCs w:val="24"/>
              </w:rPr>
              <w:t xml:space="preserve"> and </w:t>
            </w:r>
            <w:r w:rsidR="004F1DC7" w:rsidRPr="004F1DC7">
              <w:rPr>
                <w:rFonts w:cstheme="minorHAnsi"/>
                <w:bCs/>
                <w:color w:val="000000" w:themeColor="text1"/>
                <w:sz w:val="24"/>
                <w:szCs w:val="24"/>
              </w:rPr>
              <w:t>ensuring the CPI is not going down during these 2,5 years cycle.</w:t>
            </w:r>
          </w:p>
        </w:tc>
      </w:tr>
      <w:tr w:rsidR="00025AEB" w:rsidRPr="00E52142" w14:paraId="7296AE2E" w14:textId="77777777" w:rsidTr="00025AEB">
        <w:trPr>
          <w:trHeight w:val="476"/>
        </w:trPr>
        <w:tc>
          <w:tcPr>
            <w:tcW w:w="5111" w:type="dxa"/>
            <w:shd w:val="clear" w:color="auto" w:fill="4F81BD" w:themeFill="accent1"/>
            <w:vAlign w:val="center"/>
          </w:tcPr>
          <w:p w14:paraId="08257B70" w14:textId="5453ADA4" w:rsidR="00025AEB" w:rsidRPr="00025AEB" w:rsidRDefault="00025AEB" w:rsidP="005B78D8">
            <w:pPr>
              <w:ind w:right="600"/>
              <w:rPr>
                <w:b/>
                <w:bCs/>
                <w:sz w:val="28"/>
                <w:szCs w:val="28"/>
              </w:rPr>
            </w:pPr>
            <w:r w:rsidRPr="00025AEB">
              <w:rPr>
                <w:b/>
                <w:bCs/>
                <w:color w:val="FFFFFF" w:themeColor="background1"/>
                <w:sz w:val="28"/>
                <w:szCs w:val="28"/>
              </w:rPr>
              <w:t>Germany</w:t>
            </w:r>
          </w:p>
        </w:tc>
        <w:tc>
          <w:tcPr>
            <w:tcW w:w="2693" w:type="dxa"/>
            <w:shd w:val="clear" w:color="auto" w:fill="4F81BD" w:themeFill="accent1"/>
          </w:tcPr>
          <w:p w14:paraId="20FD2FBC" w14:textId="77777777" w:rsidR="00025AEB" w:rsidRPr="00E52142" w:rsidRDefault="00025AEB" w:rsidP="00352B37">
            <w:pPr>
              <w:pStyle w:val="CommentText"/>
              <w:rPr>
                <w:rFonts w:cstheme="minorHAnsi"/>
                <w:color w:val="000000" w:themeColor="text1"/>
                <w:sz w:val="24"/>
                <w:szCs w:val="24"/>
              </w:rPr>
            </w:pPr>
          </w:p>
        </w:tc>
        <w:tc>
          <w:tcPr>
            <w:tcW w:w="6051" w:type="dxa"/>
            <w:shd w:val="clear" w:color="auto" w:fill="4F81BD" w:themeFill="accent1"/>
          </w:tcPr>
          <w:p w14:paraId="2C1D140B" w14:textId="77777777" w:rsidR="00025AEB" w:rsidRPr="00E52142" w:rsidRDefault="00025AEB" w:rsidP="009E4511">
            <w:pPr>
              <w:pStyle w:val="ListParagraph"/>
              <w:rPr>
                <w:rFonts w:cstheme="minorHAnsi"/>
                <w:bCs/>
                <w:color w:val="000000" w:themeColor="text1"/>
                <w:sz w:val="24"/>
                <w:szCs w:val="24"/>
              </w:rPr>
            </w:pPr>
          </w:p>
        </w:tc>
      </w:tr>
      <w:tr w:rsidR="00025AEB" w:rsidRPr="00E52142" w14:paraId="201D0239" w14:textId="77777777" w:rsidTr="00467ADC">
        <w:trPr>
          <w:trHeight w:val="476"/>
        </w:trPr>
        <w:tc>
          <w:tcPr>
            <w:tcW w:w="5111" w:type="dxa"/>
            <w:vAlign w:val="center"/>
          </w:tcPr>
          <w:p w14:paraId="10176312" w14:textId="036CEC45" w:rsidR="00025AEB" w:rsidRPr="242719B1" w:rsidRDefault="00025AEB" w:rsidP="00D55E8B">
            <w:pPr>
              <w:numPr>
                <w:ilvl w:val="0"/>
                <w:numId w:val="12"/>
              </w:numPr>
              <w:ind w:right="600"/>
              <w:rPr>
                <w:sz w:val="20"/>
                <w:szCs w:val="20"/>
              </w:rPr>
            </w:pPr>
            <w:r>
              <w:rPr>
                <w:rFonts w:cs="Times New Roman"/>
                <w:sz w:val="24"/>
                <w:szCs w:val="24"/>
              </w:rPr>
              <w:t>Overall well-thought, well-rounded strategy that intervenes in some high priority areas for the development of the country. Its support to the electoral cycle was and is crucial. It should go on in the current “in-between-elections” period with regards to updating the voters’ register, ensuring technical feasibility of a fair, transparent vote, etc.</w:t>
            </w:r>
          </w:p>
        </w:tc>
        <w:tc>
          <w:tcPr>
            <w:tcW w:w="2693" w:type="dxa"/>
          </w:tcPr>
          <w:p w14:paraId="6C405153" w14:textId="77777777" w:rsidR="00025AEB" w:rsidRPr="00E52142" w:rsidRDefault="00025AEB" w:rsidP="00352B37">
            <w:pPr>
              <w:pStyle w:val="CommentText"/>
              <w:rPr>
                <w:rFonts w:cstheme="minorHAnsi"/>
                <w:color w:val="000000" w:themeColor="text1"/>
                <w:sz w:val="24"/>
                <w:szCs w:val="24"/>
              </w:rPr>
            </w:pPr>
          </w:p>
        </w:tc>
        <w:tc>
          <w:tcPr>
            <w:tcW w:w="6051" w:type="dxa"/>
          </w:tcPr>
          <w:p w14:paraId="7A7CC84C" w14:textId="4E4B2F2E" w:rsidR="00025AEB" w:rsidRPr="00E52142" w:rsidRDefault="00901CB7" w:rsidP="009E4511">
            <w:pPr>
              <w:pStyle w:val="ListParagraph"/>
              <w:rPr>
                <w:rFonts w:cstheme="minorHAnsi"/>
                <w:bCs/>
                <w:color w:val="000000" w:themeColor="text1"/>
                <w:sz w:val="24"/>
                <w:szCs w:val="24"/>
              </w:rPr>
            </w:pPr>
            <w:r>
              <w:rPr>
                <w:rFonts w:cstheme="minorHAnsi"/>
                <w:bCs/>
                <w:color w:val="000000" w:themeColor="text1"/>
                <w:sz w:val="24"/>
                <w:szCs w:val="24"/>
              </w:rPr>
              <w:t xml:space="preserve">This is well noted, and </w:t>
            </w:r>
            <w:r w:rsidR="00761185">
              <w:rPr>
                <w:rFonts w:cstheme="minorHAnsi"/>
                <w:bCs/>
                <w:color w:val="000000" w:themeColor="text1"/>
                <w:sz w:val="24"/>
                <w:szCs w:val="24"/>
              </w:rPr>
              <w:t>UNDP will take into consideration these relevant observations during the implementation of the electoral cycle support chapter of this new program</w:t>
            </w:r>
          </w:p>
        </w:tc>
      </w:tr>
      <w:tr w:rsidR="00025AEB" w:rsidRPr="00E52142" w14:paraId="1B98C61F" w14:textId="77777777" w:rsidTr="00467ADC">
        <w:trPr>
          <w:trHeight w:val="476"/>
        </w:trPr>
        <w:tc>
          <w:tcPr>
            <w:tcW w:w="5111" w:type="dxa"/>
            <w:vAlign w:val="center"/>
          </w:tcPr>
          <w:p w14:paraId="1E236D4D" w14:textId="669231CE" w:rsidR="00025AEB" w:rsidRPr="242719B1" w:rsidRDefault="00025AEB" w:rsidP="00D55E8B">
            <w:pPr>
              <w:numPr>
                <w:ilvl w:val="0"/>
                <w:numId w:val="12"/>
              </w:numPr>
              <w:ind w:right="600"/>
              <w:rPr>
                <w:sz w:val="20"/>
                <w:szCs w:val="20"/>
              </w:rPr>
            </w:pPr>
            <w:r>
              <w:rPr>
                <w:rFonts w:cs="Times New Roman"/>
                <w:sz w:val="24"/>
                <w:szCs w:val="24"/>
              </w:rPr>
              <w:t>UNDP is and can be a natural partner for German development cooperation in the governance, anti-</w:t>
            </w:r>
            <w:proofErr w:type="gramStart"/>
            <w:r>
              <w:rPr>
                <w:rFonts w:cs="Times New Roman"/>
                <w:sz w:val="24"/>
                <w:szCs w:val="24"/>
              </w:rPr>
              <w:t>corruption</w:t>
            </w:r>
            <w:proofErr w:type="gramEnd"/>
            <w:r>
              <w:rPr>
                <w:rFonts w:cs="Times New Roman"/>
                <w:sz w:val="24"/>
                <w:szCs w:val="24"/>
              </w:rPr>
              <w:t xml:space="preserve"> and environment sector.</w:t>
            </w:r>
          </w:p>
        </w:tc>
        <w:tc>
          <w:tcPr>
            <w:tcW w:w="2693" w:type="dxa"/>
          </w:tcPr>
          <w:p w14:paraId="5024F086" w14:textId="77777777" w:rsidR="00025AEB" w:rsidRPr="00E52142" w:rsidRDefault="00025AEB" w:rsidP="00352B37">
            <w:pPr>
              <w:pStyle w:val="CommentText"/>
              <w:rPr>
                <w:rFonts w:cstheme="minorHAnsi"/>
                <w:color w:val="000000" w:themeColor="text1"/>
                <w:sz w:val="24"/>
                <w:szCs w:val="24"/>
              </w:rPr>
            </w:pPr>
          </w:p>
        </w:tc>
        <w:tc>
          <w:tcPr>
            <w:tcW w:w="6051" w:type="dxa"/>
          </w:tcPr>
          <w:p w14:paraId="488DA6BF" w14:textId="7BF973D0" w:rsidR="00025AEB" w:rsidRDefault="00025AEB" w:rsidP="009E4511">
            <w:pPr>
              <w:pStyle w:val="ListParagraph"/>
              <w:rPr>
                <w:rFonts w:cstheme="minorHAnsi"/>
                <w:bCs/>
                <w:color w:val="000000" w:themeColor="text1"/>
                <w:sz w:val="24"/>
                <w:szCs w:val="24"/>
              </w:rPr>
            </w:pPr>
          </w:p>
          <w:p w14:paraId="342C1E72" w14:textId="67CB6EDD" w:rsidR="004F1DC7" w:rsidRPr="00E52142" w:rsidRDefault="004F1DC7" w:rsidP="009E4511">
            <w:pPr>
              <w:pStyle w:val="ListParagraph"/>
              <w:rPr>
                <w:rFonts w:cstheme="minorHAnsi"/>
                <w:bCs/>
                <w:color w:val="000000" w:themeColor="text1"/>
                <w:sz w:val="24"/>
                <w:szCs w:val="24"/>
              </w:rPr>
            </w:pPr>
            <w:r>
              <w:rPr>
                <w:rFonts w:cstheme="minorHAnsi"/>
                <w:bCs/>
                <w:color w:val="000000" w:themeColor="text1"/>
                <w:sz w:val="24"/>
                <w:szCs w:val="24"/>
              </w:rPr>
              <w:t xml:space="preserve">UNDP is very keen to strengthen its partnership with </w:t>
            </w:r>
            <w:r>
              <w:rPr>
                <w:rFonts w:cs="Times New Roman"/>
                <w:sz w:val="24"/>
                <w:szCs w:val="24"/>
              </w:rPr>
              <w:t>the German development cooperation in the governance, anti-</w:t>
            </w:r>
            <w:proofErr w:type="gramStart"/>
            <w:r>
              <w:rPr>
                <w:rFonts w:cs="Times New Roman"/>
                <w:sz w:val="24"/>
                <w:szCs w:val="24"/>
              </w:rPr>
              <w:t>corruption</w:t>
            </w:r>
            <w:proofErr w:type="gramEnd"/>
            <w:r>
              <w:rPr>
                <w:rFonts w:cs="Times New Roman"/>
                <w:sz w:val="24"/>
                <w:szCs w:val="24"/>
              </w:rPr>
              <w:t xml:space="preserve"> and environment sector</w:t>
            </w:r>
          </w:p>
        </w:tc>
      </w:tr>
      <w:tr w:rsidR="00025AEB" w:rsidRPr="00E52142" w14:paraId="03715418" w14:textId="77777777" w:rsidTr="00467ADC">
        <w:trPr>
          <w:trHeight w:val="476"/>
        </w:trPr>
        <w:tc>
          <w:tcPr>
            <w:tcW w:w="5111" w:type="dxa"/>
            <w:vAlign w:val="center"/>
          </w:tcPr>
          <w:p w14:paraId="3EA892A9" w14:textId="660E1D8C" w:rsidR="00025AEB" w:rsidRPr="242719B1" w:rsidRDefault="00025AEB" w:rsidP="00D55E8B">
            <w:pPr>
              <w:numPr>
                <w:ilvl w:val="0"/>
                <w:numId w:val="12"/>
              </w:numPr>
              <w:ind w:right="600"/>
              <w:rPr>
                <w:sz w:val="20"/>
                <w:szCs w:val="20"/>
              </w:rPr>
            </w:pPr>
            <w:r>
              <w:rPr>
                <w:rFonts w:cs="Times New Roman"/>
                <w:sz w:val="24"/>
                <w:szCs w:val="24"/>
              </w:rPr>
              <w:lastRenderedPageBreak/>
              <w:t>Due to its broad, over-arching mandate, we encourage UNDP to take a more prominent role inside the UN system, encouraging the close collaboration and leveraging of synergies amongst different UN agencies.</w:t>
            </w:r>
          </w:p>
        </w:tc>
        <w:tc>
          <w:tcPr>
            <w:tcW w:w="2693" w:type="dxa"/>
          </w:tcPr>
          <w:p w14:paraId="640F325D" w14:textId="77777777" w:rsidR="00025AEB" w:rsidRPr="00E52142" w:rsidRDefault="00025AEB" w:rsidP="00352B37">
            <w:pPr>
              <w:pStyle w:val="CommentText"/>
              <w:rPr>
                <w:rFonts w:cstheme="minorHAnsi"/>
                <w:color w:val="000000" w:themeColor="text1"/>
                <w:sz w:val="24"/>
                <w:szCs w:val="24"/>
              </w:rPr>
            </w:pPr>
          </w:p>
        </w:tc>
        <w:tc>
          <w:tcPr>
            <w:tcW w:w="6051" w:type="dxa"/>
          </w:tcPr>
          <w:p w14:paraId="360BF2E0" w14:textId="5E0CFEFA" w:rsidR="00025AEB" w:rsidRPr="00E52142" w:rsidRDefault="00761185" w:rsidP="009E4511">
            <w:pPr>
              <w:pStyle w:val="ListParagraph"/>
              <w:rPr>
                <w:rFonts w:cstheme="minorHAnsi"/>
                <w:bCs/>
                <w:color w:val="000000" w:themeColor="text1"/>
                <w:sz w:val="24"/>
                <w:szCs w:val="24"/>
              </w:rPr>
            </w:pPr>
            <w:r w:rsidRPr="00761185">
              <w:rPr>
                <w:rFonts w:cstheme="minorHAnsi"/>
                <w:bCs/>
                <w:color w:val="000000" w:themeColor="text1"/>
                <w:sz w:val="24"/>
                <w:szCs w:val="24"/>
              </w:rPr>
              <w:t>UNDP will take into consideration these relevant observations during the implementation of this new program</w:t>
            </w:r>
          </w:p>
        </w:tc>
      </w:tr>
      <w:tr w:rsidR="00025AEB" w:rsidRPr="00E52142" w14:paraId="20AB34FE" w14:textId="77777777" w:rsidTr="00467ADC">
        <w:trPr>
          <w:trHeight w:val="476"/>
        </w:trPr>
        <w:tc>
          <w:tcPr>
            <w:tcW w:w="5111" w:type="dxa"/>
            <w:vAlign w:val="center"/>
          </w:tcPr>
          <w:p w14:paraId="0B0E964D" w14:textId="29E7BABC" w:rsidR="00025AEB" w:rsidRPr="242719B1" w:rsidRDefault="00025AEB" w:rsidP="00D55E8B">
            <w:pPr>
              <w:numPr>
                <w:ilvl w:val="0"/>
                <w:numId w:val="12"/>
              </w:numPr>
              <w:ind w:right="600"/>
              <w:rPr>
                <w:sz w:val="20"/>
                <w:szCs w:val="20"/>
              </w:rPr>
            </w:pPr>
            <w:r>
              <w:rPr>
                <w:rFonts w:cs="Times New Roman"/>
                <w:sz w:val="24"/>
                <w:szCs w:val="24"/>
              </w:rPr>
              <w:t xml:space="preserve">We encourage UNDP to further develop its transparency vis-à-vis other international donors and agencies. Needs in Madagascar are enormous, the donor landscape remains somewhat limited – there is no need to protecting one’s </w:t>
            </w:r>
            <w:proofErr w:type="gramStart"/>
            <w:r>
              <w:rPr>
                <w:rFonts w:cs="Times New Roman"/>
                <w:sz w:val="24"/>
                <w:szCs w:val="24"/>
              </w:rPr>
              <w:t>claim</w:t>
            </w:r>
            <w:proofErr w:type="gramEnd"/>
            <w:r>
              <w:rPr>
                <w:rFonts w:cs="Times New Roman"/>
                <w:sz w:val="24"/>
                <w:szCs w:val="24"/>
              </w:rPr>
              <w:t xml:space="preserve"> but we can all only benefit from information and access sharing.</w:t>
            </w:r>
          </w:p>
        </w:tc>
        <w:tc>
          <w:tcPr>
            <w:tcW w:w="2693" w:type="dxa"/>
          </w:tcPr>
          <w:p w14:paraId="49A8AF3C" w14:textId="77777777" w:rsidR="00025AEB" w:rsidRPr="00E52142" w:rsidRDefault="00025AEB" w:rsidP="00352B37">
            <w:pPr>
              <w:pStyle w:val="CommentText"/>
              <w:rPr>
                <w:rFonts w:cstheme="minorHAnsi"/>
                <w:color w:val="000000" w:themeColor="text1"/>
                <w:sz w:val="24"/>
                <w:szCs w:val="24"/>
              </w:rPr>
            </w:pPr>
          </w:p>
        </w:tc>
        <w:tc>
          <w:tcPr>
            <w:tcW w:w="6051" w:type="dxa"/>
          </w:tcPr>
          <w:p w14:paraId="67577187" w14:textId="26878EA6" w:rsidR="00025AEB" w:rsidRPr="00E52142" w:rsidRDefault="00761185" w:rsidP="009E4511">
            <w:pPr>
              <w:pStyle w:val="ListParagraph"/>
              <w:rPr>
                <w:rFonts w:cstheme="minorHAnsi"/>
                <w:bCs/>
                <w:color w:val="000000" w:themeColor="text1"/>
                <w:sz w:val="24"/>
                <w:szCs w:val="24"/>
              </w:rPr>
            </w:pPr>
            <w:r>
              <w:rPr>
                <w:rFonts w:cstheme="minorHAnsi"/>
                <w:bCs/>
                <w:color w:val="000000" w:themeColor="text1"/>
                <w:sz w:val="24"/>
                <w:szCs w:val="24"/>
              </w:rPr>
              <w:t xml:space="preserve">This is very well noted, and </w:t>
            </w:r>
            <w:r w:rsidRPr="00761185">
              <w:rPr>
                <w:rFonts w:cstheme="minorHAnsi"/>
                <w:bCs/>
                <w:color w:val="000000" w:themeColor="text1"/>
                <w:sz w:val="24"/>
                <w:szCs w:val="24"/>
              </w:rPr>
              <w:t>UNDP will take into consideration these relevant observations during the implementation of this new program</w:t>
            </w:r>
          </w:p>
        </w:tc>
      </w:tr>
      <w:tr w:rsidR="00025AEB" w:rsidRPr="00E52142" w14:paraId="218E0AFF" w14:textId="77777777" w:rsidTr="00467ADC">
        <w:trPr>
          <w:trHeight w:val="476"/>
        </w:trPr>
        <w:tc>
          <w:tcPr>
            <w:tcW w:w="5111" w:type="dxa"/>
            <w:vAlign w:val="center"/>
          </w:tcPr>
          <w:p w14:paraId="6E0DE79A" w14:textId="19FAB82C" w:rsidR="00025AEB" w:rsidRPr="242719B1" w:rsidRDefault="00025AEB" w:rsidP="00D55E8B">
            <w:pPr>
              <w:numPr>
                <w:ilvl w:val="0"/>
                <w:numId w:val="12"/>
              </w:numPr>
              <w:ind w:right="600"/>
              <w:rPr>
                <w:sz w:val="20"/>
                <w:szCs w:val="20"/>
              </w:rPr>
            </w:pPr>
            <w:r w:rsidRPr="00F52234">
              <w:rPr>
                <w:rFonts w:cs="Times New Roman"/>
                <w:sz w:val="24"/>
                <w:szCs w:val="24"/>
              </w:rPr>
              <w:t xml:space="preserve">The proposal is in line with the national priorities in the sector of natural environment and response to climate change. </w:t>
            </w:r>
            <w:r w:rsidRPr="00F1049E">
              <w:rPr>
                <w:rFonts w:cs="Times New Roman"/>
                <w:sz w:val="24"/>
                <w:szCs w:val="24"/>
              </w:rPr>
              <w:t>Within the framework of the national coordination platform (</w:t>
            </w:r>
            <w:proofErr w:type="spellStart"/>
            <w:r w:rsidRPr="00F52234">
              <w:rPr>
                <w:rFonts w:cs="Times New Roman"/>
                <w:i/>
                <w:iCs/>
                <w:sz w:val="24"/>
                <w:szCs w:val="24"/>
              </w:rPr>
              <w:t>Plateforme</w:t>
            </w:r>
            <w:proofErr w:type="spellEnd"/>
            <w:r w:rsidRPr="00F52234">
              <w:rPr>
                <w:rFonts w:cs="Times New Roman"/>
                <w:i/>
                <w:iCs/>
                <w:sz w:val="24"/>
                <w:szCs w:val="24"/>
              </w:rPr>
              <w:t xml:space="preserve"> de concertation </w:t>
            </w:r>
            <w:proofErr w:type="spellStart"/>
            <w:r w:rsidRPr="00F52234">
              <w:rPr>
                <w:rFonts w:cs="Times New Roman"/>
                <w:i/>
                <w:iCs/>
                <w:sz w:val="24"/>
                <w:szCs w:val="24"/>
              </w:rPr>
              <w:t>sectorielle</w:t>
            </w:r>
            <w:proofErr w:type="spellEnd"/>
            <w:r w:rsidRPr="00F52234">
              <w:rPr>
                <w:rFonts w:cs="Times New Roman"/>
                <w:i/>
                <w:iCs/>
                <w:sz w:val="24"/>
                <w:szCs w:val="24"/>
              </w:rPr>
              <w:t xml:space="preserve"> </w:t>
            </w:r>
            <w:proofErr w:type="spellStart"/>
            <w:r w:rsidRPr="00F52234">
              <w:rPr>
                <w:rFonts w:cs="Times New Roman"/>
                <w:i/>
                <w:iCs/>
                <w:sz w:val="24"/>
                <w:szCs w:val="24"/>
              </w:rPr>
              <w:t>Environnement</w:t>
            </w:r>
            <w:proofErr w:type="spellEnd"/>
            <w:r w:rsidRPr="00F1049E">
              <w:rPr>
                <w:rFonts w:cs="Times New Roman"/>
                <w:sz w:val="24"/>
                <w:szCs w:val="24"/>
              </w:rPr>
              <w:t xml:space="preserve"> / PCS-E) of the Ministry of Environment and Sustainable Development and the international donors, strategies and methodological concepts are discussed and a coordinated approach is called for. To ensure the </w:t>
            </w:r>
            <w:r w:rsidRPr="00F1049E">
              <w:rPr>
                <w:rFonts w:cs="Times New Roman"/>
                <w:sz w:val="24"/>
                <w:szCs w:val="24"/>
              </w:rPr>
              <w:lastRenderedPageBreak/>
              <w:t>efficiency and coherence of the UNDP program with the programs and projects of other donors, close coordination and joint development of instruments and approaches is required. Wherever possible, existing tools should be considered. Further strengthening of intersectoral</w:t>
            </w:r>
            <w:r w:rsidRPr="00F52234">
              <w:rPr>
                <w:rFonts w:cs="Times New Roman"/>
                <w:sz w:val="24"/>
                <w:szCs w:val="24"/>
              </w:rPr>
              <w:t xml:space="preserve"> coordination is welcomed.</w:t>
            </w:r>
          </w:p>
        </w:tc>
        <w:tc>
          <w:tcPr>
            <w:tcW w:w="2693" w:type="dxa"/>
          </w:tcPr>
          <w:p w14:paraId="267AE72D" w14:textId="77777777" w:rsidR="00025AEB" w:rsidRPr="00E52142" w:rsidRDefault="00025AEB" w:rsidP="00352B37">
            <w:pPr>
              <w:pStyle w:val="CommentText"/>
              <w:rPr>
                <w:rFonts w:cstheme="minorHAnsi"/>
                <w:color w:val="000000" w:themeColor="text1"/>
                <w:sz w:val="24"/>
                <w:szCs w:val="24"/>
              </w:rPr>
            </w:pPr>
          </w:p>
        </w:tc>
        <w:tc>
          <w:tcPr>
            <w:tcW w:w="6051" w:type="dxa"/>
          </w:tcPr>
          <w:p w14:paraId="540366DD" w14:textId="68FC89DD" w:rsidR="00025AEB" w:rsidRPr="00E52142" w:rsidRDefault="00761185" w:rsidP="009E4511">
            <w:pPr>
              <w:pStyle w:val="ListParagraph"/>
              <w:rPr>
                <w:rFonts w:cstheme="minorHAnsi"/>
                <w:bCs/>
                <w:color w:val="000000" w:themeColor="text1"/>
                <w:sz w:val="24"/>
                <w:szCs w:val="24"/>
              </w:rPr>
            </w:pPr>
            <w:r>
              <w:rPr>
                <w:rFonts w:cstheme="minorHAnsi"/>
                <w:bCs/>
                <w:color w:val="000000" w:themeColor="text1"/>
                <w:sz w:val="24"/>
                <w:szCs w:val="24"/>
              </w:rPr>
              <w:t xml:space="preserve">Globally, </w:t>
            </w:r>
            <w:r>
              <w:rPr>
                <w:rFonts w:cstheme="minorHAnsi"/>
                <w:color w:val="000000" w:themeColor="text1"/>
                <w:sz w:val="24"/>
                <w:szCs w:val="24"/>
              </w:rPr>
              <w:t>UNDP interventions will not be carried out in isolation, but in close coordination and complementarity with other UN Agencies (including joint programmes) and development partner. Besides, UNPD is very open to any coordination mechanism and consultation with other development partner supporting the implementation of the national environment and climate change agenda.</w:t>
            </w:r>
          </w:p>
        </w:tc>
      </w:tr>
      <w:tr w:rsidR="0001740D" w:rsidRPr="00E52142" w14:paraId="2A70A923" w14:textId="77777777" w:rsidTr="00467ADC">
        <w:trPr>
          <w:trHeight w:val="476"/>
        </w:trPr>
        <w:tc>
          <w:tcPr>
            <w:tcW w:w="5111" w:type="dxa"/>
            <w:vAlign w:val="center"/>
          </w:tcPr>
          <w:p w14:paraId="41FBF2A4" w14:textId="11BC12C6" w:rsidR="0001740D" w:rsidRPr="00F52234" w:rsidRDefault="0001740D" w:rsidP="00D55E8B">
            <w:pPr>
              <w:numPr>
                <w:ilvl w:val="0"/>
                <w:numId w:val="12"/>
              </w:numPr>
              <w:ind w:right="600"/>
              <w:rPr>
                <w:rFonts w:cs="Times New Roman"/>
                <w:sz w:val="24"/>
                <w:szCs w:val="24"/>
              </w:rPr>
            </w:pPr>
            <w:r w:rsidRPr="6AA6BD2F">
              <w:rPr>
                <w:rFonts w:ascii="Calibri" w:eastAsia="Calibri" w:hAnsi="Calibri" w:cs="Calibri"/>
                <w:sz w:val="24"/>
                <w:szCs w:val="24"/>
                <w:lang w:val="en-GB"/>
              </w:rPr>
              <w:t>One should bear in mind the transversal aspect of corruption and potential consequences on UNDP’s achievement of objectives in SP3 and SP4. Potentially detrimental effects of corruption should be considered in the theory of change as well as in the risk management. Project approaches against corruption should not be conceded exclusively to SP1 measures, but also need to be integrated in private sector measures (SP3) and natural resource management (SP4).</w:t>
            </w:r>
          </w:p>
        </w:tc>
        <w:tc>
          <w:tcPr>
            <w:tcW w:w="2693" w:type="dxa"/>
          </w:tcPr>
          <w:p w14:paraId="79985A09" w14:textId="77777777" w:rsidR="0001740D" w:rsidRPr="00E52142" w:rsidRDefault="0001740D" w:rsidP="00352B37">
            <w:pPr>
              <w:pStyle w:val="CommentText"/>
              <w:rPr>
                <w:rFonts w:cstheme="minorHAnsi"/>
                <w:color w:val="000000" w:themeColor="text1"/>
                <w:sz w:val="24"/>
                <w:szCs w:val="24"/>
              </w:rPr>
            </w:pPr>
          </w:p>
        </w:tc>
        <w:tc>
          <w:tcPr>
            <w:tcW w:w="6051" w:type="dxa"/>
          </w:tcPr>
          <w:p w14:paraId="64C31104" w14:textId="4A03189C" w:rsidR="0001740D" w:rsidRPr="00E52142" w:rsidRDefault="00F55B2B" w:rsidP="009E4511">
            <w:pPr>
              <w:pStyle w:val="ListParagraph"/>
              <w:rPr>
                <w:rFonts w:cstheme="minorHAnsi"/>
                <w:bCs/>
                <w:color w:val="000000" w:themeColor="text1"/>
                <w:sz w:val="24"/>
                <w:szCs w:val="24"/>
              </w:rPr>
            </w:pPr>
            <w:r>
              <w:rPr>
                <w:rFonts w:cstheme="minorHAnsi"/>
                <w:bCs/>
                <w:color w:val="000000" w:themeColor="text1"/>
                <w:sz w:val="24"/>
                <w:szCs w:val="24"/>
              </w:rPr>
              <w:t xml:space="preserve">This is very well noted and will be </w:t>
            </w:r>
            <w:proofErr w:type="gramStart"/>
            <w:r>
              <w:rPr>
                <w:rFonts w:cstheme="minorHAnsi"/>
                <w:bCs/>
                <w:color w:val="000000" w:themeColor="text1"/>
                <w:sz w:val="24"/>
                <w:szCs w:val="24"/>
              </w:rPr>
              <w:t>taken into account</w:t>
            </w:r>
            <w:proofErr w:type="gramEnd"/>
            <w:r>
              <w:rPr>
                <w:rFonts w:cstheme="minorHAnsi"/>
                <w:bCs/>
                <w:color w:val="000000" w:themeColor="text1"/>
                <w:sz w:val="24"/>
                <w:szCs w:val="24"/>
              </w:rPr>
              <w:t xml:space="preserve"> during the implementation of the program.</w:t>
            </w:r>
          </w:p>
        </w:tc>
      </w:tr>
      <w:tr w:rsidR="00904ACB" w:rsidRPr="00E52142" w14:paraId="7792FFAC" w14:textId="77777777" w:rsidTr="00467ADC">
        <w:trPr>
          <w:trHeight w:val="476"/>
        </w:trPr>
        <w:tc>
          <w:tcPr>
            <w:tcW w:w="5111" w:type="dxa"/>
            <w:vAlign w:val="center"/>
          </w:tcPr>
          <w:p w14:paraId="3FE20434" w14:textId="198E73C8" w:rsidR="00904ACB" w:rsidRPr="00F52234" w:rsidRDefault="00904ACB" w:rsidP="00D55E8B">
            <w:pPr>
              <w:numPr>
                <w:ilvl w:val="0"/>
                <w:numId w:val="12"/>
              </w:numPr>
              <w:ind w:right="600"/>
              <w:rPr>
                <w:rFonts w:cs="Times New Roman"/>
                <w:sz w:val="24"/>
                <w:szCs w:val="24"/>
              </w:rPr>
            </w:pPr>
            <w:r w:rsidRPr="6AA6BD2F">
              <w:rPr>
                <w:rFonts w:ascii="Calibri" w:eastAsia="Calibri" w:hAnsi="Calibri" w:cs="Calibri"/>
                <w:sz w:val="24"/>
                <w:szCs w:val="24"/>
                <w:lang w:val="en-GB"/>
              </w:rPr>
              <w:t xml:space="preserve">Indicator 1.3: The CPI uses a number of sub-indices as source, including more general governance indices. This is one reason why the CPI does hardly change. For a time period of three years it is not recommendable </w:t>
            </w:r>
            <w:r w:rsidRPr="6AA6BD2F">
              <w:rPr>
                <w:rFonts w:ascii="Calibri" w:eastAsia="Calibri" w:hAnsi="Calibri" w:cs="Calibri"/>
                <w:sz w:val="24"/>
                <w:szCs w:val="24"/>
                <w:lang w:val="en-GB"/>
              </w:rPr>
              <w:lastRenderedPageBreak/>
              <w:t>to use the CPI as an indicator, because it will not show any progress. Particularly if baseline is chosen to be equal to the target. Instead one could choose for example one of the more specific corruption sub indicators of the Ibrahim Index of African Governance. Alternatively, one could consider the level/percentage of implementation of recommendations from the implementation review reports of the UNCAC. The first cycle review was conducted in 2015, the second cycle review in 2021. Following up on these recommendations would greatly interlink UN processes.</w:t>
            </w:r>
          </w:p>
        </w:tc>
        <w:tc>
          <w:tcPr>
            <w:tcW w:w="2693" w:type="dxa"/>
          </w:tcPr>
          <w:p w14:paraId="5CC825C4" w14:textId="77777777" w:rsidR="00904ACB" w:rsidRPr="00E52142" w:rsidRDefault="00904ACB" w:rsidP="00352B37">
            <w:pPr>
              <w:pStyle w:val="CommentText"/>
              <w:rPr>
                <w:rFonts w:cstheme="minorHAnsi"/>
                <w:color w:val="000000" w:themeColor="text1"/>
                <w:sz w:val="24"/>
                <w:szCs w:val="24"/>
              </w:rPr>
            </w:pPr>
          </w:p>
        </w:tc>
        <w:tc>
          <w:tcPr>
            <w:tcW w:w="6051" w:type="dxa"/>
            <w:vMerge w:val="restart"/>
          </w:tcPr>
          <w:p w14:paraId="5ECADE3F" w14:textId="20845514" w:rsidR="00904ACB" w:rsidRDefault="00904ACB" w:rsidP="009E4511">
            <w:pPr>
              <w:pStyle w:val="ListParagraph"/>
              <w:rPr>
                <w:rFonts w:cstheme="minorHAnsi"/>
                <w:bCs/>
                <w:color w:val="000000" w:themeColor="text1"/>
                <w:sz w:val="24"/>
                <w:szCs w:val="24"/>
              </w:rPr>
            </w:pPr>
            <w:r>
              <w:rPr>
                <w:rFonts w:cstheme="minorHAnsi"/>
                <w:bCs/>
                <w:color w:val="000000" w:themeColor="text1"/>
                <w:sz w:val="24"/>
                <w:szCs w:val="24"/>
              </w:rPr>
              <w:t xml:space="preserve">The CPI is a key indicator for the UN cooperation framework (UNSDCF June 2021-2023) as well as the SDG target for Madagascar regarding the fight against corruption to which the CPD is aligned as per the guidelines. </w:t>
            </w:r>
          </w:p>
          <w:p w14:paraId="055DB91B" w14:textId="450AEE47" w:rsidR="00904ACB" w:rsidRPr="00E52142" w:rsidRDefault="00904ACB" w:rsidP="009E4511">
            <w:pPr>
              <w:pStyle w:val="ListParagraph"/>
              <w:rPr>
                <w:rFonts w:cstheme="minorHAnsi"/>
                <w:bCs/>
                <w:color w:val="000000" w:themeColor="text1"/>
                <w:sz w:val="24"/>
                <w:szCs w:val="24"/>
              </w:rPr>
            </w:pPr>
            <w:r>
              <w:rPr>
                <w:rFonts w:cstheme="minorHAnsi"/>
                <w:bCs/>
                <w:color w:val="000000" w:themeColor="text1"/>
                <w:sz w:val="24"/>
                <w:szCs w:val="24"/>
              </w:rPr>
              <w:lastRenderedPageBreak/>
              <w:t>the current CPD cycle planned for 2,5</w:t>
            </w:r>
            <w:r w:rsidR="00A02B94">
              <w:rPr>
                <w:rFonts w:cstheme="minorHAnsi"/>
                <w:bCs/>
                <w:color w:val="000000" w:themeColor="text1"/>
                <w:sz w:val="24"/>
                <w:szCs w:val="24"/>
              </w:rPr>
              <w:t xml:space="preserve"> </w:t>
            </w:r>
            <w:r>
              <w:rPr>
                <w:rFonts w:cstheme="minorHAnsi"/>
                <w:bCs/>
                <w:color w:val="000000" w:themeColor="text1"/>
                <w:sz w:val="24"/>
                <w:szCs w:val="24"/>
              </w:rPr>
              <w:t xml:space="preserve">years is focusing on interventions aiming at laying the foundation </w:t>
            </w:r>
            <w:r w:rsidRPr="004F1DC7">
              <w:rPr>
                <w:rFonts w:cstheme="minorHAnsi"/>
                <w:bCs/>
                <w:color w:val="000000" w:themeColor="text1"/>
                <w:sz w:val="24"/>
                <w:szCs w:val="24"/>
              </w:rPr>
              <w:t xml:space="preserve">and preparing robust baselines </w:t>
            </w:r>
            <w:r>
              <w:rPr>
                <w:rFonts w:cstheme="minorHAnsi"/>
                <w:bCs/>
                <w:color w:val="000000" w:themeColor="text1"/>
                <w:sz w:val="24"/>
                <w:szCs w:val="24"/>
              </w:rPr>
              <w:t xml:space="preserve">for reducing the Corruption by 2030. And this implies at least </w:t>
            </w:r>
            <w:r w:rsidR="00DA71E0">
              <w:rPr>
                <w:rFonts w:cstheme="minorHAnsi"/>
                <w:bCs/>
                <w:color w:val="000000" w:themeColor="text1"/>
                <w:sz w:val="24"/>
                <w:szCs w:val="24"/>
              </w:rPr>
              <w:t xml:space="preserve">contributing to </w:t>
            </w:r>
            <w:r>
              <w:rPr>
                <w:rFonts w:cstheme="minorHAnsi"/>
                <w:bCs/>
                <w:color w:val="000000" w:themeColor="text1"/>
                <w:sz w:val="24"/>
                <w:szCs w:val="24"/>
              </w:rPr>
              <w:t xml:space="preserve">maintain the progress made </w:t>
            </w:r>
            <w:r w:rsidR="00DA71E0">
              <w:rPr>
                <w:rFonts w:cstheme="minorHAnsi"/>
                <w:bCs/>
                <w:color w:val="000000" w:themeColor="text1"/>
                <w:sz w:val="24"/>
                <w:szCs w:val="24"/>
              </w:rPr>
              <w:t>in 2020</w:t>
            </w:r>
            <w:r>
              <w:rPr>
                <w:rFonts w:cstheme="minorHAnsi"/>
                <w:bCs/>
                <w:color w:val="000000" w:themeColor="text1"/>
                <w:sz w:val="24"/>
                <w:szCs w:val="24"/>
              </w:rPr>
              <w:t xml:space="preserve"> and </w:t>
            </w:r>
            <w:r w:rsidRPr="004F1DC7">
              <w:rPr>
                <w:rFonts w:cstheme="minorHAnsi"/>
                <w:bCs/>
                <w:color w:val="000000" w:themeColor="text1"/>
                <w:sz w:val="24"/>
                <w:szCs w:val="24"/>
              </w:rPr>
              <w:t>ensuring the CPI is not going down during these 2,5 years cycle.</w:t>
            </w:r>
          </w:p>
        </w:tc>
      </w:tr>
      <w:tr w:rsidR="00904ACB" w:rsidRPr="00E52142" w14:paraId="2B4F51AE" w14:textId="77777777" w:rsidTr="00467ADC">
        <w:trPr>
          <w:trHeight w:val="476"/>
        </w:trPr>
        <w:tc>
          <w:tcPr>
            <w:tcW w:w="5111" w:type="dxa"/>
            <w:vAlign w:val="center"/>
          </w:tcPr>
          <w:p w14:paraId="0175254A" w14:textId="2A118200" w:rsidR="00904ACB" w:rsidRPr="00F52234" w:rsidRDefault="00904ACB" w:rsidP="00D55E8B">
            <w:pPr>
              <w:numPr>
                <w:ilvl w:val="0"/>
                <w:numId w:val="12"/>
              </w:numPr>
              <w:ind w:right="600"/>
              <w:rPr>
                <w:rFonts w:cs="Times New Roman"/>
                <w:sz w:val="24"/>
                <w:szCs w:val="24"/>
              </w:rPr>
            </w:pPr>
            <w:r>
              <w:rPr>
                <w:rFonts w:ascii="Calibri" w:eastAsia="Calibri" w:hAnsi="Calibri" w:cs="Calibri"/>
                <w:sz w:val="24"/>
                <w:szCs w:val="24"/>
                <w:lang w:val="en-GB"/>
              </w:rPr>
              <w:lastRenderedPageBreak/>
              <w:t>Indeed, if the CPI is chosen as a key indicator, level of ambition of a three year programme should be higher than to just maintain the (very low) baseline.</w:t>
            </w:r>
          </w:p>
        </w:tc>
        <w:tc>
          <w:tcPr>
            <w:tcW w:w="2693" w:type="dxa"/>
          </w:tcPr>
          <w:p w14:paraId="06243059" w14:textId="77777777" w:rsidR="00904ACB" w:rsidRPr="00E52142" w:rsidRDefault="00904ACB" w:rsidP="00352B37">
            <w:pPr>
              <w:pStyle w:val="CommentText"/>
              <w:rPr>
                <w:rFonts w:cstheme="minorHAnsi"/>
                <w:color w:val="000000" w:themeColor="text1"/>
                <w:sz w:val="24"/>
                <w:szCs w:val="24"/>
              </w:rPr>
            </w:pPr>
          </w:p>
        </w:tc>
        <w:tc>
          <w:tcPr>
            <w:tcW w:w="6051" w:type="dxa"/>
            <w:vMerge/>
          </w:tcPr>
          <w:p w14:paraId="355F7D1B" w14:textId="77777777" w:rsidR="00904ACB" w:rsidRPr="00E52142" w:rsidRDefault="00904ACB" w:rsidP="009E4511">
            <w:pPr>
              <w:pStyle w:val="ListParagraph"/>
              <w:rPr>
                <w:rFonts w:cstheme="minorHAnsi"/>
                <w:bCs/>
                <w:color w:val="000000" w:themeColor="text1"/>
                <w:sz w:val="24"/>
                <w:szCs w:val="24"/>
              </w:rPr>
            </w:pPr>
          </w:p>
        </w:tc>
      </w:tr>
      <w:tr w:rsidR="0001740D" w:rsidRPr="00E52142" w14:paraId="09DAB07C" w14:textId="77777777" w:rsidTr="00467ADC">
        <w:trPr>
          <w:trHeight w:val="476"/>
        </w:trPr>
        <w:tc>
          <w:tcPr>
            <w:tcW w:w="5111" w:type="dxa"/>
            <w:vAlign w:val="center"/>
          </w:tcPr>
          <w:p w14:paraId="15540B36" w14:textId="3C2F2E34" w:rsidR="0001740D" w:rsidRPr="00F52234" w:rsidRDefault="0001740D" w:rsidP="00D55E8B">
            <w:pPr>
              <w:numPr>
                <w:ilvl w:val="0"/>
                <w:numId w:val="12"/>
              </w:numPr>
              <w:ind w:right="600"/>
              <w:rPr>
                <w:rFonts w:cs="Times New Roman"/>
                <w:sz w:val="24"/>
                <w:szCs w:val="24"/>
              </w:rPr>
            </w:pPr>
            <w:r w:rsidRPr="6AA6BD2F">
              <w:rPr>
                <w:rFonts w:ascii="Calibri" w:eastAsia="Calibri" w:hAnsi="Calibri" w:cs="Calibri"/>
                <w:sz w:val="24"/>
                <w:szCs w:val="24"/>
                <w:lang w:val="en-GB"/>
              </w:rPr>
              <w:t xml:space="preserve">Indicator 1.2.3: Maybe rather consider one or some of the national indicators of the national anti-corruption strategy, SNLCC (new version with indicators assisted by the EU). These should generally be considered more often </w:t>
            </w:r>
            <w:r w:rsidRPr="6AA6BD2F">
              <w:rPr>
                <w:rFonts w:ascii="Calibri" w:eastAsia="Calibri" w:hAnsi="Calibri" w:cs="Calibri"/>
                <w:sz w:val="24"/>
                <w:szCs w:val="24"/>
                <w:lang w:val="en-GB"/>
              </w:rPr>
              <w:lastRenderedPageBreak/>
              <w:t>throughout the result matrix, taking into account the transversal nature of corruption.</w:t>
            </w:r>
          </w:p>
        </w:tc>
        <w:tc>
          <w:tcPr>
            <w:tcW w:w="2693" w:type="dxa"/>
          </w:tcPr>
          <w:p w14:paraId="543EE0DF" w14:textId="77777777" w:rsidR="0001740D" w:rsidRPr="00E52142" w:rsidRDefault="0001740D" w:rsidP="00352B37">
            <w:pPr>
              <w:pStyle w:val="CommentText"/>
              <w:rPr>
                <w:rFonts w:cstheme="minorHAnsi"/>
                <w:color w:val="000000" w:themeColor="text1"/>
                <w:sz w:val="24"/>
                <w:szCs w:val="24"/>
              </w:rPr>
            </w:pPr>
          </w:p>
        </w:tc>
        <w:tc>
          <w:tcPr>
            <w:tcW w:w="6051" w:type="dxa"/>
          </w:tcPr>
          <w:p w14:paraId="0B45A514" w14:textId="167B001F" w:rsidR="0001740D" w:rsidRPr="008375D2" w:rsidRDefault="008375D2" w:rsidP="008375D2">
            <w:pPr>
              <w:pStyle w:val="ListParagraph"/>
              <w:rPr>
                <w:rFonts w:cstheme="minorHAnsi"/>
                <w:bCs/>
                <w:color w:val="000000" w:themeColor="text1"/>
                <w:sz w:val="24"/>
                <w:szCs w:val="24"/>
              </w:rPr>
            </w:pPr>
            <w:r>
              <w:rPr>
                <w:rFonts w:cstheme="minorHAnsi"/>
                <w:bCs/>
                <w:color w:val="000000" w:themeColor="text1"/>
                <w:sz w:val="24"/>
                <w:szCs w:val="24"/>
              </w:rPr>
              <w:t xml:space="preserve">This is very well noted, and </w:t>
            </w:r>
            <w:r w:rsidR="00904ACB">
              <w:rPr>
                <w:rFonts w:cstheme="minorHAnsi"/>
                <w:bCs/>
                <w:color w:val="000000" w:themeColor="text1"/>
                <w:sz w:val="24"/>
                <w:szCs w:val="24"/>
              </w:rPr>
              <w:t>UNDP will look</w:t>
            </w:r>
            <w:r w:rsidR="00904ACB" w:rsidRPr="008375D2">
              <w:rPr>
                <w:rFonts w:cstheme="minorHAnsi"/>
                <w:bCs/>
                <w:color w:val="000000" w:themeColor="text1"/>
                <w:sz w:val="24"/>
                <w:szCs w:val="24"/>
              </w:rPr>
              <w:t xml:space="preserve"> into these indicators while developing its </w:t>
            </w:r>
            <w:r w:rsidR="000F7AA9" w:rsidRPr="008375D2">
              <w:rPr>
                <w:rFonts w:cstheme="minorHAnsi"/>
                <w:bCs/>
                <w:color w:val="000000" w:themeColor="text1"/>
                <w:sz w:val="24"/>
                <w:szCs w:val="24"/>
              </w:rPr>
              <w:t xml:space="preserve">support to the implementation of the national anti-corruption </w:t>
            </w:r>
            <w:r w:rsidR="00904ACB" w:rsidRPr="008375D2">
              <w:rPr>
                <w:rFonts w:cstheme="minorHAnsi"/>
                <w:bCs/>
                <w:color w:val="000000" w:themeColor="text1"/>
                <w:sz w:val="24"/>
                <w:szCs w:val="24"/>
              </w:rPr>
              <w:t>strategy</w:t>
            </w:r>
            <w:r w:rsidR="000F7AA9" w:rsidRPr="008375D2">
              <w:rPr>
                <w:rFonts w:cstheme="minorHAnsi"/>
                <w:bCs/>
                <w:color w:val="000000" w:themeColor="text1"/>
                <w:sz w:val="24"/>
                <w:szCs w:val="24"/>
              </w:rPr>
              <w:t>.</w:t>
            </w:r>
          </w:p>
        </w:tc>
      </w:tr>
      <w:tr w:rsidR="0001740D" w:rsidRPr="00E52142" w14:paraId="26D6826F" w14:textId="77777777" w:rsidTr="00467ADC">
        <w:trPr>
          <w:trHeight w:val="476"/>
        </w:trPr>
        <w:tc>
          <w:tcPr>
            <w:tcW w:w="5111" w:type="dxa"/>
            <w:vAlign w:val="center"/>
          </w:tcPr>
          <w:p w14:paraId="39701B4B" w14:textId="2467CE99" w:rsidR="0001740D" w:rsidRPr="6AA6BD2F" w:rsidRDefault="0001740D" w:rsidP="00D55E8B">
            <w:pPr>
              <w:numPr>
                <w:ilvl w:val="0"/>
                <w:numId w:val="12"/>
              </w:numPr>
              <w:ind w:right="600"/>
              <w:rPr>
                <w:rFonts w:ascii="Calibri" w:eastAsia="Calibri" w:hAnsi="Calibri" w:cs="Calibri"/>
                <w:sz w:val="24"/>
                <w:szCs w:val="24"/>
                <w:lang w:val="en-GB"/>
              </w:rPr>
            </w:pPr>
            <w:r>
              <w:rPr>
                <w:rFonts w:cs="Times New Roman"/>
                <w:sz w:val="24"/>
                <w:szCs w:val="24"/>
              </w:rPr>
              <w:t>We encourage UNDP to format its next Country Strategy in a font size that is superior to 10.</w:t>
            </w:r>
          </w:p>
        </w:tc>
        <w:tc>
          <w:tcPr>
            <w:tcW w:w="2693" w:type="dxa"/>
          </w:tcPr>
          <w:p w14:paraId="1CD3E8A3" w14:textId="77777777" w:rsidR="0001740D" w:rsidRPr="00E52142" w:rsidRDefault="0001740D" w:rsidP="00352B37">
            <w:pPr>
              <w:pStyle w:val="CommentText"/>
              <w:rPr>
                <w:rFonts w:cstheme="minorHAnsi"/>
                <w:color w:val="000000" w:themeColor="text1"/>
                <w:sz w:val="24"/>
                <w:szCs w:val="24"/>
              </w:rPr>
            </w:pPr>
          </w:p>
        </w:tc>
        <w:tc>
          <w:tcPr>
            <w:tcW w:w="6051" w:type="dxa"/>
          </w:tcPr>
          <w:p w14:paraId="08906745" w14:textId="77777777" w:rsidR="0001740D" w:rsidRPr="00E52142" w:rsidRDefault="0001740D" w:rsidP="009E4511">
            <w:pPr>
              <w:pStyle w:val="ListParagraph"/>
              <w:rPr>
                <w:rFonts w:cstheme="minorHAnsi"/>
                <w:bCs/>
                <w:color w:val="000000" w:themeColor="text1"/>
                <w:sz w:val="24"/>
                <w:szCs w:val="24"/>
              </w:rPr>
            </w:pPr>
          </w:p>
        </w:tc>
      </w:tr>
    </w:tbl>
    <w:p w14:paraId="70823533" w14:textId="5991F3F2" w:rsidR="001567CA" w:rsidRPr="00E52142" w:rsidRDefault="00467ADC" w:rsidP="00A457DA">
      <w:pPr>
        <w:spacing w:after="0" w:line="240" w:lineRule="auto"/>
        <w:jc w:val="center"/>
        <w:rPr>
          <w:rFonts w:cstheme="minorHAnsi"/>
          <w:color w:val="000000" w:themeColor="text1"/>
          <w:sz w:val="24"/>
          <w:szCs w:val="24"/>
        </w:rPr>
      </w:pPr>
      <w:r>
        <w:rPr>
          <w:rFonts w:cstheme="minorHAnsi"/>
          <w:color w:val="000000" w:themeColor="text1"/>
          <w:sz w:val="24"/>
          <w:szCs w:val="24"/>
        </w:rPr>
        <w:t xml:space="preserve"> </w:t>
      </w:r>
    </w:p>
    <w:sectPr w:rsidR="001567CA" w:rsidRPr="00E52142" w:rsidSect="009F5068">
      <w:footerReference w:type="default" r:id="rId11"/>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054D" w14:textId="77777777" w:rsidR="00BB344D" w:rsidRDefault="00BB344D" w:rsidP="0053576A">
      <w:pPr>
        <w:spacing w:after="0" w:line="240" w:lineRule="auto"/>
      </w:pPr>
      <w:r>
        <w:separator/>
      </w:r>
    </w:p>
  </w:endnote>
  <w:endnote w:type="continuationSeparator" w:id="0">
    <w:p w14:paraId="1DBD543F" w14:textId="77777777" w:rsidR="00BB344D" w:rsidRDefault="00BB344D"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2D5AA0">
          <w:rPr>
            <w:noProof/>
          </w:rPr>
          <w:t>2</w:t>
        </w:r>
        <w:r>
          <w:rPr>
            <w:noProof/>
          </w:rPr>
          <w:fldChar w:fldCharType="end"/>
        </w:r>
      </w:p>
    </w:sdtContent>
  </w:sdt>
  <w:p w14:paraId="4E30D841" w14:textId="77777777" w:rsidR="00F3633B" w:rsidRDefault="00F3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2EC81" w14:textId="77777777" w:rsidR="00BB344D" w:rsidRDefault="00BB344D" w:rsidP="0053576A">
      <w:pPr>
        <w:spacing w:after="0" w:line="240" w:lineRule="auto"/>
      </w:pPr>
      <w:r>
        <w:separator/>
      </w:r>
    </w:p>
  </w:footnote>
  <w:footnote w:type="continuationSeparator" w:id="0">
    <w:p w14:paraId="5CA3D336" w14:textId="77777777" w:rsidR="00BB344D" w:rsidRDefault="00BB344D" w:rsidP="00535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9EA"/>
    <w:multiLevelType w:val="hybridMultilevel"/>
    <w:tmpl w:val="C89CA2D2"/>
    <w:lvl w:ilvl="0" w:tplc="F3A6D7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81981"/>
    <w:multiLevelType w:val="hybridMultilevel"/>
    <w:tmpl w:val="3482C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55AEA"/>
    <w:multiLevelType w:val="hybridMultilevel"/>
    <w:tmpl w:val="3482C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C71CB"/>
    <w:multiLevelType w:val="hybridMultilevel"/>
    <w:tmpl w:val="3482C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2400"/>
    <w:multiLevelType w:val="hybridMultilevel"/>
    <w:tmpl w:val="3482C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772ED"/>
    <w:multiLevelType w:val="hybridMultilevel"/>
    <w:tmpl w:val="61EC13D2"/>
    <w:lvl w:ilvl="0" w:tplc="EA2C37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01D84"/>
    <w:multiLevelType w:val="hybridMultilevel"/>
    <w:tmpl w:val="3482C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D3119"/>
    <w:multiLevelType w:val="hybridMultilevel"/>
    <w:tmpl w:val="80F265C8"/>
    <w:lvl w:ilvl="0" w:tplc="C94618EC">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702FD"/>
    <w:multiLevelType w:val="hybridMultilevel"/>
    <w:tmpl w:val="CC149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F086A"/>
    <w:multiLevelType w:val="hybridMultilevel"/>
    <w:tmpl w:val="3482C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53E5B"/>
    <w:multiLevelType w:val="hybridMultilevel"/>
    <w:tmpl w:val="F89E848E"/>
    <w:lvl w:ilvl="0" w:tplc="0409000D">
      <w:start w:val="1"/>
      <w:numFmt w:val="bullet"/>
      <w:lvlText w:val=""/>
      <w:lvlJc w:val="left"/>
      <w:pPr>
        <w:ind w:left="471" w:hanging="360"/>
      </w:pPr>
      <w:rPr>
        <w:rFonts w:ascii="Wingdings" w:hAnsi="Wingdings"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9"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FF6B65"/>
    <w:multiLevelType w:val="hybridMultilevel"/>
    <w:tmpl w:val="5A8A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8338F"/>
    <w:multiLevelType w:val="multilevel"/>
    <w:tmpl w:val="656A0D5A"/>
    <w:lvl w:ilvl="0">
      <w:start w:val="1"/>
      <w:numFmt w:val="bullet"/>
      <w:lvlText w:val="●"/>
      <w:lvlJc w:val="left"/>
      <w:pPr>
        <w:ind w:left="360" w:hanging="27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7"/>
  </w:num>
  <w:num w:numId="2">
    <w:abstractNumId w:val="23"/>
  </w:num>
  <w:num w:numId="3">
    <w:abstractNumId w:val="3"/>
  </w:num>
  <w:num w:numId="4">
    <w:abstractNumId w:val="15"/>
  </w:num>
  <w:num w:numId="5">
    <w:abstractNumId w:val="8"/>
  </w:num>
  <w:num w:numId="6">
    <w:abstractNumId w:val="13"/>
  </w:num>
  <w:num w:numId="7">
    <w:abstractNumId w:val="11"/>
  </w:num>
  <w:num w:numId="8">
    <w:abstractNumId w:val="2"/>
  </w:num>
  <w:num w:numId="9">
    <w:abstractNumId w:val="19"/>
  </w:num>
  <w:num w:numId="10">
    <w:abstractNumId w:val="4"/>
  </w:num>
  <w:num w:numId="11">
    <w:abstractNumId w:val="21"/>
  </w:num>
  <w:num w:numId="12">
    <w:abstractNumId w:val="20"/>
  </w:num>
  <w:num w:numId="13">
    <w:abstractNumId w:val="14"/>
  </w:num>
  <w:num w:numId="14">
    <w:abstractNumId w:val="18"/>
  </w:num>
  <w:num w:numId="15">
    <w:abstractNumId w:val="1"/>
  </w:num>
  <w:num w:numId="16">
    <w:abstractNumId w:val="22"/>
  </w:num>
  <w:num w:numId="17">
    <w:abstractNumId w:val="0"/>
  </w:num>
  <w:num w:numId="18">
    <w:abstractNumId w:val="12"/>
  </w:num>
  <w:num w:numId="19">
    <w:abstractNumId w:val="16"/>
  </w:num>
  <w:num w:numId="20">
    <w:abstractNumId w:val="9"/>
  </w:num>
  <w:num w:numId="21">
    <w:abstractNumId w:val="10"/>
  </w:num>
  <w:num w:numId="22">
    <w:abstractNumId w:val="6"/>
  </w:num>
  <w:num w:numId="23">
    <w:abstractNumId w:val="5"/>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423B"/>
    <w:rsid w:val="0000647B"/>
    <w:rsid w:val="00007370"/>
    <w:rsid w:val="00012624"/>
    <w:rsid w:val="0001740D"/>
    <w:rsid w:val="0002024E"/>
    <w:rsid w:val="00023C33"/>
    <w:rsid w:val="0002543D"/>
    <w:rsid w:val="00025AEB"/>
    <w:rsid w:val="000301C5"/>
    <w:rsid w:val="00031330"/>
    <w:rsid w:val="0003212B"/>
    <w:rsid w:val="0003213E"/>
    <w:rsid w:val="00035CCD"/>
    <w:rsid w:val="0004201B"/>
    <w:rsid w:val="0004295E"/>
    <w:rsid w:val="000470F0"/>
    <w:rsid w:val="00052B13"/>
    <w:rsid w:val="00054870"/>
    <w:rsid w:val="00054AE6"/>
    <w:rsid w:val="00055EC9"/>
    <w:rsid w:val="00056EA8"/>
    <w:rsid w:val="00057DC3"/>
    <w:rsid w:val="000756B5"/>
    <w:rsid w:val="000768F7"/>
    <w:rsid w:val="00081427"/>
    <w:rsid w:val="0008232D"/>
    <w:rsid w:val="000829C1"/>
    <w:rsid w:val="00084180"/>
    <w:rsid w:val="000873D1"/>
    <w:rsid w:val="0008799D"/>
    <w:rsid w:val="0009138E"/>
    <w:rsid w:val="000A0608"/>
    <w:rsid w:val="000A1942"/>
    <w:rsid w:val="000A21E8"/>
    <w:rsid w:val="000A52D6"/>
    <w:rsid w:val="000A7743"/>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0F7AA9"/>
    <w:rsid w:val="00101966"/>
    <w:rsid w:val="00103BFD"/>
    <w:rsid w:val="00107156"/>
    <w:rsid w:val="001119B1"/>
    <w:rsid w:val="00113FE2"/>
    <w:rsid w:val="00114444"/>
    <w:rsid w:val="00116943"/>
    <w:rsid w:val="0011704F"/>
    <w:rsid w:val="00121B8C"/>
    <w:rsid w:val="00122314"/>
    <w:rsid w:val="00122A81"/>
    <w:rsid w:val="001234FF"/>
    <w:rsid w:val="0013018C"/>
    <w:rsid w:val="0013163E"/>
    <w:rsid w:val="001328E8"/>
    <w:rsid w:val="00133AAF"/>
    <w:rsid w:val="00134D13"/>
    <w:rsid w:val="001369D8"/>
    <w:rsid w:val="001372CB"/>
    <w:rsid w:val="00142517"/>
    <w:rsid w:val="00142CA2"/>
    <w:rsid w:val="00143366"/>
    <w:rsid w:val="0014570C"/>
    <w:rsid w:val="001507EE"/>
    <w:rsid w:val="00150E35"/>
    <w:rsid w:val="00151ABC"/>
    <w:rsid w:val="00152EA6"/>
    <w:rsid w:val="001563BA"/>
    <w:rsid w:val="001567CA"/>
    <w:rsid w:val="00156E03"/>
    <w:rsid w:val="00157D4B"/>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148B"/>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596F"/>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1EDD"/>
    <w:rsid w:val="00232D7F"/>
    <w:rsid w:val="0023676B"/>
    <w:rsid w:val="00236AF4"/>
    <w:rsid w:val="0023797B"/>
    <w:rsid w:val="00243476"/>
    <w:rsid w:val="00244C7B"/>
    <w:rsid w:val="00246021"/>
    <w:rsid w:val="00246ADD"/>
    <w:rsid w:val="00250474"/>
    <w:rsid w:val="00251414"/>
    <w:rsid w:val="002522A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39FC"/>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5AA0"/>
    <w:rsid w:val="002D7DC9"/>
    <w:rsid w:val="002E0CFF"/>
    <w:rsid w:val="002E0F89"/>
    <w:rsid w:val="002E22D9"/>
    <w:rsid w:val="002E5BF2"/>
    <w:rsid w:val="002E6A53"/>
    <w:rsid w:val="002F33A7"/>
    <w:rsid w:val="002F34C4"/>
    <w:rsid w:val="002F438F"/>
    <w:rsid w:val="002F62EA"/>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2B37"/>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3C"/>
    <w:rsid w:val="00403076"/>
    <w:rsid w:val="004036FA"/>
    <w:rsid w:val="00405CD2"/>
    <w:rsid w:val="00405D9F"/>
    <w:rsid w:val="00406AA4"/>
    <w:rsid w:val="00413BEC"/>
    <w:rsid w:val="00421675"/>
    <w:rsid w:val="004227EB"/>
    <w:rsid w:val="0042321E"/>
    <w:rsid w:val="00425E1A"/>
    <w:rsid w:val="004261B4"/>
    <w:rsid w:val="00431490"/>
    <w:rsid w:val="004334BB"/>
    <w:rsid w:val="00435D49"/>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67ADC"/>
    <w:rsid w:val="00470597"/>
    <w:rsid w:val="00470BAE"/>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05F5"/>
    <w:rsid w:val="004B6382"/>
    <w:rsid w:val="004C3AA9"/>
    <w:rsid w:val="004C3ACB"/>
    <w:rsid w:val="004C4E3B"/>
    <w:rsid w:val="004D0DAA"/>
    <w:rsid w:val="004D1E5C"/>
    <w:rsid w:val="004D67AC"/>
    <w:rsid w:val="004E17E4"/>
    <w:rsid w:val="004E4297"/>
    <w:rsid w:val="004E4469"/>
    <w:rsid w:val="004E7146"/>
    <w:rsid w:val="004E74AA"/>
    <w:rsid w:val="004E7B82"/>
    <w:rsid w:val="004E7E84"/>
    <w:rsid w:val="004F08C6"/>
    <w:rsid w:val="004F13D0"/>
    <w:rsid w:val="004F1DC7"/>
    <w:rsid w:val="004F3936"/>
    <w:rsid w:val="004F3A1D"/>
    <w:rsid w:val="0050027E"/>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5F6"/>
    <w:rsid w:val="00534E03"/>
    <w:rsid w:val="005352A4"/>
    <w:rsid w:val="00535705"/>
    <w:rsid w:val="0053576A"/>
    <w:rsid w:val="005364EF"/>
    <w:rsid w:val="0055199B"/>
    <w:rsid w:val="00551EAC"/>
    <w:rsid w:val="005574FF"/>
    <w:rsid w:val="00560078"/>
    <w:rsid w:val="005615AE"/>
    <w:rsid w:val="00561AA4"/>
    <w:rsid w:val="00561E45"/>
    <w:rsid w:val="00563ED2"/>
    <w:rsid w:val="005645AE"/>
    <w:rsid w:val="0056474F"/>
    <w:rsid w:val="0057197B"/>
    <w:rsid w:val="00574384"/>
    <w:rsid w:val="005769A5"/>
    <w:rsid w:val="00581AA7"/>
    <w:rsid w:val="00582240"/>
    <w:rsid w:val="005902A0"/>
    <w:rsid w:val="00591407"/>
    <w:rsid w:val="00594967"/>
    <w:rsid w:val="00594E11"/>
    <w:rsid w:val="00596B39"/>
    <w:rsid w:val="00597E6D"/>
    <w:rsid w:val="005A2F3D"/>
    <w:rsid w:val="005A6641"/>
    <w:rsid w:val="005A6766"/>
    <w:rsid w:val="005B0FC2"/>
    <w:rsid w:val="005B2315"/>
    <w:rsid w:val="005B3994"/>
    <w:rsid w:val="005B3DD4"/>
    <w:rsid w:val="005B593B"/>
    <w:rsid w:val="005B6C60"/>
    <w:rsid w:val="005B78D8"/>
    <w:rsid w:val="005C2563"/>
    <w:rsid w:val="005D06AF"/>
    <w:rsid w:val="005D09B5"/>
    <w:rsid w:val="005D16BC"/>
    <w:rsid w:val="005D1D77"/>
    <w:rsid w:val="005D425B"/>
    <w:rsid w:val="005D7672"/>
    <w:rsid w:val="005E03FC"/>
    <w:rsid w:val="005E22D2"/>
    <w:rsid w:val="005E35B6"/>
    <w:rsid w:val="005E5767"/>
    <w:rsid w:val="005E6B2E"/>
    <w:rsid w:val="005E7E1A"/>
    <w:rsid w:val="005F07E3"/>
    <w:rsid w:val="005F6A70"/>
    <w:rsid w:val="005F78BD"/>
    <w:rsid w:val="00600238"/>
    <w:rsid w:val="006012E8"/>
    <w:rsid w:val="00605D3A"/>
    <w:rsid w:val="006060BC"/>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70F"/>
    <w:rsid w:val="00650B9D"/>
    <w:rsid w:val="0065107F"/>
    <w:rsid w:val="00651822"/>
    <w:rsid w:val="00652962"/>
    <w:rsid w:val="00654A0D"/>
    <w:rsid w:val="00662466"/>
    <w:rsid w:val="00662E0B"/>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A7943"/>
    <w:rsid w:val="006B06F5"/>
    <w:rsid w:val="006B17EA"/>
    <w:rsid w:val="006B22DD"/>
    <w:rsid w:val="006C1102"/>
    <w:rsid w:val="006D1F8F"/>
    <w:rsid w:val="006D25E3"/>
    <w:rsid w:val="006D4586"/>
    <w:rsid w:val="006D5781"/>
    <w:rsid w:val="006D5B1E"/>
    <w:rsid w:val="006D5DF2"/>
    <w:rsid w:val="006E30D6"/>
    <w:rsid w:val="006F00FD"/>
    <w:rsid w:val="006F2389"/>
    <w:rsid w:val="006F3317"/>
    <w:rsid w:val="006F6C34"/>
    <w:rsid w:val="006F76B4"/>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1185"/>
    <w:rsid w:val="00764F2C"/>
    <w:rsid w:val="00770050"/>
    <w:rsid w:val="00770F1D"/>
    <w:rsid w:val="00777BAC"/>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D7652"/>
    <w:rsid w:val="007E0044"/>
    <w:rsid w:val="007E14FE"/>
    <w:rsid w:val="007E4A1F"/>
    <w:rsid w:val="007E7842"/>
    <w:rsid w:val="007F3664"/>
    <w:rsid w:val="007F4FA2"/>
    <w:rsid w:val="007F776A"/>
    <w:rsid w:val="007F798A"/>
    <w:rsid w:val="00800C4E"/>
    <w:rsid w:val="00801A75"/>
    <w:rsid w:val="00803F68"/>
    <w:rsid w:val="00804A37"/>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375D2"/>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0251"/>
    <w:rsid w:val="008F474E"/>
    <w:rsid w:val="008F4AA1"/>
    <w:rsid w:val="008F5281"/>
    <w:rsid w:val="00900C01"/>
    <w:rsid w:val="00901343"/>
    <w:rsid w:val="00901CB7"/>
    <w:rsid w:val="00904ACB"/>
    <w:rsid w:val="00907E04"/>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E1A1F"/>
    <w:rsid w:val="009E25AA"/>
    <w:rsid w:val="009E340A"/>
    <w:rsid w:val="009E4511"/>
    <w:rsid w:val="009E4940"/>
    <w:rsid w:val="009E6218"/>
    <w:rsid w:val="009F0097"/>
    <w:rsid w:val="009F157F"/>
    <w:rsid w:val="009F5068"/>
    <w:rsid w:val="009F7352"/>
    <w:rsid w:val="009F78F5"/>
    <w:rsid w:val="00A001F3"/>
    <w:rsid w:val="00A01722"/>
    <w:rsid w:val="00A02179"/>
    <w:rsid w:val="00A0219F"/>
    <w:rsid w:val="00A02B94"/>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5EF"/>
    <w:rsid w:val="00AC4701"/>
    <w:rsid w:val="00AC493E"/>
    <w:rsid w:val="00AC4D40"/>
    <w:rsid w:val="00AD19A6"/>
    <w:rsid w:val="00AD1C20"/>
    <w:rsid w:val="00AD209B"/>
    <w:rsid w:val="00AD42AF"/>
    <w:rsid w:val="00AE1797"/>
    <w:rsid w:val="00AF0BF1"/>
    <w:rsid w:val="00AF1CE0"/>
    <w:rsid w:val="00AF2323"/>
    <w:rsid w:val="00AF5D06"/>
    <w:rsid w:val="00AF6129"/>
    <w:rsid w:val="00B0424F"/>
    <w:rsid w:val="00B04898"/>
    <w:rsid w:val="00B048CA"/>
    <w:rsid w:val="00B068F8"/>
    <w:rsid w:val="00B10684"/>
    <w:rsid w:val="00B116F6"/>
    <w:rsid w:val="00B1534A"/>
    <w:rsid w:val="00B17A69"/>
    <w:rsid w:val="00B17C62"/>
    <w:rsid w:val="00B207DF"/>
    <w:rsid w:val="00B21693"/>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5706"/>
    <w:rsid w:val="00B56E74"/>
    <w:rsid w:val="00B60E64"/>
    <w:rsid w:val="00B643AF"/>
    <w:rsid w:val="00B64A30"/>
    <w:rsid w:val="00B71AE9"/>
    <w:rsid w:val="00B73260"/>
    <w:rsid w:val="00B757CE"/>
    <w:rsid w:val="00B80761"/>
    <w:rsid w:val="00B81793"/>
    <w:rsid w:val="00B855B3"/>
    <w:rsid w:val="00B866FA"/>
    <w:rsid w:val="00B86770"/>
    <w:rsid w:val="00B86A85"/>
    <w:rsid w:val="00B90103"/>
    <w:rsid w:val="00B907CC"/>
    <w:rsid w:val="00B91A71"/>
    <w:rsid w:val="00B91BC2"/>
    <w:rsid w:val="00B92F98"/>
    <w:rsid w:val="00B944B3"/>
    <w:rsid w:val="00B964E0"/>
    <w:rsid w:val="00BA01E8"/>
    <w:rsid w:val="00BA0C7B"/>
    <w:rsid w:val="00BA3C95"/>
    <w:rsid w:val="00BB344D"/>
    <w:rsid w:val="00BB61CE"/>
    <w:rsid w:val="00BB69DB"/>
    <w:rsid w:val="00BC2970"/>
    <w:rsid w:val="00BC3252"/>
    <w:rsid w:val="00BC3381"/>
    <w:rsid w:val="00BC4CA8"/>
    <w:rsid w:val="00BC6217"/>
    <w:rsid w:val="00BD0483"/>
    <w:rsid w:val="00BD20A3"/>
    <w:rsid w:val="00BD31A4"/>
    <w:rsid w:val="00BD58FA"/>
    <w:rsid w:val="00BD73D4"/>
    <w:rsid w:val="00BE0DB4"/>
    <w:rsid w:val="00BE5BED"/>
    <w:rsid w:val="00BE79CF"/>
    <w:rsid w:val="00BF15F8"/>
    <w:rsid w:val="00BF2483"/>
    <w:rsid w:val="00BF3B97"/>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31"/>
    <w:rsid w:val="00C3356E"/>
    <w:rsid w:val="00C36665"/>
    <w:rsid w:val="00C36E48"/>
    <w:rsid w:val="00C36F0B"/>
    <w:rsid w:val="00C40C74"/>
    <w:rsid w:val="00C41719"/>
    <w:rsid w:val="00C41880"/>
    <w:rsid w:val="00C41E6E"/>
    <w:rsid w:val="00C42280"/>
    <w:rsid w:val="00C461AF"/>
    <w:rsid w:val="00C46783"/>
    <w:rsid w:val="00C509B4"/>
    <w:rsid w:val="00C50ED1"/>
    <w:rsid w:val="00C54090"/>
    <w:rsid w:val="00C568B5"/>
    <w:rsid w:val="00C572BB"/>
    <w:rsid w:val="00C60661"/>
    <w:rsid w:val="00C60CB6"/>
    <w:rsid w:val="00C60D3B"/>
    <w:rsid w:val="00C62133"/>
    <w:rsid w:val="00C626C2"/>
    <w:rsid w:val="00C62F76"/>
    <w:rsid w:val="00C65488"/>
    <w:rsid w:val="00C659A4"/>
    <w:rsid w:val="00C740C1"/>
    <w:rsid w:val="00C74116"/>
    <w:rsid w:val="00C804A1"/>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2B0"/>
    <w:rsid w:val="00CD445D"/>
    <w:rsid w:val="00CD5B6D"/>
    <w:rsid w:val="00CD65A9"/>
    <w:rsid w:val="00CD67C8"/>
    <w:rsid w:val="00CE3184"/>
    <w:rsid w:val="00CE7727"/>
    <w:rsid w:val="00CF7C4E"/>
    <w:rsid w:val="00CF7EDE"/>
    <w:rsid w:val="00D00E6F"/>
    <w:rsid w:val="00D0153C"/>
    <w:rsid w:val="00D05A18"/>
    <w:rsid w:val="00D05EA5"/>
    <w:rsid w:val="00D06758"/>
    <w:rsid w:val="00D06B81"/>
    <w:rsid w:val="00D06EB6"/>
    <w:rsid w:val="00D11033"/>
    <w:rsid w:val="00D110E0"/>
    <w:rsid w:val="00D11E09"/>
    <w:rsid w:val="00D13B32"/>
    <w:rsid w:val="00D14CF4"/>
    <w:rsid w:val="00D14E59"/>
    <w:rsid w:val="00D20461"/>
    <w:rsid w:val="00D235BF"/>
    <w:rsid w:val="00D23686"/>
    <w:rsid w:val="00D23A0A"/>
    <w:rsid w:val="00D249DC"/>
    <w:rsid w:val="00D27B4F"/>
    <w:rsid w:val="00D27FCB"/>
    <w:rsid w:val="00D30B8E"/>
    <w:rsid w:val="00D320A1"/>
    <w:rsid w:val="00D32BB6"/>
    <w:rsid w:val="00D32D95"/>
    <w:rsid w:val="00D339E9"/>
    <w:rsid w:val="00D34EA8"/>
    <w:rsid w:val="00D351FE"/>
    <w:rsid w:val="00D35527"/>
    <w:rsid w:val="00D4192F"/>
    <w:rsid w:val="00D41FE1"/>
    <w:rsid w:val="00D4231A"/>
    <w:rsid w:val="00D54F79"/>
    <w:rsid w:val="00D55E8B"/>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2AE2"/>
    <w:rsid w:val="00DA5D1C"/>
    <w:rsid w:val="00DA71E0"/>
    <w:rsid w:val="00DA7E83"/>
    <w:rsid w:val="00DB00A1"/>
    <w:rsid w:val="00DB083F"/>
    <w:rsid w:val="00DB153D"/>
    <w:rsid w:val="00DB49C6"/>
    <w:rsid w:val="00DB4FF6"/>
    <w:rsid w:val="00DB520A"/>
    <w:rsid w:val="00DB684E"/>
    <w:rsid w:val="00DB7331"/>
    <w:rsid w:val="00DC0420"/>
    <w:rsid w:val="00DC05EE"/>
    <w:rsid w:val="00DC1374"/>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53DB"/>
    <w:rsid w:val="00DF773A"/>
    <w:rsid w:val="00E00D50"/>
    <w:rsid w:val="00E0332F"/>
    <w:rsid w:val="00E03BC0"/>
    <w:rsid w:val="00E0433B"/>
    <w:rsid w:val="00E10A6B"/>
    <w:rsid w:val="00E10F54"/>
    <w:rsid w:val="00E14545"/>
    <w:rsid w:val="00E1586C"/>
    <w:rsid w:val="00E17ACB"/>
    <w:rsid w:val="00E21F5F"/>
    <w:rsid w:val="00E2469D"/>
    <w:rsid w:val="00E278F9"/>
    <w:rsid w:val="00E30CCD"/>
    <w:rsid w:val="00E31D5E"/>
    <w:rsid w:val="00E368F9"/>
    <w:rsid w:val="00E40A7B"/>
    <w:rsid w:val="00E425C4"/>
    <w:rsid w:val="00E43FF3"/>
    <w:rsid w:val="00E4772D"/>
    <w:rsid w:val="00E509F8"/>
    <w:rsid w:val="00E52142"/>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28CF"/>
    <w:rsid w:val="00EF3299"/>
    <w:rsid w:val="00EF418D"/>
    <w:rsid w:val="00EF603A"/>
    <w:rsid w:val="00EF7C8B"/>
    <w:rsid w:val="00F01E2D"/>
    <w:rsid w:val="00F042FC"/>
    <w:rsid w:val="00F04C47"/>
    <w:rsid w:val="00F10570"/>
    <w:rsid w:val="00F106EE"/>
    <w:rsid w:val="00F11227"/>
    <w:rsid w:val="00F14267"/>
    <w:rsid w:val="00F15F1F"/>
    <w:rsid w:val="00F1770D"/>
    <w:rsid w:val="00F2214F"/>
    <w:rsid w:val="00F22E9A"/>
    <w:rsid w:val="00F248D2"/>
    <w:rsid w:val="00F25E34"/>
    <w:rsid w:val="00F26504"/>
    <w:rsid w:val="00F27008"/>
    <w:rsid w:val="00F3217D"/>
    <w:rsid w:val="00F3333C"/>
    <w:rsid w:val="00F3633B"/>
    <w:rsid w:val="00F3667D"/>
    <w:rsid w:val="00F3734F"/>
    <w:rsid w:val="00F400B0"/>
    <w:rsid w:val="00F42B8A"/>
    <w:rsid w:val="00F45213"/>
    <w:rsid w:val="00F4752A"/>
    <w:rsid w:val="00F5119E"/>
    <w:rsid w:val="00F51582"/>
    <w:rsid w:val="00F51BA7"/>
    <w:rsid w:val="00F55B2B"/>
    <w:rsid w:val="00F55CDA"/>
    <w:rsid w:val="00F5686F"/>
    <w:rsid w:val="00F610CF"/>
    <w:rsid w:val="00F61B64"/>
    <w:rsid w:val="00F63E29"/>
    <w:rsid w:val="00F64177"/>
    <w:rsid w:val="00F6752E"/>
    <w:rsid w:val="00F72E1B"/>
    <w:rsid w:val="00F73B82"/>
    <w:rsid w:val="00F74435"/>
    <w:rsid w:val="00F8239A"/>
    <w:rsid w:val="00F82EC2"/>
    <w:rsid w:val="00F8428C"/>
    <w:rsid w:val="00F84E91"/>
    <w:rsid w:val="00F8614C"/>
    <w:rsid w:val="00F9204C"/>
    <w:rsid w:val="00F955FC"/>
    <w:rsid w:val="00F9562D"/>
    <w:rsid w:val="00F9778B"/>
    <w:rsid w:val="00FA0264"/>
    <w:rsid w:val="00FA072F"/>
    <w:rsid w:val="00FA1642"/>
    <w:rsid w:val="00FA1893"/>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E48FE"/>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45211"/>
  <w15:chartTrackingRefBased/>
  <w15:docId w15:val="{501B1F54-E887-472D-B432-1309BCF0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aliases w:val="List Paragraph (numbered (a)),References,Liste couleur - Accent 11,Lapis Bulleted List,Numbered Paragraph,Main numbered paragraph,Numbered List Paragraph,123 List Paragraph,List Paragraph1,WB Para,Dot pt,F5 List Paragraph,No Spacing1"/>
    <w:basedOn w:val="Normal"/>
    <w:link w:val="ListParagraphChar"/>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References Char,Liste couleur - Accent 11 Char,Lapis Bulleted List Char,Numbered Paragraph Char,Main numbered paragraph Char,Numbered List Paragraph Char,123 List Paragraph Char,List Paragraph1 Char"/>
    <w:link w:val="ListParagraph"/>
    <w:uiPriority w:val="34"/>
    <w:qFormat/>
    <w:locked/>
    <w:rsid w:val="005A2F3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1" ma:contentTypeDescription="Create a new document." ma:contentTypeScope="" ma:versionID="9cfda718e2be421a3e2d72793783680d">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ddc3def20040e7afd3310e92222f2386"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0B21B-E412-4034-BBDD-2F2A040F9187}">
  <ds:schemaRefs>
    <ds:schemaRef ds:uri="http://schemas.openxmlformats.org/officeDocument/2006/bibliography"/>
  </ds:schemaRefs>
</ds:datastoreItem>
</file>

<file path=customXml/itemProps2.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29C7B4-1C25-4F52-B1ED-DD14014C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D27EA-064B-4D8F-97D0-E16FFE964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1138</Words>
  <Characters>6493</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4</cp:revision>
  <cp:lastPrinted>2019-10-23T14:31:00Z</cp:lastPrinted>
  <dcterms:created xsi:type="dcterms:W3CDTF">2021-07-02T15:52:00Z</dcterms:created>
  <dcterms:modified xsi:type="dcterms:W3CDTF">2021-07-16T10:36:00Z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