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D6CAC" w14:textId="77777777" w:rsidR="005C6168" w:rsidRPr="00377BBF" w:rsidRDefault="005C6168" w:rsidP="001F4E38">
      <w:pPr>
        <w:pStyle w:val="Heading3"/>
        <w:shd w:val="clear" w:color="auto" w:fill="002060"/>
        <w:rPr>
          <w:rFonts w:ascii="Times New Roman" w:hAnsi="Times New Roman"/>
        </w:rPr>
      </w:pPr>
    </w:p>
    <w:p w14:paraId="6C1EC6E4" w14:textId="77777777" w:rsidR="005C6168" w:rsidRPr="00377BBF" w:rsidRDefault="00BC38E0" w:rsidP="001F4E38">
      <w:pPr>
        <w:pStyle w:val="Heading3"/>
        <w:shd w:val="clear" w:color="auto" w:fill="002060"/>
        <w:rPr>
          <w:rFonts w:ascii="Times New Roman" w:hAnsi="Times New Roman"/>
          <w:b/>
          <w:bCs w:val="0"/>
        </w:rPr>
      </w:pPr>
      <w:r w:rsidRPr="00377BBF">
        <w:rPr>
          <w:rFonts w:ascii="Times New Roman" w:hAnsi="Times New Roman"/>
          <w:b/>
          <w:bCs w:val="0"/>
        </w:rPr>
        <w:t>COUNTRY PROGRAMME</w:t>
      </w:r>
      <w:r w:rsidR="00B32ADA" w:rsidRPr="00377BBF">
        <w:rPr>
          <w:rFonts w:ascii="Times New Roman" w:hAnsi="Times New Roman"/>
          <w:b/>
          <w:bCs w:val="0"/>
        </w:rPr>
        <w:t xml:space="preserve"> PERFORMANCE SUMMARY</w:t>
      </w:r>
      <w:r w:rsidR="001F3524" w:rsidRPr="00377BBF">
        <w:rPr>
          <w:rStyle w:val="FootnoteReference"/>
          <w:rFonts w:ascii="Times New Roman" w:hAnsi="Times New Roman"/>
          <w:b/>
          <w:bCs w:val="0"/>
        </w:rPr>
        <w:footnoteReference w:id="1"/>
      </w:r>
    </w:p>
    <w:p w14:paraId="73C112CF" w14:textId="77777777" w:rsidR="005C6168" w:rsidRPr="00377BBF" w:rsidRDefault="005C6168" w:rsidP="001F4E38">
      <w:pPr>
        <w:pStyle w:val="Heading3"/>
        <w:shd w:val="clear" w:color="auto" w:fill="002060"/>
        <w:rPr>
          <w:rFonts w:ascii="Times New Roman" w:hAnsi="Times New Roman"/>
          <w:b/>
        </w:rPr>
      </w:pPr>
    </w:p>
    <w:p w14:paraId="50FB8450" w14:textId="77777777" w:rsidR="00B240C0" w:rsidRPr="001F4E38" w:rsidRDefault="00B240C0" w:rsidP="001F4E38">
      <w:pPr>
        <w:pStyle w:val="Heading3"/>
        <w:shd w:val="clear" w:color="auto" w:fill="002060"/>
        <w:jc w:val="left"/>
        <w:rPr>
          <w:rFonts w:ascii="Times New Roman" w:hAnsi="Times New Roman"/>
          <w:sz w:val="22"/>
        </w:rPr>
      </w:pPr>
      <w:r w:rsidRPr="001F4E38">
        <w:rPr>
          <w:rFonts w:ascii="Times New Roman" w:hAnsi="Times New Roman"/>
          <w:sz w:val="22"/>
        </w:rPr>
        <w:t>Country:</w:t>
      </w:r>
      <w:r w:rsidRPr="001F4E38">
        <w:rPr>
          <w:rFonts w:ascii="Times New Roman" w:hAnsi="Times New Roman"/>
          <w:sz w:val="22"/>
        </w:rPr>
        <w:tab/>
      </w:r>
      <w:r w:rsidRPr="001F4E38">
        <w:rPr>
          <w:rFonts w:ascii="Times New Roman" w:hAnsi="Times New Roman"/>
          <w:sz w:val="22"/>
        </w:rPr>
        <w:tab/>
        <w:t>NEPAL</w:t>
      </w:r>
    </w:p>
    <w:p w14:paraId="5C0FC74E" w14:textId="77777777" w:rsidR="005C6168" w:rsidRPr="001F4E38" w:rsidRDefault="005C6168" w:rsidP="001F4E38">
      <w:pPr>
        <w:pStyle w:val="Heading3"/>
        <w:shd w:val="clear" w:color="auto" w:fill="002060"/>
        <w:jc w:val="left"/>
        <w:rPr>
          <w:rFonts w:ascii="Times New Roman" w:hAnsi="Times New Roman"/>
          <w:sz w:val="22"/>
        </w:rPr>
      </w:pPr>
      <w:r w:rsidRPr="001F4E38">
        <w:rPr>
          <w:rFonts w:ascii="Times New Roman" w:hAnsi="Times New Roman"/>
          <w:sz w:val="22"/>
        </w:rPr>
        <w:t xml:space="preserve">Reporting period: </w:t>
      </w:r>
      <w:r w:rsidRPr="001F4E38">
        <w:rPr>
          <w:rFonts w:ascii="Times New Roman" w:hAnsi="Times New Roman"/>
          <w:sz w:val="22"/>
        </w:rPr>
        <w:tab/>
      </w:r>
      <w:r w:rsidR="00B240C0" w:rsidRPr="001F4E38">
        <w:rPr>
          <w:rFonts w:ascii="Times New Roman" w:hAnsi="Times New Roman"/>
          <w:sz w:val="22"/>
        </w:rPr>
        <w:t>2013-2016</w:t>
      </w:r>
    </w:p>
    <w:p w14:paraId="645DD7CC" w14:textId="77777777" w:rsidR="005C6168" w:rsidRPr="00377BBF" w:rsidRDefault="005C6168" w:rsidP="001F4E38">
      <w:pPr>
        <w:pStyle w:val="Heading3"/>
        <w:shd w:val="clear" w:color="auto" w:fill="002060"/>
        <w:rPr>
          <w:rFonts w:ascii="Times New Roman" w:hAnsi="Times New Roman"/>
        </w:rPr>
      </w:pPr>
    </w:p>
    <w:p w14:paraId="7F2C8C7D" w14:textId="77777777" w:rsidR="005C6168" w:rsidRPr="00377BBF" w:rsidRDefault="005C6168"/>
    <w:p w14:paraId="6B16A060" w14:textId="4C67585A" w:rsidR="005C6168" w:rsidRPr="00377BBF" w:rsidRDefault="005C6168" w:rsidP="0043380E">
      <w:pPr>
        <w:pStyle w:val="Heading3"/>
        <w:shd w:val="clear" w:color="auto" w:fill="C6D9F1" w:themeFill="text2" w:themeFillTint="33"/>
        <w:rPr>
          <w:rFonts w:ascii="Times New Roman" w:hAnsi="Times New Roman"/>
          <w:b/>
          <w:bCs w:val="0"/>
        </w:rPr>
      </w:pPr>
      <w:r w:rsidRPr="00377BBF">
        <w:rPr>
          <w:rFonts w:ascii="Times New Roman" w:hAnsi="Times New Roman"/>
          <w:b/>
          <w:bCs w:val="0"/>
        </w:rPr>
        <w:t xml:space="preserve">I.  </w:t>
      </w:r>
      <w:r w:rsidR="0064746F" w:rsidRPr="00377BBF">
        <w:rPr>
          <w:rFonts w:ascii="Times New Roman" w:hAnsi="Times New Roman"/>
          <w:b/>
          <w:bCs w:val="0"/>
        </w:rPr>
        <w:t>EXECUTIVE SUMMARY</w:t>
      </w:r>
      <w:bookmarkStart w:id="0" w:name="_GoBack"/>
      <w:bookmarkEnd w:id="0"/>
    </w:p>
    <w:p w14:paraId="55680D0E" w14:textId="77777777" w:rsidR="00377003" w:rsidRDefault="00377003" w:rsidP="003F336E">
      <w:pPr>
        <w:pStyle w:val="BodyText2"/>
        <w:jc w:val="both"/>
        <w:rPr>
          <w:rFonts w:asciiTheme="minorHAnsi" w:hAnsiTheme="minorHAnsi" w:cstheme="minorHAnsi"/>
          <w:sz w:val="22"/>
          <w:szCs w:val="22"/>
        </w:rPr>
      </w:pPr>
    </w:p>
    <w:p w14:paraId="120AC047" w14:textId="62FB152B" w:rsidR="003F336E" w:rsidRDefault="003F336E" w:rsidP="003F336E">
      <w:pPr>
        <w:pStyle w:val="BodyText2"/>
        <w:jc w:val="both"/>
        <w:rPr>
          <w:rFonts w:asciiTheme="minorHAnsi" w:hAnsiTheme="minorHAnsi" w:cstheme="minorHAnsi"/>
          <w:sz w:val="22"/>
          <w:szCs w:val="22"/>
        </w:rPr>
      </w:pPr>
      <w:r>
        <w:rPr>
          <w:rFonts w:asciiTheme="minorHAnsi" w:hAnsiTheme="minorHAnsi" w:cstheme="minorHAnsi"/>
          <w:sz w:val="22"/>
          <w:szCs w:val="22"/>
        </w:rPr>
        <w:t xml:space="preserve">The UNDP Nepal Country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(2013-2017) was developed and implemented in close partnership with the Government of Nepal, civil society, development partners, academia and private sector. </w:t>
      </w:r>
    </w:p>
    <w:p w14:paraId="417F1073" w14:textId="77777777" w:rsidR="003F336E" w:rsidRDefault="003F336E" w:rsidP="003F336E">
      <w:pPr>
        <w:pStyle w:val="BodyText2"/>
        <w:jc w:val="both"/>
        <w:rPr>
          <w:rFonts w:asciiTheme="minorHAnsi" w:hAnsiTheme="minorHAnsi" w:cstheme="minorHAnsi"/>
          <w:sz w:val="22"/>
          <w:szCs w:val="22"/>
        </w:rPr>
      </w:pPr>
    </w:p>
    <w:p w14:paraId="42A6EF82" w14:textId="6D8827B7" w:rsidR="003F336E" w:rsidRDefault="003F336E" w:rsidP="003F336E">
      <w:pPr>
        <w:pStyle w:val="BodyText2"/>
        <w:jc w:val="both"/>
        <w:rPr>
          <w:rFonts w:asciiTheme="minorHAnsi" w:hAnsiTheme="minorHAnsi" w:cstheme="minorHAnsi"/>
          <w:sz w:val="22"/>
          <w:szCs w:val="22"/>
        </w:rPr>
      </w:pPr>
      <w:r>
        <w:rPr>
          <w:rFonts w:asciiTheme="minorHAnsi" w:hAnsiTheme="minorHAnsi" w:cstheme="minorHAnsi"/>
          <w:sz w:val="22"/>
          <w:szCs w:val="22"/>
        </w:rPr>
        <w:t>It focuses on four priority areas of</w:t>
      </w:r>
    </w:p>
    <w:p w14:paraId="193F1F01" w14:textId="77777777" w:rsidR="003F336E" w:rsidRDefault="003F336E" w:rsidP="003F336E">
      <w:pPr>
        <w:pStyle w:val="BodyText2"/>
        <w:numPr>
          <w:ilvl w:val="0"/>
          <w:numId w:val="37"/>
        </w:numPr>
        <w:jc w:val="both"/>
        <w:rPr>
          <w:rFonts w:asciiTheme="minorHAnsi" w:hAnsiTheme="minorHAnsi" w:cstheme="minorHAnsi"/>
          <w:sz w:val="22"/>
          <w:szCs w:val="22"/>
        </w:rPr>
      </w:pPr>
      <w:r>
        <w:rPr>
          <w:rFonts w:asciiTheme="minorHAnsi" w:hAnsiTheme="minorHAnsi" w:cstheme="minorHAnsi"/>
          <w:sz w:val="22"/>
          <w:szCs w:val="22"/>
        </w:rPr>
        <w:t xml:space="preserve">Poverty reduction and sustainable development </w:t>
      </w:r>
    </w:p>
    <w:p w14:paraId="2595157F" w14:textId="77777777" w:rsidR="003F336E" w:rsidRDefault="003F336E" w:rsidP="003F336E">
      <w:pPr>
        <w:pStyle w:val="BodyText2"/>
        <w:numPr>
          <w:ilvl w:val="0"/>
          <w:numId w:val="37"/>
        </w:numPr>
        <w:jc w:val="both"/>
        <w:rPr>
          <w:rFonts w:asciiTheme="minorHAnsi" w:hAnsiTheme="minorHAnsi" w:cstheme="minorHAnsi"/>
          <w:sz w:val="22"/>
          <w:szCs w:val="22"/>
        </w:rPr>
      </w:pPr>
      <w:r>
        <w:rPr>
          <w:rFonts w:asciiTheme="minorHAnsi" w:hAnsiTheme="minorHAnsi" w:cstheme="minorHAnsi"/>
          <w:sz w:val="22"/>
          <w:szCs w:val="22"/>
        </w:rPr>
        <w:t>Inclusive democratic governance</w:t>
      </w:r>
    </w:p>
    <w:p w14:paraId="63668273" w14:textId="77777777" w:rsidR="003F336E" w:rsidRDefault="003F336E" w:rsidP="003F336E">
      <w:pPr>
        <w:pStyle w:val="BodyText2"/>
        <w:numPr>
          <w:ilvl w:val="0"/>
          <w:numId w:val="37"/>
        </w:numPr>
        <w:jc w:val="both"/>
        <w:rPr>
          <w:rFonts w:asciiTheme="minorHAnsi" w:hAnsiTheme="minorHAnsi" w:cstheme="minorHAnsi"/>
          <w:sz w:val="22"/>
          <w:szCs w:val="22"/>
        </w:rPr>
      </w:pPr>
      <w:r>
        <w:rPr>
          <w:rFonts w:asciiTheme="minorHAnsi" w:hAnsiTheme="minorHAnsi" w:cstheme="minorHAnsi"/>
          <w:sz w:val="22"/>
          <w:szCs w:val="22"/>
        </w:rPr>
        <w:t xml:space="preserve">Protecting development gains and building resilience </w:t>
      </w:r>
    </w:p>
    <w:p w14:paraId="6EA76365" w14:textId="77777777" w:rsidR="003F336E" w:rsidRDefault="003F336E" w:rsidP="003F336E">
      <w:pPr>
        <w:pStyle w:val="BodyText2"/>
        <w:numPr>
          <w:ilvl w:val="0"/>
          <w:numId w:val="37"/>
        </w:numPr>
        <w:jc w:val="both"/>
        <w:rPr>
          <w:rFonts w:asciiTheme="minorHAnsi" w:hAnsiTheme="minorHAnsi" w:cstheme="minorHAnsi"/>
          <w:sz w:val="22"/>
          <w:szCs w:val="22"/>
        </w:rPr>
      </w:pPr>
      <w:r>
        <w:rPr>
          <w:rFonts w:asciiTheme="minorHAnsi" w:hAnsiTheme="minorHAnsi" w:cstheme="minorHAnsi"/>
          <w:sz w:val="22"/>
          <w:szCs w:val="22"/>
        </w:rPr>
        <w:t>Peace building and democratic transition</w:t>
      </w:r>
    </w:p>
    <w:p w14:paraId="269D0FEE" w14:textId="77777777" w:rsidR="003F336E" w:rsidRDefault="003F336E" w:rsidP="003F336E">
      <w:pPr>
        <w:pStyle w:val="BodyText2"/>
        <w:jc w:val="both"/>
        <w:rPr>
          <w:rFonts w:asciiTheme="minorHAnsi" w:hAnsiTheme="minorHAnsi" w:cstheme="minorHAnsi"/>
          <w:sz w:val="22"/>
          <w:szCs w:val="22"/>
        </w:rPr>
      </w:pPr>
    </w:p>
    <w:p w14:paraId="7278E936" w14:textId="3963EAA0" w:rsidR="003F336E" w:rsidRDefault="003F336E" w:rsidP="003F336E">
      <w:pPr>
        <w:pStyle w:val="BodyText2"/>
        <w:jc w:val="both"/>
        <w:rPr>
          <w:rFonts w:asciiTheme="minorHAnsi" w:hAnsiTheme="minorHAnsi" w:cstheme="minorHAnsi"/>
          <w:sz w:val="22"/>
          <w:szCs w:val="22"/>
        </w:rPr>
      </w:pPr>
      <w:r>
        <w:rPr>
          <w:rFonts w:asciiTheme="minorHAnsi" w:hAnsiTheme="minorHAnsi" w:cstheme="minorHAnsi"/>
          <w:sz w:val="22"/>
          <w:szCs w:val="22"/>
        </w:rPr>
        <w:t>These priority areas were supported by 9 outcomes and 37 outputs</w:t>
      </w:r>
      <w:r w:rsidR="00377003">
        <w:rPr>
          <w:rFonts w:asciiTheme="minorHAnsi" w:hAnsiTheme="minorHAnsi" w:cstheme="minorHAnsi"/>
          <w:sz w:val="22"/>
          <w:szCs w:val="22"/>
        </w:rPr>
        <w:t>.</w:t>
      </w:r>
      <w:r>
        <w:rPr>
          <w:rFonts w:asciiTheme="minorHAnsi" w:hAnsiTheme="minorHAnsi" w:cstheme="minorHAnsi"/>
          <w:sz w:val="22"/>
          <w:szCs w:val="22"/>
        </w:rPr>
        <w:t xml:space="preserve"> </w:t>
      </w:r>
    </w:p>
    <w:p w14:paraId="2397AEF6" w14:textId="77777777" w:rsidR="003F336E" w:rsidRDefault="003F336E" w:rsidP="003F336E">
      <w:pPr>
        <w:rPr>
          <w:rFonts w:asciiTheme="minorHAnsi" w:hAnsiTheme="minorHAnsi" w:cstheme="minorHAnsi"/>
          <w:sz w:val="22"/>
          <w:szCs w:val="22"/>
        </w:rPr>
      </w:pPr>
    </w:p>
    <w:p w14:paraId="0D1FCE0A" w14:textId="373D0776" w:rsidR="003F336E" w:rsidRDefault="003F336E" w:rsidP="003F336E">
      <w:pPr>
        <w:rPr>
          <w:rFonts w:asciiTheme="minorHAnsi" w:hAnsiTheme="minorHAnsi" w:cstheme="minorHAnsi"/>
          <w:sz w:val="22"/>
          <w:szCs w:val="22"/>
        </w:rPr>
      </w:pPr>
      <w:r>
        <w:rPr>
          <w:rFonts w:asciiTheme="minorHAnsi" w:hAnsiTheme="minorHAnsi" w:cstheme="minorHAnsi"/>
          <w:sz w:val="22"/>
          <w:szCs w:val="22"/>
        </w:rPr>
        <w:t xml:space="preserve">Key principles underlying the implementation of the country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included the human rights based approach, gender equality, women’s’ empowerment, social inclusion, conflict sensitivity, and environmental sustainability</w:t>
      </w:r>
      <w:r w:rsidR="00377003">
        <w:rPr>
          <w:rFonts w:asciiTheme="minorHAnsi" w:hAnsiTheme="minorHAnsi" w:cstheme="minorHAnsi"/>
          <w:sz w:val="22"/>
          <w:szCs w:val="22"/>
        </w:rPr>
        <w:t>.</w:t>
      </w:r>
      <w:r>
        <w:rPr>
          <w:rFonts w:asciiTheme="minorHAnsi" w:hAnsiTheme="minorHAnsi" w:cstheme="minorHAnsi"/>
          <w:sz w:val="22"/>
          <w:szCs w:val="22"/>
        </w:rPr>
        <w:t xml:space="preserve"> </w:t>
      </w:r>
    </w:p>
    <w:p w14:paraId="183011BA" w14:textId="77777777" w:rsidR="003F336E" w:rsidRDefault="003F336E" w:rsidP="003F336E">
      <w:pPr>
        <w:rPr>
          <w:rFonts w:asciiTheme="minorHAnsi" w:hAnsiTheme="minorHAnsi" w:cstheme="minorHAnsi"/>
          <w:sz w:val="22"/>
          <w:szCs w:val="22"/>
        </w:rPr>
      </w:pPr>
    </w:p>
    <w:p w14:paraId="0724D9FA" w14:textId="77777777" w:rsidR="003F336E" w:rsidRDefault="003F336E" w:rsidP="003F336E">
      <w:pPr>
        <w:jc w:val="both"/>
        <w:rPr>
          <w:rFonts w:asciiTheme="minorHAnsi" w:hAnsiTheme="minorHAnsi" w:cstheme="minorHAnsi"/>
          <w:sz w:val="22"/>
          <w:szCs w:val="22"/>
        </w:rPr>
      </w:pPr>
      <w:r>
        <w:rPr>
          <w:rFonts w:asciiTheme="minorHAnsi" w:hAnsiTheme="minorHAnsi" w:cstheme="minorHAnsi"/>
          <w:sz w:val="22"/>
          <w:szCs w:val="22"/>
        </w:rPr>
        <w:t xml:space="preserve">UNDP, together with UN Agencies, actively engaged in promoting SDGs nationwide. UNDP supported </w:t>
      </w:r>
      <w:proofErr w:type="spellStart"/>
      <w:r>
        <w:rPr>
          <w:rFonts w:asciiTheme="minorHAnsi" w:hAnsiTheme="minorHAnsi" w:cstheme="minorHAnsi"/>
          <w:sz w:val="22"/>
          <w:szCs w:val="22"/>
        </w:rPr>
        <w:t>GoN</w:t>
      </w:r>
      <w:proofErr w:type="spellEnd"/>
      <w:r>
        <w:rPr>
          <w:rFonts w:asciiTheme="minorHAnsi" w:hAnsiTheme="minorHAnsi" w:cstheme="minorHAnsi"/>
          <w:sz w:val="22"/>
          <w:szCs w:val="22"/>
        </w:rPr>
        <w:t xml:space="preserve"> to produce the first country position paper on SDGs. </w:t>
      </w:r>
      <w:proofErr w:type="spellStart"/>
      <w:r>
        <w:rPr>
          <w:rFonts w:asciiTheme="minorHAnsi" w:hAnsiTheme="minorHAnsi" w:cstheme="minorHAnsi"/>
          <w:sz w:val="22"/>
          <w:szCs w:val="22"/>
        </w:rPr>
        <w:t>GoN</w:t>
      </w:r>
      <w:proofErr w:type="spellEnd"/>
      <w:r>
        <w:rPr>
          <w:rFonts w:asciiTheme="minorHAnsi" w:hAnsiTheme="minorHAnsi" w:cstheme="minorHAnsi"/>
          <w:sz w:val="22"/>
          <w:szCs w:val="22"/>
        </w:rPr>
        <w:t xml:space="preserve"> integrated SDGs in the 14th periodic plan, and the national M&amp;E guidelines was revised in line with SDG indicators. Support to the government is extended in three main directions – awareness building and information sharing, TA for achievement of SDGs and monitoring and reporting. </w:t>
      </w:r>
    </w:p>
    <w:p w14:paraId="2BCAF149" w14:textId="77777777" w:rsidR="003F336E" w:rsidRDefault="003F336E" w:rsidP="003F336E">
      <w:pPr>
        <w:jc w:val="both"/>
        <w:rPr>
          <w:rFonts w:asciiTheme="minorHAnsi" w:hAnsiTheme="minorHAnsi" w:cstheme="minorHAnsi"/>
          <w:sz w:val="22"/>
          <w:szCs w:val="22"/>
        </w:rPr>
      </w:pPr>
    </w:p>
    <w:p w14:paraId="23975078" w14:textId="77777777" w:rsidR="003F336E" w:rsidRDefault="003F336E" w:rsidP="003F336E">
      <w:pPr>
        <w:pStyle w:val="BodyText"/>
        <w:jc w:val="both"/>
        <w:rPr>
          <w:rFonts w:asciiTheme="minorHAnsi" w:hAnsiTheme="minorHAnsi" w:cstheme="minorHAnsi"/>
          <w:szCs w:val="22"/>
        </w:rPr>
      </w:pPr>
      <w:r>
        <w:rPr>
          <w:rFonts w:asciiTheme="minorHAnsi" w:hAnsiTheme="minorHAnsi" w:cstheme="minorHAnsi"/>
          <w:szCs w:val="22"/>
        </w:rPr>
        <w:t xml:space="preserve">UNDP has maintained excellent partnership with the Government of Nepal at central and local levels. The Country </w:t>
      </w:r>
      <w:proofErr w:type="spellStart"/>
      <w:r>
        <w:rPr>
          <w:rFonts w:asciiTheme="minorHAnsi" w:hAnsiTheme="minorHAnsi" w:cstheme="minorHAnsi"/>
          <w:szCs w:val="22"/>
        </w:rPr>
        <w:t>Programme</w:t>
      </w:r>
      <w:proofErr w:type="spellEnd"/>
      <w:r>
        <w:rPr>
          <w:rFonts w:asciiTheme="minorHAnsi" w:hAnsiTheme="minorHAnsi" w:cstheme="minorHAnsi"/>
          <w:szCs w:val="22"/>
        </w:rPr>
        <w:t xml:space="preserve"> led strategic partnership initiatives with other development stakeholders in the areas of governance, local governance, rule of law and access to justice, resilience building, climate change adaptation and reconstruction, economic empowerment and social inclusion. Synergies between various actions were promoted that in critical circumstances have brought desired results while advocating jointly for policy changes vis-à-vis the government. UNDP has further capitalized on partnership with other UN agencies, including through participation in several UN joint </w:t>
      </w:r>
      <w:proofErr w:type="spellStart"/>
      <w:r>
        <w:rPr>
          <w:rFonts w:asciiTheme="minorHAnsi" w:hAnsiTheme="minorHAnsi" w:cstheme="minorHAnsi"/>
          <w:szCs w:val="22"/>
        </w:rPr>
        <w:t>programmes</w:t>
      </w:r>
      <w:proofErr w:type="spellEnd"/>
      <w:r>
        <w:rPr>
          <w:rFonts w:asciiTheme="minorHAnsi" w:hAnsiTheme="minorHAnsi" w:cstheme="minorHAnsi"/>
          <w:szCs w:val="22"/>
        </w:rPr>
        <w:t xml:space="preserve">, as well as through more informal means of joint actions and advocacy. </w:t>
      </w:r>
    </w:p>
    <w:p w14:paraId="7EF6C1FD" w14:textId="77777777" w:rsidR="003F336E" w:rsidRDefault="003F336E" w:rsidP="003F336E">
      <w:pPr>
        <w:pStyle w:val="BodyText"/>
        <w:jc w:val="both"/>
        <w:rPr>
          <w:rFonts w:asciiTheme="minorHAnsi" w:hAnsiTheme="minorHAnsi" w:cstheme="minorHAnsi"/>
          <w:szCs w:val="22"/>
        </w:rPr>
      </w:pPr>
    </w:p>
    <w:p w14:paraId="5B7D022A" w14:textId="0A7F9A5D" w:rsidR="003F336E" w:rsidRDefault="003F336E" w:rsidP="003F336E">
      <w:pPr>
        <w:widowControl/>
        <w:rPr>
          <w:rFonts w:asciiTheme="minorHAnsi" w:hAnsiTheme="minorHAnsi" w:cstheme="minorHAnsi"/>
          <w:sz w:val="22"/>
          <w:szCs w:val="22"/>
        </w:rPr>
      </w:pPr>
      <w:r>
        <w:rPr>
          <w:rFonts w:asciiTheme="minorHAnsi" w:hAnsiTheme="minorHAnsi" w:cstheme="minorHAnsi"/>
          <w:sz w:val="22"/>
          <w:szCs w:val="22"/>
        </w:rPr>
        <w:t xml:space="preserve">In the period 2013-2017, in partnership with the Government of Nepal and Development Partners, UNDP’s estimated delivery at the end of the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cycle will be around USD 177 </w:t>
      </w:r>
      <w:proofErr w:type="spellStart"/>
      <w:r>
        <w:rPr>
          <w:rFonts w:asciiTheme="minorHAnsi" w:hAnsiTheme="minorHAnsi" w:cstheme="minorHAnsi"/>
          <w:sz w:val="22"/>
          <w:szCs w:val="22"/>
        </w:rPr>
        <w:t>mln</w:t>
      </w:r>
      <w:proofErr w:type="spellEnd"/>
      <w:r>
        <w:rPr>
          <w:rStyle w:val="FootnoteReference"/>
          <w:rFonts w:asciiTheme="minorHAnsi" w:hAnsiTheme="minorHAnsi" w:cstheme="minorHAnsi"/>
          <w:sz w:val="22"/>
          <w:szCs w:val="22"/>
        </w:rPr>
        <w:footnoteReference w:id="2"/>
      </w:r>
      <w:r>
        <w:rPr>
          <w:rFonts w:asciiTheme="minorHAnsi" w:hAnsiTheme="minorHAnsi" w:cstheme="minorHAnsi"/>
          <w:sz w:val="22"/>
          <w:szCs w:val="22"/>
        </w:rPr>
        <w:t xml:space="preserve">. The top </w:t>
      </w:r>
      <w:r w:rsidR="00377003">
        <w:rPr>
          <w:rFonts w:asciiTheme="minorHAnsi" w:hAnsiTheme="minorHAnsi" w:cstheme="minorHAnsi"/>
          <w:sz w:val="22"/>
          <w:szCs w:val="22"/>
        </w:rPr>
        <w:t>five</w:t>
      </w:r>
      <w:r>
        <w:rPr>
          <w:rFonts w:asciiTheme="minorHAnsi" w:hAnsiTheme="minorHAnsi" w:cstheme="minorHAnsi"/>
          <w:sz w:val="22"/>
          <w:szCs w:val="22"/>
        </w:rPr>
        <w:t xml:space="preserve"> financial contributors to the Country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in Nepal are the Government of Australia, DFID, EU, GEF, and Government of Norway. Government of Nepal wa</w:t>
      </w:r>
      <w:r w:rsidR="00377003">
        <w:rPr>
          <w:rFonts w:asciiTheme="minorHAnsi" w:hAnsiTheme="minorHAnsi" w:cstheme="minorHAnsi"/>
          <w:sz w:val="22"/>
          <w:szCs w:val="22"/>
        </w:rPr>
        <w:t>s one of the funders of UNDP’s c</w:t>
      </w:r>
      <w:r>
        <w:rPr>
          <w:rFonts w:asciiTheme="minorHAnsi" w:hAnsiTheme="minorHAnsi" w:cstheme="minorHAnsi"/>
          <w:sz w:val="22"/>
          <w:szCs w:val="22"/>
        </w:rPr>
        <w:t xml:space="preserve">ountry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during 2013-2017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cycle. </w:t>
      </w:r>
    </w:p>
    <w:p w14:paraId="65C8FDD1" w14:textId="77777777" w:rsidR="003F336E" w:rsidRDefault="003F336E" w:rsidP="003F336E">
      <w:pPr>
        <w:pStyle w:val="BodyText2"/>
        <w:jc w:val="both"/>
        <w:rPr>
          <w:rFonts w:asciiTheme="minorHAnsi" w:hAnsiTheme="minorHAnsi" w:cstheme="minorHAnsi"/>
          <w:sz w:val="22"/>
          <w:szCs w:val="22"/>
        </w:rPr>
      </w:pPr>
    </w:p>
    <w:p w14:paraId="6ABE1EBA" w14:textId="118B779B" w:rsidR="003F336E" w:rsidRDefault="003F336E" w:rsidP="003F336E">
      <w:pPr>
        <w:pStyle w:val="BodyText"/>
        <w:jc w:val="both"/>
        <w:rPr>
          <w:rFonts w:asciiTheme="minorHAnsi" w:hAnsiTheme="minorHAnsi" w:cstheme="minorHAnsi"/>
          <w:szCs w:val="22"/>
        </w:rPr>
      </w:pPr>
      <w:r>
        <w:rPr>
          <w:rFonts w:asciiTheme="minorHAnsi" w:hAnsiTheme="minorHAnsi" w:cstheme="minorHAnsi"/>
          <w:szCs w:val="22"/>
        </w:rPr>
        <w:t xml:space="preserve">The 2013-2017 CPD/CPAP outcome and project evaluations further confirmed that the Country </w:t>
      </w:r>
      <w:proofErr w:type="spellStart"/>
      <w:r>
        <w:rPr>
          <w:rFonts w:asciiTheme="minorHAnsi" w:hAnsiTheme="minorHAnsi" w:cstheme="minorHAnsi"/>
          <w:szCs w:val="22"/>
        </w:rPr>
        <w:t>Programme</w:t>
      </w:r>
      <w:proofErr w:type="spellEnd"/>
      <w:r>
        <w:rPr>
          <w:rFonts w:asciiTheme="minorHAnsi" w:hAnsiTheme="minorHAnsi" w:cstheme="minorHAnsi"/>
          <w:szCs w:val="22"/>
        </w:rPr>
        <w:t xml:space="preserve"> made important contributions to the national development priorities of Nepal, in </w:t>
      </w:r>
      <w:r>
        <w:rPr>
          <w:rFonts w:asciiTheme="minorHAnsi" w:hAnsiTheme="minorHAnsi" w:cstheme="minorHAnsi"/>
          <w:szCs w:val="22"/>
        </w:rPr>
        <w:lastRenderedPageBreak/>
        <w:t xml:space="preserve">particular to capacity development as a prime strategy for promoting sustainable interventions, through </w:t>
      </w:r>
      <w:r>
        <w:rPr>
          <w:rFonts w:asciiTheme="minorHAnsi" w:hAnsiTheme="minorHAnsi" w:cstheme="minorHAnsi"/>
          <w:i/>
          <w:szCs w:val="22"/>
        </w:rPr>
        <w:t>inter alia</w:t>
      </w:r>
      <w:r>
        <w:rPr>
          <w:rFonts w:asciiTheme="minorHAnsi" w:hAnsiTheme="minorHAnsi" w:cstheme="minorHAnsi"/>
          <w:szCs w:val="22"/>
        </w:rPr>
        <w:t xml:space="preserve"> focusing on appropriate policy advocacy and institutional improvements.  </w:t>
      </w:r>
    </w:p>
    <w:p w14:paraId="1AADC3AD" w14:textId="77777777" w:rsidR="003F336E" w:rsidRDefault="003F336E" w:rsidP="003F336E">
      <w:pPr>
        <w:jc w:val="both"/>
        <w:rPr>
          <w:rFonts w:asciiTheme="minorHAnsi" w:hAnsiTheme="minorHAnsi" w:cstheme="minorHAnsi"/>
          <w:sz w:val="22"/>
          <w:szCs w:val="22"/>
        </w:rPr>
      </w:pPr>
    </w:p>
    <w:p w14:paraId="1738923A" w14:textId="77777777" w:rsidR="003F336E" w:rsidRDefault="003F336E" w:rsidP="003F336E">
      <w:pPr>
        <w:jc w:val="both"/>
        <w:rPr>
          <w:rFonts w:asciiTheme="minorHAnsi" w:hAnsiTheme="minorHAnsi" w:cstheme="minorHAnsi"/>
          <w:sz w:val="22"/>
          <w:szCs w:val="22"/>
        </w:rPr>
      </w:pPr>
      <w:r>
        <w:rPr>
          <w:rFonts w:asciiTheme="minorHAnsi" w:hAnsiTheme="minorHAnsi" w:cstheme="minorHAnsi"/>
          <w:sz w:val="22"/>
          <w:szCs w:val="22"/>
        </w:rPr>
        <w:t>Some salient highlights of UNDP contributions are presented below:</w:t>
      </w:r>
    </w:p>
    <w:p w14:paraId="704E6E65" w14:textId="77777777" w:rsidR="003F336E" w:rsidRDefault="003F336E" w:rsidP="003F336E">
      <w:pPr>
        <w:jc w:val="both"/>
        <w:rPr>
          <w:rFonts w:asciiTheme="minorHAnsi" w:hAnsiTheme="minorHAnsi" w:cstheme="minorHAnsi"/>
          <w:sz w:val="22"/>
          <w:szCs w:val="22"/>
        </w:rPr>
      </w:pPr>
    </w:p>
    <w:p w14:paraId="0BEE02CB" w14:textId="77777777" w:rsidR="003F336E" w:rsidRDefault="003F336E" w:rsidP="003F336E">
      <w:pPr>
        <w:jc w:val="both"/>
        <w:rPr>
          <w:rFonts w:asciiTheme="minorHAnsi" w:hAnsiTheme="minorHAnsi" w:cstheme="minorHAnsi"/>
          <w:sz w:val="22"/>
          <w:szCs w:val="22"/>
        </w:rPr>
      </w:pPr>
      <w:r>
        <w:rPr>
          <w:rFonts w:asciiTheme="minorHAnsi" w:hAnsiTheme="minorHAnsi" w:cstheme="minorHAnsi"/>
          <w:b/>
          <w:sz w:val="22"/>
          <w:szCs w:val="22"/>
        </w:rPr>
        <w:t>Poverty reduction and sustainable development</w:t>
      </w:r>
      <w:r>
        <w:rPr>
          <w:rFonts w:asciiTheme="minorHAnsi" w:hAnsiTheme="minorHAnsi" w:cstheme="minorHAnsi"/>
          <w:b/>
          <w:sz w:val="22"/>
          <w:szCs w:val="22"/>
          <w:lang w:val="en-GB"/>
        </w:rPr>
        <w:t xml:space="preserve">: </w:t>
      </w:r>
      <w:r>
        <w:rPr>
          <w:rFonts w:asciiTheme="minorHAnsi" w:hAnsiTheme="minorHAnsi" w:cstheme="minorHAnsi"/>
          <w:sz w:val="22"/>
          <w:szCs w:val="22"/>
          <w:lang w:val="en-GB"/>
        </w:rPr>
        <w:t>Government of Nepal and UNDP partnership has led to creation of strong mechanisms to support micro-</w:t>
      </w:r>
      <w:proofErr w:type="spellStart"/>
      <w:r>
        <w:rPr>
          <w:rFonts w:asciiTheme="minorHAnsi" w:hAnsiTheme="minorHAnsi" w:cstheme="minorHAnsi"/>
          <w:sz w:val="22"/>
          <w:szCs w:val="22"/>
          <w:lang w:val="en-GB"/>
        </w:rPr>
        <w:t>enterpreneurship</w:t>
      </w:r>
      <w:proofErr w:type="spellEnd"/>
      <w:r>
        <w:rPr>
          <w:rFonts w:asciiTheme="minorHAnsi" w:hAnsiTheme="minorHAnsi" w:cstheme="minorHAnsi"/>
          <w:sz w:val="22"/>
          <w:szCs w:val="22"/>
          <w:lang w:val="en-GB"/>
        </w:rPr>
        <w:t xml:space="preserve"> among the poor and disadvantaged groups of the population for poverty alleviation. </w:t>
      </w:r>
      <w:r>
        <w:rPr>
          <w:rFonts w:asciiTheme="minorHAnsi" w:hAnsiTheme="minorHAnsi" w:cstheme="minorHAnsi"/>
          <w:sz w:val="22"/>
          <w:szCs w:val="22"/>
        </w:rPr>
        <w:t xml:space="preserve">UNDP’s support resulted in the creation of 80,000 new microenterprises and 147,000 new jobs across 38 districts. </w:t>
      </w:r>
    </w:p>
    <w:p w14:paraId="44EDE104" w14:textId="77777777" w:rsidR="003F336E" w:rsidRDefault="003F336E" w:rsidP="003F336E">
      <w:pPr>
        <w:jc w:val="both"/>
        <w:rPr>
          <w:rFonts w:asciiTheme="minorHAnsi" w:hAnsiTheme="minorHAnsi" w:cstheme="minorHAnsi"/>
          <w:sz w:val="22"/>
          <w:szCs w:val="22"/>
          <w:lang w:val="en-GB"/>
        </w:rPr>
      </w:pPr>
      <w:r>
        <w:rPr>
          <w:rFonts w:asciiTheme="minorHAnsi" w:hAnsiTheme="minorHAnsi" w:cstheme="minorHAnsi"/>
          <w:sz w:val="22"/>
          <w:szCs w:val="22"/>
        </w:rPr>
        <w:t xml:space="preserve">This model is being scaled up by the Government as part of the national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to cover all districts, and a new law has been passed acknowledging micro-enterprise as a tool for poverty alleviation</w:t>
      </w:r>
      <w:r>
        <w:rPr>
          <w:rStyle w:val="FootnoteReference"/>
          <w:rFonts w:asciiTheme="minorHAnsi" w:hAnsiTheme="minorHAnsi" w:cstheme="minorHAnsi"/>
          <w:sz w:val="22"/>
          <w:szCs w:val="22"/>
        </w:rPr>
        <w:footnoteReference w:id="3"/>
      </w:r>
      <w:r>
        <w:rPr>
          <w:rFonts w:asciiTheme="minorHAnsi" w:hAnsiTheme="minorHAnsi" w:cstheme="minorHAnsi"/>
          <w:sz w:val="22"/>
          <w:szCs w:val="22"/>
        </w:rPr>
        <w:t>.</w:t>
      </w:r>
    </w:p>
    <w:p w14:paraId="74DE23ED" w14:textId="77777777" w:rsidR="003F336E" w:rsidRDefault="003F336E" w:rsidP="003F336E">
      <w:pPr>
        <w:pStyle w:val="BodyText"/>
        <w:jc w:val="both"/>
        <w:rPr>
          <w:rFonts w:asciiTheme="minorHAnsi" w:hAnsiTheme="minorHAnsi" w:cstheme="minorHAnsi"/>
          <w:szCs w:val="22"/>
        </w:rPr>
      </w:pPr>
    </w:p>
    <w:p w14:paraId="09153443" w14:textId="77777777" w:rsidR="003F336E" w:rsidRDefault="003F336E" w:rsidP="003F336E">
      <w:pPr>
        <w:pStyle w:val="BodyText"/>
        <w:jc w:val="both"/>
        <w:rPr>
          <w:rFonts w:asciiTheme="minorHAnsi" w:hAnsiTheme="minorHAnsi" w:cstheme="minorHAnsi"/>
          <w:color w:val="000000" w:themeColor="text1"/>
          <w:szCs w:val="22"/>
        </w:rPr>
      </w:pPr>
      <w:r>
        <w:rPr>
          <w:rFonts w:asciiTheme="minorHAnsi" w:hAnsiTheme="minorHAnsi" w:cstheme="minorHAnsi"/>
          <w:b/>
          <w:szCs w:val="22"/>
        </w:rPr>
        <w:t>Inclusive democratic governance:</w:t>
      </w:r>
      <w:r>
        <w:rPr>
          <w:rFonts w:asciiTheme="minorHAnsi" w:hAnsiTheme="minorHAnsi" w:cstheme="minorHAnsi"/>
          <w:szCs w:val="22"/>
        </w:rPr>
        <w:t xml:space="preserve"> Government and UNDP partnership has led to greater protection of human rights and advancement of social inclusion, including through strengthening capacities of the National Human Rights Commission and National Commissions for Dalits and Women, and facilitating legislative changes against caste based discrimination and promoting social inclusion. The UNDP </w:t>
      </w:r>
      <w:r>
        <w:rPr>
          <w:rFonts w:asciiTheme="minorHAnsi" w:hAnsiTheme="minorHAnsi" w:cstheme="minorHAnsi"/>
          <w:color w:val="000000" w:themeColor="text1"/>
          <w:szCs w:val="22"/>
        </w:rPr>
        <w:t xml:space="preserve">pilot which provided socio-legal aid services to nearly 84,000 people has led to the process of formulating an integrated national policy on legal aid and significant increase in the government’s budget allocation for this purpose. </w:t>
      </w:r>
    </w:p>
    <w:p w14:paraId="0D8296E1" w14:textId="77777777" w:rsidR="003F336E" w:rsidRDefault="003F336E" w:rsidP="003F336E">
      <w:pPr>
        <w:pStyle w:val="BodyText"/>
        <w:jc w:val="both"/>
        <w:rPr>
          <w:rFonts w:asciiTheme="minorHAnsi" w:hAnsiTheme="minorHAnsi" w:cstheme="minorHAnsi"/>
          <w:szCs w:val="22"/>
        </w:rPr>
      </w:pPr>
    </w:p>
    <w:p w14:paraId="65E2F37A" w14:textId="77777777" w:rsidR="003F336E" w:rsidRDefault="003F336E" w:rsidP="003F336E">
      <w:pPr>
        <w:pStyle w:val="BodyText"/>
        <w:jc w:val="both"/>
        <w:rPr>
          <w:rFonts w:asciiTheme="minorHAnsi" w:hAnsiTheme="minorHAnsi" w:cstheme="minorHAnsi"/>
          <w:szCs w:val="22"/>
        </w:rPr>
      </w:pPr>
      <w:r>
        <w:rPr>
          <w:rFonts w:asciiTheme="minorHAnsi" w:hAnsiTheme="minorHAnsi" w:cstheme="minorHAnsi"/>
          <w:szCs w:val="22"/>
        </w:rPr>
        <w:t xml:space="preserve">Though the Country </w:t>
      </w:r>
      <w:proofErr w:type="spellStart"/>
      <w:r>
        <w:rPr>
          <w:rFonts w:asciiTheme="minorHAnsi" w:hAnsiTheme="minorHAnsi" w:cstheme="minorHAnsi"/>
          <w:szCs w:val="22"/>
        </w:rPr>
        <w:t>Programme</w:t>
      </w:r>
      <w:proofErr w:type="spellEnd"/>
      <w:r>
        <w:rPr>
          <w:rFonts w:asciiTheme="minorHAnsi" w:hAnsiTheme="minorHAnsi" w:cstheme="minorHAnsi"/>
          <w:szCs w:val="22"/>
        </w:rPr>
        <w:t xml:space="preserve">, UNDP provided advice and technical assistance to the government to build governance capacities at the local level. In the absence of the local level elections for almost 2 decades, UNDP-supported mechanisms at local level, like Ward Citizen Forum and Citizen Awareness Centers, effectively bridged the gap for linking people with the governance structures and ensuring adequate level of accountability and participation. </w:t>
      </w:r>
    </w:p>
    <w:p w14:paraId="4EA382EF" w14:textId="77777777" w:rsidR="003F336E" w:rsidRDefault="003F336E" w:rsidP="003F336E">
      <w:pPr>
        <w:pStyle w:val="BodyText"/>
        <w:jc w:val="both"/>
        <w:rPr>
          <w:rFonts w:asciiTheme="minorHAnsi" w:hAnsiTheme="minorHAnsi" w:cstheme="minorHAnsi"/>
          <w:szCs w:val="22"/>
        </w:rPr>
      </w:pPr>
    </w:p>
    <w:p w14:paraId="71E2EF13" w14:textId="77777777" w:rsidR="003F336E" w:rsidRDefault="003F336E" w:rsidP="003F336E">
      <w:pPr>
        <w:jc w:val="both"/>
        <w:rPr>
          <w:rFonts w:asciiTheme="minorHAnsi" w:hAnsiTheme="minorHAnsi" w:cstheme="minorHAnsi"/>
          <w:sz w:val="22"/>
          <w:szCs w:val="22"/>
        </w:rPr>
      </w:pPr>
      <w:r>
        <w:rPr>
          <w:rFonts w:asciiTheme="minorHAnsi" w:hAnsiTheme="minorHAnsi" w:cstheme="minorHAnsi"/>
          <w:sz w:val="22"/>
          <w:szCs w:val="22"/>
        </w:rPr>
        <w:t xml:space="preserve">UNDP helped Government of Nepal to improve policy framework on Gender equality, including through improved GESI framework and promoting representation of women in decision making positions and private sector. Special support provided to women politicians to enhance their </w:t>
      </w:r>
      <w:proofErr w:type="spellStart"/>
      <w:r>
        <w:rPr>
          <w:rFonts w:asciiTheme="minorHAnsi" w:hAnsiTheme="minorHAnsi" w:cstheme="minorHAnsi"/>
          <w:sz w:val="22"/>
          <w:szCs w:val="22"/>
        </w:rPr>
        <w:t>self confidence</w:t>
      </w:r>
      <w:proofErr w:type="spellEnd"/>
      <w:r>
        <w:rPr>
          <w:rFonts w:asciiTheme="minorHAnsi" w:hAnsiTheme="minorHAnsi" w:cstheme="minorHAnsi"/>
          <w:sz w:val="22"/>
          <w:szCs w:val="22"/>
        </w:rPr>
        <w:t xml:space="preserve"> and leadership was particularly effective in this regard. </w:t>
      </w:r>
    </w:p>
    <w:p w14:paraId="29FAAD74" w14:textId="77777777" w:rsidR="003F336E" w:rsidRDefault="003F336E" w:rsidP="003F336E">
      <w:pPr>
        <w:pStyle w:val="BodyText"/>
        <w:jc w:val="both"/>
        <w:rPr>
          <w:rFonts w:asciiTheme="minorHAnsi" w:hAnsiTheme="minorHAnsi" w:cstheme="minorHAnsi"/>
          <w:color w:val="000000" w:themeColor="text1"/>
          <w:szCs w:val="22"/>
        </w:rPr>
      </w:pPr>
    </w:p>
    <w:p w14:paraId="10DD173B" w14:textId="77777777" w:rsidR="003F336E" w:rsidRDefault="003F336E" w:rsidP="003F336E">
      <w:pPr>
        <w:pStyle w:val="BodyText"/>
        <w:jc w:val="both"/>
        <w:rPr>
          <w:rFonts w:asciiTheme="minorHAnsi" w:hAnsiTheme="minorHAnsi" w:cstheme="minorHAnsi"/>
          <w:szCs w:val="22"/>
        </w:rPr>
      </w:pPr>
      <w:r>
        <w:rPr>
          <w:rFonts w:asciiTheme="minorHAnsi" w:hAnsiTheme="minorHAnsi" w:cstheme="minorHAnsi"/>
          <w:b/>
          <w:szCs w:val="22"/>
        </w:rPr>
        <w:t>Protecting development gains and building resilience:</w:t>
      </w:r>
      <w:r>
        <w:rPr>
          <w:rFonts w:asciiTheme="minorHAnsi" w:hAnsiTheme="minorHAnsi" w:cstheme="minorHAnsi"/>
          <w:szCs w:val="22"/>
        </w:rPr>
        <w:t xml:space="preserve"> Through provision of technical and advisory services and transfer of knowledge, UNDP helped progress in conservation of biodiversity, sustainable use and management of natural resources, and promotion of access to renewable energy. UNDP’s multi-pronged approach to address targeted DRM issues has helped in mitigated GLOF risk, strengthened urban resilience and reinforced climate change adaptation in rural communities. UNDP’s cooperation with the Government of Nepal and Nepal Army for managing water level at </w:t>
      </w:r>
      <w:proofErr w:type="spellStart"/>
      <w:r>
        <w:rPr>
          <w:rFonts w:asciiTheme="minorHAnsi" w:hAnsiTheme="minorHAnsi" w:cstheme="minorHAnsi"/>
          <w:szCs w:val="22"/>
        </w:rPr>
        <w:t>Imja</w:t>
      </w:r>
      <w:proofErr w:type="spellEnd"/>
      <w:r>
        <w:rPr>
          <w:rFonts w:asciiTheme="minorHAnsi" w:hAnsiTheme="minorHAnsi" w:cstheme="minorHAnsi"/>
          <w:szCs w:val="22"/>
        </w:rPr>
        <w:t xml:space="preserve"> GLOF, thus reducing risks of flash floods is worth mentioning here. </w:t>
      </w:r>
      <w:r>
        <w:rPr>
          <w:rFonts w:asciiTheme="minorHAnsi" w:hAnsiTheme="minorHAnsi" w:cstheme="minorHAnsi"/>
          <w:bCs/>
          <w:szCs w:val="22"/>
        </w:rPr>
        <w:t xml:space="preserve">Likewise, UNDP’s engagement in the areas of climate and disaster risk management has contributed to transformational policy reforms, institutional changes and community resilience and </w:t>
      </w:r>
      <w:r>
        <w:rPr>
          <w:rFonts w:asciiTheme="minorHAnsi" w:hAnsiTheme="minorHAnsi" w:cstheme="minorHAnsi"/>
          <w:color w:val="000000" w:themeColor="text1"/>
          <w:szCs w:val="22"/>
        </w:rPr>
        <w:t>influenced increase in budget allocation for climate change and disaster risk reduction</w:t>
      </w:r>
      <w:r>
        <w:rPr>
          <w:rFonts w:asciiTheme="minorHAnsi" w:hAnsiTheme="minorHAnsi" w:cstheme="minorHAnsi"/>
          <w:szCs w:val="22"/>
        </w:rPr>
        <w:t>.</w:t>
      </w:r>
    </w:p>
    <w:p w14:paraId="0CD0EEFB" w14:textId="77777777" w:rsidR="003F336E" w:rsidRDefault="003F336E" w:rsidP="003F336E">
      <w:pPr>
        <w:pStyle w:val="BodyText"/>
        <w:jc w:val="both"/>
        <w:rPr>
          <w:rFonts w:asciiTheme="minorHAnsi" w:hAnsiTheme="minorHAnsi" w:cstheme="minorHAnsi"/>
          <w:szCs w:val="22"/>
        </w:rPr>
      </w:pPr>
    </w:p>
    <w:p w14:paraId="466CBDAB" w14:textId="77777777" w:rsidR="003F336E" w:rsidRDefault="003F336E" w:rsidP="003F336E">
      <w:pPr>
        <w:pStyle w:val="BodyText"/>
        <w:jc w:val="both"/>
        <w:rPr>
          <w:rFonts w:asciiTheme="minorHAnsi" w:hAnsiTheme="minorHAnsi" w:cstheme="minorHAnsi"/>
          <w:bCs/>
          <w:szCs w:val="22"/>
        </w:rPr>
      </w:pPr>
      <w:r>
        <w:rPr>
          <w:rFonts w:asciiTheme="minorHAnsi" w:hAnsiTheme="minorHAnsi" w:cstheme="minorHAnsi"/>
          <w:szCs w:val="22"/>
        </w:rPr>
        <w:t xml:space="preserve">UNDP’s supported </w:t>
      </w:r>
      <w:proofErr w:type="spellStart"/>
      <w:r>
        <w:rPr>
          <w:rFonts w:asciiTheme="minorHAnsi" w:hAnsiTheme="minorHAnsi" w:cstheme="minorHAnsi"/>
          <w:szCs w:val="22"/>
        </w:rPr>
        <w:t>GoN</w:t>
      </w:r>
      <w:proofErr w:type="spellEnd"/>
      <w:r>
        <w:rPr>
          <w:rFonts w:asciiTheme="minorHAnsi" w:hAnsiTheme="minorHAnsi" w:cstheme="minorHAnsi"/>
          <w:szCs w:val="22"/>
        </w:rPr>
        <w:t xml:space="preserve"> in building urban resilience through a multi-hazard risk assessment completed for Kathmandu Valley and Risk Sensitive Land Use Planning which is being scaled up to other municipalities, and </w:t>
      </w:r>
      <w:r>
        <w:rPr>
          <w:rFonts w:asciiTheme="minorHAnsi" w:hAnsiTheme="minorHAnsi" w:cstheme="minorHAnsi"/>
          <w:bCs/>
          <w:szCs w:val="22"/>
        </w:rPr>
        <w:t xml:space="preserve">strengthening compliance with National Building Code (NBC).  These resulted in strengthening of the enforcement mechanisms and development of the electronic building permit systems for large and smaller municipalities, which is very relevant, given Nepal’s high urbanization pace and its seismic vulnerability. In addition, UNDP’s advocacy efforts also led to the Central Reserve Bank’s inclusion of NBC compliance as mandatory criteria for approval of bank loans. </w:t>
      </w:r>
    </w:p>
    <w:p w14:paraId="54B52296" w14:textId="77777777" w:rsidR="003F336E" w:rsidRDefault="003F336E" w:rsidP="003F336E">
      <w:pPr>
        <w:pStyle w:val="BodyText"/>
        <w:jc w:val="both"/>
        <w:rPr>
          <w:rFonts w:asciiTheme="minorHAnsi" w:hAnsiTheme="minorHAnsi" w:cstheme="minorHAnsi"/>
          <w:szCs w:val="22"/>
        </w:rPr>
      </w:pPr>
    </w:p>
    <w:p w14:paraId="43FCA9B0" w14:textId="77777777" w:rsidR="003F336E" w:rsidRDefault="003F336E" w:rsidP="003F336E">
      <w:pPr>
        <w:jc w:val="both"/>
        <w:rPr>
          <w:rFonts w:asciiTheme="minorHAnsi" w:hAnsiTheme="minorHAnsi" w:cstheme="minorHAnsi"/>
          <w:sz w:val="22"/>
          <w:szCs w:val="22"/>
        </w:rPr>
      </w:pPr>
      <w:r>
        <w:rPr>
          <w:rFonts w:asciiTheme="minorHAnsi" w:hAnsiTheme="minorHAnsi" w:cstheme="minorHAnsi"/>
          <w:sz w:val="22"/>
          <w:szCs w:val="22"/>
        </w:rPr>
        <w:t xml:space="preserve">The scope and magnitude of the CPD outcomes allowed UNDP to build on them to address the emerging needs resulting from the earthquake and the constitution. UNDP played a coordination role in formulating Post Disaster Needs Assessment and Post Disaster Recovery Frameworks, and provided direct support to the affected areas while supporting the national Government to develop broader reconstruction policy framework. UNDP’s integrated recovery approach focused on reviving livelihoods, restoring public service delivery, and promoting resilience in the affected areas. UNDP’s experience in earthquake reconstruction and partnerships built through this process allowed the CO to further advance agenda of resilience nationwide.  </w:t>
      </w:r>
    </w:p>
    <w:p w14:paraId="4F068C91" w14:textId="77777777" w:rsidR="003F336E" w:rsidRDefault="003F336E" w:rsidP="003F336E">
      <w:pPr>
        <w:jc w:val="both"/>
        <w:rPr>
          <w:rFonts w:asciiTheme="minorHAnsi" w:hAnsiTheme="minorHAnsi" w:cstheme="minorHAnsi"/>
          <w:sz w:val="22"/>
          <w:szCs w:val="22"/>
        </w:rPr>
      </w:pPr>
    </w:p>
    <w:p w14:paraId="494B8964" w14:textId="77777777" w:rsidR="003F336E" w:rsidRDefault="003F336E" w:rsidP="003F336E">
      <w:pPr>
        <w:jc w:val="both"/>
        <w:rPr>
          <w:rFonts w:asciiTheme="minorHAnsi" w:hAnsiTheme="minorHAnsi" w:cstheme="minorHAnsi"/>
          <w:sz w:val="22"/>
          <w:szCs w:val="22"/>
          <w:lang w:val="en-GB"/>
        </w:rPr>
      </w:pPr>
      <w:r>
        <w:rPr>
          <w:rFonts w:asciiTheme="minorHAnsi" w:hAnsiTheme="minorHAnsi" w:cstheme="minorHAnsi"/>
          <w:b/>
          <w:sz w:val="22"/>
          <w:szCs w:val="22"/>
        </w:rPr>
        <w:t>Peace building and democratic transition:</w:t>
      </w:r>
      <w:r>
        <w:rPr>
          <w:rFonts w:asciiTheme="minorHAnsi" w:hAnsiTheme="minorHAnsi" w:cstheme="minorHAnsi"/>
          <w:sz w:val="22"/>
          <w:szCs w:val="22"/>
        </w:rPr>
        <w:t xml:space="preserve"> UNDP made remarkable contribution in consolidating peace and support in implementation of the Comprehensive Peace Agreement through effective </w:t>
      </w:r>
      <w:r>
        <w:rPr>
          <w:rFonts w:asciiTheme="minorHAnsi" w:hAnsiTheme="minorHAnsi" w:cstheme="minorHAnsi"/>
          <w:sz w:val="22"/>
          <w:szCs w:val="22"/>
          <w:lang w:val="en-GB"/>
        </w:rPr>
        <w:t>integration of ex-</w:t>
      </w:r>
      <w:proofErr w:type="spellStart"/>
      <w:r>
        <w:rPr>
          <w:rFonts w:asciiTheme="minorHAnsi" w:hAnsiTheme="minorHAnsi" w:cstheme="minorHAnsi"/>
          <w:sz w:val="22"/>
          <w:szCs w:val="22"/>
          <w:lang w:val="en-GB"/>
        </w:rPr>
        <w:t>maoist</w:t>
      </w:r>
      <w:proofErr w:type="spellEnd"/>
      <w:r>
        <w:rPr>
          <w:rFonts w:asciiTheme="minorHAnsi" w:hAnsiTheme="minorHAnsi" w:cstheme="minorHAnsi"/>
          <w:sz w:val="22"/>
          <w:szCs w:val="22"/>
          <w:lang w:val="en-GB"/>
        </w:rPr>
        <w:t xml:space="preserve"> combatants; creating platforms at various levels for collaborative dialogue and engagement, thus mitigating risks of conflict; and support with promulgation of new constitution; strengthening capacities of electoral actors to administer free and fair elections of second Constituent Assembly in 2013 and ensure inclusiveness of the election processes through massive voter and civic education. As a result,</w:t>
      </w:r>
      <w:r>
        <w:rPr>
          <w:rFonts w:asciiTheme="minorHAnsi" w:hAnsiTheme="minorHAnsi" w:cstheme="minorHAnsi"/>
          <w:sz w:val="22"/>
          <w:szCs w:val="22"/>
        </w:rPr>
        <w:t xml:space="preserve"> in the 2013 elections, voter turn-out was around 80%, women’s share in the voter turn-out was 51% and one-third of polling staff were women.</w:t>
      </w:r>
    </w:p>
    <w:p w14:paraId="3F2EB4E2" w14:textId="77777777" w:rsidR="00E770DC" w:rsidRPr="00377BBF" w:rsidRDefault="00E770DC" w:rsidP="00E770DC">
      <w:pPr>
        <w:pStyle w:val="BodyText2"/>
        <w:rPr>
          <w:rFonts w:ascii="Times New Roman" w:hAnsi="Times New Roman"/>
          <w:sz w:val="24"/>
        </w:rPr>
      </w:pPr>
    </w:p>
    <w:p w14:paraId="7DDE14BE" w14:textId="77777777" w:rsidR="0037523B" w:rsidRPr="00377BBF" w:rsidRDefault="0037523B" w:rsidP="00975566">
      <w:pPr>
        <w:pStyle w:val="BodyText2"/>
        <w:jc w:val="center"/>
        <w:rPr>
          <w:rFonts w:ascii="Times New Roman" w:hAnsi="Times New Roman"/>
          <w:b/>
          <w:sz w:val="24"/>
        </w:rPr>
      </w:pPr>
    </w:p>
    <w:p w14:paraId="4BCECAA3" w14:textId="77777777" w:rsidR="0037523B" w:rsidRPr="00377BBF" w:rsidRDefault="0037523B" w:rsidP="00975566">
      <w:pPr>
        <w:pStyle w:val="BodyText2"/>
        <w:jc w:val="center"/>
        <w:rPr>
          <w:rFonts w:ascii="Times New Roman" w:hAnsi="Times New Roman"/>
          <w:b/>
          <w:sz w:val="24"/>
        </w:rPr>
      </w:pPr>
    </w:p>
    <w:p w14:paraId="5740B4BE" w14:textId="77777777" w:rsidR="0037523B" w:rsidRPr="00377BBF" w:rsidRDefault="0037523B" w:rsidP="00975566">
      <w:pPr>
        <w:pStyle w:val="BodyText2"/>
        <w:jc w:val="center"/>
        <w:rPr>
          <w:rFonts w:ascii="Times New Roman" w:hAnsi="Times New Roman"/>
          <w:b/>
          <w:sz w:val="24"/>
        </w:rPr>
      </w:pPr>
    </w:p>
    <w:p w14:paraId="6862BB95" w14:textId="77777777" w:rsidR="0037523B" w:rsidRPr="00377BBF" w:rsidRDefault="0037523B" w:rsidP="00975566">
      <w:pPr>
        <w:pStyle w:val="BodyText2"/>
        <w:jc w:val="center"/>
        <w:rPr>
          <w:rFonts w:ascii="Times New Roman" w:hAnsi="Times New Roman"/>
          <w:b/>
          <w:sz w:val="24"/>
        </w:rPr>
      </w:pPr>
    </w:p>
    <w:p w14:paraId="2EC325D0" w14:textId="77777777" w:rsidR="0037523B" w:rsidRPr="00377BBF" w:rsidRDefault="0037523B" w:rsidP="00975566">
      <w:pPr>
        <w:pStyle w:val="BodyText2"/>
        <w:jc w:val="center"/>
        <w:rPr>
          <w:rFonts w:ascii="Times New Roman" w:hAnsi="Times New Roman"/>
          <w:b/>
          <w:sz w:val="24"/>
        </w:rPr>
      </w:pPr>
    </w:p>
    <w:p w14:paraId="0F8E5882" w14:textId="77777777" w:rsidR="0037523B" w:rsidRPr="00377BBF" w:rsidRDefault="0037523B" w:rsidP="00975566">
      <w:pPr>
        <w:pStyle w:val="BodyText2"/>
        <w:jc w:val="center"/>
        <w:rPr>
          <w:rFonts w:ascii="Times New Roman" w:hAnsi="Times New Roman"/>
          <w:b/>
          <w:sz w:val="24"/>
        </w:rPr>
      </w:pPr>
    </w:p>
    <w:p w14:paraId="62E632B0" w14:textId="77777777" w:rsidR="0037523B" w:rsidRPr="00377BBF" w:rsidRDefault="0037523B" w:rsidP="00975566">
      <w:pPr>
        <w:pStyle w:val="BodyText2"/>
        <w:jc w:val="center"/>
        <w:rPr>
          <w:rFonts w:ascii="Times New Roman" w:hAnsi="Times New Roman"/>
          <w:b/>
          <w:sz w:val="24"/>
        </w:rPr>
      </w:pPr>
    </w:p>
    <w:p w14:paraId="3433845F" w14:textId="77777777" w:rsidR="0037523B" w:rsidRPr="00377BBF" w:rsidRDefault="0037523B" w:rsidP="00975566">
      <w:pPr>
        <w:pStyle w:val="BodyText2"/>
        <w:jc w:val="center"/>
        <w:rPr>
          <w:rFonts w:ascii="Times New Roman" w:hAnsi="Times New Roman"/>
          <w:b/>
          <w:sz w:val="24"/>
        </w:rPr>
      </w:pPr>
    </w:p>
    <w:p w14:paraId="376A02B5" w14:textId="77777777" w:rsidR="0037523B" w:rsidRPr="00377BBF" w:rsidRDefault="0037523B" w:rsidP="00975566">
      <w:pPr>
        <w:pStyle w:val="BodyText2"/>
        <w:jc w:val="center"/>
        <w:rPr>
          <w:rFonts w:ascii="Times New Roman" w:hAnsi="Times New Roman"/>
          <w:b/>
          <w:sz w:val="24"/>
        </w:rPr>
      </w:pPr>
    </w:p>
    <w:p w14:paraId="78F6BD8E" w14:textId="77777777" w:rsidR="0037523B" w:rsidRPr="00377BBF" w:rsidRDefault="0037523B" w:rsidP="00975566">
      <w:pPr>
        <w:pStyle w:val="BodyText2"/>
        <w:jc w:val="center"/>
        <w:rPr>
          <w:rFonts w:ascii="Times New Roman" w:hAnsi="Times New Roman"/>
          <w:b/>
          <w:sz w:val="24"/>
        </w:rPr>
      </w:pPr>
    </w:p>
    <w:p w14:paraId="2CD2EEB1" w14:textId="77777777" w:rsidR="0037523B" w:rsidRPr="00377BBF" w:rsidRDefault="0037523B" w:rsidP="00975566">
      <w:pPr>
        <w:pStyle w:val="BodyText2"/>
        <w:jc w:val="center"/>
        <w:rPr>
          <w:rFonts w:ascii="Times New Roman" w:hAnsi="Times New Roman"/>
          <w:b/>
          <w:sz w:val="24"/>
        </w:rPr>
      </w:pPr>
    </w:p>
    <w:p w14:paraId="331BCAC0" w14:textId="77777777" w:rsidR="0037523B" w:rsidRPr="00377BBF" w:rsidRDefault="0037523B" w:rsidP="00975566">
      <w:pPr>
        <w:pStyle w:val="BodyText2"/>
        <w:jc w:val="center"/>
        <w:rPr>
          <w:rFonts w:ascii="Times New Roman" w:hAnsi="Times New Roman"/>
          <w:b/>
          <w:sz w:val="24"/>
        </w:rPr>
      </w:pPr>
    </w:p>
    <w:p w14:paraId="4C3E0868" w14:textId="77777777" w:rsidR="0037523B" w:rsidRPr="00377BBF" w:rsidRDefault="0037523B" w:rsidP="00975566">
      <w:pPr>
        <w:pStyle w:val="BodyText2"/>
        <w:jc w:val="center"/>
        <w:rPr>
          <w:rFonts w:ascii="Times New Roman" w:hAnsi="Times New Roman"/>
          <w:b/>
          <w:sz w:val="24"/>
        </w:rPr>
      </w:pPr>
    </w:p>
    <w:p w14:paraId="02D563C3" w14:textId="77777777" w:rsidR="0037523B" w:rsidRPr="00377BBF" w:rsidRDefault="0037523B" w:rsidP="00975566">
      <w:pPr>
        <w:pStyle w:val="BodyText2"/>
        <w:jc w:val="center"/>
        <w:rPr>
          <w:rFonts w:ascii="Times New Roman" w:hAnsi="Times New Roman"/>
          <w:b/>
          <w:sz w:val="24"/>
        </w:rPr>
      </w:pPr>
    </w:p>
    <w:p w14:paraId="4F60EB7B" w14:textId="77777777" w:rsidR="0037523B" w:rsidRPr="00377BBF" w:rsidRDefault="0037523B" w:rsidP="00975566">
      <w:pPr>
        <w:pStyle w:val="BodyText2"/>
        <w:jc w:val="center"/>
        <w:rPr>
          <w:rFonts w:ascii="Times New Roman" w:hAnsi="Times New Roman"/>
          <w:b/>
          <w:sz w:val="24"/>
        </w:rPr>
      </w:pPr>
    </w:p>
    <w:p w14:paraId="5436BE01" w14:textId="77777777" w:rsidR="0037523B" w:rsidRPr="00377BBF" w:rsidRDefault="0037523B" w:rsidP="00975566">
      <w:pPr>
        <w:pStyle w:val="BodyText2"/>
        <w:jc w:val="center"/>
        <w:rPr>
          <w:rFonts w:ascii="Times New Roman" w:hAnsi="Times New Roman"/>
          <w:b/>
          <w:sz w:val="24"/>
        </w:rPr>
      </w:pPr>
    </w:p>
    <w:p w14:paraId="5324018E" w14:textId="77777777" w:rsidR="0037523B" w:rsidRPr="00377BBF" w:rsidRDefault="0037523B" w:rsidP="00975566">
      <w:pPr>
        <w:pStyle w:val="BodyText2"/>
        <w:jc w:val="center"/>
        <w:rPr>
          <w:rFonts w:ascii="Times New Roman" w:hAnsi="Times New Roman"/>
          <w:b/>
          <w:sz w:val="24"/>
        </w:rPr>
        <w:sectPr w:rsidR="0037523B" w:rsidRPr="00377BBF">
          <w:footerReference w:type="default" r:id="rId13"/>
          <w:endnotePr>
            <w:numFmt w:val="decimal"/>
          </w:endnotePr>
          <w:pgSz w:w="11907" w:h="16840" w:code="9"/>
          <w:pgMar w:top="1440" w:right="1440" w:bottom="1440" w:left="1440" w:header="720" w:footer="720" w:gutter="0"/>
          <w:cols w:space="720"/>
        </w:sectPr>
      </w:pPr>
    </w:p>
    <w:p w14:paraId="275C9295" w14:textId="77777777" w:rsidR="00975566" w:rsidRPr="00377BBF" w:rsidRDefault="006900FE" w:rsidP="0043380E">
      <w:pPr>
        <w:pStyle w:val="Heading3"/>
        <w:shd w:val="clear" w:color="auto" w:fill="C6D9F1" w:themeFill="text2" w:themeFillTint="33"/>
        <w:jc w:val="left"/>
        <w:rPr>
          <w:rFonts w:ascii="Times New Roman" w:hAnsi="Times New Roman"/>
          <w:b/>
        </w:rPr>
      </w:pPr>
      <w:r w:rsidRPr="00377BBF">
        <w:rPr>
          <w:rFonts w:ascii="Times New Roman" w:hAnsi="Times New Roman"/>
          <w:b/>
        </w:rPr>
        <w:lastRenderedPageBreak/>
        <w:t>II</w:t>
      </w:r>
      <w:r w:rsidR="0081403B" w:rsidRPr="00377BBF">
        <w:rPr>
          <w:rFonts w:ascii="Times New Roman" w:hAnsi="Times New Roman"/>
          <w:b/>
        </w:rPr>
        <w:t xml:space="preserve">: </w:t>
      </w:r>
      <w:r w:rsidR="000C09B4" w:rsidRPr="00377BBF">
        <w:rPr>
          <w:rFonts w:ascii="Times New Roman" w:hAnsi="Times New Roman"/>
          <w:b/>
        </w:rPr>
        <w:t xml:space="preserve">Country </w:t>
      </w:r>
      <w:proofErr w:type="spellStart"/>
      <w:r w:rsidR="000C09B4" w:rsidRPr="00377BBF">
        <w:rPr>
          <w:rFonts w:ascii="Times New Roman" w:hAnsi="Times New Roman"/>
          <w:b/>
        </w:rPr>
        <w:t>Programme</w:t>
      </w:r>
      <w:proofErr w:type="spellEnd"/>
      <w:r w:rsidR="000C09B4" w:rsidRPr="00377BBF">
        <w:rPr>
          <w:rFonts w:ascii="Times New Roman" w:hAnsi="Times New Roman"/>
          <w:b/>
        </w:rPr>
        <w:t xml:space="preserve"> Performance </w:t>
      </w:r>
      <w:r w:rsidR="00975566" w:rsidRPr="00377BBF">
        <w:rPr>
          <w:rFonts w:ascii="Times New Roman" w:hAnsi="Times New Roman"/>
          <w:b/>
        </w:rPr>
        <w:t>Summary</w:t>
      </w:r>
    </w:p>
    <w:p w14:paraId="25702A7C" w14:textId="77777777" w:rsidR="00DC7354" w:rsidRPr="00377BBF" w:rsidRDefault="00DC7354" w:rsidP="00975566">
      <w:pPr>
        <w:pStyle w:val="BodyText2"/>
        <w:jc w:val="center"/>
        <w:rPr>
          <w:rFonts w:ascii="Times New Roman" w:hAnsi="Times New Roman"/>
          <w:b/>
          <w:sz w:val="24"/>
        </w:rPr>
      </w:pPr>
    </w:p>
    <w:tbl>
      <w:tblPr>
        <w:tblW w:w="141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455"/>
        <w:gridCol w:w="18"/>
        <w:gridCol w:w="1237"/>
        <w:gridCol w:w="270"/>
        <w:gridCol w:w="4140"/>
        <w:gridCol w:w="180"/>
        <w:gridCol w:w="4662"/>
        <w:gridCol w:w="18"/>
      </w:tblGrid>
      <w:tr w:rsidR="00CB647D" w:rsidRPr="00377BBF" w14:paraId="2CD7AEF3" w14:textId="77777777" w:rsidTr="00136189">
        <w:tc>
          <w:tcPr>
            <w:tcW w:w="3150" w:type="dxa"/>
            <w:tcBorders>
              <w:right w:val="nil"/>
            </w:tcBorders>
            <w:shd w:val="clear" w:color="auto" w:fill="FFC000"/>
          </w:tcPr>
          <w:p w14:paraId="5B1A8E0B" w14:textId="77777777" w:rsidR="00CB647D" w:rsidRPr="00377BBF" w:rsidRDefault="00CB647D" w:rsidP="0043380E">
            <w:pPr>
              <w:pStyle w:val="BodyText2"/>
              <w:spacing w:before="60" w:after="60"/>
              <w:rPr>
                <w:rFonts w:ascii="Times New Roman" w:hAnsi="Times New Roman"/>
                <w:b/>
                <w:sz w:val="24"/>
              </w:rPr>
            </w:pPr>
            <w:r w:rsidRPr="00377BBF">
              <w:rPr>
                <w:rFonts w:ascii="Times New Roman" w:hAnsi="Times New Roman"/>
                <w:b/>
              </w:rPr>
              <w:t>Country information</w:t>
            </w:r>
          </w:p>
        </w:tc>
        <w:tc>
          <w:tcPr>
            <w:tcW w:w="10980" w:type="dxa"/>
            <w:gridSpan w:val="8"/>
            <w:tcBorders>
              <w:left w:val="nil"/>
            </w:tcBorders>
            <w:shd w:val="clear" w:color="auto" w:fill="FFC000"/>
          </w:tcPr>
          <w:p w14:paraId="24C82246" w14:textId="77777777" w:rsidR="00CB647D" w:rsidRPr="00377BBF" w:rsidRDefault="00CB647D" w:rsidP="0043380E">
            <w:pPr>
              <w:pStyle w:val="BodyText2"/>
              <w:spacing w:before="60" w:after="60"/>
              <w:rPr>
                <w:rFonts w:ascii="Times New Roman" w:hAnsi="Times New Roman"/>
                <w:b/>
                <w:sz w:val="24"/>
              </w:rPr>
            </w:pPr>
          </w:p>
        </w:tc>
      </w:tr>
      <w:tr w:rsidR="009B76A1" w:rsidRPr="00377BBF" w14:paraId="0A02DA71" w14:textId="77777777" w:rsidTr="00136189">
        <w:tc>
          <w:tcPr>
            <w:tcW w:w="14130" w:type="dxa"/>
            <w:gridSpan w:val="9"/>
          </w:tcPr>
          <w:p w14:paraId="695F59BF" w14:textId="77777777" w:rsidR="009B76A1" w:rsidRPr="00377BBF" w:rsidRDefault="009B76A1" w:rsidP="0043380E">
            <w:pPr>
              <w:pStyle w:val="BodyText2"/>
              <w:spacing w:before="60" w:after="60"/>
              <w:rPr>
                <w:rFonts w:ascii="Times New Roman" w:hAnsi="Times New Roman"/>
                <w:b/>
                <w:sz w:val="24"/>
              </w:rPr>
            </w:pPr>
            <w:r w:rsidRPr="00377BBF">
              <w:rPr>
                <w:rFonts w:ascii="Times New Roman" w:hAnsi="Times New Roman"/>
                <w:b/>
              </w:rPr>
              <w:t>Country name:</w:t>
            </w:r>
            <w:r w:rsidR="00B240C0" w:rsidRPr="00377BBF">
              <w:rPr>
                <w:rFonts w:ascii="Times New Roman" w:hAnsi="Times New Roman"/>
                <w:b/>
              </w:rPr>
              <w:t xml:space="preserve"> NEPAL</w:t>
            </w:r>
          </w:p>
        </w:tc>
      </w:tr>
      <w:tr w:rsidR="009B76A1" w:rsidRPr="00377BBF" w14:paraId="7A64B696" w14:textId="77777777" w:rsidTr="00136189">
        <w:tc>
          <w:tcPr>
            <w:tcW w:w="14130" w:type="dxa"/>
            <w:gridSpan w:val="9"/>
          </w:tcPr>
          <w:p w14:paraId="2A82E3AA" w14:textId="77777777" w:rsidR="009B76A1" w:rsidRPr="00377BBF" w:rsidRDefault="009B76A1" w:rsidP="0043380E">
            <w:pPr>
              <w:pStyle w:val="BodyText2"/>
              <w:spacing w:before="60" w:after="60"/>
              <w:rPr>
                <w:rFonts w:ascii="Times New Roman" w:hAnsi="Times New Roman"/>
                <w:b/>
              </w:rPr>
            </w:pPr>
            <w:r w:rsidRPr="00377BBF">
              <w:rPr>
                <w:rFonts w:ascii="Times New Roman" w:hAnsi="Times New Roman"/>
                <w:b/>
              </w:rPr>
              <w:t xml:space="preserve">Current country </w:t>
            </w:r>
            <w:proofErr w:type="spellStart"/>
            <w:r w:rsidRPr="00377BBF">
              <w:rPr>
                <w:rFonts w:ascii="Times New Roman" w:hAnsi="Times New Roman"/>
                <w:b/>
              </w:rPr>
              <w:t>programme</w:t>
            </w:r>
            <w:proofErr w:type="spellEnd"/>
            <w:r w:rsidRPr="00377BBF">
              <w:rPr>
                <w:rFonts w:ascii="Times New Roman" w:hAnsi="Times New Roman"/>
                <w:b/>
              </w:rPr>
              <w:t xml:space="preserve"> period:</w:t>
            </w:r>
            <w:r w:rsidR="00B240C0" w:rsidRPr="00377BBF">
              <w:rPr>
                <w:rFonts w:ascii="Times New Roman" w:hAnsi="Times New Roman"/>
                <w:b/>
              </w:rPr>
              <w:t xml:space="preserve"> 2013-201</w:t>
            </w:r>
            <w:r w:rsidR="001F4DC3" w:rsidRPr="00377BBF">
              <w:rPr>
                <w:rFonts w:ascii="Times New Roman" w:hAnsi="Times New Roman"/>
                <w:b/>
              </w:rPr>
              <w:t>7</w:t>
            </w:r>
          </w:p>
        </w:tc>
      </w:tr>
      <w:tr w:rsidR="003B037A" w:rsidRPr="00377BBF" w14:paraId="3F1C2893" w14:textId="77777777" w:rsidTr="00136189">
        <w:tc>
          <w:tcPr>
            <w:tcW w:w="3150" w:type="dxa"/>
            <w:shd w:val="clear" w:color="auto" w:fill="002060"/>
          </w:tcPr>
          <w:p w14:paraId="04BDA3CA" w14:textId="77777777" w:rsidR="003B037A" w:rsidRPr="00377BBF" w:rsidRDefault="003B037A" w:rsidP="0043380E">
            <w:pPr>
              <w:pStyle w:val="BodyText2"/>
              <w:spacing w:before="60" w:after="60"/>
              <w:rPr>
                <w:rFonts w:ascii="Times New Roman" w:hAnsi="Times New Roman"/>
                <w:b/>
                <w:sz w:val="24"/>
              </w:rPr>
            </w:pPr>
            <w:r w:rsidRPr="00377BBF">
              <w:rPr>
                <w:rFonts w:ascii="Times New Roman" w:hAnsi="Times New Roman"/>
                <w:b/>
                <w:sz w:val="24"/>
              </w:rPr>
              <w:t>Outcome</w:t>
            </w:r>
            <w:r w:rsidR="00700521" w:rsidRPr="00377BBF">
              <w:rPr>
                <w:rFonts w:ascii="Times New Roman" w:hAnsi="Times New Roman"/>
                <w:b/>
                <w:sz w:val="24"/>
              </w:rPr>
              <w:t>s</w:t>
            </w:r>
          </w:p>
        </w:tc>
        <w:tc>
          <w:tcPr>
            <w:tcW w:w="1710" w:type="dxa"/>
            <w:gridSpan w:val="3"/>
            <w:shd w:val="clear" w:color="auto" w:fill="002060"/>
          </w:tcPr>
          <w:p w14:paraId="7A412344" w14:textId="77777777" w:rsidR="003B037A" w:rsidRPr="00377BBF" w:rsidRDefault="003B037A" w:rsidP="0043380E">
            <w:pPr>
              <w:pStyle w:val="BodyText2"/>
              <w:spacing w:before="60" w:after="60"/>
              <w:rPr>
                <w:rFonts w:ascii="Times New Roman" w:hAnsi="Times New Roman"/>
                <w:b/>
                <w:sz w:val="22"/>
              </w:rPr>
            </w:pPr>
            <w:r w:rsidRPr="00377BBF">
              <w:rPr>
                <w:rFonts w:ascii="Times New Roman" w:hAnsi="Times New Roman"/>
                <w:b/>
                <w:sz w:val="22"/>
              </w:rPr>
              <w:t>Total Expenditure</w:t>
            </w:r>
          </w:p>
        </w:tc>
        <w:tc>
          <w:tcPr>
            <w:tcW w:w="4410" w:type="dxa"/>
            <w:gridSpan w:val="2"/>
            <w:tcBorders>
              <w:left w:val="single" w:sz="4" w:space="0" w:color="auto"/>
            </w:tcBorders>
            <w:shd w:val="clear" w:color="auto" w:fill="002060"/>
          </w:tcPr>
          <w:p w14:paraId="2FF2F252" w14:textId="77777777" w:rsidR="003B037A" w:rsidRPr="00377BBF" w:rsidRDefault="003B037A" w:rsidP="0043380E">
            <w:pPr>
              <w:pStyle w:val="BodyText2"/>
              <w:spacing w:before="60" w:after="60"/>
              <w:rPr>
                <w:rFonts w:ascii="Times New Roman" w:hAnsi="Times New Roman"/>
                <w:b/>
                <w:sz w:val="22"/>
              </w:rPr>
            </w:pPr>
            <w:r w:rsidRPr="00377BBF">
              <w:rPr>
                <w:rFonts w:ascii="Times New Roman" w:hAnsi="Times New Roman"/>
                <w:b/>
                <w:sz w:val="22"/>
              </w:rPr>
              <w:t>Key Indicators of outcome (1-4 per outcome)</w:t>
            </w:r>
          </w:p>
        </w:tc>
        <w:tc>
          <w:tcPr>
            <w:tcW w:w="4860" w:type="dxa"/>
            <w:gridSpan w:val="3"/>
            <w:shd w:val="clear" w:color="auto" w:fill="002060"/>
          </w:tcPr>
          <w:p w14:paraId="16470F21" w14:textId="77777777" w:rsidR="003B037A" w:rsidRPr="00377BBF" w:rsidRDefault="003B037A" w:rsidP="0043380E">
            <w:pPr>
              <w:pStyle w:val="BodyText2"/>
              <w:spacing w:before="60" w:after="60"/>
              <w:rPr>
                <w:rFonts w:ascii="Times New Roman" w:hAnsi="Times New Roman"/>
                <w:b/>
                <w:sz w:val="22"/>
              </w:rPr>
            </w:pPr>
            <w:r w:rsidRPr="00377BBF">
              <w:rPr>
                <w:rFonts w:ascii="Times New Roman" w:hAnsi="Times New Roman"/>
                <w:b/>
                <w:sz w:val="22"/>
              </w:rPr>
              <w:t>Progress made against key indicators</w:t>
            </w:r>
          </w:p>
        </w:tc>
      </w:tr>
      <w:tr w:rsidR="008025DC" w:rsidRPr="00377BBF" w14:paraId="07780282" w14:textId="77777777" w:rsidTr="00136189">
        <w:tc>
          <w:tcPr>
            <w:tcW w:w="3150" w:type="dxa"/>
            <w:tcBorders>
              <w:bottom w:val="single" w:sz="4" w:space="0" w:color="auto"/>
            </w:tcBorders>
            <w:shd w:val="clear" w:color="auto" w:fill="C6D9F1" w:themeFill="text2" w:themeFillTint="33"/>
          </w:tcPr>
          <w:p w14:paraId="364D6319" w14:textId="77777777" w:rsidR="008025DC" w:rsidRPr="00377BBF" w:rsidRDefault="008025DC" w:rsidP="0043380E">
            <w:pPr>
              <w:pStyle w:val="BodyText2"/>
              <w:spacing w:before="60" w:after="60"/>
              <w:rPr>
                <w:rFonts w:ascii="Times New Roman" w:hAnsi="Times New Roman"/>
                <w:b/>
              </w:rPr>
            </w:pPr>
            <w:r w:rsidRPr="00377BBF">
              <w:rPr>
                <w:rFonts w:ascii="Times New Roman" w:hAnsi="Times New Roman"/>
                <w:b/>
              </w:rPr>
              <w:t>UNDAF/CDP Outcome 2: Vulnerable groups have improved access to economic opportunities and adequate social protection</w:t>
            </w:r>
          </w:p>
        </w:tc>
        <w:tc>
          <w:tcPr>
            <w:tcW w:w="1710" w:type="dxa"/>
            <w:gridSpan w:val="3"/>
            <w:tcBorders>
              <w:bottom w:val="single" w:sz="4" w:space="0" w:color="auto"/>
            </w:tcBorders>
            <w:shd w:val="clear" w:color="auto" w:fill="auto"/>
          </w:tcPr>
          <w:p w14:paraId="51DF8BCD" w14:textId="77777777" w:rsidR="008025DC" w:rsidRPr="00377BBF" w:rsidRDefault="008025DC" w:rsidP="0043380E">
            <w:pPr>
              <w:pStyle w:val="BodyText2"/>
              <w:spacing w:before="60" w:after="60"/>
              <w:rPr>
                <w:rFonts w:ascii="Times New Roman" w:hAnsi="Times New Roman"/>
              </w:rPr>
            </w:pPr>
            <w:r w:rsidRPr="00377BBF">
              <w:rPr>
                <w:rFonts w:ascii="Times New Roman" w:hAnsi="Times New Roman"/>
              </w:rPr>
              <w:t>$28,037,561</w:t>
            </w:r>
          </w:p>
        </w:tc>
        <w:tc>
          <w:tcPr>
            <w:tcW w:w="4410" w:type="dxa"/>
            <w:gridSpan w:val="2"/>
            <w:tcBorders>
              <w:left w:val="single" w:sz="4" w:space="0" w:color="auto"/>
              <w:bottom w:val="single" w:sz="4" w:space="0" w:color="auto"/>
            </w:tcBorders>
          </w:tcPr>
          <w:p w14:paraId="08030986" w14:textId="77777777" w:rsidR="008025DC" w:rsidRPr="00377BBF" w:rsidRDefault="008025DC" w:rsidP="0043380E">
            <w:pPr>
              <w:pStyle w:val="BodyText2"/>
              <w:numPr>
                <w:ilvl w:val="0"/>
                <w:numId w:val="2"/>
              </w:numPr>
              <w:spacing w:before="60" w:after="60"/>
              <w:rPr>
                <w:rFonts w:ascii="Times New Roman" w:hAnsi="Times New Roman"/>
              </w:rPr>
            </w:pPr>
            <w:r w:rsidRPr="00377BBF">
              <w:rPr>
                <w:rFonts w:ascii="Times New Roman" w:hAnsi="Times New Roman"/>
              </w:rPr>
              <w:t>Gini coefficient (UNDAF 1 # 2.1)</w:t>
            </w:r>
          </w:p>
          <w:p w14:paraId="7791092E" w14:textId="77777777" w:rsidR="008025DC" w:rsidRPr="00377BBF" w:rsidRDefault="008025DC" w:rsidP="0043380E">
            <w:pPr>
              <w:pStyle w:val="BodyText2"/>
              <w:numPr>
                <w:ilvl w:val="0"/>
                <w:numId w:val="2"/>
              </w:numPr>
              <w:spacing w:before="60" w:after="60"/>
              <w:rPr>
                <w:rFonts w:ascii="Times New Roman" w:hAnsi="Times New Roman"/>
              </w:rPr>
            </w:pPr>
            <w:r w:rsidRPr="00377BBF">
              <w:rPr>
                <w:rFonts w:ascii="Times New Roman" w:hAnsi="Times New Roman"/>
              </w:rPr>
              <w:t>% of employed people living below USD 1 (PPP) per day (UNDAF 1 #2.2)</w:t>
            </w:r>
          </w:p>
        </w:tc>
        <w:tc>
          <w:tcPr>
            <w:tcW w:w="4860" w:type="dxa"/>
            <w:gridSpan w:val="3"/>
            <w:tcBorders>
              <w:bottom w:val="single" w:sz="4" w:space="0" w:color="auto"/>
            </w:tcBorders>
            <w:shd w:val="clear" w:color="auto" w:fill="auto"/>
          </w:tcPr>
          <w:p w14:paraId="121A300F" w14:textId="77777777" w:rsidR="008025DC" w:rsidRPr="00377BBF" w:rsidRDefault="008025DC" w:rsidP="0043380E">
            <w:pPr>
              <w:pStyle w:val="BodyText2"/>
              <w:numPr>
                <w:ilvl w:val="0"/>
                <w:numId w:val="3"/>
              </w:numPr>
              <w:spacing w:before="60" w:after="60"/>
              <w:rPr>
                <w:rFonts w:ascii="Times New Roman" w:hAnsi="Times New Roman"/>
              </w:rPr>
            </w:pPr>
            <w:r w:rsidRPr="00377BBF">
              <w:rPr>
                <w:rFonts w:ascii="Times New Roman" w:hAnsi="Times New Roman"/>
              </w:rPr>
              <w:t xml:space="preserve">NA - No data available - data on this indicator comes only from </w:t>
            </w:r>
            <w:r w:rsidR="0043380E" w:rsidRPr="00377BBF">
              <w:rPr>
                <w:rFonts w:ascii="Times New Roman" w:hAnsi="Times New Roman"/>
              </w:rPr>
              <w:t>Nepal Living standard survey</w:t>
            </w:r>
            <w:r w:rsidRPr="00377BBF">
              <w:rPr>
                <w:rFonts w:ascii="Times New Roman" w:hAnsi="Times New Roman"/>
              </w:rPr>
              <w:t xml:space="preserve"> </w:t>
            </w:r>
            <w:r w:rsidR="0043380E" w:rsidRPr="00377BBF">
              <w:rPr>
                <w:rFonts w:ascii="Times New Roman" w:hAnsi="Times New Roman"/>
              </w:rPr>
              <w:t xml:space="preserve">(NLSS) </w:t>
            </w:r>
            <w:r w:rsidRPr="00377BBF">
              <w:rPr>
                <w:rFonts w:ascii="Times New Roman" w:hAnsi="Times New Roman"/>
              </w:rPr>
              <w:t>done by C</w:t>
            </w:r>
            <w:r w:rsidR="0043380E" w:rsidRPr="00377BBF">
              <w:rPr>
                <w:rFonts w:ascii="Times New Roman" w:hAnsi="Times New Roman"/>
              </w:rPr>
              <w:t>entral Bureau of Statistics.</w:t>
            </w:r>
            <w:r w:rsidRPr="00377BBF">
              <w:rPr>
                <w:rFonts w:ascii="Times New Roman" w:hAnsi="Times New Roman"/>
              </w:rPr>
              <w:t xml:space="preserve"> The next NLSS will be carried out most probably by 2017</w:t>
            </w:r>
          </w:p>
          <w:p w14:paraId="11B27D27" w14:textId="77777777" w:rsidR="008025DC" w:rsidRPr="00377BBF" w:rsidRDefault="008025DC" w:rsidP="0043380E">
            <w:pPr>
              <w:pStyle w:val="BodyText2"/>
              <w:numPr>
                <w:ilvl w:val="0"/>
                <w:numId w:val="3"/>
              </w:numPr>
              <w:spacing w:before="60" w:after="60"/>
              <w:rPr>
                <w:rFonts w:ascii="Times New Roman" w:hAnsi="Times New Roman"/>
              </w:rPr>
            </w:pPr>
            <w:r w:rsidRPr="00377BBF">
              <w:rPr>
                <w:rFonts w:ascii="Times New Roman" w:hAnsi="Times New Roman"/>
              </w:rPr>
              <w:t xml:space="preserve">16.4% </w:t>
            </w:r>
            <w:r w:rsidR="0043380E" w:rsidRPr="00377BBF">
              <w:rPr>
                <w:rFonts w:ascii="Times New Roman" w:hAnsi="Times New Roman"/>
              </w:rPr>
              <w:t xml:space="preserve">(2015) </w:t>
            </w:r>
          </w:p>
        </w:tc>
      </w:tr>
      <w:tr w:rsidR="00530FDE" w:rsidRPr="00377BBF" w14:paraId="6549FA05" w14:textId="77777777" w:rsidTr="00136189">
        <w:tc>
          <w:tcPr>
            <w:tcW w:w="14130" w:type="dxa"/>
            <w:gridSpan w:val="9"/>
          </w:tcPr>
          <w:p w14:paraId="2204F7B1" w14:textId="77777777" w:rsidR="00843006" w:rsidRPr="00377BBF" w:rsidRDefault="00837C4B" w:rsidP="0043380E">
            <w:pPr>
              <w:pStyle w:val="BodyText2"/>
              <w:spacing w:before="60" w:after="60"/>
              <w:rPr>
                <w:rFonts w:ascii="Times New Roman" w:hAnsi="Times New Roman"/>
                <w:b/>
              </w:rPr>
            </w:pPr>
            <w:r w:rsidRPr="00377BBF">
              <w:rPr>
                <w:rFonts w:ascii="Times New Roman" w:hAnsi="Times New Roman"/>
                <w:b/>
              </w:rPr>
              <w:t>UNDP Contribution:</w:t>
            </w:r>
          </w:p>
          <w:p w14:paraId="339EF933" w14:textId="77777777" w:rsidR="001F4DC3" w:rsidRPr="00377BBF" w:rsidRDefault="001F4DC3" w:rsidP="0043380E">
            <w:pPr>
              <w:pStyle w:val="BodyText2"/>
              <w:spacing w:before="60" w:after="60"/>
              <w:rPr>
                <w:rFonts w:ascii="Times New Roman" w:hAnsi="Times New Roman"/>
              </w:rPr>
            </w:pPr>
            <w:r w:rsidRPr="00377BBF">
              <w:rPr>
                <w:rFonts w:ascii="Times New Roman" w:hAnsi="Times New Roman"/>
              </w:rPr>
              <w:t>Government of Nepal led livelihood recovery at the community level, UNDP</w:t>
            </w:r>
            <w:r w:rsidR="0043380E" w:rsidRPr="00377BBF">
              <w:rPr>
                <w:rFonts w:ascii="Times New Roman" w:hAnsi="Times New Roman"/>
              </w:rPr>
              <w:t xml:space="preserve"> created and</w:t>
            </w:r>
            <w:r w:rsidRPr="00377BBF">
              <w:rPr>
                <w:rFonts w:ascii="Times New Roman" w:hAnsi="Times New Roman"/>
              </w:rPr>
              <w:t xml:space="preserve"> revived small/ micro enterprises with knowledge and technology support for economic opportunities and better social protection (Ref: ROAR 2016)</w:t>
            </w:r>
          </w:p>
          <w:p w14:paraId="74CAE055" w14:textId="77777777" w:rsidR="00843006" w:rsidRPr="00377BBF" w:rsidRDefault="00843006" w:rsidP="0043380E">
            <w:pPr>
              <w:pStyle w:val="BodyText2"/>
              <w:spacing w:before="60" w:after="60"/>
              <w:rPr>
                <w:rFonts w:ascii="Times New Roman" w:hAnsi="Times New Roman"/>
              </w:rPr>
            </w:pPr>
          </w:p>
          <w:p w14:paraId="260D0FAC" w14:textId="77777777" w:rsidR="00B00E5C" w:rsidRPr="00377BBF" w:rsidRDefault="00B00E5C" w:rsidP="0043380E">
            <w:pPr>
              <w:pStyle w:val="BodyText2"/>
              <w:spacing w:before="60" w:after="60"/>
              <w:rPr>
                <w:rFonts w:ascii="Times New Roman" w:hAnsi="Times New Roman"/>
                <w:b/>
              </w:rPr>
            </w:pPr>
            <w:r w:rsidRPr="00377BBF">
              <w:rPr>
                <w:rFonts w:ascii="Times New Roman" w:hAnsi="Times New Roman"/>
                <w:b/>
                <w:u w:val="single"/>
              </w:rPr>
              <w:t>CP Outputs</w:t>
            </w:r>
            <w:r w:rsidR="00845340" w:rsidRPr="00377BBF">
              <w:rPr>
                <w:rFonts w:ascii="Times New Roman" w:hAnsi="Times New Roman"/>
                <w:b/>
              </w:rPr>
              <w:t>:</w:t>
            </w:r>
          </w:p>
          <w:p w14:paraId="5E1EF773" w14:textId="77777777" w:rsidR="00940A59" w:rsidRPr="00377BBF" w:rsidRDefault="00842737" w:rsidP="0043380E">
            <w:pPr>
              <w:pStyle w:val="BodyText2"/>
              <w:spacing w:before="60" w:after="60"/>
              <w:rPr>
                <w:rFonts w:ascii="Times New Roman" w:hAnsi="Times New Roman"/>
              </w:rPr>
            </w:pPr>
            <w:r w:rsidRPr="00377BBF">
              <w:rPr>
                <w:rFonts w:ascii="Times New Roman" w:hAnsi="Times New Roman"/>
              </w:rPr>
              <w:t xml:space="preserve">The UNDP CP identified three major outputs to support the Government in achieving this outcome: </w:t>
            </w:r>
          </w:p>
          <w:p w14:paraId="6507D8EE" w14:textId="77777777" w:rsidR="00F701E3" w:rsidRPr="00377BBF" w:rsidRDefault="00F701E3" w:rsidP="0043380E">
            <w:pPr>
              <w:pStyle w:val="BodyText2"/>
              <w:spacing w:before="60" w:after="60"/>
              <w:rPr>
                <w:rFonts w:ascii="Times New Roman" w:hAnsi="Times New Roman"/>
              </w:rPr>
            </w:pPr>
          </w:p>
          <w:p w14:paraId="791A20B6" w14:textId="77777777" w:rsidR="00940A59" w:rsidRPr="00377BBF" w:rsidRDefault="00940A59" w:rsidP="0043380E">
            <w:pPr>
              <w:pStyle w:val="BodyText2"/>
              <w:spacing w:before="60" w:after="60"/>
              <w:rPr>
                <w:rFonts w:ascii="Times New Roman" w:hAnsi="Times New Roman"/>
                <w:i/>
              </w:rPr>
            </w:pPr>
            <w:r w:rsidRPr="00377BBF">
              <w:rPr>
                <w:rFonts w:ascii="Times New Roman" w:hAnsi="Times New Roman"/>
                <w:i/>
              </w:rPr>
              <w:t xml:space="preserve">Output 2.1 </w:t>
            </w:r>
            <w:proofErr w:type="spellStart"/>
            <w:r w:rsidRPr="00377BBF">
              <w:rPr>
                <w:rFonts w:ascii="Times New Roman" w:hAnsi="Times New Roman"/>
                <w:i/>
              </w:rPr>
              <w:t>GoN</w:t>
            </w:r>
            <w:proofErr w:type="spellEnd"/>
            <w:r w:rsidRPr="00377BBF">
              <w:rPr>
                <w:rFonts w:ascii="Times New Roman" w:hAnsi="Times New Roman"/>
                <w:i/>
              </w:rPr>
              <w:t xml:space="preserve"> and relevant stakeholders have increased capacity to develop, review and implement inclusive labor and economic policies and legislation that bolster productive employment and income opportunities</w:t>
            </w:r>
          </w:p>
          <w:p w14:paraId="7A65E8CA" w14:textId="77777777" w:rsidR="00940A59" w:rsidRPr="00377BBF" w:rsidRDefault="00940A59" w:rsidP="0043380E">
            <w:pPr>
              <w:pStyle w:val="BodyText2"/>
              <w:spacing w:before="60" w:after="60"/>
              <w:rPr>
                <w:rFonts w:ascii="Times New Roman" w:hAnsi="Times New Roman"/>
                <w:i/>
              </w:rPr>
            </w:pPr>
            <w:r w:rsidRPr="00377BBF">
              <w:rPr>
                <w:rFonts w:ascii="Times New Roman" w:hAnsi="Times New Roman"/>
                <w:i/>
              </w:rPr>
              <w:t xml:space="preserve">Output 2.2 </w:t>
            </w:r>
            <w:proofErr w:type="spellStart"/>
            <w:r w:rsidRPr="00377BBF">
              <w:rPr>
                <w:rFonts w:ascii="Times New Roman" w:hAnsi="Times New Roman"/>
                <w:i/>
              </w:rPr>
              <w:t>GoN</w:t>
            </w:r>
            <w:proofErr w:type="spellEnd"/>
            <w:r w:rsidRPr="00377BBF">
              <w:rPr>
                <w:rFonts w:ascii="Times New Roman" w:hAnsi="Times New Roman"/>
                <w:i/>
              </w:rPr>
              <w:t xml:space="preserve"> has improved capacity to design, execute and manage economic development </w:t>
            </w:r>
            <w:proofErr w:type="spellStart"/>
            <w:r w:rsidRPr="00377BBF">
              <w:rPr>
                <w:rFonts w:ascii="Times New Roman" w:hAnsi="Times New Roman"/>
                <w:i/>
              </w:rPr>
              <w:t>programmes</w:t>
            </w:r>
            <w:proofErr w:type="spellEnd"/>
            <w:r w:rsidRPr="00377BBF">
              <w:rPr>
                <w:rFonts w:ascii="Times New Roman" w:hAnsi="Times New Roman"/>
                <w:i/>
              </w:rPr>
              <w:t xml:space="preserve"> and strategies</w:t>
            </w:r>
          </w:p>
          <w:p w14:paraId="32A08532" w14:textId="77777777" w:rsidR="00B00E5C" w:rsidRPr="00377BBF" w:rsidRDefault="00940A59" w:rsidP="0043380E">
            <w:pPr>
              <w:pStyle w:val="BodyText2"/>
              <w:spacing w:before="60" w:after="60"/>
              <w:rPr>
                <w:rFonts w:ascii="Times New Roman" w:hAnsi="Times New Roman"/>
                <w:b/>
                <w:i/>
              </w:rPr>
            </w:pPr>
            <w:r w:rsidRPr="00377BBF">
              <w:rPr>
                <w:rFonts w:ascii="Times New Roman" w:hAnsi="Times New Roman"/>
                <w:i/>
              </w:rPr>
              <w:t>Output 2.4 Vulnerable groups have increased access to sustainable productive assets and environmental services</w:t>
            </w:r>
          </w:p>
          <w:p w14:paraId="532293B9" w14:textId="77777777" w:rsidR="00940A59" w:rsidRPr="00377BBF" w:rsidRDefault="00940A59" w:rsidP="0043380E">
            <w:pPr>
              <w:pStyle w:val="BodyText2"/>
              <w:spacing w:before="60" w:after="60"/>
              <w:rPr>
                <w:rFonts w:ascii="Times New Roman" w:hAnsi="Times New Roman"/>
              </w:rPr>
            </w:pPr>
          </w:p>
          <w:p w14:paraId="708A01C3" w14:textId="77777777" w:rsidR="00B00E5C" w:rsidRPr="00377BBF" w:rsidRDefault="00B00E5C" w:rsidP="0043380E">
            <w:pPr>
              <w:pStyle w:val="BodyText2"/>
              <w:spacing w:before="60" w:after="60"/>
              <w:rPr>
                <w:rFonts w:ascii="Times New Roman" w:hAnsi="Times New Roman"/>
                <w:b/>
              </w:rPr>
            </w:pPr>
            <w:r w:rsidRPr="00377BBF">
              <w:rPr>
                <w:rFonts w:ascii="Times New Roman" w:hAnsi="Times New Roman"/>
                <w:b/>
                <w:u w:val="single"/>
              </w:rPr>
              <w:t>Progress and Achievements</w:t>
            </w:r>
            <w:r w:rsidR="00845340" w:rsidRPr="00377BBF">
              <w:rPr>
                <w:rFonts w:ascii="Times New Roman" w:hAnsi="Times New Roman"/>
                <w:b/>
              </w:rPr>
              <w:t>:</w:t>
            </w:r>
          </w:p>
          <w:p w14:paraId="797282B5" w14:textId="77777777" w:rsidR="00843006" w:rsidRPr="00377BBF" w:rsidRDefault="00F85803" w:rsidP="0043380E">
            <w:pPr>
              <w:pStyle w:val="BodyText2"/>
              <w:spacing w:before="60" w:after="60"/>
              <w:rPr>
                <w:rFonts w:ascii="Times New Roman" w:hAnsi="Times New Roman"/>
              </w:rPr>
            </w:pPr>
            <w:r w:rsidRPr="00377BBF">
              <w:rPr>
                <w:rFonts w:ascii="Times New Roman" w:hAnsi="Times New Roman"/>
              </w:rPr>
              <w:t xml:space="preserve">UNDP Nepal has achieved almost all planned output level results that provided poor and vulnerable groups with increased employment and economic opportunities. </w:t>
            </w:r>
          </w:p>
          <w:p w14:paraId="390D571C" w14:textId="6739FEE1" w:rsidR="00AF3701" w:rsidRDefault="001D606D" w:rsidP="00A229C1">
            <w:pPr>
              <w:pStyle w:val="BodyText2"/>
              <w:numPr>
                <w:ilvl w:val="1"/>
                <w:numId w:val="25"/>
              </w:numPr>
              <w:spacing w:before="60" w:after="60"/>
              <w:rPr>
                <w:rFonts w:ascii="Times New Roman" w:hAnsi="Times New Roman"/>
              </w:rPr>
            </w:pPr>
            <w:r w:rsidRPr="00AF3701">
              <w:rPr>
                <w:rFonts w:ascii="Times New Roman" w:hAnsi="Times New Roman"/>
              </w:rPr>
              <w:t xml:space="preserve">With the formation of the technical committee, including representatives from National Planning Commission, Ministry of Finance, Central Bank and </w:t>
            </w:r>
            <w:proofErr w:type="spellStart"/>
            <w:r w:rsidRPr="00AF3701">
              <w:rPr>
                <w:rFonts w:ascii="Times New Roman" w:hAnsi="Times New Roman"/>
              </w:rPr>
              <w:t>Tribhuvan</w:t>
            </w:r>
            <w:proofErr w:type="spellEnd"/>
            <w:r w:rsidRPr="00AF3701">
              <w:rPr>
                <w:rFonts w:ascii="Times New Roman" w:hAnsi="Times New Roman"/>
              </w:rPr>
              <w:t xml:space="preserve"> University, LDC graduation strategy paper, MDG Report, National Strategy for the Development of Statistics (NSDS) and Sustainable Development Goals (SDGs) National Report have been prepared to inform government on updated data and to strengthen national M&amp;E system.</w:t>
            </w:r>
            <w:r w:rsidR="00377BBF" w:rsidRPr="00AF3701">
              <w:rPr>
                <w:rFonts w:ascii="Times New Roman" w:hAnsi="Times New Roman"/>
              </w:rPr>
              <w:t xml:space="preserve"> In enabling policy environment, Master Sampling Framework has been prepared, helping Central Bureau of Statistics in harmonizing national surveys. Apart from that</w:t>
            </w:r>
            <w:r w:rsidR="00494172">
              <w:rPr>
                <w:rFonts w:ascii="Times New Roman" w:hAnsi="Times New Roman"/>
              </w:rPr>
              <w:t>,</w:t>
            </w:r>
            <w:r w:rsidR="00377BBF" w:rsidRPr="00AF3701">
              <w:rPr>
                <w:rFonts w:ascii="Times New Roman" w:hAnsi="Times New Roman"/>
              </w:rPr>
              <w:t xml:space="preserve"> 113 government officials were trained on M&amp;E tools to promote evidence based policy making.</w:t>
            </w:r>
            <w:r w:rsidR="00AF3701" w:rsidRPr="00AF3701">
              <w:rPr>
                <w:rFonts w:ascii="Times New Roman" w:hAnsi="Times New Roman"/>
              </w:rPr>
              <w:t xml:space="preserve"> </w:t>
            </w:r>
          </w:p>
          <w:p w14:paraId="4FD3A2AA" w14:textId="77777777" w:rsidR="00AF3701" w:rsidRDefault="00AF3701" w:rsidP="00AF3701">
            <w:pPr>
              <w:pStyle w:val="BodyText2"/>
              <w:spacing w:before="60" w:after="60"/>
              <w:ind w:left="360"/>
              <w:rPr>
                <w:rFonts w:ascii="Times New Roman" w:hAnsi="Times New Roman"/>
              </w:rPr>
            </w:pPr>
          </w:p>
          <w:p w14:paraId="05143744" w14:textId="3AD9E613" w:rsidR="006542B7" w:rsidRPr="006542B7" w:rsidRDefault="006542B7" w:rsidP="006542B7">
            <w:pPr>
              <w:pStyle w:val="BodyText2"/>
              <w:numPr>
                <w:ilvl w:val="1"/>
                <w:numId w:val="25"/>
              </w:numPr>
              <w:spacing w:before="60" w:after="60"/>
              <w:rPr>
                <w:rFonts w:ascii="Times New Roman" w:hAnsi="Times New Roman"/>
              </w:rPr>
            </w:pPr>
            <w:r w:rsidRPr="006542B7">
              <w:rPr>
                <w:rFonts w:ascii="Times New Roman" w:hAnsi="Times New Roman"/>
              </w:rPr>
              <w:t xml:space="preserve">One of the key output results of CPD under output 2.2 from the intervention of Micro Enterprise Development </w:t>
            </w:r>
            <w:proofErr w:type="spellStart"/>
            <w:r w:rsidRPr="006542B7">
              <w:rPr>
                <w:rFonts w:ascii="Times New Roman" w:hAnsi="Times New Roman"/>
              </w:rPr>
              <w:t>Programme</w:t>
            </w:r>
            <w:proofErr w:type="spellEnd"/>
            <w:r w:rsidRPr="006542B7">
              <w:rPr>
                <w:rFonts w:ascii="Times New Roman" w:hAnsi="Times New Roman"/>
              </w:rPr>
              <w:t xml:space="preserve"> (MEDEP- IV) including Government implemented Micro Enterprise Development for Poverty Alleviation (MEDPA) is the creation of new Micro Entrepreneurs (ME). A total of 40,967 </w:t>
            </w:r>
            <w:r w:rsidR="007C3651">
              <w:rPr>
                <w:rFonts w:ascii="Times New Roman" w:hAnsi="Times New Roman"/>
              </w:rPr>
              <w:t xml:space="preserve">MEs </w:t>
            </w:r>
            <w:r w:rsidRPr="006542B7">
              <w:rPr>
                <w:rFonts w:ascii="Times New Roman" w:hAnsi="Times New Roman"/>
              </w:rPr>
              <w:t>(Female 79%; Dalit 27% and Indigenous Nationalities 44%) ha</w:t>
            </w:r>
            <w:r w:rsidR="007C3651">
              <w:rPr>
                <w:rFonts w:ascii="Times New Roman" w:hAnsi="Times New Roman"/>
              </w:rPr>
              <w:t>ve</w:t>
            </w:r>
            <w:r w:rsidRPr="006542B7">
              <w:rPr>
                <w:rFonts w:ascii="Times New Roman" w:hAnsi="Times New Roman"/>
              </w:rPr>
              <w:t xml:space="preserve"> been created over the CPAP period, which is 64.25% compared to the set target of 73,000 for MEDEP-IV period (August 2013 – June 2018. Out of the total (40,967) ME created, the achievement of the MEDEP itself is 17,606 and MEDPA (</w:t>
            </w:r>
            <w:proofErr w:type="spellStart"/>
            <w:r w:rsidRPr="006542B7">
              <w:rPr>
                <w:rFonts w:ascii="Times New Roman" w:hAnsi="Times New Roman"/>
              </w:rPr>
              <w:t>Govt</w:t>
            </w:r>
            <w:proofErr w:type="spellEnd"/>
            <w:r w:rsidRPr="006542B7">
              <w:rPr>
                <w:rFonts w:ascii="Times New Roman" w:hAnsi="Times New Roman"/>
              </w:rPr>
              <w:t xml:space="preserve">) and Local Bodies with the capacity enhancement from MEDEP are 22,364 and 997 MEs respectively. </w:t>
            </w:r>
            <w:r w:rsidR="007C3651">
              <w:rPr>
                <w:rFonts w:ascii="Times New Roman" w:hAnsi="Times New Roman"/>
              </w:rPr>
              <w:t>These micro enterprises</w:t>
            </w:r>
            <w:r w:rsidRPr="006542B7">
              <w:rPr>
                <w:rFonts w:ascii="Times New Roman" w:hAnsi="Times New Roman"/>
              </w:rPr>
              <w:t xml:space="preserve"> generated 55,935 </w:t>
            </w:r>
            <w:r w:rsidR="007C3651">
              <w:rPr>
                <w:rFonts w:ascii="Times New Roman" w:hAnsi="Times New Roman"/>
              </w:rPr>
              <w:t>jobs,</w:t>
            </w:r>
            <w:r w:rsidRPr="006542B7">
              <w:rPr>
                <w:rFonts w:ascii="Times New Roman" w:hAnsi="Times New Roman"/>
              </w:rPr>
              <w:t xml:space="preserve"> of which 40</w:t>
            </w:r>
            <w:r w:rsidR="007C3651">
              <w:rPr>
                <w:rFonts w:ascii="Times New Roman" w:hAnsi="Times New Roman"/>
              </w:rPr>
              <w:t>,</w:t>
            </w:r>
            <w:r w:rsidRPr="006542B7">
              <w:rPr>
                <w:rFonts w:ascii="Times New Roman" w:hAnsi="Times New Roman"/>
              </w:rPr>
              <w:t>967 are self-employed MEs and rest (14</w:t>
            </w:r>
            <w:r w:rsidR="007C3651">
              <w:rPr>
                <w:rFonts w:ascii="Times New Roman" w:hAnsi="Times New Roman"/>
              </w:rPr>
              <w:t>,</w:t>
            </w:r>
            <w:r w:rsidRPr="006542B7">
              <w:rPr>
                <w:rFonts w:ascii="Times New Roman" w:hAnsi="Times New Roman"/>
              </w:rPr>
              <w:t>968) are the additional who are other than MEs (net employed). With the cr</w:t>
            </w:r>
            <w:r w:rsidR="007C3651">
              <w:rPr>
                <w:rFonts w:ascii="Times New Roman" w:hAnsi="Times New Roman"/>
              </w:rPr>
              <w:t>eation of the</w:t>
            </w:r>
            <w:r w:rsidRPr="006542B7">
              <w:rPr>
                <w:rFonts w:ascii="Times New Roman" w:hAnsi="Times New Roman"/>
              </w:rPr>
              <w:t>se microenterprises and employment generation, those self-employed MEs started their earnings from the economic activities and that resulted 14,295 people moved out of poverty.</w:t>
            </w:r>
          </w:p>
          <w:p w14:paraId="7398E791" w14:textId="77777777" w:rsidR="006542B7" w:rsidRDefault="006542B7" w:rsidP="006542B7">
            <w:pPr>
              <w:pStyle w:val="ListParagraph"/>
              <w:ind w:left="360"/>
              <w:rPr>
                <w:sz w:val="20"/>
              </w:rPr>
            </w:pPr>
          </w:p>
          <w:p w14:paraId="4BF8AAE6" w14:textId="1652CD9C" w:rsidR="00AF3701" w:rsidRDefault="007C3651" w:rsidP="006542B7">
            <w:pPr>
              <w:pStyle w:val="ListParagraph"/>
              <w:ind w:left="360"/>
              <w:rPr>
                <w:sz w:val="20"/>
              </w:rPr>
            </w:pPr>
            <w:r>
              <w:rPr>
                <w:sz w:val="20"/>
              </w:rPr>
              <w:t xml:space="preserve">With support from </w:t>
            </w:r>
            <w:r w:rsidR="006542B7" w:rsidRPr="006542B7">
              <w:rPr>
                <w:sz w:val="20"/>
              </w:rPr>
              <w:t xml:space="preserve">MEDEP </w:t>
            </w:r>
            <w:r>
              <w:rPr>
                <w:sz w:val="20"/>
              </w:rPr>
              <w:t>in strengthening governments’ capacities</w:t>
            </w:r>
            <w:r w:rsidR="006542B7" w:rsidRPr="006542B7">
              <w:rPr>
                <w:sz w:val="20"/>
              </w:rPr>
              <w:t xml:space="preserve"> to design, execute and manage economic development </w:t>
            </w:r>
            <w:proofErr w:type="spellStart"/>
            <w:r w:rsidR="006542B7" w:rsidRPr="006542B7">
              <w:rPr>
                <w:sz w:val="20"/>
              </w:rPr>
              <w:t>programmes</w:t>
            </w:r>
            <w:proofErr w:type="spellEnd"/>
            <w:r w:rsidR="006542B7" w:rsidRPr="006542B7">
              <w:rPr>
                <w:sz w:val="20"/>
              </w:rPr>
              <w:t xml:space="preserve"> and strategies, the government of Nepal successfully expanded MEDPA </w:t>
            </w:r>
            <w:proofErr w:type="spellStart"/>
            <w:r w:rsidR="006542B7" w:rsidRPr="006542B7">
              <w:rPr>
                <w:sz w:val="20"/>
              </w:rPr>
              <w:t>programme</w:t>
            </w:r>
            <w:proofErr w:type="spellEnd"/>
            <w:r w:rsidR="006542B7" w:rsidRPr="006542B7">
              <w:rPr>
                <w:sz w:val="20"/>
              </w:rPr>
              <w:t xml:space="preserve"> to 69 districts with the total government budget allocation of NRs 1.54 billion to date or the CPAP period.  With the facilitation support from MEDEP, the capacity of government enhanced to procure Micro Enterprise Development Service Providers (MEDSP) and MEDPA is being implemented through results based </w:t>
            </w:r>
            <w:proofErr w:type="spellStart"/>
            <w:r w:rsidR="006542B7" w:rsidRPr="006542B7">
              <w:rPr>
                <w:sz w:val="20"/>
              </w:rPr>
              <w:t>sub contracting</w:t>
            </w:r>
            <w:proofErr w:type="spellEnd"/>
            <w:r w:rsidR="006542B7" w:rsidRPr="006542B7">
              <w:rPr>
                <w:sz w:val="20"/>
              </w:rPr>
              <w:t>. The statistics shows that the number of bidders for MEDPA increased by 20% in Fiscal year 2014/15 compared to Fiscal Year 2013/14. The enhanced capacity of Government departments- the Department of Cottage and Small Industries (DCSI) and Cottage and Small Industries Development Board (CSIDB) under the Ministry of Industry also enabled successfully to conduct the third-party evaluation of MEDSPs. A total of 11430 government staffs and representatives have increased their skills and knowledge through capacity development training on MED model, bottom up training, financial and market development, MIS system, social mobilization, planning and monitoring, both at central and district levels. These capacity development initiatives have resulted in increased confident of staffs on MEDPA implementation and delivery process. Improved coordination, cooperation and linkages by government from the facilitation of MEDEP with training service providers have produced 988 capable Enterprise Development Facilitators (EDFs) for MEDPA implementation by 2016. Likewise, facilitation work with financial service provider help increased access to the financial products and services. As result a total of 16,554 MEs benefitted from accessing the loan amount of NRs 397.5 million over this period.</w:t>
            </w:r>
          </w:p>
          <w:p w14:paraId="1DC111E6" w14:textId="77777777" w:rsidR="00C047E9" w:rsidRPr="006542B7" w:rsidRDefault="00C047E9" w:rsidP="006542B7">
            <w:pPr>
              <w:pStyle w:val="ListParagraph"/>
              <w:ind w:left="360"/>
              <w:rPr>
                <w:sz w:val="20"/>
              </w:rPr>
            </w:pPr>
          </w:p>
          <w:p w14:paraId="12D85DF4" w14:textId="77777777" w:rsidR="00856205" w:rsidRPr="00856205" w:rsidRDefault="00856205" w:rsidP="00856205">
            <w:pPr>
              <w:pStyle w:val="BodyText2"/>
              <w:numPr>
                <w:ilvl w:val="1"/>
                <w:numId w:val="26"/>
              </w:numPr>
              <w:spacing w:before="60" w:after="60"/>
              <w:rPr>
                <w:rFonts w:ascii="Times New Roman" w:hAnsi="Times New Roman"/>
              </w:rPr>
            </w:pPr>
            <w:r w:rsidRPr="00856205">
              <w:rPr>
                <w:rFonts w:ascii="Times New Roman" w:hAnsi="Times New Roman"/>
              </w:rPr>
              <w:t xml:space="preserve">Renewable Energy for Rural Livelihood (RERL) provides incremental support to Alternative Energy Promotion Centre (AEPC) by providing technical assistance for developing conducive policy environment, demonstration of financially attractive projects, implementation of sustainable modalities and capacity development. During 2013-2017, RERL assisted AEPC in drafting Renewable Energy Policy and Renewable Energy Subsidy Policy and Delivery Mechanism and preparation of Technical Standards for Grid Interconnection of renewable energy systems. </w:t>
            </w:r>
          </w:p>
          <w:p w14:paraId="1199125D" w14:textId="77777777" w:rsidR="00856205" w:rsidRPr="00856205" w:rsidRDefault="00856205" w:rsidP="00856205">
            <w:pPr>
              <w:pStyle w:val="BodyText2"/>
              <w:spacing w:before="60" w:after="60"/>
              <w:ind w:left="360"/>
              <w:rPr>
                <w:rFonts w:ascii="Times New Roman" w:hAnsi="Times New Roman"/>
              </w:rPr>
            </w:pPr>
          </w:p>
          <w:p w14:paraId="38624085" w14:textId="77777777" w:rsidR="00700521" w:rsidRDefault="00856205" w:rsidP="00856205">
            <w:pPr>
              <w:pStyle w:val="BodyText2"/>
              <w:spacing w:before="60" w:after="60"/>
              <w:ind w:left="360"/>
              <w:rPr>
                <w:rFonts w:ascii="Times New Roman" w:hAnsi="Times New Roman"/>
              </w:rPr>
            </w:pPr>
            <w:r w:rsidRPr="00856205">
              <w:rPr>
                <w:rFonts w:ascii="Times New Roman" w:hAnsi="Times New Roman"/>
              </w:rPr>
              <w:t xml:space="preserve">As of April 2017, RERL supported rural communities to install 91 micro hydropower projects with the total capacity of 3626 kW, providing electricity access to over 160,000 people from 36,000 households. RERL also worked with AEPC to support rural entrepreneurs to establish more than 1100 micro and small enterprises using electricity. After the earthquakes of 2015, RERL provided technical and financial assistance to rehabilitate 65 MHPs with the total installed capacity of 1619 kW benefitting 15,900 households and 9 solar pumping system for drinking water benefitting 450 households. Likewise, RERL supported public institutions such as local governmental bodies, schools/temporary learning centers and health post/birthing centers with solar PV systems for lighting and operating office equipment. From relief and rehabilitation activities, 95,216 people directly benefited from access to electricity and over 390,000 people benefit from services provided by the schools and health centers.  </w:t>
            </w:r>
          </w:p>
          <w:p w14:paraId="2C51F3C7" w14:textId="77777777" w:rsidR="00737A6E" w:rsidRDefault="00737A6E" w:rsidP="00856205">
            <w:pPr>
              <w:pStyle w:val="BodyText2"/>
              <w:spacing w:before="60" w:after="60"/>
              <w:ind w:left="360"/>
              <w:rPr>
                <w:rFonts w:ascii="Times New Roman" w:hAnsi="Times New Roman"/>
              </w:rPr>
            </w:pPr>
          </w:p>
          <w:p w14:paraId="5F01DB61" w14:textId="77777777" w:rsidR="00737A6E" w:rsidRPr="00377BBF" w:rsidRDefault="00737A6E" w:rsidP="00856205">
            <w:pPr>
              <w:pStyle w:val="BodyText2"/>
              <w:spacing w:before="60" w:after="60"/>
              <w:ind w:left="360"/>
              <w:rPr>
                <w:rFonts w:ascii="Times New Roman" w:hAnsi="Times New Roman"/>
              </w:rPr>
            </w:pPr>
            <w:r w:rsidRPr="00737A6E">
              <w:rPr>
                <w:rFonts w:ascii="Times New Roman" w:hAnsi="Times New Roman"/>
              </w:rPr>
              <w:t xml:space="preserve">Towards achieving the national goal of building an equitable and gender inclusive society by ensuring equal rights to women and men of all castes, creed and regions in the social, political and economic aspects of national development, AEPC/RERL is promoting GESI sensitive renewable energy projects and productive end-use </w:t>
            </w:r>
            <w:r w:rsidRPr="00737A6E">
              <w:rPr>
                <w:rFonts w:ascii="Times New Roman" w:hAnsi="Times New Roman"/>
              </w:rPr>
              <w:lastRenderedPageBreak/>
              <w:t xml:space="preserve">applications. Moreover, RERL has supported to women and marginalized communities to benefit from electricity by establishing enterprises and income generating activities. So far, RERL has provided direct assistance to establish 1183 productive use enterprises. 1107 people are employed by the 443 enterprises of which 286 are male owned, 29 </w:t>
            </w:r>
            <w:r w:rsidR="00BC1731" w:rsidRPr="00737A6E">
              <w:rPr>
                <w:rFonts w:ascii="Times New Roman" w:hAnsi="Times New Roman"/>
              </w:rPr>
              <w:t>females</w:t>
            </w:r>
            <w:r w:rsidRPr="00737A6E">
              <w:rPr>
                <w:rFonts w:ascii="Times New Roman" w:hAnsi="Times New Roman"/>
              </w:rPr>
              <w:t xml:space="preserve"> owned and 3 community owned. Besides, RERL also supported 3,151 income generating activities (IGA) benefiting 14,809 people.</w:t>
            </w:r>
          </w:p>
        </w:tc>
      </w:tr>
      <w:tr w:rsidR="00B240C0" w:rsidRPr="00377BBF" w14:paraId="0887759B" w14:textId="77777777" w:rsidTr="00136189">
        <w:tc>
          <w:tcPr>
            <w:tcW w:w="3150" w:type="dxa"/>
            <w:shd w:val="clear" w:color="auto" w:fill="002060"/>
          </w:tcPr>
          <w:p w14:paraId="62096D3A" w14:textId="77777777" w:rsidR="00B240C0" w:rsidRPr="00377BBF" w:rsidRDefault="00B240C0" w:rsidP="0043380E">
            <w:pPr>
              <w:pStyle w:val="BodyText2"/>
              <w:spacing w:before="60" w:after="60"/>
              <w:rPr>
                <w:rFonts w:ascii="Times New Roman" w:hAnsi="Times New Roman"/>
                <w:b/>
                <w:sz w:val="24"/>
              </w:rPr>
            </w:pPr>
            <w:r w:rsidRPr="00377BBF">
              <w:rPr>
                <w:rFonts w:ascii="Times New Roman" w:hAnsi="Times New Roman"/>
                <w:b/>
                <w:sz w:val="24"/>
              </w:rPr>
              <w:lastRenderedPageBreak/>
              <w:t>Outcomes</w:t>
            </w:r>
          </w:p>
        </w:tc>
        <w:tc>
          <w:tcPr>
            <w:tcW w:w="1710" w:type="dxa"/>
            <w:gridSpan w:val="3"/>
            <w:shd w:val="clear" w:color="auto" w:fill="002060"/>
          </w:tcPr>
          <w:p w14:paraId="1EB03AFD" w14:textId="77777777" w:rsidR="00B240C0" w:rsidRPr="00377BBF" w:rsidRDefault="00B240C0" w:rsidP="0043380E">
            <w:pPr>
              <w:pStyle w:val="BodyText2"/>
              <w:spacing w:before="60" w:after="60"/>
              <w:rPr>
                <w:rFonts w:ascii="Times New Roman" w:hAnsi="Times New Roman"/>
                <w:b/>
                <w:sz w:val="22"/>
              </w:rPr>
            </w:pPr>
            <w:r w:rsidRPr="00377BBF">
              <w:rPr>
                <w:rFonts w:ascii="Times New Roman" w:hAnsi="Times New Roman"/>
                <w:b/>
                <w:sz w:val="22"/>
              </w:rPr>
              <w:t>Total Expenditure</w:t>
            </w:r>
          </w:p>
        </w:tc>
        <w:tc>
          <w:tcPr>
            <w:tcW w:w="4410" w:type="dxa"/>
            <w:gridSpan w:val="2"/>
            <w:tcBorders>
              <w:left w:val="single" w:sz="4" w:space="0" w:color="auto"/>
            </w:tcBorders>
            <w:shd w:val="clear" w:color="auto" w:fill="002060"/>
          </w:tcPr>
          <w:p w14:paraId="69D3CB7B" w14:textId="77777777" w:rsidR="00B240C0" w:rsidRPr="00377BBF" w:rsidRDefault="00B240C0" w:rsidP="0043380E">
            <w:pPr>
              <w:pStyle w:val="BodyText2"/>
              <w:spacing w:before="60" w:after="60"/>
              <w:rPr>
                <w:rFonts w:ascii="Times New Roman" w:hAnsi="Times New Roman"/>
                <w:b/>
                <w:sz w:val="22"/>
              </w:rPr>
            </w:pPr>
            <w:r w:rsidRPr="00377BBF">
              <w:rPr>
                <w:rFonts w:ascii="Times New Roman" w:hAnsi="Times New Roman"/>
                <w:b/>
                <w:sz w:val="22"/>
              </w:rPr>
              <w:t>Key Indicators of outcome (1-4 per outcome)</w:t>
            </w:r>
          </w:p>
        </w:tc>
        <w:tc>
          <w:tcPr>
            <w:tcW w:w="4860" w:type="dxa"/>
            <w:gridSpan w:val="3"/>
            <w:shd w:val="clear" w:color="auto" w:fill="002060"/>
          </w:tcPr>
          <w:p w14:paraId="7D322A23" w14:textId="77777777" w:rsidR="00B240C0" w:rsidRPr="00377BBF" w:rsidRDefault="00B240C0" w:rsidP="0043380E">
            <w:pPr>
              <w:pStyle w:val="BodyText2"/>
              <w:spacing w:before="60" w:after="60"/>
              <w:rPr>
                <w:rFonts w:ascii="Times New Roman" w:hAnsi="Times New Roman"/>
                <w:b/>
                <w:sz w:val="22"/>
              </w:rPr>
            </w:pPr>
            <w:r w:rsidRPr="00377BBF">
              <w:rPr>
                <w:rFonts w:ascii="Times New Roman" w:hAnsi="Times New Roman"/>
                <w:b/>
                <w:sz w:val="22"/>
              </w:rPr>
              <w:t>Progress made against key indicators</w:t>
            </w:r>
          </w:p>
        </w:tc>
      </w:tr>
      <w:tr w:rsidR="008025DC" w:rsidRPr="00377BBF" w14:paraId="3017464C" w14:textId="77777777" w:rsidTr="00136189">
        <w:tc>
          <w:tcPr>
            <w:tcW w:w="3150" w:type="dxa"/>
            <w:shd w:val="clear" w:color="auto" w:fill="C6D9F1" w:themeFill="text2" w:themeFillTint="33"/>
          </w:tcPr>
          <w:p w14:paraId="4FB77C92" w14:textId="77777777" w:rsidR="008025DC" w:rsidRPr="00377BBF" w:rsidRDefault="008025DC" w:rsidP="0043380E">
            <w:pPr>
              <w:pStyle w:val="BodyText2"/>
              <w:spacing w:before="60" w:after="60"/>
              <w:rPr>
                <w:rFonts w:ascii="Times New Roman" w:hAnsi="Times New Roman"/>
                <w:b/>
              </w:rPr>
            </w:pPr>
            <w:r w:rsidRPr="00377BBF">
              <w:rPr>
                <w:rFonts w:ascii="Times New Roman" w:hAnsi="Times New Roman"/>
                <w:b/>
              </w:rPr>
              <w:t>UNDAF/CPD Outcome 3: Vulnerable groups experience greater self-confidence, respect and dignity</w:t>
            </w:r>
          </w:p>
        </w:tc>
        <w:tc>
          <w:tcPr>
            <w:tcW w:w="1710" w:type="dxa"/>
            <w:gridSpan w:val="3"/>
            <w:shd w:val="clear" w:color="auto" w:fill="auto"/>
          </w:tcPr>
          <w:p w14:paraId="4D32CEE5" w14:textId="77777777" w:rsidR="008025DC" w:rsidRPr="00377BBF" w:rsidRDefault="008025DC" w:rsidP="0043380E">
            <w:pPr>
              <w:pStyle w:val="BodyText2"/>
              <w:spacing w:before="60" w:after="60"/>
              <w:rPr>
                <w:rFonts w:ascii="Times New Roman" w:hAnsi="Times New Roman"/>
              </w:rPr>
            </w:pPr>
            <w:r w:rsidRPr="00377BBF">
              <w:rPr>
                <w:rFonts w:ascii="Times New Roman" w:hAnsi="Times New Roman"/>
              </w:rPr>
              <w:t>$178,638</w:t>
            </w:r>
          </w:p>
        </w:tc>
        <w:tc>
          <w:tcPr>
            <w:tcW w:w="4410" w:type="dxa"/>
            <w:gridSpan w:val="2"/>
            <w:tcBorders>
              <w:left w:val="single" w:sz="4" w:space="0" w:color="auto"/>
            </w:tcBorders>
          </w:tcPr>
          <w:p w14:paraId="31380993" w14:textId="77777777" w:rsidR="008025DC" w:rsidRPr="00377BBF" w:rsidRDefault="008025DC" w:rsidP="00A229C1">
            <w:pPr>
              <w:pStyle w:val="BodyText2"/>
              <w:numPr>
                <w:ilvl w:val="0"/>
                <w:numId w:val="7"/>
              </w:numPr>
              <w:spacing w:before="60" w:after="60"/>
              <w:rPr>
                <w:rFonts w:ascii="Times New Roman" w:hAnsi="Times New Roman"/>
              </w:rPr>
            </w:pPr>
            <w:r w:rsidRPr="00377BBF">
              <w:rPr>
                <w:rFonts w:ascii="Times New Roman" w:hAnsi="Times New Roman"/>
              </w:rPr>
              <w:t>% of population who perceive that caste discrimination has decreased in the last five years (UNDAF Ind. #3.2) (disaggregated by gender)</w:t>
            </w:r>
          </w:p>
          <w:p w14:paraId="4DD412D6" w14:textId="77777777" w:rsidR="008025DC" w:rsidRPr="00377BBF" w:rsidRDefault="008025DC" w:rsidP="00A229C1">
            <w:pPr>
              <w:pStyle w:val="BodyText2"/>
              <w:numPr>
                <w:ilvl w:val="0"/>
                <w:numId w:val="7"/>
              </w:numPr>
              <w:spacing w:before="60" w:after="60"/>
              <w:rPr>
                <w:rFonts w:ascii="Times New Roman" w:hAnsi="Times New Roman"/>
              </w:rPr>
            </w:pPr>
            <w:r w:rsidRPr="00377BBF">
              <w:rPr>
                <w:rFonts w:ascii="Times New Roman" w:hAnsi="Times New Roman"/>
              </w:rPr>
              <w:t>Gender Empowerment Measure (GEM) in Mid and Far Western Development Regions (UNDAF 1 #3.4)</w:t>
            </w:r>
          </w:p>
        </w:tc>
        <w:tc>
          <w:tcPr>
            <w:tcW w:w="4860" w:type="dxa"/>
            <w:gridSpan w:val="3"/>
            <w:shd w:val="clear" w:color="auto" w:fill="auto"/>
          </w:tcPr>
          <w:p w14:paraId="5BE36BB0" w14:textId="77777777" w:rsidR="008025DC" w:rsidRPr="00377BBF" w:rsidRDefault="008025DC" w:rsidP="00A229C1">
            <w:pPr>
              <w:pStyle w:val="BodyText2"/>
              <w:numPr>
                <w:ilvl w:val="0"/>
                <w:numId w:val="8"/>
              </w:numPr>
              <w:spacing w:before="60" w:after="60"/>
              <w:rPr>
                <w:rFonts w:ascii="Times New Roman" w:hAnsi="Times New Roman"/>
              </w:rPr>
            </w:pPr>
            <w:r w:rsidRPr="00377BBF">
              <w:rPr>
                <w:rFonts w:ascii="Times New Roman" w:hAnsi="Times New Roman"/>
              </w:rPr>
              <w:t>83.5% people perceived that caste discrimination has decreased in the last five years (Baseline established in 2014).</w:t>
            </w:r>
          </w:p>
          <w:p w14:paraId="3EA737DF" w14:textId="77777777" w:rsidR="008025DC" w:rsidRPr="00377BBF" w:rsidRDefault="00377BBF" w:rsidP="00A229C1">
            <w:pPr>
              <w:pStyle w:val="BodyText2"/>
              <w:numPr>
                <w:ilvl w:val="0"/>
                <w:numId w:val="8"/>
              </w:numPr>
              <w:spacing w:before="60" w:after="60"/>
              <w:rPr>
                <w:rFonts w:ascii="Times New Roman" w:hAnsi="Times New Roman"/>
              </w:rPr>
            </w:pPr>
            <w:r w:rsidRPr="00377BBF">
              <w:rPr>
                <w:rFonts w:ascii="Times New Roman" w:hAnsi="Times New Roman"/>
              </w:rPr>
              <w:t>0.431 (</w:t>
            </w:r>
            <w:proofErr w:type="spellStart"/>
            <w:r w:rsidRPr="00377BBF">
              <w:rPr>
                <w:rFonts w:ascii="Times New Roman" w:hAnsi="Times New Roman"/>
              </w:rPr>
              <w:t>M</w:t>
            </w:r>
            <w:r>
              <w:rPr>
                <w:rFonts w:ascii="Times New Roman" w:hAnsi="Times New Roman"/>
              </w:rPr>
              <w:t>id western</w:t>
            </w:r>
            <w:proofErr w:type="spellEnd"/>
            <w:r w:rsidRPr="00377BBF">
              <w:rPr>
                <w:rFonts w:ascii="Times New Roman" w:hAnsi="Times New Roman"/>
              </w:rPr>
              <w:t>); 0.456 (F</w:t>
            </w:r>
            <w:r>
              <w:rPr>
                <w:rFonts w:ascii="Times New Roman" w:hAnsi="Times New Roman"/>
              </w:rPr>
              <w:t>ar</w:t>
            </w:r>
            <w:r w:rsidRPr="00377BBF">
              <w:rPr>
                <w:rFonts w:ascii="Times New Roman" w:hAnsi="Times New Roman"/>
              </w:rPr>
              <w:t xml:space="preserve"> </w:t>
            </w:r>
            <w:r>
              <w:rPr>
                <w:rFonts w:ascii="Times New Roman" w:hAnsi="Times New Roman"/>
              </w:rPr>
              <w:t>Western</w:t>
            </w:r>
            <w:r w:rsidRPr="00377BBF">
              <w:rPr>
                <w:rFonts w:ascii="Times New Roman" w:hAnsi="Times New Roman"/>
              </w:rPr>
              <w:t>); 0.</w:t>
            </w:r>
            <w:r>
              <w:rPr>
                <w:rFonts w:ascii="Times New Roman" w:hAnsi="Times New Roman"/>
              </w:rPr>
              <w:t>558</w:t>
            </w:r>
            <w:r w:rsidRPr="00377BBF">
              <w:rPr>
                <w:rFonts w:ascii="Times New Roman" w:hAnsi="Times New Roman"/>
              </w:rPr>
              <w:t xml:space="preserve"> (Nepal)</w:t>
            </w:r>
          </w:p>
        </w:tc>
      </w:tr>
      <w:tr w:rsidR="00B240C0" w:rsidRPr="00377BBF" w14:paraId="792206F6" w14:textId="77777777" w:rsidTr="00136189">
        <w:tc>
          <w:tcPr>
            <w:tcW w:w="14130" w:type="dxa"/>
            <w:gridSpan w:val="9"/>
          </w:tcPr>
          <w:p w14:paraId="07F094C0" w14:textId="77777777" w:rsidR="00B240C0" w:rsidRPr="00377BBF" w:rsidRDefault="00B240C0" w:rsidP="0043380E">
            <w:pPr>
              <w:pStyle w:val="BodyText2"/>
              <w:spacing w:before="60" w:after="60"/>
              <w:rPr>
                <w:rFonts w:ascii="Times New Roman" w:hAnsi="Times New Roman"/>
                <w:b/>
              </w:rPr>
            </w:pPr>
            <w:r w:rsidRPr="00377BBF">
              <w:rPr>
                <w:rFonts w:ascii="Times New Roman" w:hAnsi="Times New Roman"/>
                <w:b/>
              </w:rPr>
              <w:t>UNDP Contribution:</w:t>
            </w:r>
          </w:p>
          <w:p w14:paraId="338733A3" w14:textId="6295CCEA" w:rsidR="00B240C0" w:rsidRPr="00377BBF" w:rsidRDefault="007C3651" w:rsidP="0043380E">
            <w:pPr>
              <w:pStyle w:val="BodyText2"/>
              <w:spacing w:before="60" w:after="60"/>
              <w:rPr>
                <w:rFonts w:ascii="Times New Roman" w:hAnsi="Times New Roman"/>
              </w:rPr>
            </w:pPr>
            <w:r>
              <w:rPr>
                <w:rFonts w:ascii="Times New Roman" w:hAnsi="Times New Roman"/>
              </w:rPr>
              <w:t xml:space="preserve">UNDP supported </w:t>
            </w:r>
            <w:r w:rsidR="00B5747D">
              <w:rPr>
                <w:rFonts w:ascii="Times New Roman" w:hAnsi="Times New Roman"/>
              </w:rPr>
              <w:t xml:space="preserve">to strengthen policy and legislative framework for eliminating caste based discrimination and promoting inclusiveness and positive discrimination measures for Dalits and women. With UNDP’s support Government was able to develop and implement measures for ensuring greater participation of historically marginalized caste groups in decision making and various professions (e.g., law profession).  </w:t>
            </w:r>
          </w:p>
          <w:p w14:paraId="64D4BC4B" w14:textId="77777777" w:rsidR="00B240C0" w:rsidRPr="00377BBF" w:rsidRDefault="00B240C0" w:rsidP="0043380E">
            <w:pPr>
              <w:pStyle w:val="BodyText2"/>
              <w:spacing w:before="60" w:after="60"/>
              <w:rPr>
                <w:rFonts w:ascii="Times New Roman" w:hAnsi="Times New Roman"/>
              </w:rPr>
            </w:pPr>
          </w:p>
          <w:p w14:paraId="50487F68" w14:textId="77777777" w:rsidR="00B240C0" w:rsidRPr="00377BBF" w:rsidRDefault="00B240C0" w:rsidP="0043380E">
            <w:pPr>
              <w:pStyle w:val="BodyText2"/>
              <w:spacing w:before="60" w:after="60"/>
              <w:rPr>
                <w:rFonts w:ascii="Times New Roman" w:hAnsi="Times New Roman"/>
                <w:b/>
              </w:rPr>
            </w:pPr>
            <w:r w:rsidRPr="00377BBF">
              <w:rPr>
                <w:rFonts w:ascii="Times New Roman" w:hAnsi="Times New Roman"/>
                <w:b/>
                <w:u w:val="single"/>
              </w:rPr>
              <w:t>CP Outputs</w:t>
            </w:r>
            <w:r w:rsidRPr="00377BBF">
              <w:rPr>
                <w:rFonts w:ascii="Times New Roman" w:hAnsi="Times New Roman"/>
                <w:b/>
              </w:rPr>
              <w:t>:</w:t>
            </w:r>
          </w:p>
          <w:p w14:paraId="084CA3C8" w14:textId="77777777" w:rsidR="00B240C0" w:rsidRPr="00377BBF" w:rsidRDefault="00B240C0" w:rsidP="0043380E">
            <w:pPr>
              <w:pStyle w:val="BodyText2"/>
              <w:spacing w:before="60" w:after="60"/>
              <w:rPr>
                <w:rFonts w:ascii="Times New Roman" w:hAnsi="Times New Roman"/>
              </w:rPr>
            </w:pPr>
            <w:r w:rsidRPr="00377BBF">
              <w:rPr>
                <w:rFonts w:ascii="Times New Roman" w:hAnsi="Times New Roman"/>
              </w:rPr>
              <w:t xml:space="preserve">The UNDP CP identified three major outputs to support the Government in achieving this outcome: </w:t>
            </w:r>
          </w:p>
          <w:p w14:paraId="7F33F1D0" w14:textId="77777777" w:rsidR="00940A59" w:rsidRPr="00377BBF" w:rsidRDefault="00940A59" w:rsidP="0043380E">
            <w:pPr>
              <w:pStyle w:val="BodyText2"/>
              <w:spacing w:before="60" w:after="60"/>
              <w:rPr>
                <w:rFonts w:ascii="Times New Roman" w:hAnsi="Times New Roman"/>
              </w:rPr>
            </w:pPr>
          </w:p>
          <w:p w14:paraId="06D0C7AE" w14:textId="77777777" w:rsidR="00940A59" w:rsidRPr="00AF3701" w:rsidRDefault="00940A59" w:rsidP="0043380E">
            <w:pPr>
              <w:pStyle w:val="BodyText2"/>
              <w:spacing w:before="60" w:after="60"/>
              <w:rPr>
                <w:rFonts w:ascii="Times New Roman" w:hAnsi="Times New Roman"/>
                <w:i/>
              </w:rPr>
            </w:pPr>
            <w:r w:rsidRPr="00AF3701">
              <w:rPr>
                <w:rFonts w:ascii="Times New Roman" w:hAnsi="Times New Roman"/>
                <w:i/>
              </w:rPr>
              <w:t>Output 3.1 Vulnerable groups and those who discriminate against them are progressively engaged and challenged on their own assumptions, understanding and practices that results in discrimination</w:t>
            </w:r>
          </w:p>
          <w:p w14:paraId="12890F4B" w14:textId="77777777" w:rsidR="00940A59" w:rsidRPr="00AF3701" w:rsidRDefault="00940A59" w:rsidP="0043380E">
            <w:pPr>
              <w:pStyle w:val="BodyText2"/>
              <w:spacing w:before="60" w:after="60"/>
              <w:rPr>
                <w:rFonts w:ascii="Times New Roman" w:hAnsi="Times New Roman"/>
                <w:i/>
              </w:rPr>
            </w:pPr>
            <w:r w:rsidRPr="00AF3701">
              <w:rPr>
                <w:rFonts w:ascii="Times New Roman" w:hAnsi="Times New Roman"/>
                <w:i/>
              </w:rPr>
              <w:t>Output 3.3 Political participation of vulnerable groups in institutions and society and their capacity to organize and mobilize themselves are progressively strengthened</w:t>
            </w:r>
          </w:p>
          <w:p w14:paraId="2F1C62C0" w14:textId="77777777" w:rsidR="00940A59" w:rsidRPr="00377BBF" w:rsidRDefault="00940A59" w:rsidP="0043380E">
            <w:pPr>
              <w:pStyle w:val="BodyText2"/>
              <w:spacing w:before="60" w:after="60"/>
              <w:rPr>
                <w:rFonts w:ascii="Times New Roman" w:hAnsi="Times New Roman"/>
              </w:rPr>
            </w:pPr>
          </w:p>
          <w:p w14:paraId="6F05238F" w14:textId="77777777" w:rsidR="00B240C0" w:rsidRPr="00377BBF" w:rsidRDefault="00B240C0" w:rsidP="0043380E">
            <w:pPr>
              <w:pStyle w:val="BodyText2"/>
              <w:spacing w:before="60" w:after="60"/>
              <w:rPr>
                <w:rFonts w:ascii="Times New Roman" w:hAnsi="Times New Roman"/>
                <w:b/>
              </w:rPr>
            </w:pPr>
            <w:r w:rsidRPr="00377BBF">
              <w:rPr>
                <w:rFonts w:ascii="Times New Roman" w:hAnsi="Times New Roman"/>
                <w:b/>
                <w:u w:val="single"/>
              </w:rPr>
              <w:t>Progress and Achievements</w:t>
            </w:r>
            <w:r w:rsidRPr="00377BBF">
              <w:rPr>
                <w:rFonts w:ascii="Times New Roman" w:hAnsi="Times New Roman"/>
                <w:b/>
              </w:rPr>
              <w:t>:</w:t>
            </w:r>
          </w:p>
          <w:p w14:paraId="33320D8D" w14:textId="77777777" w:rsidR="00B240C0" w:rsidRDefault="008B6156" w:rsidP="0043380E">
            <w:pPr>
              <w:pStyle w:val="BodyText2"/>
              <w:spacing w:before="60" w:after="60"/>
              <w:rPr>
                <w:rFonts w:ascii="Times New Roman" w:hAnsi="Times New Roman"/>
              </w:rPr>
            </w:pPr>
            <w:r w:rsidRPr="00377BBF">
              <w:rPr>
                <w:rFonts w:ascii="Times New Roman" w:hAnsi="Times New Roman"/>
              </w:rPr>
              <w:t xml:space="preserve">UNDP delivered 2 key outputs to improve inclusion, dignity and respect for vulnerable groups through anti-discrimination legislation and an </w:t>
            </w:r>
            <w:r w:rsidR="002923D9" w:rsidRPr="00377BBF">
              <w:rPr>
                <w:rFonts w:ascii="Times New Roman" w:hAnsi="Times New Roman"/>
              </w:rPr>
              <w:t>inclusive civil service:</w:t>
            </w:r>
          </w:p>
          <w:p w14:paraId="223EA394" w14:textId="77777777" w:rsidR="00AF3701" w:rsidRPr="00377BBF" w:rsidRDefault="00AF3701" w:rsidP="0043380E">
            <w:pPr>
              <w:pStyle w:val="BodyText2"/>
              <w:spacing w:before="60" w:after="60"/>
              <w:rPr>
                <w:rFonts w:ascii="Times New Roman" w:hAnsi="Times New Roman"/>
              </w:rPr>
            </w:pPr>
          </w:p>
          <w:p w14:paraId="581637EF" w14:textId="3AB83BE0" w:rsidR="00AF3701" w:rsidRDefault="002923D9" w:rsidP="00A229C1">
            <w:pPr>
              <w:pStyle w:val="BodyText2"/>
              <w:numPr>
                <w:ilvl w:val="1"/>
                <w:numId w:val="24"/>
              </w:numPr>
              <w:spacing w:before="60" w:after="60"/>
              <w:rPr>
                <w:rFonts w:ascii="Times New Roman" w:hAnsi="Times New Roman"/>
              </w:rPr>
            </w:pPr>
            <w:r w:rsidRPr="00AF3701">
              <w:rPr>
                <w:rFonts w:ascii="Times New Roman" w:hAnsi="Times New Roman"/>
              </w:rPr>
              <w:t xml:space="preserve">UNDP’s TA to national human rights commissions helped </w:t>
            </w:r>
            <w:r w:rsidR="007C3651">
              <w:rPr>
                <w:rFonts w:ascii="Times New Roman" w:hAnsi="Times New Roman"/>
              </w:rPr>
              <w:t xml:space="preserve">develop legislative framework for </w:t>
            </w:r>
            <w:r w:rsidRPr="00AF3701">
              <w:rPr>
                <w:rFonts w:ascii="Times New Roman" w:hAnsi="Times New Roman"/>
              </w:rPr>
              <w:t>establish</w:t>
            </w:r>
            <w:r w:rsidR="007C3651">
              <w:rPr>
                <w:rFonts w:ascii="Times New Roman" w:hAnsi="Times New Roman"/>
              </w:rPr>
              <w:t>ing</w:t>
            </w:r>
            <w:r w:rsidRPr="00AF3701">
              <w:rPr>
                <w:rFonts w:ascii="Times New Roman" w:hAnsi="Times New Roman"/>
              </w:rPr>
              <w:t xml:space="preserve"> National Dalit Commission (NDC) and National Women’s Commission as constitutional bodies. The</w:t>
            </w:r>
            <w:r w:rsidR="007C3651">
              <w:rPr>
                <w:rFonts w:ascii="Times New Roman" w:hAnsi="Times New Roman"/>
              </w:rPr>
              <w:t xml:space="preserve">se commissions </w:t>
            </w:r>
            <w:r w:rsidRPr="00AF3701">
              <w:rPr>
                <w:rFonts w:ascii="Times New Roman" w:hAnsi="Times New Roman"/>
              </w:rPr>
              <w:t>protect and promote the rights of Dalits and women. NDC, with technical and financial support of UNDP, reviewed the Caste Based Discrimination and Untouchability (CBDU) Act and proposed revisions in line with Nepal’s Constitution and International Human Rights obligations.</w:t>
            </w:r>
            <w:r w:rsidR="00AF3701" w:rsidRPr="00AF3701">
              <w:rPr>
                <w:rFonts w:ascii="Times New Roman" w:hAnsi="Times New Roman"/>
              </w:rPr>
              <w:t xml:space="preserve"> </w:t>
            </w:r>
          </w:p>
          <w:p w14:paraId="676CBD7D" w14:textId="77777777" w:rsidR="00AF3701" w:rsidRDefault="00AF3701" w:rsidP="00AF3701">
            <w:pPr>
              <w:pStyle w:val="BodyText2"/>
              <w:spacing w:before="60" w:after="60"/>
              <w:ind w:left="360"/>
              <w:rPr>
                <w:rFonts w:ascii="Times New Roman" w:hAnsi="Times New Roman"/>
              </w:rPr>
            </w:pPr>
          </w:p>
          <w:p w14:paraId="51AE534E" w14:textId="77777777" w:rsidR="00136189" w:rsidRPr="00136189" w:rsidRDefault="00136189" w:rsidP="00136189">
            <w:pPr>
              <w:pStyle w:val="ListParagraph"/>
              <w:numPr>
                <w:ilvl w:val="1"/>
                <w:numId w:val="24"/>
              </w:numPr>
              <w:rPr>
                <w:sz w:val="20"/>
              </w:rPr>
            </w:pPr>
            <w:r w:rsidRPr="00136189">
              <w:rPr>
                <w:sz w:val="20"/>
              </w:rPr>
              <w:t xml:space="preserve">UNDP’s TA support to the Ministry of General Administration has helped to review the policies and laws related to inclusion including the implementation status of </w:t>
            </w:r>
            <w:r w:rsidRPr="00136189">
              <w:rPr>
                <w:sz w:val="20"/>
              </w:rPr>
              <w:lastRenderedPageBreak/>
              <w:t>inclusive recruitment policy in civil service. The TA support was also instrumental in supporting the Ministry to review and designed the training module and manuals for promotion of affirmative action in civil service. The support further helped the women and excluded groups from remote areas to get training on various issues with the objective of building their capacity to compete in the entrance tests of Public Service Commission for entry-level officer positions. Similarly, the Ministry has already approved the GESI Workplace Policy for civil service to enhance workplace diversity management, improve accessibility related physical infrastructure, and adopt GESI-friendly service delivery. The formal endorsement will be initiated after incorporating feedback from the ministries.</w:t>
            </w:r>
          </w:p>
          <w:p w14:paraId="27BEAA95" w14:textId="77777777" w:rsidR="00AF3701" w:rsidRDefault="00AF3701" w:rsidP="0043380E">
            <w:pPr>
              <w:pStyle w:val="BodyText2"/>
              <w:spacing w:before="60" w:after="60"/>
              <w:rPr>
                <w:rFonts w:ascii="Times New Roman" w:hAnsi="Times New Roman"/>
              </w:rPr>
            </w:pPr>
          </w:p>
          <w:p w14:paraId="58A2E866" w14:textId="77777777" w:rsidR="00060C33" w:rsidRPr="00377BBF" w:rsidRDefault="00060C33" w:rsidP="0043380E">
            <w:pPr>
              <w:pStyle w:val="BodyText2"/>
              <w:spacing w:before="60" w:after="60"/>
              <w:rPr>
                <w:rFonts w:ascii="Times New Roman" w:hAnsi="Times New Roman"/>
              </w:rPr>
            </w:pPr>
            <w:r w:rsidRPr="00377BBF">
              <w:rPr>
                <w:rFonts w:ascii="Times New Roman" w:hAnsi="Times New Roman"/>
              </w:rPr>
              <w:t>Other noteworthy achievements include:</w:t>
            </w:r>
          </w:p>
          <w:p w14:paraId="7CBA7BD3" w14:textId="77777777" w:rsidR="00060C33" w:rsidRPr="00377BBF" w:rsidRDefault="00060C33" w:rsidP="00A229C1">
            <w:pPr>
              <w:pStyle w:val="BodyText2"/>
              <w:numPr>
                <w:ilvl w:val="0"/>
                <w:numId w:val="21"/>
              </w:numPr>
              <w:spacing w:before="60" w:after="60"/>
              <w:rPr>
                <w:rFonts w:ascii="Times New Roman" w:hAnsi="Times New Roman"/>
              </w:rPr>
            </w:pPr>
            <w:r w:rsidRPr="00377BBF">
              <w:rPr>
                <w:rFonts w:ascii="Times New Roman" w:hAnsi="Times New Roman"/>
              </w:rPr>
              <w:t>Increase in number of marginalized groups in decision-making positions. From 2014 to date, 1,771 candidates from marginalized ethnic and caste-based groups were supported to prepare them for leadership position in the civil service.</w:t>
            </w:r>
          </w:p>
          <w:p w14:paraId="192D47A3" w14:textId="77777777" w:rsidR="00B240C0" w:rsidRPr="00377BBF" w:rsidRDefault="00060C33" w:rsidP="00A229C1">
            <w:pPr>
              <w:pStyle w:val="BodyText2"/>
              <w:numPr>
                <w:ilvl w:val="0"/>
                <w:numId w:val="21"/>
              </w:numPr>
              <w:spacing w:before="60" w:after="60"/>
              <w:rPr>
                <w:rFonts w:ascii="Times New Roman" w:hAnsi="Times New Roman"/>
              </w:rPr>
            </w:pPr>
            <w:r w:rsidRPr="00377BBF">
              <w:rPr>
                <w:rFonts w:ascii="Times New Roman" w:hAnsi="Times New Roman"/>
              </w:rPr>
              <w:t>In partnership with private law firms, Nepal Bar Association and Nepal Bar Faculty, UNDP technical and financial support to develop law internship and scholarship program benefiting p</w:t>
            </w:r>
            <w:r w:rsidR="00973248" w:rsidRPr="00377BBF">
              <w:rPr>
                <w:rFonts w:ascii="Times New Roman" w:hAnsi="Times New Roman"/>
              </w:rPr>
              <w:t>oor and vulnerable law students.</w:t>
            </w:r>
          </w:p>
        </w:tc>
      </w:tr>
      <w:tr w:rsidR="00B240C0" w:rsidRPr="00377BBF" w14:paraId="0626E64C" w14:textId="77777777" w:rsidTr="00136189">
        <w:tc>
          <w:tcPr>
            <w:tcW w:w="3623" w:type="dxa"/>
            <w:gridSpan w:val="3"/>
            <w:shd w:val="clear" w:color="auto" w:fill="002060"/>
          </w:tcPr>
          <w:p w14:paraId="297207E6" w14:textId="77777777" w:rsidR="00B240C0" w:rsidRPr="00377BBF" w:rsidRDefault="00B240C0" w:rsidP="0043380E">
            <w:pPr>
              <w:pStyle w:val="BodyText2"/>
              <w:spacing w:before="60" w:after="60"/>
              <w:rPr>
                <w:rFonts w:ascii="Times New Roman" w:hAnsi="Times New Roman"/>
                <w:b/>
                <w:sz w:val="24"/>
              </w:rPr>
            </w:pPr>
            <w:r w:rsidRPr="00377BBF">
              <w:rPr>
                <w:rFonts w:ascii="Times New Roman" w:hAnsi="Times New Roman"/>
                <w:b/>
                <w:sz w:val="24"/>
              </w:rPr>
              <w:lastRenderedPageBreak/>
              <w:t>Outcomes</w:t>
            </w:r>
          </w:p>
        </w:tc>
        <w:tc>
          <w:tcPr>
            <w:tcW w:w="1507" w:type="dxa"/>
            <w:gridSpan w:val="2"/>
            <w:shd w:val="clear" w:color="auto" w:fill="002060"/>
          </w:tcPr>
          <w:p w14:paraId="16A5D833" w14:textId="77777777" w:rsidR="00B240C0" w:rsidRPr="00377BBF" w:rsidRDefault="00B240C0" w:rsidP="0043380E">
            <w:pPr>
              <w:pStyle w:val="BodyText2"/>
              <w:spacing w:before="60" w:after="60"/>
              <w:rPr>
                <w:rFonts w:ascii="Times New Roman" w:hAnsi="Times New Roman"/>
                <w:b/>
                <w:sz w:val="22"/>
              </w:rPr>
            </w:pPr>
            <w:r w:rsidRPr="00377BBF">
              <w:rPr>
                <w:rFonts w:ascii="Times New Roman" w:hAnsi="Times New Roman"/>
                <w:b/>
                <w:sz w:val="22"/>
              </w:rPr>
              <w:t>Total Expenditure</w:t>
            </w:r>
          </w:p>
        </w:tc>
        <w:tc>
          <w:tcPr>
            <w:tcW w:w="4320" w:type="dxa"/>
            <w:gridSpan w:val="2"/>
            <w:tcBorders>
              <w:left w:val="single" w:sz="4" w:space="0" w:color="auto"/>
            </w:tcBorders>
            <w:shd w:val="clear" w:color="auto" w:fill="002060"/>
          </w:tcPr>
          <w:p w14:paraId="7363E79A" w14:textId="77777777" w:rsidR="00B240C0" w:rsidRPr="00377BBF" w:rsidRDefault="00B240C0" w:rsidP="0043380E">
            <w:pPr>
              <w:pStyle w:val="BodyText2"/>
              <w:spacing w:before="60" w:after="60"/>
              <w:rPr>
                <w:rFonts w:ascii="Times New Roman" w:hAnsi="Times New Roman"/>
                <w:b/>
                <w:sz w:val="22"/>
              </w:rPr>
            </w:pPr>
            <w:r w:rsidRPr="00377BBF">
              <w:rPr>
                <w:rFonts w:ascii="Times New Roman" w:hAnsi="Times New Roman"/>
                <w:b/>
                <w:sz w:val="22"/>
              </w:rPr>
              <w:t>Key Indicators of outcome (1-4 per outcome)</w:t>
            </w:r>
          </w:p>
        </w:tc>
        <w:tc>
          <w:tcPr>
            <w:tcW w:w="4680" w:type="dxa"/>
            <w:gridSpan w:val="2"/>
            <w:shd w:val="clear" w:color="auto" w:fill="002060"/>
          </w:tcPr>
          <w:p w14:paraId="5AB8FF4C" w14:textId="77777777" w:rsidR="00B240C0" w:rsidRPr="00377BBF" w:rsidRDefault="00B240C0" w:rsidP="0043380E">
            <w:pPr>
              <w:pStyle w:val="BodyText2"/>
              <w:spacing w:before="60" w:after="60"/>
              <w:rPr>
                <w:rFonts w:ascii="Times New Roman" w:hAnsi="Times New Roman"/>
                <w:b/>
                <w:sz w:val="22"/>
              </w:rPr>
            </w:pPr>
            <w:r w:rsidRPr="00377BBF">
              <w:rPr>
                <w:rFonts w:ascii="Times New Roman" w:hAnsi="Times New Roman"/>
                <w:b/>
                <w:sz w:val="22"/>
              </w:rPr>
              <w:t>Progress made against key indicators</w:t>
            </w:r>
          </w:p>
        </w:tc>
      </w:tr>
      <w:tr w:rsidR="00753DA5" w:rsidRPr="00377BBF" w14:paraId="0BD69AF6" w14:textId="77777777" w:rsidTr="00136189">
        <w:tc>
          <w:tcPr>
            <w:tcW w:w="3623" w:type="dxa"/>
            <w:gridSpan w:val="3"/>
            <w:shd w:val="clear" w:color="auto" w:fill="C6D9F1" w:themeFill="text2" w:themeFillTint="33"/>
          </w:tcPr>
          <w:p w14:paraId="1D5DA35D" w14:textId="4040AE43" w:rsidR="00753DA5" w:rsidRPr="00377BBF" w:rsidRDefault="00753DA5" w:rsidP="00753DA5">
            <w:pPr>
              <w:pStyle w:val="BodyText2"/>
              <w:spacing w:before="60" w:after="60"/>
              <w:rPr>
                <w:rFonts w:ascii="Times New Roman" w:hAnsi="Times New Roman"/>
                <w:b/>
              </w:rPr>
            </w:pPr>
            <w:r w:rsidRPr="00377BBF">
              <w:rPr>
                <w:rFonts w:ascii="Times New Roman" w:hAnsi="Times New Roman"/>
                <w:b/>
              </w:rPr>
              <w:t>UNDAF/CPD Outcome 4: Vulnerable groups benefit from strengthened legal and policy frameworks and have improved access to security and rule-of-law institutions</w:t>
            </w:r>
          </w:p>
        </w:tc>
        <w:tc>
          <w:tcPr>
            <w:tcW w:w="1507" w:type="dxa"/>
            <w:gridSpan w:val="2"/>
            <w:shd w:val="clear" w:color="auto" w:fill="auto"/>
          </w:tcPr>
          <w:p w14:paraId="2C50F1A4" w14:textId="5A64ABF2" w:rsidR="00753DA5" w:rsidRPr="00377BBF" w:rsidRDefault="00753DA5" w:rsidP="00753DA5">
            <w:pPr>
              <w:pStyle w:val="BodyText2"/>
              <w:spacing w:before="60" w:after="60"/>
              <w:rPr>
                <w:rFonts w:ascii="Times New Roman" w:hAnsi="Times New Roman"/>
              </w:rPr>
            </w:pPr>
            <w:r w:rsidRPr="00377BBF">
              <w:rPr>
                <w:rFonts w:ascii="Times New Roman" w:hAnsi="Times New Roman"/>
              </w:rPr>
              <w:t>$8,128,210</w:t>
            </w:r>
          </w:p>
        </w:tc>
        <w:tc>
          <w:tcPr>
            <w:tcW w:w="4320" w:type="dxa"/>
            <w:gridSpan w:val="2"/>
            <w:tcBorders>
              <w:left w:val="single" w:sz="4" w:space="0" w:color="auto"/>
            </w:tcBorders>
          </w:tcPr>
          <w:p w14:paraId="29A386BD" w14:textId="77777777" w:rsidR="00753DA5" w:rsidRPr="00377BBF" w:rsidRDefault="00753DA5" w:rsidP="00753DA5">
            <w:pPr>
              <w:pStyle w:val="BodyText2"/>
              <w:numPr>
                <w:ilvl w:val="0"/>
                <w:numId w:val="5"/>
              </w:numPr>
              <w:spacing w:before="60" w:after="60"/>
              <w:jc w:val="both"/>
              <w:rPr>
                <w:rFonts w:ascii="Times New Roman" w:hAnsi="Times New Roman"/>
              </w:rPr>
            </w:pPr>
            <w:r w:rsidRPr="00377BBF">
              <w:rPr>
                <w:rFonts w:ascii="Times New Roman" w:hAnsi="Times New Roman"/>
              </w:rPr>
              <w:t xml:space="preserve">% of Universal Periodic Review (UPR), and treaty body and UN Special procedures recommendations implemented by </w:t>
            </w:r>
            <w:proofErr w:type="spellStart"/>
            <w:r w:rsidRPr="00377BBF">
              <w:rPr>
                <w:rFonts w:ascii="Times New Roman" w:hAnsi="Times New Roman"/>
              </w:rPr>
              <w:t>GoN</w:t>
            </w:r>
            <w:proofErr w:type="spellEnd"/>
            <w:r w:rsidRPr="00377BBF">
              <w:rPr>
                <w:rFonts w:ascii="Times New Roman" w:hAnsi="Times New Roman"/>
              </w:rPr>
              <w:t xml:space="preserve"> (UNDAF 1 # 4.1)</w:t>
            </w:r>
          </w:p>
          <w:p w14:paraId="0174D5C8" w14:textId="77777777" w:rsidR="00753DA5" w:rsidRPr="00377BBF" w:rsidRDefault="00753DA5" w:rsidP="00753DA5">
            <w:pPr>
              <w:pStyle w:val="BodyText2"/>
              <w:numPr>
                <w:ilvl w:val="0"/>
                <w:numId w:val="5"/>
              </w:numPr>
              <w:spacing w:before="60" w:after="60"/>
              <w:jc w:val="both"/>
              <w:rPr>
                <w:rFonts w:ascii="Times New Roman" w:hAnsi="Times New Roman"/>
              </w:rPr>
            </w:pPr>
            <w:r w:rsidRPr="00377BBF">
              <w:rPr>
                <w:rFonts w:ascii="Times New Roman" w:hAnsi="Times New Roman"/>
              </w:rPr>
              <w:t xml:space="preserve">a)  % of population who are satisfied with the responsiveness of the police b) % of population who perceive that police are sensitive towards women's rights and needs                 c) % of population who perceives that court delivers with quality and quick services d) % of population who perceive that prosecutors are addressing the criminal cases effectively (UNDAF 1 #4.2)  </w:t>
            </w:r>
          </w:p>
          <w:p w14:paraId="6C80962B" w14:textId="7A3A1A51" w:rsidR="00753DA5" w:rsidRPr="00377BBF" w:rsidRDefault="00753DA5" w:rsidP="00753DA5">
            <w:pPr>
              <w:pStyle w:val="BodyText2"/>
              <w:numPr>
                <w:ilvl w:val="0"/>
                <w:numId w:val="5"/>
              </w:numPr>
              <w:spacing w:before="60" w:after="60"/>
              <w:rPr>
                <w:rFonts w:ascii="Times New Roman" w:hAnsi="Times New Roman"/>
              </w:rPr>
            </w:pPr>
            <w:r w:rsidRPr="00377BBF">
              <w:rPr>
                <w:rFonts w:ascii="Times New Roman" w:hAnsi="Times New Roman"/>
              </w:rPr>
              <w:t>% of population who perceive that victims of sexual and gender based violence feel confident to go to the police b) % of population who perceive that victims of sexual violence and gender based violence feel confident to seek legal aid (UNDAF 1 #4.3)</w:t>
            </w:r>
          </w:p>
        </w:tc>
        <w:tc>
          <w:tcPr>
            <w:tcW w:w="4680" w:type="dxa"/>
            <w:gridSpan w:val="2"/>
            <w:shd w:val="clear" w:color="auto" w:fill="auto"/>
          </w:tcPr>
          <w:p w14:paraId="22108C44" w14:textId="77777777" w:rsidR="00753DA5" w:rsidRPr="00377BBF" w:rsidRDefault="00753DA5" w:rsidP="00753DA5">
            <w:pPr>
              <w:pStyle w:val="BodyText2"/>
              <w:spacing w:before="60" w:after="60"/>
              <w:jc w:val="both"/>
              <w:rPr>
                <w:rFonts w:ascii="Times New Roman" w:hAnsi="Times New Roman"/>
              </w:rPr>
            </w:pPr>
          </w:p>
          <w:p w14:paraId="6FE1CEDD" w14:textId="77777777" w:rsidR="00753DA5" w:rsidRPr="00377BBF" w:rsidRDefault="00753DA5" w:rsidP="00753DA5">
            <w:pPr>
              <w:pStyle w:val="BodyText2"/>
              <w:numPr>
                <w:ilvl w:val="0"/>
                <w:numId w:val="6"/>
              </w:numPr>
              <w:spacing w:before="60" w:after="60"/>
              <w:jc w:val="both"/>
              <w:rPr>
                <w:rFonts w:ascii="Times New Roman" w:hAnsi="Times New Roman"/>
              </w:rPr>
            </w:pPr>
            <w:r w:rsidRPr="00377BBF">
              <w:rPr>
                <w:rFonts w:ascii="Times New Roman" w:hAnsi="Times New Roman"/>
              </w:rPr>
              <w:t xml:space="preserve">64% of the UPR recommendations </w:t>
            </w:r>
            <w:r>
              <w:rPr>
                <w:rFonts w:ascii="Times New Roman" w:hAnsi="Times New Roman"/>
              </w:rPr>
              <w:t xml:space="preserve">(first cycle recommendations) </w:t>
            </w:r>
            <w:r w:rsidRPr="00377BBF">
              <w:rPr>
                <w:rFonts w:ascii="Times New Roman" w:hAnsi="Times New Roman"/>
              </w:rPr>
              <w:t xml:space="preserve">initiated to be implemented by the </w:t>
            </w:r>
            <w:proofErr w:type="spellStart"/>
            <w:r w:rsidRPr="00377BBF">
              <w:rPr>
                <w:rFonts w:ascii="Times New Roman" w:hAnsi="Times New Roman"/>
              </w:rPr>
              <w:t>GoN</w:t>
            </w:r>
            <w:proofErr w:type="spellEnd"/>
            <w:r w:rsidRPr="00377BBF">
              <w:rPr>
                <w:rFonts w:ascii="Times New Roman" w:hAnsi="Times New Roman"/>
              </w:rPr>
              <w:t xml:space="preserve"> (NHRC draft report). (148 (76%) out of 196 recommendation accepted by the </w:t>
            </w:r>
            <w:proofErr w:type="spellStart"/>
            <w:r w:rsidRPr="00377BBF">
              <w:rPr>
                <w:rFonts w:ascii="Times New Roman" w:hAnsi="Times New Roman"/>
              </w:rPr>
              <w:t>GoN</w:t>
            </w:r>
            <w:proofErr w:type="spellEnd"/>
            <w:r w:rsidRPr="00377BBF">
              <w:rPr>
                <w:rFonts w:ascii="Times New Roman" w:hAnsi="Times New Roman"/>
              </w:rPr>
              <w:t>)</w:t>
            </w:r>
          </w:p>
          <w:p w14:paraId="44C9DD09" w14:textId="77777777" w:rsidR="00753DA5" w:rsidRPr="00377BBF" w:rsidRDefault="00753DA5" w:rsidP="00753DA5">
            <w:pPr>
              <w:pStyle w:val="BodyText2"/>
              <w:numPr>
                <w:ilvl w:val="0"/>
                <w:numId w:val="6"/>
              </w:numPr>
              <w:spacing w:before="60" w:after="60"/>
              <w:jc w:val="both"/>
              <w:rPr>
                <w:rFonts w:ascii="Times New Roman" w:hAnsi="Times New Roman"/>
              </w:rPr>
            </w:pPr>
            <w:r w:rsidRPr="00377BBF">
              <w:rPr>
                <w:rFonts w:ascii="Times New Roman" w:hAnsi="Times New Roman"/>
              </w:rPr>
              <w:t>NA - Perception survey planned in 2017-18</w:t>
            </w:r>
          </w:p>
          <w:p w14:paraId="0F3179B7" w14:textId="77777777" w:rsidR="00753DA5" w:rsidRPr="00377BBF" w:rsidRDefault="00753DA5" w:rsidP="00753DA5">
            <w:pPr>
              <w:pStyle w:val="BodyText2"/>
              <w:numPr>
                <w:ilvl w:val="0"/>
                <w:numId w:val="6"/>
              </w:numPr>
              <w:spacing w:before="60" w:after="60"/>
              <w:jc w:val="both"/>
              <w:rPr>
                <w:rFonts w:ascii="Times New Roman" w:hAnsi="Times New Roman"/>
              </w:rPr>
            </w:pPr>
            <w:r w:rsidRPr="00377BBF">
              <w:rPr>
                <w:rFonts w:ascii="Times New Roman" w:hAnsi="Times New Roman"/>
              </w:rPr>
              <w:t>NA - Perception survey planned in 2017-18</w:t>
            </w:r>
          </w:p>
          <w:p w14:paraId="37DBF1C3" w14:textId="77777777" w:rsidR="00753DA5" w:rsidRPr="00377BBF" w:rsidRDefault="00753DA5" w:rsidP="00753DA5">
            <w:pPr>
              <w:pStyle w:val="BodyText2"/>
              <w:spacing w:before="60" w:after="60"/>
              <w:rPr>
                <w:rFonts w:ascii="Times New Roman" w:hAnsi="Times New Roman"/>
              </w:rPr>
            </w:pPr>
          </w:p>
        </w:tc>
      </w:tr>
      <w:tr w:rsidR="00753DA5" w:rsidRPr="00377BBF" w14:paraId="5C95EF9B" w14:textId="77777777" w:rsidTr="00136189">
        <w:tc>
          <w:tcPr>
            <w:tcW w:w="14130" w:type="dxa"/>
            <w:gridSpan w:val="9"/>
          </w:tcPr>
          <w:p w14:paraId="618D383C" w14:textId="77777777" w:rsidR="00753DA5" w:rsidRPr="00753DA5" w:rsidRDefault="00753DA5" w:rsidP="00753DA5">
            <w:pPr>
              <w:pStyle w:val="BodyText2"/>
              <w:spacing w:before="60" w:after="60"/>
              <w:jc w:val="both"/>
              <w:rPr>
                <w:rFonts w:ascii="Times New Roman" w:hAnsi="Times New Roman"/>
                <w:b/>
              </w:rPr>
            </w:pPr>
            <w:r w:rsidRPr="00753DA5">
              <w:rPr>
                <w:rFonts w:ascii="Times New Roman" w:hAnsi="Times New Roman"/>
                <w:b/>
              </w:rPr>
              <w:t>UNDP Contribution:</w:t>
            </w:r>
          </w:p>
          <w:p w14:paraId="01B34D9D" w14:textId="7BD8B891" w:rsidR="00753DA5" w:rsidRPr="00753DA5" w:rsidRDefault="002339E4" w:rsidP="00753DA5">
            <w:pPr>
              <w:rPr>
                <w:sz w:val="20"/>
              </w:rPr>
            </w:pPr>
            <w:r>
              <w:rPr>
                <w:sz w:val="20"/>
              </w:rPr>
              <w:t xml:space="preserve">Nepal’s new constitution provides for </w:t>
            </w:r>
            <w:r w:rsidR="00753DA5" w:rsidRPr="00753DA5">
              <w:rPr>
                <w:sz w:val="20"/>
              </w:rPr>
              <w:t xml:space="preserve">17 economic, social and cultural rights, including the collective rights; </w:t>
            </w:r>
            <w:r>
              <w:rPr>
                <w:sz w:val="20"/>
              </w:rPr>
              <w:t xml:space="preserve">it </w:t>
            </w:r>
            <w:r w:rsidR="00753DA5" w:rsidRPr="00753DA5">
              <w:rPr>
                <w:sz w:val="20"/>
              </w:rPr>
              <w:t>recogni</w:t>
            </w:r>
            <w:r>
              <w:rPr>
                <w:sz w:val="20"/>
              </w:rPr>
              <w:t>zes</w:t>
            </w:r>
            <w:r w:rsidR="00753DA5" w:rsidRPr="00753DA5">
              <w:rPr>
                <w:sz w:val="20"/>
              </w:rPr>
              <w:t xml:space="preserve"> the </w:t>
            </w:r>
            <w:r>
              <w:rPr>
                <w:sz w:val="20"/>
              </w:rPr>
              <w:t xml:space="preserve">alternative dispute resolution, and </w:t>
            </w:r>
            <w:r w:rsidR="00753DA5" w:rsidRPr="00753DA5">
              <w:rPr>
                <w:sz w:val="20"/>
              </w:rPr>
              <w:t>introduc</w:t>
            </w:r>
            <w:r>
              <w:rPr>
                <w:sz w:val="20"/>
              </w:rPr>
              <w:t>es</w:t>
            </w:r>
            <w:r w:rsidR="00753DA5" w:rsidRPr="00753DA5">
              <w:rPr>
                <w:sz w:val="20"/>
              </w:rPr>
              <w:t xml:space="preserve"> thematic/issue-based human rights institutions to address the long-standing issues of human rights and access to justice of poor and vulnerable. Number of people benefitting </w:t>
            </w:r>
            <w:r w:rsidR="00753DA5" w:rsidRPr="00753DA5">
              <w:rPr>
                <w:sz w:val="20"/>
              </w:rPr>
              <w:lastRenderedPageBreak/>
              <w:t xml:space="preserve">from the court and legal aid system has </w:t>
            </w:r>
            <w:r>
              <w:rPr>
                <w:sz w:val="20"/>
              </w:rPr>
              <w:t xml:space="preserve">shown steady </w:t>
            </w:r>
            <w:r w:rsidR="00753DA5" w:rsidRPr="00753DA5">
              <w:rPr>
                <w:sz w:val="20"/>
              </w:rPr>
              <w:t xml:space="preserve">increase by 20-25% annually over the years.  UNDP has been providing technical and financial support to the concerned agencies to </w:t>
            </w:r>
            <w:proofErr w:type="gramStart"/>
            <w:r w:rsidR="00753DA5" w:rsidRPr="00753DA5">
              <w:rPr>
                <w:sz w:val="20"/>
              </w:rPr>
              <w:t>the include</w:t>
            </w:r>
            <w:proofErr w:type="gramEnd"/>
            <w:r w:rsidR="00753DA5" w:rsidRPr="00753DA5">
              <w:rPr>
                <w:sz w:val="20"/>
              </w:rPr>
              <w:t xml:space="preserve"> related provisions in the constitution and develop laws and policies from inclusion and HR perspective as well as in the capacity building of the related institutions. Equally, UNDP has reached out to poor vulnerable through the legal empowerment interventions. </w:t>
            </w:r>
          </w:p>
          <w:p w14:paraId="56B51E28" w14:textId="77777777" w:rsidR="00753DA5" w:rsidRPr="00753DA5" w:rsidRDefault="00753DA5" w:rsidP="00753DA5">
            <w:pPr>
              <w:pStyle w:val="BodyText2"/>
              <w:spacing w:before="60" w:after="60"/>
              <w:jc w:val="both"/>
              <w:rPr>
                <w:rFonts w:ascii="Times New Roman" w:hAnsi="Times New Roman"/>
                <w:b/>
                <w:u w:val="single"/>
              </w:rPr>
            </w:pPr>
            <w:r w:rsidRPr="00753DA5">
              <w:rPr>
                <w:rFonts w:ascii="Times New Roman" w:hAnsi="Times New Roman"/>
                <w:b/>
                <w:u w:val="single"/>
              </w:rPr>
              <w:t xml:space="preserve"> CPD Outputs:</w:t>
            </w:r>
          </w:p>
          <w:p w14:paraId="7D52BF1E" w14:textId="77777777" w:rsidR="00753DA5" w:rsidRPr="00753DA5" w:rsidRDefault="00753DA5" w:rsidP="00753DA5">
            <w:pPr>
              <w:pStyle w:val="BodyText2"/>
              <w:spacing w:before="120" w:after="120"/>
              <w:jc w:val="both"/>
              <w:rPr>
                <w:rFonts w:ascii="Times New Roman" w:hAnsi="Times New Roman"/>
              </w:rPr>
            </w:pPr>
            <w:r w:rsidRPr="00753DA5">
              <w:rPr>
                <w:rFonts w:ascii="Times New Roman" w:hAnsi="Times New Roman"/>
              </w:rPr>
              <w:t xml:space="preserve">The UNDP CP identified three major outputs to support the Government in achieving this outcome: </w:t>
            </w:r>
          </w:p>
          <w:p w14:paraId="6A7AE9E4" w14:textId="77777777" w:rsidR="00753DA5" w:rsidRPr="00753DA5" w:rsidRDefault="00753DA5" w:rsidP="00753DA5">
            <w:pPr>
              <w:pStyle w:val="BodyText2"/>
              <w:spacing w:before="120" w:after="120"/>
              <w:jc w:val="both"/>
              <w:rPr>
                <w:rFonts w:ascii="Times New Roman" w:hAnsi="Times New Roman"/>
              </w:rPr>
            </w:pPr>
            <w:r w:rsidRPr="00753DA5">
              <w:rPr>
                <w:rFonts w:ascii="Times New Roman" w:hAnsi="Times New Roman"/>
              </w:rPr>
              <w:t>Output 4.1 Judicial, legislative and administrative authorities have improved capacity to draft, reform and implement legislation that protect people's rights and constitutional guarantees</w:t>
            </w:r>
          </w:p>
          <w:p w14:paraId="086BC3BF" w14:textId="77777777" w:rsidR="00753DA5" w:rsidRPr="00753DA5" w:rsidRDefault="00753DA5" w:rsidP="00753DA5">
            <w:pPr>
              <w:pStyle w:val="BodyText2"/>
              <w:spacing w:before="120" w:after="120"/>
              <w:jc w:val="both"/>
              <w:rPr>
                <w:rFonts w:ascii="Times New Roman" w:hAnsi="Times New Roman"/>
              </w:rPr>
            </w:pPr>
            <w:r w:rsidRPr="00753DA5">
              <w:rPr>
                <w:rFonts w:ascii="Times New Roman" w:hAnsi="Times New Roman"/>
              </w:rPr>
              <w:t>Output 4.2 Vulnerable people are better enabled to access fair and effective security and justice institutions</w:t>
            </w:r>
          </w:p>
          <w:p w14:paraId="294129CA" w14:textId="77777777" w:rsidR="00753DA5" w:rsidRPr="00753DA5" w:rsidRDefault="00753DA5" w:rsidP="00753DA5">
            <w:pPr>
              <w:pStyle w:val="BodyText2"/>
              <w:spacing w:before="120" w:after="120"/>
              <w:jc w:val="both"/>
              <w:rPr>
                <w:rFonts w:ascii="Times New Roman" w:hAnsi="Times New Roman"/>
              </w:rPr>
            </w:pPr>
            <w:r w:rsidRPr="00753DA5">
              <w:rPr>
                <w:rFonts w:ascii="Times New Roman" w:hAnsi="Times New Roman"/>
              </w:rPr>
              <w:t>Output 4.3 Government and human rights institutions have increased capacity to monitor and report on human rights and on the status of the implementation of human rights obligations</w:t>
            </w:r>
          </w:p>
          <w:p w14:paraId="43ECF516" w14:textId="77777777" w:rsidR="00753DA5" w:rsidRPr="00753DA5" w:rsidRDefault="00753DA5" w:rsidP="00753DA5">
            <w:pPr>
              <w:pStyle w:val="BodyText2"/>
              <w:spacing w:before="60" w:after="60"/>
              <w:jc w:val="both"/>
              <w:rPr>
                <w:rFonts w:ascii="Times New Roman" w:hAnsi="Times New Roman"/>
                <w:b/>
                <w:u w:val="single"/>
              </w:rPr>
            </w:pPr>
            <w:r w:rsidRPr="00753DA5">
              <w:rPr>
                <w:rFonts w:ascii="Times New Roman" w:hAnsi="Times New Roman"/>
                <w:b/>
                <w:u w:val="single"/>
              </w:rPr>
              <w:t>Progress and Achievements:</w:t>
            </w:r>
          </w:p>
          <w:p w14:paraId="74832A80" w14:textId="77777777" w:rsidR="00753DA5" w:rsidRPr="00753DA5" w:rsidRDefault="00753DA5" w:rsidP="00753DA5">
            <w:pPr>
              <w:pStyle w:val="BodyText2"/>
              <w:spacing w:before="120" w:after="120"/>
              <w:jc w:val="both"/>
              <w:rPr>
                <w:rFonts w:ascii="Times New Roman" w:hAnsi="Times New Roman"/>
              </w:rPr>
            </w:pPr>
            <w:r w:rsidRPr="00753DA5">
              <w:rPr>
                <w:rFonts w:ascii="Times New Roman" w:hAnsi="Times New Roman"/>
              </w:rPr>
              <w:t>Vulnerable groups have benefitted from strengthened legal policy and improve access to the rule of law in different ways:</w:t>
            </w:r>
          </w:p>
          <w:p w14:paraId="670264B6" w14:textId="230BF007" w:rsidR="00753DA5" w:rsidRPr="00753DA5" w:rsidRDefault="00753DA5" w:rsidP="00753DA5">
            <w:pPr>
              <w:pStyle w:val="BodyText2"/>
              <w:numPr>
                <w:ilvl w:val="1"/>
                <w:numId w:val="22"/>
              </w:numPr>
              <w:spacing w:before="120" w:after="120"/>
              <w:jc w:val="both"/>
              <w:rPr>
                <w:rFonts w:ascii="Times New Roman" w:hAnsi="Times New Roman"/>
              </w:rPr>
            </w:pPr>
            <w:r w:rsidRPr="00753DA5">
              <w:rPr>
                <w:rFonts w:ascii="Times New Roman" w:hAnsi="Times New Roman"/>
              </w:rPr>
              <w:t xml:space="preserve">UNDP provided expert </w:t>
            </w:r>
            <w:r w:rsidR="002339E4">
              <w:rPr>
                <w:rFonts w:ascii="Times New Roman" w:hAnsi="Times New Roman"/>
              </w:rPr>
              <w:t>support</w:t>
            </w:r>
            <w:r w:rsidRPr="00753DA5">
              <w:rPr>
                <w:rFonts w:ascii="Times New Roman" w:hAnsi="Times New Roman"/>
              </w:rPr>
              <w:t xml:space="preserve"> to </w:t>
            </w:r>
            <w:r w:rsidR="002339E4">
              <w:rPr>
                <w:rFonts w:ascii="Times New Roman" w:hAnsi="Times New Roman"/>
              </w:rPr>
              <w:t xml:space="preserve">the </w:t>
            </w:r>
            <w:r w:rsidRPr="00753DA5">
              <w:rPr>
                <w:rFonts w:ascii="Times New Roman" w:hAnsi="Times New Roman"/>
              </w:rPr>
              <w:t xml:space="preserve">Parliament’s Legislative Sub-Committee to review and finalize10 bills related to </w:t>
            </w:r>
            <w:r w:rsidR="00B5747D">
              <w:rPr>
                <w:rFonts w:ascii="Times New Roman" w:hAnsi="Times New Roman"/>
              </w:rPr>
              <w:t xml:space="preserve">access to </w:t>
            </w:r>
            <w:r w:rsidRPr="00753DA5">
              <w:rPr>
                <w:rFonts w:ascii="Times New Roman" w:hAnsi="Times New Roman"/>
              </w:rPr>
              <w:t>justice for the poor and marginalized communities in line with the new Constitution and international human rights standards. The draft bills on Penal Code, Criminal Procedures, Civil Code, Civil Procedure and Sentencing Bill were drafted in consultations at national and sub-national levels which were supported by UNDP. UNDP also provided technical support to MOFALD to draft bills on six constitutional commissions (commissions on</w:t>
            </w:r>
            <w:r w:rsidRPr="00753DA5">
              <w:t xml:space="preserve"> </w:t>
            </w:r>
            <w:r w:rsidRPr="00753DA5">
              <w:rPr>
                <w:rFonts w:ascii="Times New Roman" w:hAnsi="Times New Roman"/>
                <w:i/>
              </w:rPr>
              <w:t xml:space="preserve">Dalits, </w:t>
            </w:r>
            <w:proofErr w:type="spellStart"/>
            <w:r w:rsidRPr="00753DA5">
              <w:rPr>
                <w:rFonts w:ascii="Times New Roman" w:hAnsi="Times New Roman"/>
                <w:i/>
              </w:rPr>
              <w:t>Tharu</w:t>
            </w:r>
            <w:proofErr w:type="spellEnd"/>
            <w:r w:rsidRPr="00753DA5">
              <w:rPr>
                <w:rFonts w:ascii="Times New Roman" w:hAnsi="Times New Roman"/>
                <w:i/>
              </w:rPr>
              <w:t xml:space="preserve">, </w:t>
            </w:r>
            <w:proofErr w:type="spellStart"/>
            <w:r w:rsidRPr="00753DA5">
              <w:rPr>
                <w:rFonts w:ascii="Times New Roman" w:hAnsi="Times New Roman"/>
                <w:i/>
              </w:rPr>
              <w:t>Madhesi</w:t>
            </w:r>
            <w:proofErr w:type="spellEnd"/>
            <w:r w:rsidRPr="00753DA5">
              <w:rPr>
                <w:rFonts w:ascii="Times New Roman" w:hAnsi="Times New Roman"/>
                <w:i/>
              </w:rPr>
              <w:t xml:space="preserve">, </w:t>
            </w:r>
            <w:proofErr w:type="spellStart"/>
            <w:r w:rsidRPr="00753DA5">
              <w:rPr>
                <w:rFonts w:ascii="Times New Roman" w:hAnsi="Times New Roman"/>
                <w:i/>
              </w:rPr>
              <w:t>Janajati</w:t>
            </w:r>
            <w:proofErr w:type="spellEnd"/>
            <w:r w:rsidRPr="00753DA5">
              <w:rPr>
                <w:rFonts w:ascii="Times New Roman" w:hAnsi="Times New Roman"/>
                <w:i/>
              </w:rPr>
              <w:t xml:space="preserve">, Muslim, </w:t>
            </w:r>
            <w:proofErr w:type="gramStart"/>
            <w:r w:rsidRPr="00753DA5">
              <w:rPr>
                <w:rFonts w:ascii="Times New Roman" w:hAnsi="Times New Roman"/>
                <w:i/>
              </w:rPr>
              <w:t>Social</w:t>
            </w:r>
            <w:proofErr w:type="gramEnd"/>
            <w:r w:rsidRPr="00753DA5">
              <w:rPr>
                <w:rFonts w:ascii="Times New Roman" w:hAnsi="Times New Roman"/>
                <w:i/>
              </w:rPr>
              <w:t xml:space="preserve"> Inclusion</w:t>
            </w:r>
            <w:r w:rsidRPr="00753DA5">
              <w:rPr>
                <w:rFonts w:ascii="Times New Roman" w:hAnsi="Times New Roman"/>
              </w:rPr>
              <w:t xml:space="preserve">) that are to be established as per the Constitution. The Commissions are supposed to protect and promote the collective rights of the respected groups as enshrined in the Constitution. Because of legislative/ treaty drafting training to 50 officials of the MOLJ, the Ministry has been taking the lead in drafting the bills as required by the Constitution. With UNDP support, the Nepal Law Commission has developed a law review strategy.  Once the bills are enacted, they will help poor and vulnerable communities to have better access to justice and enjoy the fundamental rights as provided for in the Constitution. </w:t>
            </w:r>
          </w:p>
          <w:p w14:paraId="61DE8FD4" w14:textId="77777777" w:rsidR="00753DA5" w:rsidRPr="00753DA5" w:rsidRDefault="00753DA5" w:rsidP="00753DA5">
            <w:pPr>
              <w:pStyle w:val="BodyText2"/>
              <w:spacing w:before="120" w:after="120"/>
              <w:jc w:val="both"/>
              <w:rPr>
                <w:rFonts w:ascii="Times New Roman" w:hAnsi="Times New Roman"/>
              </w:rPr>
            </w:pPr>
          </w:p>
          <w:p w14:paraId="32409F91" w14:textId="5A8B4B95" w:rsidR="00753DA5" w:rsidRPr="00753DA5" w:rsidRDefault="00753DA5" w:rsidP="00753DA5">
            <w:pPr>
              <w:pStyle w:val="BodyText2"/>
              <w:numPr>
                <w:ilvl w:val="1"/>
                <w:numId w:val="22"/>
              </w:numPr>
              <w:spacing w:before="120" w:after="120"/>
              <w:jc w:val="both"/>
              <w:rPr>
                <w:rFonts w:ascii="Times New Roman" w:hAnsi="Times New Roman"/>
              </w:rPr>
            </w:pPr>
            <w:r w:rsidRPr="00753DA5">
              <w:rPr>
                <w:rFonts w:ascii="Times New Roman" w:hAnsi="Times New Roman"/>
              </w:rPr>
              <w:t xml:space="preserve">A total of 103,091 </w:t>
            </w:r>
            <w:r w:rsidR="00B5747D">
              <w:rPr>
                <w:rFonts w:ascii="Times New Roman" w:hAnsi="Times New Roman"/>
              </w:rPr>
              <w:t xml:space="preserve">people </w:t>
            </w:r>
            <w:r w:rsidRPr="00753DA5">
              <w:rPr>
                <w:rFonts w:ascii="Times New Roman" w:hAnsi="Times New Roman"/>
              </w:rPr>
              <w:t xml:space="preserve">(51,143 women) benefited from the Court Information Centers established in different 23 district courts. Clients </w:t>
            </w:r>
            <w:r w:rsidR="00B5747D">
              <w:rPr>
                <w:rFonts w:ascii="Times New Roman" w:hAnsi="Times New Roman"/>
              </w:rPr>
              <w:t xml:space="preserve">received </w:t>
            </w:r>
            <w:r w:rsidRPr="00753DA5">
              <w:rPr>
                <w:rFonts w:ascii="Times New Roman" w:hAnsi="Times New Roman"/>
              </w:rPr>
              <w:t>basic information about court services and case management. With the establishment of Soci</w:t>
            </w:r>
            <w:r w:rsidR="00B5747D">
              <w:rPr>
                <w:rFonts w:ascii="Times New Roman" w:hAnsi="Times New Roman"/>
              </w:rPr>
              <w:t>o</w:t>
            </w:r>
            <w:r w:rsidRPr="00753DA5">
              <w:rPr>
                <w:rFonts w:ascii="Times New Roman" w:hAnsi="Times New Roman"/>
              </w:rPr>
              <w:t>-Legal Aid Centers, case-to-case referral networks, information and court orientation desks and help desks for conflict-affected victims,  87,038 (47,549 women) benefited from legal aid services over the Program cycle. 15,448 (9</w:t>
            </w:r>
            <w:r w:rsidR="002339E4">
              <w:rPr>
                <w:rFonts w:ascii="Times New Roman" w:hAnsi="Times New Roman"/>
              </w:rPr>
              <w:t>,</w:t>
            </w:r>
            <w:r w:rsidRPr="00753DA5">
              <w:rPr>
                <w:rFonts w:ascii="Times New Roman" w:hAnsi="Times New Roman"/>
              </w:rPr>
              <w:t>588 women) received legal aid representation whereas 71,590 (3</w:t>
            </w:r>
            <w:proofErr w:type="gramStart"/>
            <w:r w:rsidR="002339E4">
              <w:rPr>
                <w:rFonts w:ascii="Times New Roman" w:hAnsi="Times New Roman"/>
              </w:rPr>
              <w:t>,</w:t>
            </w:r>
            <w:r w:rsidRPr="00753DA5">
              <w:rPr>
                <w:rFonts w:ascii="Times New Roman" w:hAnsi="Times New Roman"/>
              </w:rPr>
              <w:t>7957</w:t>
            </w:r>
            <w:proofErr w:type="gramEnd"/>
            <w:r w:rsidRPr="00753DA5">
              <w:rPr>
                <w:rFonts w:ascii="Times New Roman" w:hAnsi="Times New Roman"/>
              </w:rPr>
              <w:t xml:space="preserve"> women) were provided legal awareness, counselling and legal advice.  Because of support provided to the case management system (through institutionalizing continuous hearing and court calendar system) as well as the Justice Sector Coordination Committee (JSCC) supported by UNDP, there has been improvement in the disposal of the cases by the courts.  Compared to other District Courts where there is no UNDP support, there has been significant change in the program district in terms of disposal of cases. The disposal rate is 67.5% in the program districts as against 62.36% in non-program districts.</w:t>
            </w:r>
          </w:p>
          <w:p w14:paraId="74365890" w14:textId="77777777" w:rsidR="00753DA5" w:rsidRPr="00753DA5" w:rsidRDefault="00753DA5" w:rsidP="00753DA5">
            <w:pPr>
              <w:pStyle w:val="BodyText2"/>
              <w:spacing w:before="120" w:after="120"/>
              <w:ind w:left="360"/>
              <w:jc w:val="both"/>
              <w:rPr>
                <w:rFonts w:ascii="Times New Roman" w:hAnsi="Times New Roman"/>
              </w:rPr>
            </w:pPr>
          </w:p>
          <w:p w14:paraId="27A413BD" w14:textId="6E751DDD" w:rsidR="00753DA5" w:rsidRPr="00753DA5" w:rsidRDefault="00753DA5" w:rsidP="00753DA5">
            <w:pPr>
              <w:pStyle w:val="BodyText2"/>
              <w:spacing w:before="120" w:after="120"/>
              <w:ind w:left="360"/>
              <w:rPr>
                <w:rFonts w:ascii="Times New Roman" w:hAnsi="Times New Roman"/>
              </w:rPr>
            </w:pPr>
            <w:r w:rsidRPr="00753DA5">
              <w:rPr>
                <w:rFonts w:ascii="Times New Roman" w:hAnsi="Times New Roman"/>
              </w:rPr>
              <w:t xml:space="preserve">UNDP supported National Dalit Commission to establish a Joint Monitoring Framework in partnership with </w:t>
            </w:r>
            <w:r w:rsidR="002339E4">
              <w:rPr>
                <w:rFonts w:ascii="Times New Roman" w:hAnsi="Times New Roman"/>
              </w:rPr>
              <w:t xml:space="preserve">the </w:t>
            </w:r>
            <w:r w:rsidRPr="00753DA5">
              <w:rPr>
                <w:rFonts w:ascii="Times New Roman" w:hAnsi="Times New Roman"/>
              </w:rPr>
              <w:t xml:space="preserve">National Women’s Commission and </w:t>
            </w:r>
            <w:r w:rsidR="002339E4">
              <w:rPr>
                <w:rFonts w:ascii="Times New Roman" w:hAnsi="Times New Roman"/>
              </w:rPr>
              <w:t xml:space="preserve">the </w:t>
            </w:r>
            <w:r w:rsidRPr="00753DA5">
              <w:rPr>
                <w:rFonts w:ascii="Times New Roman" w:hAnsi="Times New Roman"/>
              </w:rPr>
              <w:t xml:space="preserve">National Human Rights Commission (NHRC). As a result, a total of 33 cases </w:t>
            </w:r>
            <w:r w:rsidR="002339E4">
              <w:rPr>
                <w:rFonts w:ascii="Times New Roman" w:hAnsi="Times New Roman"/>
              </w:rPr>
              <w:t xml:space="preserve">of caste based discrimination </w:t>
            </w:r>
            <w:r w:rsidRPr="00753DA5">
              <w:rPr>
                <w:rFonts w:ascii="Times New Roman" w:hAnsi="Times New Roman"/>
              </w:rPr>
              <w:t xml:space="preserve">were investigated and recommendations issued to the concerned government agencies. Likewise, UNDP provided technical and financial support to the NHRC in conceptualizing and running the Mobile Human Rights Camps </w:t>
            </w:r>
            <w:r w:rsidR="002339E4">
              <w:rPr>
                <w:rFonts w:ascii="Times New Roman" w:hAnsi="Times New Roman"/>
              </w:rPr>
              <w:t xml:space="preserve">benefitting </w:t>
            </w:r>
            <w:r w:rsidRPr="00753DA5">
              <w:rPr>
                <w:rFonts w:ascii="Times New Roman" w:hAnsi="Times New Roman"/>
              </w:rPr>
              <w:t>about 50,000 victims in the earthquake affected districts. UNDP provided technical and financial supports to the NHRC to develop its Strategic Plan, 2015-</w:t>
            </w:r>
            <w:r w:rsidRPr="00753DA5">
              <w:rPr>
                <w:rFonts w:ascii="Times New Roman" w:hAnsi="Times New Roman"/>
              </w:rPr>
              <w:lastRenderedPageBreak/>
              <w:t xml:space="preserve">2020. The Plan has been guiding the Commission in addressing the human rights concerns of the poor and vulnerable communities. UNDP provided technical support to the NHRC to develop alternate UPR report on behalf of all the national human rights institutions. This joint initiative has been instrumental </w:t>
            </w:r>
            <w:r w:rsidR="002339E4">
              <w:rPr>
                <w:rFonts w:ascii="Times New Roman" w:hAnsi="Times New Roman"/>
              </w:rPr>
              <w:t>for</w:t>
            </w:r>
            <w:r w:rsidRPr="00753DA5">
              <w:rPr>
                <w:rFonts w:ascii="Times New Roman" w:hAnsi="Times New Roman"/>
              </w:rPr>
              <w:t xml:space="preserve"> the protection and promotion of human rights by the NHRIs collectively.</w:t>
            </w:r>
          </w:p>
        </w:tc>
      </w:tr>
      <w:tr w:rsidR="00F719D6" w:rsidRPr="00377BBF" w14:paraId="70D3A619" w14:textId="77777777" w:rsidTr="00136189">
        <w:tc>
          <w:tcPr>
            <w:tcW w:w="3623" w:type="dxa"/>
            <w:gridSpan w:val="3"/>
            <w:shd w:val="clear" w:color="auto" w:fill="002060"/>
          </w:tcPr>
          <w:p w14:paraId="7F16051E" w14:textId="77777777" w:rsidR="00F719D6" w:rsidRPr="00377BBF" w:rsidRDefault="00F719D6" w:rsidP="0043380E">
            <w:pPr>
              <w:pStyle w:val="BodyText2"/>
              <w:spacing w:before="60" w:after="60"/>
              <w:rPr>
                <w:rFonts w:ascii="Times New Roman" w:hAnsi="Times New Roman"/>
                <w:b/>
                <w:sz w:val="24"/>
              </w:rPr>
            </w:pPr>
            <w:r w:rsidRPr="00377BBF">
              <w:rPr>
                <w:rFonts w:ascii="Times New Roman" w:hAnsi="Times New Roman"/>
                <w:b/>
                <w:sz w:val="24"/>
              </w:rPr>
              <w:lastRenderedPageBreak/>
              <w:t>Outcomes</w:t>
            </w:r>
          </w:p>
        </w:tc>
        <w:tc>
          <w:tcPr>
            <w:tcW w:w="1507" w:type="dxa"/>
            <w:gridSpan w:val="2"/>
            <w:shd w:val="clear" w:color="auto" w:fill="002060"/>
          </w:tcPr>
          <w:p w14:paraId="0ACF3AC0" w14:textId="77777777" w:rsidR="00F719D6" w:rsidRPr="00377BBF" w:rsidRDefault="00F719D6" w:rsidP="0043380E">
            <w:pPr>
              <w:pStyle w:val="BodyText2"/>
              <w:spacing w:before="60" w:after="60"/>
              <w:rPr>
                <w:rFonts w:ascii="Times New Roman" w:hAnsi="Times New Roman"/>
                <w:b/>
                <w:sz w:val="22"/>
              </w:rPr>
            </w:pPr>
            <w:r w:rsidRPr="00377BBF">
              <w:rPr>
                <w:rFonts w:ascii="Times New Roman" w:hAnsi="Times New Roman"/>
                <w:b/>
                <w:sz w:val="22"/>
              </w:rPr>
              <w:t>Total Expenditure</w:t>
            </w:r>
          </w:p>
        </w:tc>
        <w:tc>
          <w:tcPr>
            <w:tcW w:w="4320" w:type="dxa"/>
            <w:gridSpan w:val="2"/>
            <w:tcBorders>
              <w:left w:val="single" w:sz="4" w:space="0" w:color="auto"/>
            </w:tcBorders>
            <w:shd w:val="clear" w:color="auto" w:fill="002060"/>
          </w:tcPr>
          <w:p w14:paraId="4B0D8C20" w14:textId="77777777" w:rsidR="00F719D6" w:rsidRPr="00377BBF" w:rsidRDefault="00F719D6" w:rsidP="0043380E">
            <w:pPr>
              <w:pStyle w:val="BodyText2"/>
              <w:spacing w:before="60" w:after="60"/>
              <w:rPr>
                <w:rFonts w:ascii="Times New Roman" w:hAnsi="Times New Roman"/>
                <w:b/>
                <w:sz w:val="22"/>
              </w:rPr>
            </w:pPr>
            <w:r w:rsidRPr="00377BBF">
              <w:rPr>
                <w:rFonts w:ascii="Times New Roman" w:hAnsi="Times New Roman"/>
                <w:b/>
                <w:sz w:val="22"/>
              </w:rPr>
              <w:t>Key Indicators of outcome (1-4 per outcome)</w:t>
            </w:r>
          </w:p>
        </w:tc>
        <w:tc>
          <w:tcPr>
            <w:tcW w:w="4680" w:type="dxa"/>
            <w:gridSpan w:val="2"/>
            <w:shd w:val="clear" w:color="auto" w:fill="002060"/>
          </w:tcPr>
          <w:p w14:paraId="61C58030" w14:textId="77777777" w:rsidR="00F719D6" w:rsidRPr="00377BBF" w:rsidRDefault="00F719D6" w:rsidP="0043380E">
            <w:pPr>
              <w:pStyle w:val="BodyText2"/>
              <w:spacing w:before="60" w:after="60"/>
              <w:rPr>
                <w:rFonts w:ascii="Times New Roman" w:hAnsi="Times New Roman"/>
                <w:b/>
                <w:sz w:val="22"/>
              </w:rPr>
            </w:pPr>
            <w:r w:rsidRPr="00377BBF">
              <w:rPr>
                <w:rFonts w:ascii="Times New Roman" w:hAnsi="Times New Roman"/>
                <w:b/>
                <w:sz w:val="22"/>
              </w:rPr>
              <w:t>Progress made against key indicators</w:t>
            </w:r>
          </w:p>
        </w:tc>
      </w:tr>
      <w:tr w:rsidR="00753DA5" w:rsidRPr="00377BBF" w14:paraId="523583F3" w14:textId="77777777" w:rsidTr="00136189">
        <w:trPr>
          <w:gridAfter w:val="1"/>
          <w:wAfter w:w="18" w:type="dxa"/>
        </w:trPr>
        <w:tc>
          <w:tcPr>
            <w:tcW w:w="3605" w:type="dxa"/>
            <w:gridSpan w:val="2"/>
            <w:shd w:val="clear" w:color="auto" w:fill="C6D9F1" w:themeFill="text2" w:themeFillTint="33"/>
          </w:tcPr>
          <w:p w14:paraId="0298062C" w14:textId="6A943E91" w:rsidR="00753DA5" w:rsidRPr="00377BBF" w:rsidRDefault="00753DA5" w:rsidP="00753DA5">
            <w:pPr>
              <w:pStyle w:val="BodyText2"/>
              <w:spacing w:before="60" w:after="60"/>
              <w:rPr>
                <w:rFonts w:ascii="Times New Roman" w:hAnsi="Times New Roman"/>
                <w:b/>
              </w:rPr>
            </w:pPr>
            <w:r w:rsidRPr="00377BBF">
              <w:rPr>
                <w:rFonts w:ascii="Times New Roman" w:hAnsi="Times New Roman"/>
                <w:b/>
              </w:rPr>
              <w:t>UNDAF/CPD Outcome 5: Institutions, systems and processes of democratic governance are more accountable, effective, efficient and inclusive</w:t>
            </w:r>
          </w:p>
        </w:tc>
        <w:tc>
          <w:tcPr>
            <w:tcW w:w="1525" w:type="dxa"/>
            <w:gridSpan w:val="3"/>
            <w:shd w:val="clear" w:color="auto" w:fill="auto"/>
          </w:tcPr>
          <w:p w14:paraId="1D31677B" w14:textId="7C401B32" w:rsidR="00753DA5" w:rsidRPr="00377BBF" w:rsidRDefault="00753DA5" w:rsidP="00753DA5">
            <w:pPr>
              <w:pStyle w:val="BodyText2"/>
              <w:spacing w:before="60" w:after="60"/>
              <w:rPr>
                <w:rFonts w:ascii="Times New Roman" w:hAnsi="Times New Roman"/>
              </w:rPr>
            </w:pPr>
            <w:r w:rsidRPr="00377BBF">
              <w:rPr>
                <w:rFonts w:ascii="Times New Roman" w:hAnsi="Times New Roman"/>
              </w:rPr>
              <w:t>$18,843,204</w:t>
            </w:r>
          </w:p>
        </w:tc>
        <w:tc>
          <w:tcPr>
            <w:tcW w:w="4320" w:type="dxa"/>
            <w:gridSpan w:val="2"/>
            <w:tcBorders>
              <w:left w:val="single" w:sz="4" w:space="0" w:color="auto"/>
            </w:tcBorders>
          </w:tcPr>
          <w:p w14:paraId="0581A9EF" w14:textId="77777777" w:rsidR="00753DA5" w:rsidRPr="00377BBF" w:rsidRDefault="00753DA5" w:rsidP="00753DA5">
            <w:pPr>
              <w:pStyle w:val="BodyText2"/>
              <w:numPr>
                <w:ilvl w:val="0"/>
                <w:numId w:val="9"/>
              </w:numPr>
              <w:spacing w:before="60" w:after="60"/>
              <w:ind w:left="360"/>
              <w:jc w:val="both"/>
              <w:rPr>
                <w:rFonts w:ascii="Times New Roman" w:hAnsi="Times New Roman"/>
              </w:rPr>
            </w:pPr>
            <w:r w:rsidRPr="00377BBF">
              <w:rPr>
                <w:rFonts w:ascii="Times New Roman" w:hAnsi="Times New Roman"/>
              </w:rPr>
              <w:t>% of women and minority candidates elected in national and local election (UNDAF 1 #5.1)</w:t>
            </w:r>
          </w:p>
          <w:p w14:paraId="535FD9C4" w14:textId="5A60E853" w:rsidR="00753DA5" w:rsidRPr="00377BBF" w:rsidRDefault="00753DA5" w:rsidP="00753DA5">
            <w:pPr>
              <w:pStyle w:val="BodyText2"/>
              <w:numPr>
                <w:ilvl w:val="0"/>
                <w:numId w:val="9"/>
              </w:numPr>
              <w:spacing w:before="60" w:after="60"/>
              <w:ind w:left="360"/>
              <w:rPr>
                <w:rFonts w:ascii="Times New Roman" w:hAnsi="Times New Roman"/>
              </w:rPr>
            </w:pPr>
            <w:r w:rsidRPr="00377BBF">
              <w:rPr>
                <w:rFonts w:ascii="Times New Roman" w:hAnsi="Times New Roman"/>
              </w:rPr>
              <w:t>% of eligible voters who turn out on national and local elections (UNDAF 1 #5.2)</w:t>
            </w:r>
          </w:p>
        </w:tc>
        <w:tc>
          <w:tcPr>
            <w:tcW w:w="4662" w:type="dxa"/>
            <w:shd w:val="clear" w:color="auto" w:fill="auto"/>
          </w:tcPr>
          <w:p w14:paraId="500932C0" w14:textId="77777777" w:rsidR="00753DA5" w:rsidRPr="00377BBF" w:rsidRDefault="00753DA5" w:rsidP="00753DA5">
            <w:pPr>
              <w:pStyle w:val="BodyText2"/>
              <w:numPr>
                <w:ilvl w:val="0"/>
                <w:numId w:val="10"/>
              </w:numPr>
              <w:spacing w:before="60" w:after="60"/>
              <w:ind w:left="360"/>
              <w:jc w:val="both"/>
              <w:rPr>
                <w:rFonts w:ascii="Times New Roman" w:hAnsi="Times New Roman"/>
              </w:rPr>
            </w:pPr>
            <w:r>
              <w:rPr>
                <w:rFonts w:ascii="Times New Roman" w:hAnsi="Times New Roman"/>
              </w:rPr>
              <w:t xml:space="preserve">30% of women candidates elected in 2013 Constituent Assembly elections. </w:t>
            </w:r>
          </w:p>
          <w:p w14:paraId="5EFE05E8" w14:textId="0BECDF79" w:rsidR="00753DA5" w:rsidRPr="00377BBF" w:rsidRDefault="00753DA5" w:rsidP="00753DA5">
            <w:pPr>
              <w:pStyle w:val="BodyText2"/>
              <w:numPr>
                <w:ilvl w:val="0"/>
                <w:numId w:val="10"/>
              </w:numPr>
              <w:spacing w:before="60" w:after="60"/>
              <w:ind w:left="360"/>
              <w:rPr>
                <w:rFonts w:ascii="Times New Roman" w:hAnsi="Times New Roman"/>
              </w:rPr>
            </w:pPr>
            <w:r>
              <w:rPr>
                <w:rFonts w:ascii="Times New Roman" w:hAnsi="Times New Roman"/>
              </w:rPr>
              <w:t>79.9% voters turned out in 2013 CA elections</w:t>
            </w:r>
          </w:p>
        </w:tc>
      </w:tr>
      <w:tr w:rsidR="00753DA5" w:rsidRPr="00377BBF" w14:paraId="3F44C157" w14:textId="77777777" w:rsidTr="00136189">
        <w:tc>
          <w:tcPr>
            <w:tcW w:w="14130" w:type="dxa"/>
            <w:gridSpan w:val="9"/>
          </w:tcPr>
          <w:p w14:paraId="1945D1C4" w14:textId="77777777" w:rsidR="00753DA5" w:rsidRPr="00377BBF" w:rsidRDefault="00753DA5" w:rsidP="00753DA5">
            <w:pPr>
              <w:pStyle w:val="BodyText2"/>
              <w:spacing w:before="60" w:after="60"/>
              <w:jc w:val="both"/>
              <w:rPr>
                <w:rFonts w:ascii="Times New Roman" w:hAnsi="Times New Roman"/>
                <w:b/>
              </w:rPr>
            </w:pPr>
            <w:r w:rsidRPr="00377BBF">
              <w:rPr>
                <w:rFonts w:ascii="Times New Roman" w:hAnsi="Times New Roman"/>
                <w:b/>
              </w:rPr>
              <w:t>UNDP Contribution:</w:t>
            </w:r>
          </w:p>
          <w:p w14:paraId="268D1782" w14:textId="2300F9F0" w:rsidR="00753DA5" w:rsidRPr="007B367E" w:rsidRDefault="002339E4" w:rsidP="00753DA5">
            <w:pPr>
              <w:jc w:val="both"/>
              <w:rPr>
                <w:color w:val="000000" w:themeColor="text1"/>
                <w:sz w:val="20"/>
              </w:rPr>
            </w:pPr>
            <w:r>
              <w:rPr>
                <w:color w:val="000000" w:themeColor="text1"/>
                <w:sz w:val="20"/>
              </w:rPr>
              <w:t xml:space="preserve">Nepal successfully conducted elections </w:t>
            </w:r>
            <w:r w:rsidR="00753DA5" w:rsidRPr="007B367E">
              <w:rPr>
                <w:color w:val="000000" w:themeColor="text1"/>
                <w:sz w:val="20"/>
              </w:rPr>
              <w:t>of the second</w:t>
            </w:r>
            <w:r w:rsidR="00753DA5">
              <w:rPr>
                <w:color w:val="000000" w:themeColor="text1"/>
                <w:sz w:val="20"/>
              </w:rPr>
              <w:t xml:space="preserve"> Constituent Assembly in</w:t>
            </w:r>
            <w:r w:rsidR="00753DA5" w:rsidRPr="007B367E">
              <w:rPr>
                <w:color w:val="000000" w:themeColor="text1"/>
                <w:sz w:val="20"/>
              </w:rPr>
              <w:t xml:space="preserve"> November 2013. </w:t>
            </w:r>
            <w:r w:rsidR="00753DA5">
              <w:rPr>
                <w:color w:val="000000" w:themeColor="text1"/>
                <w:sz w:val="20"/>
              </w:rPr>
              <w:t>Almost 80</w:t>
            </w:r>
            <w:r w:rsidR="00753DA5" w:rsidRPr="007B367E">
              <w:rPr>
                <w:color w:val="000000" w:themeColor="text1"/>
                <w:sz w:val="20"/>
              </w:rPr>
              <w:t xml:space="preserve">% </w:t>
            </w:r>
            <w:r w:rsidR="00753DA5" w:rsidRPr="007B367E">
              <w:rPr>
                <w:rFonts w:eastAsiaTheme="minorEastAsia"/>
                <w:color w:val="000000" w:themeColor="text1"/>
                <w:sz w:val="20"/>
              </w:rPr>
              <w:t xml:space="preserve">of </w:t>
            </w:r>
            <w:r w:rsidR="00753DA5">
              <w:rPr>
                <w:rFonts w:eastAsiaTheme="minorEastAsia"/>
                <w:color w:val="000000" w:themeColor="text1"/>
                <w:sz w:val="20"/>
              </w:rPr>
              <w:t xml:space="preserve">the voters </w:t>
            </w:r>
            <w:r w:rsidR="00753DA5" w:rsidRPr="007B367E">
              <w:rPr>
                <w:rFonts w:eastAsiaTheme="minorEastAsia"/>
                <w:color w:val="000000" w:themeColor="text1"/>
                <w:sz w:val="20"/>
              </w:rPr>
              <w:t>turn</w:t>
            </w:r>
            <w:r w:rsidR="00753DA5">
              <w:rPr>
                <w:rFonts w:eastAsiaTheme="minorEastAsia"/>
                <w:color w:val="000000" w:themeColor="text1"/>
                <w:sz w:val="20"/>
              </w:rPr>
              <w:t xml:space="preserve">ed </w:t>
            </w:r>
            <w:r w:rsidR="00753DA5" w:rsidRPr="007B367E">
              <w:rPr>
                <w:rFonts w:eastAsiaTheme="minorEastAsia"/>
                <w:color w:val="000000" w:themeColor="text1"/>
                <w:sz w:val="20"/>
              </w:rPr>
              <w:t xml:space="preserve">out </w:t>
            </w:r>
            <w:r w:rsidR="00753DA5" w:rsidRPr="007B367E">
              <w:rPr>
                <w:color w:val="000000" w:themeColor="text1"/>
                <w:sz w:val="20"/>
              </w:rPr>
              <w:t xml:space="preserve">setting a record in the </w:t>
            </w:r>
            <w:r w:rsidR="00753DA5">
              <w:rPr>
                <w:color w:val="000000" w:themeColor="text1"/>
                <w:sz w:val="20"/>
              </w:rPr>
              <w:t xml:space="preserve">electoral </w:t>
            </w:r>
            <w:r w:rsidR="00753DA5" w:rsidRPr="007B367E">
              <w:rPr>
                <w:color w:val="000000" w:themeColor="text1"/>
                <w:sz w:val="20"/>
              </w:rPr>
              <w:t xml:space="preserve">history of Nepal.  The number of invalid votes declined from 5.15% in 2008 CA elections under First-Past-The-Post electoral system to 4.96%, similarly from 3.66% under Proportional Representation electoral system to 3.2%. Women representation in CA reached to 30%. </w:t>
            </w:r>
            <w:r w:rsidR="00753DA5">
              <w:rPr>
                <w:color w:val="000000" w:themeColor="text1"/>
                <w:sz w:val="20"/>
              </w:rPr>
              <w:t xml:space="preserve">UNDP contributed to the electoral outcome through its technical and policy support to the Election Commission which include biometric voter registration, voter ID cards, targeted voter and electoral education, GESI friendly Strategic Plan as well as the capacity building support to the Commission. </w:t>
            </w:r>
          </w:p>
          <w:p w14:paraId="0DCB9EC3" w14:textId="77777777" w:rsidR="00753DA5" w:rsidRPr="007B367E" w:rsidRDefault="00753DA5" w:rsidP="00753DA5">
            <w:pPr>
              <w:jc w:val="both"/>
              <w:rPr>
                <w:color w:val="000000" w:themeColor="text1"/>
                <w:sz w:val="20"/>
              </w:rPr>
            </w:pPr>
          </w:p>
          <w:p w14:paraId="57964BB9" w14:textId="77777777" w:rsidR="00753DA5" w:rsidRPr="00AF3701" w:rsidRDefault="00753DA5" w:rsidP="00753DA5">
            <w:pPr>
              <w:pStyle w:val="BodyText2"/>
              <w:spacing w:before="60" w:after="60"/>
              <w:jc w:val="both"/>
              <w:rPr>
                <w:rFonts w:ascii="Times New Roman" w:hAnsi="Times New Roman"/>
                <w:b/>
              </w:rPr>
            </w:pPr>
            <w:r w:rsidRPr="00AF3701">
              <w:rPr>
                <w:rFonts w:ascii="Times New Roman" w:hAnsi="Times New Roman"/>
                <w:b/>
                <w:u w:val="single"/>
              </w:rPr>
              <w:t>CP Outputs</w:t>
            </w:r>
            <w:r w:rsidRPr="00AF3701">
              <w:rPr>
                <w:rFonts w:ascii="Times New Roman" w:hAnsi="Times New Roman"/>
                <w:b/>
              </w:rPr>
              <w:t>:</w:t>
            </w:r>
          </w:p>
          <w:p w14:paraId="3BE3CA7B" w14:textId="77777777" w:rsidR="00753DA5" w:rsidRPr="00377BBF" w:rsidRDefault="00753DA5" w:rsidP="00753DA5">
            <w:pPr>
              <w:pStyle w:val="BodyText2"/>
              <w:spacing w:before="60" w:after="60"/>
              <w:jc w:val="both"/>
              <w:rPr>
                <w:rFonts w:ascii="Times New Roman" w:hAnsi="Times New Roman"/>
              </w:rPr>
            </w:pPr>
            <w:r w:rsidRPr="00377BBF">
              <w:rPr>
                <w:rFonts w:ascii="Times New Roman" w:hAnsi="Times New Roman"/>
              </w:rPr>
              <w:t>The UNDP CP identified two major outputs to support the Government in achieving this outcome:</w:t>
            </w:r>
          </w:p>
          <w:p w14:paraId="2CDB9518" w14:textId="77777777" w:rsidR="00753DA5" w:rsidRPr="00377BBF" w:rsidRDefault="00753DA5" w:rsidP="00753DA5">
            <w:pPr>
              <w:pStyle w:val="BodyText2"/>
              <w:spacing w:before="60" w:after="60"/>
              <w:jc w:val="both"/>
              <w:rPr>
                <w:rFonts w:ascii="Times New Roman" w:hAnsi="Times New Roman"/>
              </w:rPr>
            </w:pPr>
          </w:p>
          <w:p w14:paraId="7EF38D56" w14:textId="77777777" w:rsidR="00753DA5" w:rsidRPr="00AF3701" w:rsidRDefault="00753DA5" w:rsidP="00753DA5">
            <w:pPr>
              <w:pStyle w:val="BodyText2"/>
              <w:spacing w:before="60" w:after="60"/>
              <w:jc w:val="both"/>
              <w:rPr>
                <w:rFonts w:ascii="Times New Roman" w:hAnsi="Times New Roman"/>
                <w:i/>
              </w:rPr>
            </w:pPr>
            <w:r w:rsidRPr="00AF3701">
              <w:rPr>
                <w:rFonts w:ascii="Times New Roman" w:hAnsi="Times New Roman"/>
                <w:i/>
              </w:rPr>
              <w:t>Output 5.1 Election Commission of Nepal has the capacity to conduct credible, inclusive and transparent elections</w:t>
            </w:r>
          </w:p>
          <w:p w14:paraId="6082115A" w14:textId="77777777" w:rsidR="00753DA5" w:rsidRPr="00AF3701" w:rsidRDefault="00753DA5" w:rsidP="00753DA5">
            <w:pPr>
              <w:pStyle w:val="BodyText2"/>
              <w:spacing w:before="60" w:after="60"/>
              <w:jc w:val="both"/>
              <w:rPr>
                <w:rFonts w:ascii="Times New Roman" w:hAnsi="Times New Roman"/>
                <w:i/>
              </w:rPr>
            </w:pPr>
            <w:r w:rsidRPr="00AF3701">
              <w:rPr>
                <w:rFonts w:ascii="Times New Roman" w:hAnsi="Times New Roman"/>
                <w:i/>
              </w:rPr>
              <w:t>Output 5.2 Provincial and local bodies can plan, budget, monitor, report and deliver inclusive government services.</w:t>
            </w:r>
          </w:p>
          <w:p w14:paraId="78E0A64C" w14:textId="77777777" w:rsidR="00753DA5" w:rsidRPr="00377BBF" w:rsidRDefault="00753DA5" w:rsidP="00753DA5">
            <w:pPr>
              <w:pStyle w:val="BodyText2"/>
              <w:spacing w:before="60" w:after="60"/>
              <w:jc w:val="both"/>
              <w:rPr>
                <w:rFonts w:ascii="Times New Roman" w:hAnsi="Times New Roman"/>
              </w:rPr>
            </w:pPr>
          </w:p>
          <w:p w14:paraId="5D58B46F" w14:textId="77777777" w:rsidR="00753DA5" w:rsidRPr="00AF3701" w:rsidRDefault="00753DA5" w:rsidP="00753DA5">
            <w:pPr>
              <w:pStyle w:val="BodyText2"/>
              <w:spacing w:before="60" w:after="60"/>
              <w:jc w:val="both"/>
              <w:rPr>
                <w:rFonts w:ascii="Times New Roman" w:hAnsi="Times New Roman"/>
                <w:b/>
              </w:rPr>
            </w:pPr>
            <w:r w:rsidRPr="00AF3701">
              <w:rPr>
                <w:rFonts w:ascii="Times New Roman" w:hAnsi="Times New Roman"/>
                <w:b/>
                <w:u w:val="single"/>
              </w:rPr>
              <w:t>Progress and Achievements</w:t>
            </w:r>
            <w:r w:rsidRPr="00AF3701">
              <w:rPr>
                <w:rFonts w:ascii="Times New Roman" w:hAnsi="Times New Roman"/>
                <w:b/>
              </w:rPr>
              <w:t>:</w:t>
            </w:r>
          </w:p>
          <w:p w14:paraId="2F0EE5DC" w14:textId="77777777" w:rsidR="00753DA5" w:rsidRPr="00377BBF" w:rsidRDefault="00753DA5" w:rsidP="00753DA5">
            <w:pPr>
              <w:pStyle w:val="BodyText2"/>
              <w:spacing w:before="60" w:after="60"/>
              <w:jc w:val="both"/>
              <w:rPr>
                <w:rFonts w:ascii="Times New Roman" w:hAnsi="Times New Roman"/>
              </w:rPr>
            </w:pPr>
            <w:r w:rsidRPr="00377BBF">
              <w:rPr>
                <w:rFonts w:ascii="Times New Roman" w:hAnsi="Times New Roman"/>
              </w:rPr>
              <w:t>UNDP has contribut</w:t>
            </w:r>
            <w:r>
              <w:rPr>
                <w:rFonts w:ascii="Times New Roman" w:hAnsi="Times New Roman"/>
              </w:rPr>
              <w:t>ed significantly in promoting accountability and inclusion in the local governments. Because of the technical support provided by UNDP, m</w:t>
            </w:r>
            <w:r w:rsidRPr="00377BBF">
              <w:rPr>
                <w:rFonts w:ascii="Times New Roman" w:hAnsi="Times New Roman"/>
              </w:rPr>
              <w:t xml:space="preserve">ore than 85% of local bodies </w:t>
            </w:r>
            <w:r>
              <w:rPr>
                <w:rFonts w:ascii="Times New Roman" w:hAnsi="Times New Roman"/>
              </w:rPr>
              <w:t xml:space="preserve">have been </w:t>
            </w:r>
            <w:r w:rsidRPr="00377BBF">
              <w:rPr>
                <w:rFonts w:ascii="Times New Roman" w:hAnsi="Times New Roman"/>
              </w:rPr>
              <w:t>allocat</w:t>
            </w:r>
            <w:r>
              <w:rPr>
                <w:rFonts w:ascii="Times New Roman" w:hAnsi="Times New Roman"/>
              </w:rPr>
              <w:t>ing</w:t>
            </w:r>
            <w:r w:rsidRPr="00377BBF">
              <w:rPr>
                <w:rFonts w:ascii="Times New Roman" w:hAnsi="Times New Roman"/>
              </w:rPr>
              <w:t xml:space="preserve"> targeted grants </w:t>
            </w:r>
            <w:r>
              <w:rPr>
                <w:rFonts w:ascii="Times New Roman" w:hAnsi="Times New Roman"/>
              </w:rPr>
              <w:t>(</w:t>
            </w:r>
            <w:r w:rsidRPr="00377BBF">
              <w:rPr>
                <w:rFonts w:ascii="Times New Roman" w:hAnsi="Times New Roman"/>
              </w:rPr>
              <w:t xml:space="preserve">35% </w:t>
            </w:r>
            <w:r>
              <w:rPr>
                <w:rFonts w:ascii="Times New Roman" w:hAnsi="Times New Roman"/>
              </w:rPr>
              <w:t xml:space="preserve">of the block grants) </w:t>
            </w:r>
            <w:r w:rsidRPr="00377BBF">
              <w:rPr>
                <w:rFonts w:ascii="Times New Roman" w:hAnsi="Times New Roman"/>
              </w:rPr>
              <w:t>to women, children and vulnerable groups</w:t>
            </w:r>
            <w:r>
              <w:rPr>
                <w:rFonts w:ascii="Times New Roman" w:hAnsi="Times New Roman"/>
              </w:rPr>
              <w:t xml:space="preserve"> upon the demand and priority set by the Ward Citizen Forums</w:t>
            </w:r>
            <w:r w:rsidRPr="00377BBF">
              <w:rPr>
                <w:rFonts w:ascii="Times New Roman" w:hAnsi="Times New Roman"/>
              </w:rPr>
              <w:t xml:space="preserve">. </w:t>
            </w:r>
            <w:r>
              <w:rPr>
                <w:rFonts w:ascii="Times New Roman" w:hAnsi="Times New Roman"/>
              </w:rPr>
              <w:t>The Election Commission’s capacity has been tremendously enhanced to hold periodic elections in line with the Constitution</w:t>
            </w:r>
            <w:r w:rsidRPr="00377BBF">
              <w:rPr>
                <w:rFonts w:ascii="Times New Roman" w:hAnsi="Times New Roman"/>
              </w:rPr>
              <w:t>:</w:t>
            </w:r>
          </w:p>
          <w:p w14:paraId="6994F319" w14:textId="77777777" w:rsidR="00753DA5" w:rsidRPr="00BD1CB0" w:rsidRDefault="00753DA5" w:rsidP="00753DA5">
            <w:pPr>
              <w:ind w:left="175" w:right="225"/>
              <w:jc w:val="both"/>
              <w:rPr>
                <w:sz w:val="20"/>
              </w:rPr>
            </w:pPr>
            <w:r w:rsidRPr="00A91ADE">
              <w:rPr>
                <w:sz w:val="22"/>
                <w:szCs w:val="22"/>
              </w:rPr>
              <w:t>5.1</w:t>
            </w:r>
            <w:r>
              <w:t xml:space="preserve"> </w:t>
            </w:r>
            <w:r w:rsidRPr="00BD1CB0">
              <w:rPr>
                <w:sz w:val="20"/>
              </w:rPr>
              <w:t>The successful conduct of 2013 Constituent Assembly (CA) elections by ECN with historic voters’ turnout of 79.9 % (62.5% in 2008) enhanced the credibility o</w:t>
            </w:r>
            <w:r>
              <w:rPr>
                <w:sz w:val="20"/>
              </w:rPr>
              <w:t xml:space="preserve">f ECN and the electoral process. </w:t>
            </w:r>
            <w:r w:rsidRPr="00BD1CB0">
              <w:rPr>
                <w:sz w:val="20"/>
              </w:rPr>
              <w:t xml:space="preserve"> UNDP played a </w:t>
            </w:r>
            <w:r>
              <w:rPr>
                <w:sz w:val="20"/>
              </w:rPr>
              <w:t>key role by providing technical</w:t>
            </w:r>
            <w:r w:rsidRPr="00BD1CB0">
              <w:rPr>
                <w:sz w:val="20"/>
              </w:rPr>
              <w:t>, logistic and operational support in planning and conducting of the election. International observers and political parties acknowledged that the biometric voter rolls and voter identification cards (supported by UNDP) contributed to making the elections fair, inclusive</w:t>
            </w:r>
            <w:r>
              <w:rPr>
                <w:sz w:val="20"/>
              </w:rPr>
              <w:t xml:space="preserve"> and peaceful as they</w:t>
            </w:r>
            <w:r w:rsidRPr="00BD1CB0">
              <w:rPr>
                <w:sz w:val="20"/>
              </w:rPr>
              <w:t xml:space="preserve"> ensured that only those on voter roll could vote avoiding proxy and multiple voting. In previous elections, voter rolls were manual with no room for de-duplication and re-verification of voters’ information.  ECN as of May 2017 has registered 14 million citizens on bio</w:t>
            </w:r>
            <w:r>
              <w:rPr>
                <w:sz w:val="20"/>
              </w:rPr>
              <w:t>metric voter roll.   With UNDP</w:t>
            </w:r>
            <w:r w:rsidRPr="00BD1CB0">
              <w:rPr>
                <w:sz w:val="20"/>
              </w:rPr>
              <w:t xml:space="preserve"> supported Electoral Education and Information Center (EEIC) in its HQ and two</w:t>
            </w:r>
            <w:r>
              <w:rPr>
                <w:sz w:val="20"/>
              </w:rPr>
              <w:t xml:space="preserve"> regional offices as well as </w:t>
            </w:r>
            <w:r w:rsidRPr="00BD1CB0">
              <w:rPr>
                <w:sz w:val="20"/>
              </w:rPr>
              <w:t xml:space="preserve">the mobile EEIC, the ECN has directly sensitized more than 25,000 citizens, particularly youth and the first-time voters on electoral system. The EEIC is one of its kind in South Asia and is fully operationalized by ECN with limited technical assistance from UNDP.  UNDP supported the Commission in developing various </w:t>
            </w:r>
            <w:r>
              <w:rPr>
                <w:sz w:val="20"/>
              </w:rPr>
              <w:t>p</w:t>
            </w:r>
            <w:r w:rsidRPr="00BD1CB0">
              <w:rPr>
                <w:sz w:val="20"/>
              </w:rPr>
              <w:t xml:space="preserve">olicy documents </w:t>
            </w:r>
            <w:r>
              <w:rPr>
                <w:sz w:val="20"/>
              </w:rPr>
              <w:t>and manuals, including its five-</w:t>
            </w:r>
            <w:r w:rsidRPr="00BD1CB0">
              <w:rPr>
                <w:sz w:val="20"/>
              </w:rPr>
              <w:t xml:space="preserve">year strategic plan, Gender </w:t>
            </w:r>
            <w:r w:rsidRPr="00BD1CB0">
              <w:rPr>
                <w:sz w:val="20"/>
              </w:rPr>
              <w:lastRenderedPageBreak/>
              <w:t>and Social Inclusion Policy</w:t>
            </w:r>
            <w:r>
              <w:rPr>
                <w:sz w:val="20"/>
              </w:rPr>
              <w:t xml:space="preserve"> and</w:t>
            </w:r>
            <w:r w:rsidRPr="00BD1CB0">
              <w:rPr>
                <w:sz w:val="20"/>
              </w:rPr>
              <w:t xml:space="preserve"> Voter Education Strategy which have been instrumental in organizing targeted interventions for women, youth, people with hearing disability, elderly citizens and visually impaired citizens making the electoral process and elections more inclusive and credible. </w:t>
            </w:r>
          </w:p>
          <w:p w14:paraId="123EFF8B" w14:textId="77777777" w:rsidR="00753DA5" w:rsidRPr="00BD1CB0" w:rsidRDefault="00753DA5" w:rsidP="00753DA5">
            <w:pPr>
              <w:ind w:left="175" w:right="225"/>
              <w:jc w:val="both"/>
              <w:rPr>
                <w:sz w:val="20"/>
              </w:rPr>
            </w:pPr>
          </w:p>
          <w:p w14:paraId="15DE3BD5" w14:textId="77777777" w:rsidR="00753DA5" w:rsidRPr="00BD1CB0" w:rsidRDefault="00753DA5" w:rsidP="00753DA5">
            <w:pPr>
              <w:ind w:left="175" w:right="225"/>
              <w:jc w:val="both"/>
              <w:rPr>
                <w:sz w:val="20"/>
              </w:rPr>
            </w:pPr>
            <w:r w:rsidRPr="00BD1CB0">
              <w:rPr>
                <w:sz w:val="20"/>
              </w:rPr>
              <w:t xml:space="preserve">As per the spirit of the Constitution, three tiers of elections are to be conducted by January 2018.  The local election is planned to be held in May and June of this </w:t>
            </w:r>
            <w:proofErr w:type="gramStart"/>
            <w:r w:rsidRPr="00BD1CB0">
              <w:rPr>
                <w:sz w:val="20"/>
              </w:rPr>
              <w:t>year  and</w:t>
            </w:r>
            <w:proofErr w:type="gramEnd"/>
            <w:r w:rsidRPr="00BD1CB0">
              <w:rPr>
                <w:sz w:val="20"/>
              </w:rPr>
              <w:t xml:space="preserve"> the Commission has been able to steer the electoral operation with minimal international assistance compared to the past CA election. UNDP assistance in the election is more focused in providing technical assistance to ECN on women’s political participation</w:t>
            </w:r>
            <w:r>
              <w:rPr>
                <w:sz w:val="20"/>
              </w:rPr>
              <w:t>,</w:t>
            </w:r>
            <w:r w:rsidRPr="00BD1CB0">
              <w:rPr>
                <w:sz w:val="20"/>
              </w:rPr>
              <w:t xml:space="preserve"> voter education, trainings and procedures, electoral violence prevention and risk mitigation and targeted </w:t>
            </w:r>
            <w:proofErr w:type="spellStart"/>
            <w:r w:rsidRPr="00BD1CB0">
              <w:rPr>
                <w:sz w:val="20"/>
              </w:rPr>
              <w:t>programme</w:t>
            </w:r>
            <w:proofErr w:type="spellEnd"/>
            <w:r w:rsidRPr="00BD1CB0">
              <w:rPr>
                <w:sz w:val="20"/>
              </w:rPr>
              <w:t xml:space="preserve"> for </w:t>
            </w:r>
            <w:proofErr w:type="spellStart"/>
            <w:r w:rsidRPr="00BD1CB0">
              <w:rPr>
                <w:sz w:val="20"/>
              </w:rPr>
              <w:t>PwD</w:t>
            </w:r>
            <w:proofErr w:type="spellEnd"/>
            <w:r w:rsidRPr="00BD1CB0">
              <w:rPr>
                <w:sz w:val="20"/>
              </w:rPr>
              <w:t xml:space="preserve">. It is expected that less external support will be required of the Commission for the election of the provincial and federal parliament.  This demonstrates that the UNDP support </w:t>
            </w:r>
            <w:r>
              <w:rPr>
                <w:sz w:val="20"/>
              </w:rPr>
              <w:t xml:space="preserve">provided </w:t>
            </w:r>
            <w:r w:rsidRPr="00BD1CB0">
              <w:rPr>
                <w:sz w:val="20"/>
              </w:rPr>
              <w:t xml:space="preserve">over the years has built the institutional and professional capacity of the Commission to conduct credible, inclusive and transparent elections. </w:t>
            </w:r>
          </w:p>
          <w:p w14:paraId="09AA2709" w14:textId="77777777" w:rsidR="00753DA5" w:rsidRPr="00BD1CB0" w:rsidRDefault="00753DA5" w:rsidP="00753DA5">
            <w:pPr>
              <w:ind w:left="175" w:right="225"/>
              <w:jc w:val="both"/>
              <w:rPr>
                <w:sz w:val="20"/>
              </w:rPr>
            </w:pPr>
          </w:p>
          <w:p w14:paraId="5FA830C6" w14:textId="77777777" w:rsidR="00753DA5" w:rsidRPr="005334D1" w:rsidRDefault="00753DA5" w:rsidP="00753DA5">
            <w:pPr>
              <w:ind w:left="175" w:right="225"/>
              <w:jc w:val="both"/>
              <w:rPr>
                <w:sz w:val="20"/>
              </w:rPr>
            </w:pPr>
            <w:r>
              <w:rPr>
                <w:sz w:val="20"/>
              </w:rPr>
              <w:t xml:space="preserve">5.2 </w:t>
            </w:r>
            <w:r w:rsidRPr="00BD1CB0">
              <w:rPr>
                <w:sz w:val="20"/>
              </w:rPr>
              <w:t>Evidences show that a multi-stakehol</w:t>
            </w:r>
            <w:r>
              <w:rPr>
                <w:sz w:val="20"/>
              </w:rPr>
              <w:t xml:space="preserve">der local governance </w:t>
            </w:r>
            <w:proofErr w:type="spellStart"/>
            <w:r>
              <w:rPr>
                <w:sz w:val="20"/>
              </w:rPr>
              <w:t>programme</w:t>
            </w:r>
            <w:proofErr w:type="spellEnd"/>
            <w:r>
              <w:rPr>
                <w:sz w:val="20"/>
              </w:rPr>
              <w:t xml:space="preserve"> </w:t>
            </w:r>
            <w:r w:rsidRPr="00BD1CB0">
              <w:rPr>
                <w:sz w:val="20"/>
              </w:rPr>
              <w:t>of which UNDP is a major partner, has contributed to strengthening loc</w:t>
            </w:r>
            <w:r>
              <w:rPr>
                <w:sz w:val="20"/>
              </w:rPr>
              <w:t>al bodies’ financial management and</w:t>
            </w:r>
            <w:r w:rsidRPr="00BD1CB0">
              <w:rPr>
                <w:sz w:val="20"/>
              </w:rPr>
              <w:t xml:space="preserve"> development planning capacity. State accountability and citizens’ meaningful participation in local level planning process is strengthened </w:t>
            </w:r>
            <w:r w:rsidRPr="00DF6F67">
              <w:rPr>
                <w:sz w:val="20"/>
              </w:rPr>
              <w:t xml:space="preserve">as 95,684 (77.2%) </w:t>
            </w:r>
            <w:r w:rsidRPr="00BD1CB0">
              <w:rPr>
                <w:sz w:val="20"/>
              </w:rPr>
              <w:t xml:space="preserve">projects </w:t>
            </w:r>
            <w:r>
              <w:rPr>
                <w:sz w:val="20"/>
              </w:rPr>
              <w:t xml:space="preserve">were approved </w:t>
            </w:r>
            <w:r w:rsidRPr="00BD1CB0">
              <w:rPr>
                <w:sz w:val="20"/>
              </w:rPr>
              <w:t>out of 1</w:t>
            </w:r>
            <w:proofErr w:type="gramStart"/>
            <w:r w:rsidRPr="00BD1CB0">
              <w:rPr>
                <w:sz w:val="20"/>
              </w:rPr>
              <w:t>,23</w:t>
            </w:r>
            <w:r>
              <w:rPr>
                <w:sz w:val="20"/>
              </w:rPr>
              <w:t>,</w:t>
            </w:r>
            <w:r w:rsidRPr="00BD1CB0">
              <w:rPr>
                <w:sz w:val="20"/>
              </w:rPr>
              <w:t>863</w:t>
            </w:r>
            <w:proofErr w:type="gramEnd"/>
            <w:r w:rsidRPr="00BD1CB0">
              <w:rPr>
                <w:sz w:val="20"/>
              </w:rPr>
              <w:t xml:space="preserve"> proposed by the Ward Citizen Forums (WCFs). More than 79% of the total capital budget was allocated for the </w:t>
            </w:r>
            <w:r>
              <w:rPr>
                <w:sz w:val="20"/>
              </w:rPr>
              <w:t>said</w:t>
            </w:r>
            <w:r w:rsidRPr="00BD1CB0">
              <w:rPr>
                <w:sz w:val="20"/>
              </w:rPr>
              <w:t xml:space="preserve"> projects. </w:t>
            </w:r>
            <w:r>
              <w:rPr>
                <w:sz w:val="20"/>
              </w:rPr>
              <w:t>More than 1.21</w:t>
            </w:r>
            <w:r w:rsidRPr="005334D1">
              <w:rPr>
                <w:color w:val="FF0000"/>
                <w:sz w:val="20"/>
              </w:rPr>
              <w:t xml:space="preserve"> </w:t>
            </w:r>
            <w:r w:rsidRPr="00DF6F67">
              <w:rPr>
                <w:sz w:val="20"/>
              </w:rPr>
              <w:t>million</w:t>
            </w:r>
            <w:r w:rsidRPr="005334D1">
              <w:rPr>
                <w:color w:val="FF0000"/>
                <w:sz w:val="20"/>
              </w:rPr>
              <w:t xml:space="preserve"> </w:t>
            </w:r>
            <w:r>
              <w:rPr>
                <w:sz w:val="20"/>
              </w:rPr>
              <w:t>citizens participated in the local level p</w:t>
            </w:r>
            <w:r w:rsidRPr="00BD1CB0">
              <w:rPr>
                <w:sz w:val="20"/>
              </w:rPr>
              <w:t xml:space="preserve">lanning process </w:t>
            </w:r>
            <w:r>
              <w:rPr>
                <w:sz w:val="20"/>
              </w:rPr>
              <w:t xml:space="preserve">out of which 39 % were </w:t>
            </w:r>
            <w:r w:rsidRPr="00BD1CB0">
              <w:rPr>
                <w:sz w:val="20"/>
              </w:rPr>
              <w:t>women.</w:t>
            </w:r>
            <w:r>
              <w:rPr>
                <w:sz w:val="20"/>
              </w:rPr>
              <w:t xml:space="preserve"> </w:t>
            </w:r>
            <w:r w:rsidRPr="005334D1">
              <w:rPr>
                <w:sz w:val="20"/>
              </w:rPr>
              <w:t xml:space="preserve">More </w:t>
            </w:r>
            <w:r w:rsidRPr="004D22EF">
              <w:rPr>
                <w:sz w:val="20"/>
              </w:rPr>
              <w:t xml:space="preserve">than </w:t>
            </w:r>
            <w:proofErr w:type="gramStart"/>
            <w:r>
              <w:rPr>
                <w:sz w:val="20"/>
              </w:rPr>
              <w:t>80,000  m</w:t>
            </w:r>
            <w:r w:rsidRPr="004D22EF">
              <w:rPr>
                <w:sz w:val="20"/>
              </w:rPr>
              <w:t>embers</w:t>
            </w:r>
            <w:proofErr w:type="gramEnd"/>
            <w:r w:rsidRPr="004D22EF">
              <w:rPr>
                <w:sz w:val="20"/>
              </w:rPr>
              <w:t xml:space="preserve"> </w:t>
            </w:r>
            <w:r>
              <w:rPr>
                <w:sz w:val="20"/>
              </w:rPr>
              <w:t>of the WCFs, CAC and LBs have been trained in the local level planning and oversight functions</w:t>
            </w:r>
            <w:r w:rsidRPr="005334D1">
              <w:rPr>
                <w:sz w:val="20"/>
              </w:rPr>
              <w:t xml:space="preserve"> which has resulted in timely conduct of </w:t>
            </w:r>
            <w:r>
              <w:rPr>
                <w:sz w:val="20"/>
              </w:rPr>
              <w:t>ward level p</w:t>
            </w:r>
            <w:r w:rsidRPr="005334D1">
              <w:rPr>
                <w:sz w:val="20"/>
              </w:rPr>
              <w:t xml:space="preserve">lanning </w:t>
            </w:r>
            <w:r>
              <w:rPr>
                <w:sz w:val="20"/>
              </w:rPr>
              <w:t>w</w:t>
            </w:r>
            <w:r w:rsidRPr="005334D1">
              <w:rPr>
                <w:sz w:val="20"/>
              </w:rPr>
              <w:t xml:space="preserve">orkshops by more than 90 % of local bodies (LBs).  The </w:t>
            </w:r>
            <w:proofErr w:type="spellStart"/>
            <w:r w:rsidRPr="005334D1">
              <w:rPr>
                <w:sz w:val="20"/>
              </w:rPr>
              <w:t>programme</w:t>
            </w:r>
            <w:proofErr w:type="spellEnd"/>
            <w:r w:rsidRPr="005334D1">
              <w:rPr>
                <w:sz w:val="20"/>
              </w:rPr>
              <w:t xml:space="preserve"> has supported the introduction of Web-based reporting systems in all DDCs (75) and municipalities (217). This resulted in timely trimester progress reports being issued by 100% of local bodies (DDCs and Municipalities).</w:t>
            </w:r>
            <w:r>
              <w:rPr>
                <w:sz w:val="20"/>
              </w:rPr>
              <w:t xml:space="preserve"> UNDP provided technical support to MOFALD and the local bodies to organize the training, to mobilize the community members and social mobilizers and develop the web-based reporting system through the program period.   </w:t>
            </w:r>
          </w:p>
          <w:p w14:paraId="1250C290" w14:textId="77777777" w:rsidR="00753DA5" w:rsidRPr="00377BBF" w:rsidRDefault="00753DA5" w:rsidP="00753DA5">
            <w:pPr>
              <w:pStyle w:val="BodyText2"/>
              <w:spacing w:before="60" w:after="60"/>
              <w:rPr>
                <w:rFonts w:ascii="Times New Roman" w:hAnsi="Times New Roman"/>
              </w:rPr>
            </w:pPr>
          </w:p>
        </w:tc>
      </w:tr>
      <w:tr w:rsidR="00F719D6" w:rsidRPr="00377BBF" w14:paraId="3D3A2393" w14:textId="77777777" w:rsidTr="00136189">
        <w:tc>
          <w:tcPr>
            <w:tcW w:w="3623" w:type="dxa"/>
            <w:gridSpan w:val="3"/>
            <w:shd w:val="clear" w:color="auto" w:fill="002060"/>
          </w:tcPr>
          <w:p w14:paraId="4BB9F4D5" w14:textId="77777777" w:rsidR="00F719D6" w:rsidRPr="00377BBF" w:rsidRDefault="00F719D6" w:rsidP="0043380E">
            <w:pPr>
              <w:pStyle w:val="BodyText2"/>
              <w:spacing w:before="60" w:after="60"/>
              <w:rPr>
                <w:rFonts w:ascii="Times New Roman" w:hAnsi="Times New Roman"/>
                <w:b/>
                <w:sz w:val="24"/>
              </w:rPr>
            </w:pPr>
            <w:r w:rsidRPr="00377BBF">
              <w:rPr>
                <w:rFonts w:ascii="Times New Roman" w:hAnsi="Times New Roman"/>
                <w:b/>
                <w:sz w:val="24"/>
              </w:rPr>
              <w:lastRenderedPageBreak/>
              <w:t>Outcomes</w:t>
            </w:r>
          </w:p>
        </w:tc>
        <w:tc>
          <w:tcPr>
            <w:tcW w:w="1507" w:type="dxa"/>
            <w:gridSpan w:val="2"/>
            <w:shd w:val="clear" w:color="auto" w:fill="002060"/>
          </w:tcPr>
          <w:p w14:paraId="37F25B22" w14:textId="77777777" w:rsidR="00F719D6" w:rsidRPr="00377BBF" w:rsidRDefault="00F719D6" w:rsidP="0043380E">
            <w:pPr>
              <w:pStyle w:val="BodyText2"/>
              <w:spacing w:before="60" w:after="60"/>
              <w:rPr>
                <w:rFonts w:ascii="Times New Roman" w:hAnsi="Times New Roman"/>
                <w:b/>
                <w:sz w:val="22"/>
              </w:rPr>
            </w:pPr>
            <w:r w:rsidRPr="00377BBF">
              <w:rPr>
                <w:rFonts w:ascii="Times New Roman" w:hAnsi="Times New Roman"/>
                <w:b/>
                <w:sz w:val="22"/>
              </w:rPr>
              <w:t>Total Expenditure</w:t>
            </w:r>
          </w:p>
        </w:tc>
        <w:tc>
          <w:tcPr>
            <w:tcW w:w="4320" w:type="dxa"/>
            <w:gridSpan w:val="2"/>
            <w:tcBorders>
              <w:left w:val="single" w:sz="4" w:space="0" w:color="auto"/>
            </w:tcBorders>
            <w:shd w:val="clear" w:color="auto" w:fill="002060"/>
          </w:tcPr>
          <w:p w14:paraId="679EF354" w14:textId="77777777" w:rsidR="00F719D6" w:rsidRPr="00377BBF" w:rsidRDefault="00F719D6" w:rsidP="0043380E">
            <w:pPr>
              <w:pStyle w:val="BodyText2"/>
              <w:spacing w:before="60" w:after="60"/>
              <w:rPr>
                <w:rFonts w:ascii="Times New Roman" w:hAnsi="Times New Roman"/>
                <w:b/>
                <w:sz w:val="22"/>
              </w:rPr>
            </w:pPr>
            <w:r w:rsidRPr="00377BBF">
              <w:rPr>
                <w:rFonts w:ascii="Times New Roman" w:hAnsi="Times New Roman"/>
                <w:b/>
                <w:sz w:val="22"/>
              </w:rPr>
              <w:t>Key Indicators of outcome (1-4 per outcome)</w:t>
            </w:r>
          </w:p>
        </w:tc>
        <w:tc>
          <w:tcPr>
            <w:tcW w:w="4680" w:type="dxa"/>
            <w:gridSpan w:val="2"/>
            <w:shd w:val="clear" w:color="auto" w:fill="002060"/>
          </w:tcPr>
          <w:p w14:paraId="57E9BE66" w14:textId="77777777" w:rsidR="00F719D6" w:rsidRPr="00377BBF" w:rsidRDefault="00F719D6" w:rsidP="0043380E">
            <w:pPr>
              <w:pStyle w:val="BodyText2"/>
              <w:spacing w:before="60" w:after="60"/>
              <w:rPr>
                <w:rFonts w:ascii="Times New Roman" w:hAnsi="Times New Roman"/>
                <w:b/>
                <w:sz w:val="22"/>
              </w:rPr>
            </w:pPr>
            <w:r w:rsidRPr="00377BBF">
              <w:rPr>
                <w:rFonts w:ascii="Times New Roman" w:hAnsi="Times New Roman"/>
                <w:b/>
                <w:sz w:val="22"/>
              </w:rPr>
              <w:t>Progress made against key indicators</w:t>
            </w:r>
          </w:p>
        </w:tc>
      </w:tr>
      <w:tr w:rsidR="00753DA5" w:rsidRPr="00377BBF" w14:paraId="0A49C053" w14:textId="77777777" w:rsidTr="00136189">
        <w:tc>
          <w:tcPr>
            <w:tcW w:w="3623" w:type="dxa"/>
            <w:gridSpan w:val="3"/>
            <w:shd w:val="clear" w:color="auto" w:fill="C6D9F1" w:themeFill="text2" w:themeFillTint="33"/>
          </w:tcPr>
          <w:p w14:paraId="7A73940B" w14:textId="588BE191" w:rsidR="00753DA5" w:rsidRPr="00377BBF" w:rsidRDefault="00753DA5" w:rsidP="00753DA5">
            <w:pPr>
              <w:pStyle w:val="BodyText2"/>
              <w:spacing w:before="60" w:after="60"/>
              <w:rPr>
                <w:rFonts w:ascii="Times New Roman" w:hAnsi="Times New Roman"/>
                <w:b/>
              </w:rPr>
            </w:pPr>
            <w:r w:rsidRPr="00377BBF">
              <w:rPr>
                <w:rFonts w:ascii="Times New Roman" w:hAnsi="Times New Roman"/>
                <w:b/>
              </w:rPr>
              <w:t>UNDAF Outcome 6 Tiers of government are established and function to meet the provisions of the new federal constitution</w:t>
            </w:r>
          </w:p>
        </w:tc>
        <w:tc>
          <w:tcPr>
            <w:tcW w:w="1507" w:type="dxa"/>
            <w:gridSpan w:val="2"/>
            <w:shd w:val="clear" w:color="auto" w:fill="auto"/>
          </w:tcPr>
          <w:p w14:paraId="3F035B70" w14:textId="45F47FF5" w:rsidR="00753DA5" w:rsidRPr="00377BBF" w:rsidRDefault="00753DA5" w:rsidP="00753DA5">
            <w:pPr>
              <w:pStyle w:val="BodyText2"/>
              <w:spacing w:before="60" w:after="60"/>
              <w:rPr>
                <w:rFonts w:ascii="Times New Roman" w:hAnsi="Times New Roman"/>
              </w:rPr>
            </w:pPr>
            <w:r w:rsidRPr="00377BBF">
              <w:rPr>
                <w:rFonts w:ascii="Times New Roman" w:hAnsi="Times New Roman"/>
              </w:rPr>
              <w:t>$4,680,290</w:t>
            </w:r>
          </w:p>
        </w:tc>
        <w:tc>
          <w:tcPr>
            <w:tcW w:w="4320" w:type="dxa"/>
            <w:gridSpan w:val="2"/>
            <w:tcBorders>
              <w:left w:val="single" w:sz="4" w:space="0" w:color="auto"/>
            </w:tcBorders>
          </w:tcPr>
          <w:p w14:paraId="06889FCF" w14:textId="77777777" w:rsidR="00753DA5" w:rsidRPr="00377BBF" w:rsidRDefault="00753DA5" w:rsidP="00753DA5">
            <w:pPr>
              <w:pStyle w:val="BodyText2"/>
              <w:numPr>
                <w:ilvl w:val="0"/>
                <w:numId w:val="11"/>
              </w:numPr>
              <w:spacing w:before="60" w:after="60"/>
              <w:ind w:left="360"/>
              <w:jc w:val="both"/>
              <w:rPr>
                <w:rFonts w:ascii="Times New Roman" w:hAnsi="Times New Roman"/>
              </w:rPr>
            </w:pPr>
            <w:r w:rsidRPr="00377BBF">
              <w:rPr>
                <w:rFonts w:ascii="Times New Roman" w:hAnsi="Times New Roman"/>
              </w:rPr>
              <w:t>% of people who perceive that there is possibility of insertion of their aspirations (equality, identity, prosperity, gender equity and employment) by the new constitution. (UNDAF 1 #6.1)</w:t>
            </w:r>
          </w:p>
          <w:p w14:paraId="33CDD933" w14:textId="426782CB" w:rsidR="00753DA5" w:rsidRPr="00377BBF" w:rsidRDefault="00753DA5" w:rsidP="00753DA5">
            <w:pPr>
              <w:pStyle w:val="BodyText2"/>
              <w:numPr>
                <w:ilvl w:val="0"/>
                <w:numId w:val="11"/>
              </w:numPr>
              <w:spacing w:before="60" w:after="60"/>
              <w:ind w:left="360"/>
              <w:rPr>
                <w:rFonts w:ascii="Times New Roman" w:hAnsi="Times New Roman"/>
              </w:rPr>
            </w:pPr>
            <w:r w:rsidRPr="00377BBF">
              <w:rPr>
                <w:rFonts w:ascii="Times New Roman" w:hAnsi="Times New Roman"/>
              </w:rPr>
              <w:t>Elections to three tiers of government held (UNDAF 1 #6.2)</w:t>
            </w:r>
          </w:p>
        </w:tc>
        <w:tc>
          <w:tcPr>
            <w:tcW w:w="4680" w:type="dxa"/>
            <w:gridSpan w:val="2"/>
            <w:shd w:val="clear" w:color="auto" w:fill="auto"/>
          </w:tcPr>
          <w:p w14:paraId="7297AC51" w14:textId="77777777" w:rsidR="00753DA5" w:rsidRDefault="00753DA5" w:rsidP="00753DA5">
            <w:pPr>
              <w:pStyle w:val="BodyText2"/>
              <w:numPr>
                <w:ilvl w:val="0"/>
                <w:numId w:val="12"/>
              </w:numPr>
              <w:spacing w:before="60" w:after="60"/>
              <w:jc w:val="both"/>
              <w:rPr>
                <w:rFonts w:ascii="Times New Roman" w:hAnsi="Times New Roman"/>
              </w:rPr>
            </w:pPr>
            <w:r w:rsidRPr="00377BBF">
              <w:rPr>
                <w:rFonts w:ascii="Times New Roman" w:hAnsi="Times New Roman"/>
              </w:rPr>
              <w:t>NA - Perception survey planned in 2017-18</w:t>
            </w:r>
            <w:r>
              <w:rPr>
                <w:rFonts w:ascii="Times New Roman" w:hAnsi="Times New Roman"/>
              </w:rPr>
              <w:t xml:space="preserve">. </w:t>
            </w:r>
          </w:p>
          <w:p w14:paraId="06912BCB" w14:textId="3FBA913E" w:rsidR="00753DA5" w:rsidRPr="00377BBF" w:rsidRDefault="00753DA5" w:rsidP="00753DA5">
            <w:pPr>
              <w:pStyle w:val="BodyText2"/>
              <w:numPr>
                <w:ilvl w:val="0"/>
                <w:numId w:val="12"/>
              </w:numPr>
              <w:spacing w:before="60" w:after="60"/>
              <w:rPr>
                <w:rFonts w:ascii="Times New Roman" w:hAnsi="Times New Roman"/>
              </w:rPr>
            </w:pPr>
            <w:r>
              <w:rPr>
                <w:rFonts w:ascii="Times New Roman" w:hAnsi="Times New Roman"/>
              </w:rPr>
              <w:t xml:space="preserve">Local government elections are scheduled in 14 May and 14 June 2017 and provincial and federal election are supposed to be held before January 2018. The Government has been working to prepare the legal and policy framework for the operation of the local governments. </w:t>
            </w:r>
          </w:p>
        </w:tc>
      </w:tr>
      <w:tr w:rsidR="00753DA5" w:rsidRPr="00377BBF" w14:paraId="0488925E" w14:textId="77777777" w:rsidTr="00136189">
        <w:tc>
          <w:tcPr>
            <w:tcW w:w="14130" w:type="dxa"/>
            <w:gridSpan w:val="9"/>
          </w:tcPr>
          <w:p w14:paraId="30883426" w14:textId="77777777" w:rsidR="00753DA5" w:rsidRPr="00753DA5" w:rsidRDefault="00753DA5" w:rsidP="00753DA5">
            <w:pPr>
              <w:pStyle w:val="BodyText2"/>
              <w:spacing w:before="60" w:after="60"/>
              <w:jc w:val="both"/>
              <w:rPr>
                <w:rFonts w:ascii="Times New Roman" w:hAnsi="Times New Roman"/>
                <w:b/>
              </w:rPr>
            </w:pPr>
            <w:r w:rsidRPr="00753DA5">
              <w:rPr>
                <w:rFonts w:ascii="Times New Roman" w:hAnsi="Times New Roman"/>
                <w:b/>
              </w:rPr>
              <w:t>UNDP Contribution:</w:t>
            </w:r>
          </w:p>
          <w:p w14:paraId="744564DA" w14:textId="77777777" w:rsidR="00753DA5" w:rsidRPr="00753DA5" w:rsidRDefault="00753DA5" w:rsidP="00753DA5">
            <w:pPr>
              <w:pStyle w:val="BodyText2"/>
              <w:spacing w:before="60" w:after="60"/>
              <w:jc w:val="both"/>
              <w:rPr>
                <w:rFonts w:ascii="Times New Roman" w:hAnsi="Times New Roman"/>
              </w:rPr>
            </w:pPr>
            <w:r w:rsidRPr="00753DA5">
              <w:rPr>
                <w:rFonts w:ascii="Times New Roman" w:hAnsi="Times New Roman"/>
              </w:rPr>
              <w:t>The Constitution of Nepal provides for three ties of government, namely federal, provincial and local with their roles and responsibilities defined in the Constitution. UNDP provided technical and logistical support to the CA members and other stakeholders which contributed to the introduction of such provisions.  The Government has tabled the bill on the Local Governments and has been working in a number of policy documents related to the operation of the Government. UNDP has been providing technical support in the preparation of the bills and policy document. As per the Constitution, the elections for all three levels should be held before January 2018 and local election is planned in May and June, 2017. UNDP has been providing technical support to the Election Commission to hold the election in an inclusive, credible and fair manner.</w:t>
            </w:r>
          </w:p>
          <w:p w14:paraId="253AF13D" w14:textId="77777777" w:rsidR="00753DA5" w:rsidRPr="00753DA5" w:rsidRDefault="00753DA5" w:rsidP="00753DA5">
            <w:pPr>
              <w:pStyle w:val="BodyText2"/>
              <w:spacing w:before="60" w:after="60"/>
              <w:jc w:val="both"/>
              <w:rPr>
                <w:rFonts w:ascii="Times New Roman" w:hAnsi="Times New Roman"/>
              </w:rPr>
            </w:pPr>
          </w:p>
          <w:p w14:paraId="61457651" w14:textId="77777777" w:rsidR="00753DA5" w:rsidRPr="00753DA5" w:rsidRDefault="00753DA5" w:rsidP="00753DA5">
            <w:pPr>
              <w:pStyle w:val="BodyText2"/>
              <w:spacing w:before="60" w:after="60"/>
              <w:jc w:val="both"/>
              <w:rPr>
                <w:rFonts w:ascii="Times New Roman" w:hAnsi="Times New Roman"/>
                <w:b/>
              </w:rPr>
            </w:pPr>
            <w:r w:rsidRPr="00753DA5">
              <w:rPr>
                <w:rFonts w:ascii="Times New Roman" w:hAnsi="Times New Roman"/>
                <w:b/>
                <w:u w:val="single"/>
              </w:rPr>
              <w:lastRenderedPageBreak/>
              <w:t>CP Outputs</w:t>
            </w:r>
            <w:r w:rsidRPr="00753DA5">
              <w:rPr>
                <w:rFonts w:ascii="Times New Roman" w:hAnsi="Times New Roman"/>
                <w:b/>
              </w:rPr>
              <w:t xml:space="preserve">: </w:t>
            </w:r>
          </w:p>
          <w:p w14:paraId="40D8F45E" w14:textId="77777777" w:rsidR="00753DA5" w:rsidRPr="00753DA5" w:rsidRDefault="00753DA5" w:rsidP="00753DA5">
            <w:pPr>
              <w:pStyle w:val="BodyText2"/>
              <w:spacing w:before="60" w:after="60"/>
              <w:jc w:val="both"/>
              <w:rPr>
                <w:rFonts w:ascii="Times New Roman" w:hAnsi="Times New Roman"/>
              </w:rPr>
            </w:pPr>
          </w:p>
          <w:p w14:paraId="5E23860D" w14:textId="77777777" w:rsidR="00753DA5" w:rsidRPr="00753DA5" w:rsidRDefault="00753DA5" w:rsidP="00753DA5">
            <w:pPr>
              <w:pStyle w:val="BodyText2"/>
              <w:spacing w:before="60" w:after="60"/>
              <w:jc w:val="both"/>
              <w:rPr>
                <w:rFonts w:ascii="Times New Roman" w:hAnsi="Times New Roman"/>
                <w:i/>
              </w:rPr>
            </w:pPr>
            <w:r w:rsidRPr="00753DA5">
              <w:rPr>
                <w:rFonts w:ascii="Times New Roman" w:hAnsi="Times New Roman"/>
                <w:i/>
              </w:rPr>
              <w:t>Output 6.1 National institutions, policies and legislation reviewed from inclusion and gender perspectives and developed in line with the provisions of Nepal's inclusive federal constitution</w:t>
            </w:r>
          </w:p>
          <w:p w14:paraId="13DA7AA4" w14:textId="77777777" w:rsidR="00753DA5" w:rsidRPr="00753DA5" w:rsidRDefault="00753DA5" w:rsidP="00753DA5">
            <w:pPr>
              <w:pStyle w:val="BodyText2"/>
              <w:spacing w:before="60" w:after="60"/>
              <w:jc w:val="both"/>
              <w:rPr>
                <w:rFonts w:ascii="Times New Roman" w:hAnsi="Times New Roman"/>
                <w:i/>
              </w:rPr>
            </w:pPr>
            <w:r w:rsidRPr="00753DA5">
              <w:rPr>
                <w:rFonts w:ascii="Times New Roman" w:hAnsi="Times New Roman"/>
                <w:i/>
              </w:rPr>
              <w:t>Output 6.2 Civil service has the capacity to meet the needs of the inclusive federal constitution and government structures</w:t>
            </w:r>
          </w:p>
          <w:p w14:paraId="3F9F97DB" w14:textId="77777777" w:rsidR="00753DA5" w:rsidRPr="00753DA5" w:rsidRDefault="00753DA5" w:rsidP="00753DA5">
            <w:pPr>
              <w:pStyle w:val="BodyText2"/>
              <w:spacing w:before="60" w:after="60"/>
              <w:jc w:val="both"/>
              <w:rPr>
                <w:rFonts w:ascii="Times New Roman" w:hAnsi="Times New Roman"/>
                <w:i/>
              </w:rPr>
            </w:pPr>
            <w:r w:rsidRPr="00753DA5">
              <w:rPr>
                <w:rFonts w:ascii="Times New Roman" w:hAnsi="Times New Roman"/>
                <w:i/>
              </w:rPr>
              <w:t>Output 6.3 National and provincial legislatures, executives and other state bodies have necessary capacities to fulfill their accountabilities to vulnerable groups</w:t>
            </w:r>
          </w:p>
          <w:p w14:paraId="689181D3" w14:textId="77777777" w:rsidR="00753DA5" w:rsidRPr="00753DA5" w:rsidRDefault="00753DA5" w:rsidP="00753DA5">
            <w:pPr>
              <w:pStyle w:val="BodyText2"/>
              <w:spacing w:before="60" w:after="60"/>
              <w:jc w:val="both"/>
              <w:rPr>
                <w:rFonts w:ascii="Times New Roman" w:hAnsi="Times New Roman"/>
                <w:i/>
              </w:rPr>
            </w:pPr>
          </w:p>
          <w:p w14:paraId="312E709E" w14:textId="77777777" w:rsidR="00753DA5" w:rsidRPr="00753DA5" w:rsidRDefault="00753DA5" w:rsidP="00753DA5">
            <w:pPr>
              <w:pStyle w:val="BodyText2"/>
              <w:spacing w:before="60" w:after="60"/>
              <w:jc w:val="both"/>
              <w:rPr>
                <w:rFonts w:ascii="Times New Roman" w:hAnsi="Times New Roman"/>
                <w:b/>
              </w:rPr>
            </w:pPr>
            <w:r w:rsidRPr="00753DA5">
              <w:rPr>
                <w:rFonts w:ascii="Times New Roman" w:hAnsi="Times New Roman"/>
                <w:b/>
                <w:u w:val="single"/>
              </w:rPr>
              <w:t>Progress and Achievements</w:t>
            </w:r>
            <w:r w:rsidRPr="00753DA5">
              <w:rPr>
                <w:rFonts w:ascii="Times New Roman" w:hAnsi="Times New Roman"/>
                <w:b/>
              </w:rPr>
              <w:t>:</w:t>
            </w:r>
          </w:p>
          <w:p w14:paraId="5DA325A1" w14:textId="77777777" w:rsidR="00753DA5" w:rsidRPr="00753DA5" w:rsidRDefault="00753DA5" w:rsidP="00753DA5">
            <w:pPr>
              <w:pStyle w:val="BodyText2"/>
              <w:spacing w:before="60" w:after="60"/>
              <w:rPr>
                <w:rFonts w:ascii="Times New Roman" w:hAnsi="Times New Roman"/>
                <w:b/>
              </w:rPr>
            </w:pPr>
          </w:p>
          <w:p w14:paraId="56E76F39" w14:textId="6B04B63D" w:rsidR="00753DA5" w:rsidRDefault="00753DA5" w:rsidP="00753DA5">
            <w:pPr>
              <w:pStyle w:val="BodyText2"/>
              <w:spacing w:before="60" w:after="60"/>
              <w:ind w:left="436" w:hanging="436"/>
              <w:rPr>
                <w:rFonts w:ascii="Times New Roman" w:hAnsi="Times New Roman"/>
              </w:rPr>
            </w:pPr>
            <w:r w:rsidRPr="00753DA5">
              <w:rPr>
                <w:rFonts w:ascii="Times New Roman" w:hAnsi="Times New Roman"/>
              </w:rPr>
              <w:t xml:space="preserve">6.1   UNDP supported Parliament in reviewing 15 Bills tabled by the government to make them more inclusive. Among others, the laws relate to elections, constitutional commissions, industrial promotion and people with disability. UNDP extended its support to the Parliament in holding consultations and meetings with the stakeholders. The feedbacks received have been incorporated in the revised bills. For example, the newly passed Industrial Promotion Act has a provision to ensure 35% waiver on registration fees for women-run micro enterprises whereas the acts on elections have provisions on inclusive election observation team, GESI friendly voter education, among others. </w:t>
            </w:r>
          </w:p>
          <w:p w14:paraId="2ED043B6" w14:textId="77777777" w:rsidR="00753DA5" w:rsidRPr="00753DA5" w:rsidRDefault="00753DA5" w:rsidP="00753DA5">
            <w:pPr>
              <w:pStyle w:val="BodyText2"/>
              <w:spacing w:before="60" w:after="60"/>
              <w:ind w:left="436" w:hanging="436"/>
              <w:rPr>
                <w:rFonts w:ascii="Times New Roman" w:hAnsi="Times New Roman"/>
              </w:rPr>
            </w:pPr>
          </w:p>
          <w:p w14:paraId="07A2C077" w14:textId="1CBC3695" w:rsidR="00753DA5" w:rsidRDefault="00753DA5" w:rsidP="00753DA5">
            <w:pPr>
              <w:pStyle w:val="BodyText2"/>
              <w:spacing w:before="60" w:after="60"/>
              <w:ind w:left="436" w:hanging="436"/>
              <w:rPr>
                <w:rFonts w:ascii="Times New Roman" w:hAnsi="Times New Roman"/>
              </w:rPr>
            </w:pPr>
            <w:r w:rsidRPr="00753DA5">
              <w:rPr>
                <w:rFonts w:ascii="Times New Roman" w:hAnsi="Times New Roman"/>
              </w:rPr>
              <w:t xml:space="preserve">6.2    UNDP provided technical support to develop an option paper on civil service restructuring and management in a federal context. Likewise, UNDP, through its technical support, contributed in drafting the civil service policy and strategy in the federal context. This policy is supposed to guide the federal, provincial and local levels of government in devising the civil service laws and policies. UNDP has been providing support to the government to restructure the existing ministries and agencies in line with the division of roles and responsibilities across tiers of government. </w:t>
            </w:r>
          </w:p>
          <w:p w14:paraId="7B86A90C" w14:textId="77777777" w:rsidR="00753DA5" w:rsidRPr="00753DA5" w:rsidRDefault="00753DA5" w:rsidP="00753DA5">
            <w:pPr>
              <w:pStyle w:val="BodyText2"/>
              <w:spacing w:before="60" w:after="60"/>
              <w:ind w:left="436" w:hanging="436"/>
              <w:rPr>
                <w:rFonts w:ascii="Times New Roman" w:hAnsi="Times New Roman"/>
              </w:rPr>
            </w:pPr>
          </w:p>
          <w:p w14:paraId="09BE5825" w14:textId="77777777" w:rsidR="00753DA5" w:rsidRPr="00753DA5" w:rsidRDefault="00753DA5" w:rsidP="00753DA5">
            <w:pPr>
              <w:pStyle w:val="BodyText2"/>
              <w:spacing w:before="60" w:after="60"/>
              <w:ind w:left="436" w:hanging="436"/>
              <w:rPr>
                <w:rFonts w:ascii="Times New Roman" w:hAnsi="Times New Roman"/>
              </w:rPr>
            </w:pPr>
            <w:r w:rsidRPr="00753DA5">
              <w:rPr>
                <w:rFonts w:ascii="Times New Roman" w:hAnsi="Times New Roman"/>
              </w:rPr>
              <w:t xml:space="preserve">6.3   UNDP provided technical expertise to the Prime Minister and Council of Ministers to complete the functional analysis and assignment of all sectors in line with the Constitution. The assignment which has further clarified the constitutional the roles and responsibility, is approved by the Cabinet.  The assignment has been a basis for many things, including the drafting of Local Level Bill, restructuring the government agencies and transfer of funds to the sub-national governments. The cabinet-approved assignment builds on the functional assignment exercise that UNDP has been supporting since 2014. Likewise, the TA support has also been extended to carry out a study on institutional arrangements in 4 sectors of government. Draft transition management plan for federalizing public administration in Nepal has been prepared with UNDP support. </w:t>
            </w:r>
          </w:p>
          <w:p w14:paraId="24D117BE" w14:textId="425C89FA" w:rsidR="00753DA5" w:rsidRPr="00753DA5" w:rsidRDefault="00753DA5" w:rsidP="00753DA5">
            <w:pPr>
              <w:pStyle w:val="BodyText2"/>
              <w:spacing w:before="60" w:after="60"/>
              <w:ind w:left="436"/>
              <w:rPr>
                <w:rFonts w:ascii="Times New Roman" w:hAnsi="Times New Roman"/>
              </w:rPr>
            </w:pPr>
            <w:r w:rsidRPr="00753DA5">
              <w:rPr>
                <w:rFonts w:ascii="Times New Roman" w:hAnsi="Times New Roman"/>
              </w:rPr>
              <w:t>UNDP provided support has enhanced capacity of the 228 Parliamentarians on review of bills, discharging of oversight functions as well as on communication and leadership through the training and orientation programs.  Similarly, through interaction and orientation events, Parliamentarians of Environment Protection Committee have been sensitized on environment related treaties and conventions. The parliamentarians lobbied for endorsement of Paris Agreement on Climate Change.  Similarly, the parliamentarians have been trained and exposed on the issue of micro enterprise development, human rights and SDGs. ‘</w:t>
            </w:r>
          </w:p>
        </w:tc>
      </w:tr>
      <w:tr w:rsidR="00F719D6" w:rsidRPr="00377BBF" w14:paraId="6E2F4BF0" w14:textId="77777777" w:rsidTr="00136189">
        <w:tc>
          <w:tcPr>
            <w:tcW w:w="3623" w:type="dxa"/>
            <w:gridSpan w:val="3"/>
            <w:shd w:val="clear" w:color="auto" w:fill="002060"/>
          </w:tcPr>
          <w:p w14:paraId="0663D86C" w14:textId="77777777" w:rsidR="00F719D6" w:rsidRPr="00377BBF" w:rsidRDefault="00F719D6" w:rsidP="0043380E">
            <w:pPr>
              <w:pStyle w:val="BodyText2"/>
              <w:spacing w:before="60" w:after="60"/>
              <w:rPr>
                <w:rFonts w:ascii="Times New Roman" w:hAnsi="Times New Roman"/>
                <w:b/>
                <w:sz w:val="24"/>
              </w:rPr>
            </w:pPr>
            <w:r w:rsidRPr="00377BBF">
              <w:rPr>
                <w:rFonts w:ascii="Times New Roman" w:hAnsi="Times New Roman"/>
                <w:b/>
                <w:sz w:val="24"/>
              </w:rPr>
              <w:lastRenderedPageBreak/>
              <w:t>Outcomes</w:t>
            </w:r>
          </w:p>
        </w:tc>
        <w:tc>
          <w:tcPr>
            <w:tcW w:w="1507" w:type="dxa"/>
            <w:gridSpan w:val="2"/>
            <w:shd w:val="clear" w:color="auto" w:fill="002060"/>
          </w:tcPr>
          <w:p w14:paraId="3F726A85" w14:textId="77777777" w:rsidR="00F719D6" w:rsidRPr="00377BBF" w:rsidRDefault="00F719D6" w:rsidP="0043380E">
            <w:pPr>
              <w:pStyle w:val="BodyText2"/>
              <w:spacing w:before="60" w:after="60"/>
              <w:rPr>
                <w:rFonts w:ascii="Times New Roman" w:hAnsi="Times New Roman"/>
                <w:b/>
                <w:sz w:val="22"/>
              </w:rPr>
            </w:pPr>
            <w:r w:rsidRPr="00377BBF">
              <w:rPr>
                <w:rFonts w:ascii="Times New Roman" w:hAnsi="Times New Roman"/>
                <w:b/>
                <w:sz w:val="22"/>
              </w:rPr>
              <w:t>Total Expenditure</w:t>
            </w:r>
          </w:p>
        </w:tc>
        <w:tc>
          <w:tcPr>
            <w:tcW w:w="4320" w:type="dxa"/>
            <w:gridSpan w:val="2"/>
            <w:tcBorders>
              <w:left w:val="single" w:sz="4" w:space="0" w:color="auto"/>
            </w:tcBorders>
            <w:shd w:val="clear" w:color="auto" w:fill="002060"/>
          </w:tcPr>
          <w:p w14:paraId="236D4E81" w14:textId="77777777" w:rsidR="00F719D6" w:rsidRPr="00377BBF" w:rsidRDefault="00F719D6" w:rsidP="0043380E">
            <w:pPr>
              <w:pStyle w:val="BodyText2"/>
              <w:spacing w:before="60" w:after="60"/>
              <w:rPr>
                <w:rFonts w:ascii="Times New Roman" w:hAnsi="Times New Roman"/>
                <w:b/>
                <w:sz w:val="22"/>
              </w:rPr>
            </w:pPr>
            <w:r w:rsidRPr="00377BBF">
              <w:rPr>
                <w:rFonts w:ascii="Times New Roman" w:hAnsi="Times New Roman"/>
                <w:b/>
                <w:sz w:val="22"/>
              </w:rPr>
              <w:t>Key Indicators of outcome (1-4 per outcome)</w:t>
            </w:r>
          </w:p>
        </w:tc>
        <w:tc>
          <w:tcPr>
            <w:tcW w:w="4680" w:type="dxa"/>
            <w:gridSpan w:val="2"/>
            <w:shd w:val="clear" w:color="auto" w:fill="002060"/>
          </w:tcPr>
          <w:p w14:paraId="33696AB4" w14:textId="77777777" w:rsidR="00F719D6" w:rsidRPr="00377BBF" w:rsidRDefault="00F719D6" w:rsidP="0043380E">
            <w:pPr>
              <w:pStyle w:val="BodyText2"/>
              <w:spacing w:before="60" w:after="60"/>
              <w:rPr>
                <w:rFonts w:ascii="Times New Roman" w:hAnsi="Times New Roman"/>
                <w:b/>
                <w:sz w:val="22"/>
              </w:rPr>
            </w:pPr>
            <w:r w:rsidRPr="00377BBF">
              <w:rPr>
                <w:rFonts w:ascii="Times New Roman" w:hAnsi="Times New Roman"/>
                <w:b/>
                <w:sz w:val="22"/>
              </w:rPr>
              <w:t>Progress made against key indicators</w:t>
            </w:r>
          </w:p>
        </w:tc>
      </w:tr>
      <w:tr w:rsidR="008025DC" w:rsidRPr="00377BBF" w14:paraId="44D423AB" w14:textId="77777777" w:rsidTr="00136189">
        <w:tc>
          <w:tcPr>
            <w:tcW w:w="3623" w:type="dxa"/>
            <w:gridSpan w:val="3"/>
            <w:shd w:val="clear" w:color="auto" w:fill="C6D9F1" w:themeFill="text2" w:themeFillTint="33"/>
          </w:tcPr>
          <w:p w14:paraId="27811A25" w14:textId="77777777" w:rsidR="008025DC" w:rsidRPr="00377BBF" w:rsidRDefault="008025DC" w:rsidP="0043380E">
            <w:pPr>
              <w:pStyle w:val="BodyText2"/>
              <w:spacing w:before="60" w:after="60"/>
              <w:rPr>
                <w:rFonts w:ascii="Times New Roman" w:hAnsi="Times New Roman"/>
                <w:b/>
              </w:rPr>
            </w:pPr>
            <w:r w:rsidRPr="00377BBF">
              <w:rPr>
                <w:rFonts w:ascii="Times New Roman" w:hAnsi="Times New Roman"/>
                <w:b/>
              </w:rPr>
              <w:lastRenderedPageBreak/>
              <w:t>UNDAF/CPD Outcome 7 People living in areas vulnerable to climate change and disasters benefit from improved risk management and are more resilient to hazard-related shocks</w:t>
            </w:r>
          </w:p>
        </w:tc>
        <w:tc>
          <w:tcPr>
            <w:tcW w:w="1507" w:type="dxa"/>
            <w:gridSpan w:val="2"/>
            <w:shd w:val="clear" w:color="auto" w:fill="auto"/>
          </w:tcPr>
          <w:p w14:paraId="1ED4BCE8" w14:textId="77777777" w:rsidR="008025DC" w:rsidRPr="00377BBF" w:rsidRDefault="008025DC" w:rsidP="0043380E">
            <w:pPr>
              <w:pStyle w:val="BodyText2"/>
              <w:spacing w:before="60" w:after="60"/>
              <w:rPr>
                <w:rFonts w:ascii="Times New Roman" w:hAnsi="Times New Roman"/>
              </w:rPr>
            </w:pPr>
            <w:r w:rsidRPr="00377BBF">
              <w:rPr>
                <w:rFonts w:ascii="Times New Roman" w:hAnsi="Times New Roman"/>
              </w:rPr>
              <w:t>$18,633,475</w:t>
            </w:r>
          </w:p>
        </w:tc>
        <w:tc>
          <w:tcPr>
            <w:tcW w:w="4320" w:type="dxa"/>
            <w:gridSpan w:val="2"/>
            <w:tcBorders>
              <w:left w:val="single" w:sz="4" w:space="0" w:color="auto"/>
            </w:tcBorders>
          </w:tcPr>
          <w:p w14:paraId="625FE459" w14:textId="77777777" w:rsidR="008025DC" w:rsidRPr="00377BBF" w:rsidRDefault="008025DC" w:rsidP="00A229C1">
            <w:pPr>
              <w:pStyle w:val="BodyText2"/>
              <w:numPr>
                <w:ilvl w:val="0"/>
                <w:numId w:val="13"/>
              </w:numPr>
              <w:spacing w:before="60" w:after="60"/>
              <w:ind w:left="360"/>
              <w:rPr>
                <w:rFonts w:ascii="Times New Roman" w:hAnsi="Times New Roman"/>
              </w:rPr>
            </w:pPr>
            <w:r w:rsidRPr="00377BBF">
              <w:rPr>
                <w:rFonts w:ascii="Times New Roman" w:hAnsi="Times New Roman"/>
              </w:rPr>
              <w:t># of districts covered by government-owned emergency operation networks for communicating relief needs (UNDAF 1 #7.2)</w:t>
            </w:r>
          </w:p>
          <w:p w14:paraId="13C822E5" w14:textId="77777777" w:rsidR="008025DC" w:rsidRPr="00377BBF" w:rsidRDefault="008025DC" w:rsidP="00A229C1">
            <w:pPr>
              <w:pStyle w:val="BodyText2"/>
              <w:numPr>
                <w:ilvl w:val="0"/>
                <w:numId w:val="13"/>
              </w:numPr>
              <w:spacing w:before="60" w:after="60"/>
              <w:ind w:left="360"/>
              <w:rPr>
                <w:rFonts w:ascii="Times New Roman" w:hAnsi="Times New Roman"/>
              </w:rPr>
            </w:pPr>
            <w:r w:rsidRPr="00377BBF">
              <w:rPr>
                <w:rFonts w:ascii="Times New Roman" w:hAnsi="Times New Roman"/>
              </w:rPr>
              <w:t>Number of VDCs meeting minimum criteria for disaster-resilient communities as defined by Nepal Risk Reduction Consortium (NRRC) Flagship Four on integrated community-based disaster risk reduction/disaster risk management (UNDAF 1 #7.3)</w:t>
            </w:r>
          </w:p>
        </w:tc>
        <w:tc>
          <w:tcPr>
            <w:tcW w:w="4680" w:type="dxa"/>
            <w:gridSpan w:val="2"/>
            <w:shd w:val="clear" w:color="auto" w:fill="auto"/>
          </w:tcPr>
          <w:p w14:paraId="7FEF68A1" w14:textId="77777777" w:rsidR="008025DC" w:rsidRPr="00377BBF" w:rsidRDefault="008025DC" w:rsidP="00A229C1">
            <w:pPr>
              <w:pStyle w:val="BodyText2"/>
              <w:numPr>
                <w:ilvl w:val="0"/>
                <w:numId w:val="14"/>
              </w:numPr>
              <w:spacing w:before="60" w:after="60"/>
              <w:ind w:left="360"/>
              <w:rPr>
                <w:rFonts w:ascii="Times New Roman" w:hAnsi="Times New Roman"/>
              </w:rPr>
            </w:pPr>
            <w:r w:rsidRPr="00377BBF">
              <w:rPr>
                <w:rFonts w:ascii="Times New Roman" w:hAnsi="Times New Roman"/>
              </w:rPr>
              <w:t>56 District/Reginal EOCs are established and linked with the National EOC. Note: EOC network reaches 56 districts. 4 REOCs (</w:t>
            </w:r>
            <w:proofErr w:type="spellStart"/>
            <w:r w:rsidRPr="00377BBF">
              <w:rPr>
                <w:rFonts w:ascii="Times New Roman" w:hAnsi="Times New Roman"/>
              </w:rPr>
              <w:t>Dipayal-Doti</w:t>
            </w:r>
            <w:proofErr w:type="spellEnd"/>
            <w:r w:rsidRPr="00377BBF">
              <w:rPr>
                <w:rFonts w:ascii="Times New Roman" w:hAnsi="Times New Roman"/>
              </w:rPr>
              <w:t xml:space="preserve">, </w:t>
            </w:r>
            <w:proofErr w:type="spellStart"/>
            <w:r w:rsidRPr="00377BBF">
              <w:rPr>
                <w:rFonts w:ascii="Times New Roman" w:hAnsi="Times New Roman"/>
              </w:rPr>
              <w:t>Pokhara</w:t>
            </w:r>
            <w:proofErr w:type="spellEnd"/>
            <w:r w:rsidRPr="00377BBF">
              <w:rPr>
                <w:rFonts w:ascii="Times New Roman" w:hAnsi="Times New Roman"/>
              </w:rPr>
              <w:t xml:space="preserve">, </w:t>
            </w:r>
            <w:proofErr w:type="spellStart"/>
            <w:r w:rsidRPr="00377BBF">
              <w:rPr>
                <w:rFonts w:ascii="Times New Roman" w:hAnsi="Times New Roman"/>
              </w:rPr>
              <w:t>Surkhet</w:t>
            </w:r>
            <w:proofErr w:type="spellEnd"/>
            <w:r w:rsidRPr="00377BBF">
              <w:rPr>
                <w:rFonts w:ascii="Times New Roman" w:hAnsi="Times New Roman"/>
              </w:rPr>
              <w:t xml:space="preserve"> and </w:t>
            </w:r>
            <w:proofErr w:type="spellStart"/>
            <w:r w:rsidRPr="00377BBF">
              <w:rPr>
                <w:rFonts w:ascii="Times New Roman" w:hAnsi="Times New Roman"/>
              </w:rPr>
              <w:t>Dhankuta</w:t>
            </w:r>
            <w:proofErr w:type="spellEnd"/>
            <w:r w:rsidRPr="00377BBF">
              <w:rPr>
                <w:rFonts w:ascii="Times New Roman" w:hAnsi="Times New Roman"/>
              </w:rPr>
              <w:t xml:space="preserve">) and 54 DEOCs made functional. </w:t>
            </w:r>
          </w:p>
          <w:p w14:paraId="1E8DE698" w14:textId="77777777" w:rsidR="008025DC" w:rsidRPr="00377BBF" w:rsidRDefault="008025DC" w:rsidP="00A229C1">
            <w:pPr>
              <w:pStyle w:val="BodyText2"/>
              <w:numPr>
                <w:ilvl w:val="0"/>
                <w:numId w:val="14"/>
              </w:numPr>
              <w:spacing w:before="60" w:after="60"/>
              <w:ind w:left="360"/>
              <w:rPr>
                <w:rFonts w:ascii="Times New Roman" w:hAnsi="Times New Roman"/>
              </w:rPr>
            </w:pPr>
            <w:r w:rsidRPr="00377BBF">
              <w:rPr>
                <w:rFonts w:ascii="Times New Roman" w:hAnsi="Times New Roman"/>
              </w:rPr>
              <w:t>73 VDCs met the minimum criteria for disaster-resilient communities as per FS4</w:t>
            </w:r>
          </w:p>
        </w:tc>
      </w:tr>
      <w:tr w:rsidR="00D0552F" w:rsidRPr="00377BBF" w14:paraId="39DA97E7" w14:textId="77777777" w:rsidTr="00D0552F">
        <w:tc>
          <w:tcPr>
            <w:tcW w:w="14130" w:type="dxa"/>
            <w:gridSpan w:val="9"/>
            <w:shd w:val="clear" w:color="auto" w:fill="auto"/>
          </w:tcPr>
          <w:p w14:paraId="196937C8" w14:textId="77777777" w:rsidR="00D0552F" w:rsidRPr="00D0552F" w:rsidRDefault="00D0552F" w:rsidP="00D0552F">
            <w:pPr>
              <w:pStyle w:val="BodyText2"/>
              <w:spacing w:before="60" w:after="60"/>
              <w:rPr>
                <w:rFonts w:ascii="Times New Roman" w:hAnsi="Times New Roman"/>
                <w:b/>
              </w:rPr>
            </w:pPr>
            <w:r w:rsidRPr="00D0552F">
              <w:rPr>
                <w:rFonts w:ascii="Times New Roman" w:hAnsi="Times New Roman"/>
                <w:b/>
              </w:rPr>
              <w:t>UNDP Contribution:</w:t>
            </w:r>
          </w:p>
          <w:p w14:paraId="748DB344" w14:textId="77777777" w:rsidR="00D0552F" w:rsidRPr="00D0552F" w:rsidRDefault="00D0552F" w:rsidP="00D0552F">
            <w:pPr>
              <w:pStyle w:val="BodyText2"/>
              <w:spacing w:before="60" w:after="60"/>
              <w:rPr>
                <w:rFonts w:ascii="Times New Roman" w:hAnsi="Times New Roman"/>
              </w:rPr>
            </w:pPr>
            <w:r w:rsidRPr="00D0552F">
              <w:rPr>
                <w:rFonts w:ascii="Times New Roman" w:hAnsi="Times New Roman"/>
              </w:rPr>
              <w:t xml:space="preserve">(Please provide an assessment of the progress made against the </w:t>
            </w:r>
            <w:r w:rsidRPr="00D0552F">
              <w:rPr>
                <w:rFonts w:ascii="Times New Roman" w:hAnsi="Times New Roman"/>
                <w:u w:val="single"/>
              </w:rPr>
              <w:t>CP outputs</w:t>
            </w:r>
            <w:r w:rsidRPr="00D0552F">
              <w:rPr>
                <w:rFonts w:ascii="Times New Roman" w:hAnsi="Times New Roman"/>
              </w:rPr>
              <w:t xml:space="preserve"> over the cycle, and indicate their contribution to the outcome. Please indicate each of the main outputs and provide a summary assessment of overall progress)</w:t>
            </w:r>
          </w:p>
          <w:p w14:paraId="7B234012" w14:textId="77777777" w:rsidR="00D0552F" w:rsidRPr="00D0552F" w:rsidRDefault="00D0552F" w:rsidP="00D0552F">
            <w:pPr>
              <w:pStyle w:val="BodyText2"/>
              <w:spacing w:before="60" w:after="60"/>
              <w:rPr>
                <w:rFonts w:ascii="Times New Roman" w:hAnsi="Times New Roman"/>
              </w:rPr>
            </w:pPr>
          </w:p>
          <w:p w14:paraId="125DE2DC" w14:textId="77777777" w:rsidR="00D0552F" w:rsidRPr="00D0552F" w:rsidRDefault="00D0552F" w:rsidP="00D0552F">
            <w:pPr>
              <w:pStyle w:val="BodyText2"/>
              <w:spacing w:before="60" w:after="60"/>
              <w:rPr>
                <w:rFonts w:ascii="Times New Roman" w:hAnsi="Times New Roman"/>
                <w:b/>
              </w:rPr>
            </w:pPr>
            <w:r w:rsidRPr="00D0552F">
              <w:rPr>
                <w:rFonts w:ascii="Times New Roman" w:hAnsi="Times New Roman"/>
                <w:b/>
                <w:u w:val="single"/>
              </w:rPr>
              <w:t>CP Outputs</w:t>
            </w:r>
            <w:r w:rsidRPr="00D0552F">
              <w:rPr>
                <w:rFonts w:ascii="Times New Roman" w:hAnsi="Times New Roman"/>
                <w:b/>
              </w:rPr>
              <w:t>:</w:t>
            </w:r>
          </w:p>
          <w:p w14:paraId="36D4D030" w14:textId="77777777" w:rsidR="00D0552F" w:rsidRPr="00D0552F" w:rsidRDefault="00D0552F" w:rsidP="00D0552F">
            <w:pPr>
              <w:pStyle w:val="BodyText2"/>
              <w:spacing w:before="60" w:after="60"/>
              <w:rPr>
                <w:rFonts w:ascii="Times New Roman" w:hAnsi="Times New Roman"/>
              </w:rPr>
            </w:pPr>
          </w:p>
          <w:p w14:paraId="1D43991B" w14:textId="77777777" w:rsidR="00D0552F" w:rsidRPr="00D0552F" w:rsidRDefault="00D0552F" w:rsidP="00D0552F">
            <w:pPr>
              <w:pStyle w:val="BodyText2"/>
              <w:spacing w:before="60" w:after="60"/>
              <w:rPr>
                <w:rFonts w:ascii="Times New Roman" w:hAnsi="Times New Roman"/>
              </w:rPr>
            </w:pPr>
            <w:r w:rsidRPr="00D0552F">
              <w:rPr>
                <w:rFonts w:ascii="Times New Roman" w:hAnsi="Times New Roman"/>
              </w:rPr>
              <w:t xml:space="preserve">The UNDP CP identified three major outputs to support the Government in achieving this outcome: </w:t>
            </w:r>
          </w:p>
          <w:p w14:paraId="45556837" w14:textId="77777777" w:rsidR="00D0552F" w:rsidRPr="00D0552F" w:rsidRDefault="00D0552F" w:rsidP="00D0552F">
            <w:pPr>
              <w:pStyle w:val="BodyText2"/>
              <w:spacing w:before="60" w:after="60"/>
              <w:rPr>
                <w:rFonts w:ascii="Times New Roman" w:hAnsi="Times New Roman"/>
              </w:rPr>
            </w:pPr>
          </w:p>
          <w:p w14:paraId="788BE3CA" w14:textId="77777777" w:rsidR="00D0552F" w:rsidRPr="00D0552F" w:rsidRDefault="00D0552F" w:rsidP="00D0552F">
            <w:pPr>
              <w:pStyle w:val="BodyText2"/>
              <w:spacing w:before="60" w:after="60"/>
              <w:rPr>
                <w:rFonts w:ascii="Times New Roman" w:hAnsi="Times New Roman"/>
                <w:i/>
              </w:rPr>
            </w:pPr>
            <w:r w:rsidRPr="00D0552F">
              <w:rPr>
                <w:rFonts w:ascii="Times New Roman" w:hAnsi="Times New Roman"/>
                <w:i/>
              </w:rPr>
              <w:t>Output 7.1 Government officials at all levels have capacity to lead and implement systems and policies to effectively manage risks and adapt to climate change</w:t>
            </w:r>
          </w:p>
          <w:p w14:paraId="29AEA61C" w14:textId="77777777" w:rsidR="00D0552F" w:rsidRPr="00D0552F" w:rsidRDefault="00D0552F" w:rsidP="00D0552F">
            <w:pPr>
              <w:pStyle w:val="BodyText2"/>
              <w:spacing w:before="60" w:after="60"/>
              <w:rPr>
                <w:rFonts w:ascii="Times New Roman" w:hAnsi="Times New Roman"/>
                <w:i/>
              </w:rPr>
            </w:pPr>
            <w:r w:rsidRPr="00D0552F">
              <w:rPr>
                <w:rFonts w:ascii="Times New Roman" w:hAnsi="Times New Roman"/>
                <w:i/>
              </w:rPr>
              <w:t>Output 7.2 Urban populations are better able to prepare for and manage hazard and climate change adaptation risk</w:t>
            </w:r>
          </w:p>
          <w:p w14:paraId="2C273F0A" w14:textId="77777777" w:rsidR="00D0552F" w:rsidRPr="00D0552F" w:rsidRDefault="00D0552F" w:rsidP="00D0552F">
            <w:pPr>
              <w:pStyle w:val="BodyText2"/>
              <w:spacing w:before="60" w:after="60"/>
              <w:rPr>
                <w:rFonts w:ascii="Times New Roman" w:hAnsi="Times New Roman"/>
                <w:i/>
              </w:rPr>
            </w:pPr>
            <w:r w:rsidRPr="00D0552F">
              <w:rPr>
                <w:rFonts w:ascii="Times New Roman" w:hAnsi="Times New Roman"/>
                <w:i/>
              </w:rPr>
              <w:t>Output 7.3 Vulnerable populations have increased knowledge about disaster risk management and capacity for climate change adaptation and mitigation of risk</w:t>
            </w:r>
          </w:p>
          <w:p w14:paraId="78AA2551" w14:textId="77777777" w:rsidR="00D0552F" w:rsidRPr="00D0552F" w:rsidRDefault="00D0552F" w:rsidP="00D0552F">
            <w:pPr>
              <w:pStyle w:val="BodyText2"/>
              <w:spacing w:before="60" w:after="60"/>
              <w:rPr>
                <w:rFonts w:ascii="Times New Roman" w:hAnsi="Times New Roman"/>
                <w:i/>
              </w:rPr>
            </w:pPr>
            <w:r w:rsidRPr="00D0552F">
              <w:rPr>
                <w:rFonts w:ascii="Times New Roman" w:hAnsi="Times New Roman"/>
                <w:i/>
              </w:rPr>
              <w:t>Output 7.4 National preparedness and emergency systems can effectively prepare for and respond to hazard-related disaster</w:t>
            </w:r>
          </w:p>
          <w:p w14:paraId="32668797" w14:textId="77777777" w:rsidR="00D0552F" w:rsidRPr="00D0552F" w:rsidRDefault="00D0552F" w:rsidP="00D0552F">
            <w:pPr>
              <w:pStyle w:val="BodyText2"/>
              <w:spacing w:before="60" w:after="60"/>
              <w:rPr>
                <w:rFonts w:ascii="Times New Roman" w:hAnsi="Times New Roman"/>
              </w:rPr>
            </w:pPr>
          </w:p>
          <w:p w14:paraId="226C8CBD" w14:textId="77777777" w:rsidR="00D0552F" w:rsidRPr="00D0552F" w:rsidRDefault="00D0552F" w:rsidP="00D0552F">
            <w:pPr>
              <w:pStyle w:val="BodyText2"/>
              <w:spacing w:before="60" w:after="60"/>
              <w:rPr>
                <w:rFonts w:ascii="Times New Roman" w:hAnsi="Times New Roman"/>
                <w:b/>
              </w:rPr>
            </w:pPr>
            <w:r w:rsidRPr="00D0552F">
              <w:rPr>
                <w:rFonts w:ascii="Times New Roman" w:hAnsi="Times New Roman"/>
                <w:b/>
                <w:u w:val="single"/>
              </w:rPr>
              <w:t>Progress and Achievements</w:t>
            </w:r>
            <w:r w:rsidRPr="00D0552F">
              <w:rPr>
                <w:rFonts w:ascii="Times New Roman" w:hAnsi="Times New Roman"/>
                <w:b/>
              </w:rPr>
              <w:t>:</w:t>
            </w:r>
          </w:p>
          <w:p w14:paraId="3960032E" w14:textId="77777777" w:rsidR="00D0552F" w:rsidRPr="00D0552F" w:rsidRDefault="00D0552F" w:rsidP="00D0552F">
            <w:pPr>
              <w:pStyle w:val="BodyText2"/>
              <w:spacing w:before="60" w:after="60"/>
              <w:rPr>
                <w:rFonts w:ascii="Times New Roman" w:hAnsi="Times New Roman"/>
                <w:b/>
              </w:rPr>
            </w:pPr>
          </w:p>
          <w:p w14:paraId="3366D15B" w14:textId="77777777" w:rsidR="00D0552F" w:rsidRPr="00D0552F" w:rsidRDefault="00D0552F" w:rsidP="00D0552F">
            <w:pPr>
              <w:pStyle w:val="BodyText2"/>
              <w:spacing w:before="60" w:after="60"/>
              <w:rPr>
                <w:rFonts w:ascii="Times New Roman" w:hAnsi="Times New Roman"/>
                <w:b/>
              </w:rPr>
            </w:pPr>
            <w:r w:rsidRPr="00D0552F">
              <w:rPr>
                <w:rFonts w:ascii="Times New Roman" w:hAnsi="Times New Roman"/>
              </w:rPr>
              <w:t>Nepal is globally ranked 4</w:t>
            </w:r>
            <w:r w:rsidRPr="00D0552F">
              <w:rPr>
                <w:rFonts w:ascii="Times New Roman" w:hAnsi="Times New Roman"/>
                <w:vertAlign w:val="superscript"/>
              </w:rPr>
              <w:t>th</w:t>
            </w:r>
            <w:r w:rsidRPr="00D0552F">
              <w:rPr>
                <w:rFonts w:ascii="Times New Roman" w:hAnsi="Times New Roman"/>
              </w:rPr>
              <w:t xml:space="preserve"> for vulnerabilities to Climate Change, 11</w:t>
            </w:r>
            <w:r w:rsidRPr="00D0552F">
              <w:rPr>
                <w:rFonts w:ascii="Times New Roman" w:hAnsi="Times New Roman"/>
                <w:vertAlign w:val="superscript"/>
              </w:rPr>
              <w:t>th</w:t>
            </w:r>
            <w:r w:rsidRPr="00D0552F">
              <w:rPr>
                <w:rFonts w:ascii="Times New Roman" w:hAnsi="Times New Roman"/>
              </w:rPr>
              <w:t xml:space="preserve"> for earthquakes and 30</w:t>
            </w:r>
            <w:r w:rsidRPr="00D0552F">
              <w:rPr>
                <w:rFonts w:ascii="Times New Roman" w:hAnsi="Times New Roman"/>
                <w:vertAlign w:val="superscript"/>
              </w:rPr>
              <w:t>th</w:t>
            </w:r>
            <w:r w:rsidRPr="00D0552F">
              <w:rPr>
                <w:rFonts w:ascii="Times New Roman" w:hAnsi="Times New Roman"/>
              </w:rPr>
              <w:t xml:space="preserve"> for water related hazards. To combat these vulnerabilities UNDP focused on improving government capacity to manage climate change and increase community resilience. UNDP has been supporting National Planning Commission (NPC) for integration of Disaster and Climate Risk Management in sectoral planning and implementation. </w:t>
            </w:r>
          </w:p>
          <w:p w14:paraId="0A7A5B24" w14:textId="77777777" w:rsidR="00D0552F" w:rsidRPr="00D0552F" w:rsidRDefault="00D0552F" w:rsidP="00D0552F">
            <w:pPr>
              <w:pStyle w:val="BodyText2"/>
              <w:spacing w:before="60" w:after="60"/>
              <w:rPr>
                <w:rFonts w:ascii="Times New Roman" w:hAnsi="Times New Roman"/>
              </w:rPr>
            </w:pPr>
          </w:p>
          <w:p w14:paraId="130727B5" w14:textId="77777777" w:rsidR="00D0552F" w:rsidRPr="00D0552F" w:rsidRDefault="00D0552F" w:rsidP="00D0552F">
            <w:pPr>
              <w:pStyle w:val="ListParagraph"/>
              <w:widowControl/>
              <w:numPr>
                <w:ilvl w:val="1"/>
                <w:numId w:val="27"/>
              </w:numPr>
              <w:autoSpaceDE w:val="0"/>
              <w:autoSpaceDN w:val="0"/>
              <w:adjustRightInd w:val="0"/>
              <w:spacing w:before="60" w:after="60"/>
              <w:rPr>
                <w:sz w:val="20"/>
              </w:rPr>
            </w:pPr>
            <w:r w:rsidRPr="00D0552F">
              <w:rPr>
                <w:sz w:val="20"/>
              </w:rPr>
              <w:t>5% of budget allocation for DRR/CCA continues to be the policy for the local governments. At national level, 19.45% of the annual budget was allocated for DRR and CCA related activities. An approach paper for 3-year development plan responsive to CC and DRM has been formulated. National disaster preparedness and response capacity has been increased with the establishment of 55 DEOCs.</w:t>
            </w:r>
          </w:p>
          <w:p w14:paraId="148B0401" w14:textId="77777777" w:rsidR="00D0552F" w:rsidRPr="00D0552F" w:rsidRDefault="00D0552F" w:rsidP="00D0552F">
            <w:pPr>
              <w:pStyle w:val="ListParagraph"/>
              <w:widowControl/>
              <w:autoSpaceDE w:val="0"/>
              <w:autoSpaceDN w:val="0"/>
              <w:adjustRightInd w:val="0"/>
              <w:spacing w:before="60" w:after="60"/>
              <w:ind w:left="360"/>
              <w:rPr>
                <w:sz w:val="20"/>
              </w:rPr>
            </w:pPr>
          </w:p>
          <w:p w14:paraId="34254526" w14:textId="77777777" w:rsidR="00D0552F" w:rsidRPr="00D0552F" w:rsidRDefault="00D0552F" w:rsidP="00D0552F">
            <w:pPr>
              <w:pStyle w:val="ListParagraph"/>
              <w:widowControl/>
              <w:numPr>
                <w:ilvl w:val="1"/>
                <w:numId w:val="27"/>
              </w:numPr>
              <w:autoSpaceDE w:val="0"/>
              <w:autoSpaceDN w:val="0"/>
              <w:adjustRightInd w:val="0"/>
              <w:spacing w:before="60" w:after="60"/>
              <w:rPr>
                <w:sz w:val="20"/>
              </w:rPr>
            </w:pPr>
            <w:r w:rsidRPr="00D0552F">
              <w:rPr>
                <w:sz w:val="20"/>
              </w:rPr>
              <w:lastRenderedPageBreak/>
              <w:t xml:space="preserve">Risk Sensitive Land Use Plan (RSLUP) of Kathmandu Valley and 21 then municipalities along with relevant bye-laws prepared in 2015. 5 municipalities of Kathmandu Valley (KMC, LSMC, </w:t>
            </w:r>
            <w:proofErr w:type="spellStart"/>
            <w:r w:rsidR="00BC1731" w:rsidRPr="00D0552F">
              <w:rPr>
                <w:sz w:val="20"/>
              </w:rPr>
              <w:t>Kirtipur</w:t>
            </w:r>
            <w:proofErr w:type="spellEnd"/>
            <w:r w:rsidR="00BC1731" w:rsidRPr="00D0552F">
              <w:rPr>
                <w:sz w:val="20"/>
              </w:rPr>
              <w:t xml:space="preserve">, </w:t>
            </w:r>
            <w:proofErr w:type="spellStart"/>
            <w:r w:rsidR="00BC1731" w:rsidRPr="00D0552F">
              <w:rPr>
                <w:sz w:val="20"/>
              </w:rPr>
              <w:t>Bhaktapur</w:t>
            </w:r>
            <w:proofErr w:type="spellEnd"/>
            <w:r w:rsidRPr="00D0552F">
              <w:rPr>
                <w:sz w:val="20"/>
              </w:rPr>
              <w:t xml:space="preserve">, and </w:t>
            </w:r>
            <w:proofErr w:type="spellStart"/>
            <w:r w:rsidRPr="00D0552F">
              <w:rPr>
                <w:sz w:val="20"/>
              </w:rPr>
              <w:t>MadhyapurThimi</w:t>
            </w:r>
            <w:proofErr w:type="spellEnd"/>
            <w:r w:rsidR="00BC1731" w:rsidRPr="00D0552F">
              <w:rPr>
                <w:sz w:val="20"/>
              </w:rPr>
              <w:t>),</w:t>
            </w:r>
            <w:r w:rsidRPr="00D0552F">
              <w:rPr>
                <w:sz w:val="20"/>
              </w:rPr>
              <w:t xml:space="preserve"> 2 municipalities of </w:t>
            </w:r>
            <w:proofErr w:type="spellStart"/>
            <w:r w:rsidRPr="00D0552F">
              <w:rPr>
                <w:sz w:val="20"/>
              </w:rPr>
              <w:t>Sindhupalchok</w:t>
            </w:r>
            <w:proofErr w:type="spellEnd"/>
            <w:r w:rsidRPr="00D0552F">
              <w:rPr>
                <w:sz w:val="20"/>
              </w:rPr>
              <w:t xml:space="preserve"> and 1 of </w:t>
            </w:r>
            <w:proofErr w:type="spellStart"/>
            <w:r w:rsidRPr="00D0552F">
              <w:rPr>
                <w:sz w:val="20"/>
              </w:rPr>
              <w:t>Kavrepalanchok</w:t>
            </w:r>
            <w:proofErr w:type="spellEnd"/>
            <w:r w:rsidRPr="00D0552F">
              <w:rPr>
                <w:sz w:val="20"/>
              </w:rPr>
              <w:t xml:space="preserve"> continue implementing the National Building Code (NBC). More than 1000 masons and 300 engineers have been trained on NBC. Electronic Building Permit System (e-BPS) is adopted in Kathmandu Metropolitan Municipality, </w:t>
            </w:r>
            <w:proofErr w:type="spellStart"/>
            <w:r w:rsidRPr="00D0552F">
              <w:rPr>
                <w:sz w:val="20"/>
              </w:rPr>
              <w:t>Kirtipur</w:t>
            </w:r>
            <w:proofErr w:type="spellEnd"/>
            <w:r w:rsidRPr="00D0552F">
              <w:rPr>
                <w:sz w:val="20"/>
              </w:rPr>
              <w:t xml:space="preserve"> Municipality and </w:t>
            </w:r>
            <w:proofErr w:type="spellStart"/>
            <w:r w:rsidRPr="00D0552F">
              <w:rPr>
                <w:sz w:val="20"/>
              </w:rPr>
              <w:t>Lalitpur</w:t>
            </w:r>
            <w:proofErr w:type="spellEnd"/>
            <w:r w:rsidRPr="00D0552F">
              <w:rPr>
                <w:sz w:val="20"/>
              </w:rPr>
              <w:t xml:space="preserve"> Sub-Metropolitan City. Manual Building Permit System has been adopted by 8 other municipalities of Kathmandu Valley. 3 municipalities (</w:t>
            </w:r>
            <w:proofErr w:type="spellStart"/>
            <w:r w:rsidRPr="00D0552F">
              <w:rPr>
                <w:sz w:val="20"/>
              </w:rPr>
              <w:t>Lalitpur</w:t>
            </w:r>
            <w:proofErr w:type="spellEnd"/>
            <w:r w:rsidRPr="00D0552F">
              <w:rPr>
                <w:sz w:val="20"/>
              </w:rPr>
              <w:t xml:space="preserve"> Sub-Metropolitan City, </w:t>
            </w:r>
            <w:proofErr w:type="spellStart"/>
            <w:r w:rsidRPr="00D0552F">
              <w:rPr>
                <w:sz w:val="20"/>
              </w:rPr>
              <w:t>Pokhara</w:t>
            </w:r>
            <w:proofErr w:type="spellEnd"/>
            <w:r w:rsidRPr="00D0552F">
              <w:rPr>
                <w:sz w:val="20"/>
              </w:rPr>
              <w:t xml:space="preserve"> Sub-Metropolitan City and </w:t>
            </w:r>
            <w:proofErr w:type="spellStart"/>
            <w:r w:rsidRPr="00D0552F">
              <w:rPr>
                <w:sz w:val="20"/>
              </w:rPr>
              <w:t>Dharan</w:t>
            </w:r>
            <w:proofErr w:type="spellEnd"/>
            <w:r w:rsidRPr="00D0552F">
              <w:rPr>
                <w:sz w:val="20"/>
              </w:rPr>
              <w:t xml:space="preserve"> Sub- Metropolitan City) have incorporated disaster risk management and climate change in their periodic plans and developed incentive mechanisms to promote sustainable housing in their cities. The 3 municipalities are implementing the eco-city-based pilot projects since the last 3 years. Around 2672 beneficiaries (37% women) have been oriented on safer construction to support the development of local risk management knowledge.</w:t>
            </w:r>
          </w:p>
          <w:p w14:paraId="14DA91C8" w14:textId="77777777" w:rsidR="00D0552F" w:rsidRPr="00D0552F" w:rsidRDefault="00D0552F" w:rsidP="00D0552F">
            <w:pPr>
              <w:pStyle w:val="ListParagraph"/>
              <w:rPr>
                <w:sz w:val="20"/>
              </w:rPr>
            </w:pPr>
          </w:p>
          <w:p w14:paraId="20176A5E" w14:textId="77777777" w:rsidR="00D0552F" w:rsidRPr="00D0552F" w:rsidRDefault="00D0552F" w:rsidP="00D0552F">
            <w:pPr>
              <w:pStyle w:val="ListParagraph"/>
              <w:widowControl/>
              <w:numPr>
                <w:ilvl w:val="1"/>
                <w:numId w:val="27"/>
              </w:numPr>
              <w:autoSpaceDE w:val="0"/>
              <w:autoSpaceDN w:val="0"/>
              <w:adjustRightInd w:val="0"/>
              <w:spacing w:before="60" w:after="60"/>
              <w:contextualSpacing w:val="0"/>
              <w:rPr>
                <w:sz w:val="20"/>
              </w:rPr>
            </w:pPr>
            <w:r w:rsidRPr="00D0552F">
              <w:rPr>
                <w:sz w:val="20"/>
              </w:rPr>
              <w:t>Actions identified in 100 gender sensitive local adaptation plans (LAPAs) are prioritized every year and each year these priority actions are implemented benefitting 180,164 people. In total (2013-2016), 2320 adaptation activities (out of 2,500) were implemented across 6 thematic areas benefitting more than 600,000 (50% women) people from vulnerable communities. A total of 392,651 (44% female) people from 80,581 households</w:t>
            </w:r>
            <w:r w:rsidR="00D43F7D">
              <w:rPr>
                <w:sz w:val="20"/>
              </w:rPr>
              <w:t xml:space="preserve"> </w:t>
            </w:r>
            <w:r w:rsidRPr="00D0552F">
              <w:rPr>
                <w:sz w:val="20"/>
              </w:rPr>
              <w:t xml:space="preserve">of vulnerable communities have been reached and capacitated on disaster risk management and climate change adaptation. Department of Hydrology/ Metrology (DHM) and UNDP in collaboration with Nepal Army has successfully lowered the water level of </w:t>
            </w:r>
            <w:proofErr w:type="spellStart"/>
            <w:r w:rsidRPr="00D0552F">
              <w:rPr>
                <w:sz w:val="20"/>
              </w:rPr>
              <w:t>Imja</w:t>
            </w:r>
            <w:proofErr w:type="spellEnd"/>
            <w:r w:rsidRPr="00D0552F">
              <w:rPr>
                <w:sz w:val="20"/>
              </w:rPr>
              <w:t xml:space="preserve"> Lake by 3.4 meters reducing GLOF risks to 12,690 local inhabitants of the downstream and about 74,992 annual floating population in the region. Operationalization of automated GLOF early warning systems in 6 prime locations including 18 CBEWS downstream of </w:t>
            </w:r>
            <w:proofErr w:type="spellStart"/>
            <w:r w:rsidRPr="00D0552F">
              <w:rPr>
                <w:sz w:val="20"/>
              </w:rPr>
              <w:t>Imja</w:t>
            </w:r>
            <w:proofErr w:type="spellEnd"/>
            <w:r w:rsidRPr="00D0552F">
              <w:rPr>
                <w:sz w:val="20"/>
              </w:rPr>
              <w:t xml:space="preserve"> and </w:t>
            </w:r>
            <w:proofErr w:type="spellStart"/>
            <w:r w:rsidRPr="00D0552F">
              <w:rPr>
                <w:sz w:val="20"/>
              </w:rPr>
              <w:t>hydromet</w:t>
            </w:r>
            <w:proofErr w:type="spellEnd"/>
            <w:r w:rsidRPr="00D0552F">
              <w:rPr>
                <w:sz w:val="20"/>
              </w:rPr>
              <w:t xml:space="preserve"> sensors have enabled local communities to get GLOF risk warnings with sufficient lead time for preparedness. Vulnerable population have increased knowledge and skill on GLOF risk management through mock drill events, radio </w:t>
            </w:r>
            <w:proofErr w:type="spellStart"/>
            <w:r w:rsidRPr="00D0552F">
              <w:rPr>
                <w:sz w:val="20"/>
              </w:rPr>
              <w:t>programmes</w:t>
            </w:r>
            <w:proofErr w:type="spellEnd"/>
            <w:r w:rsidRPr="00D0552F">
              <w:rPr>
                <w:sz w:val="20"/>
              </w:rPr>
              <w:t xml:space="preserve"> and combination of information </w:t>
            </w:r>
            <w:r w:rsidR="00BC1731" w:rsidRPr="00D0552F">
              <w:rPr>
                <w:sz w:val="20"/>
              </w:rPr>
              <w:t>products. Nepal’s</w:t>
            </w:r>
            <w:r w:rsidRPr="00D0552F">
              <w:rPr>
                <w:sz w:val="20"/>
              </w:rPr>
              <w:t xml:space="preserve"> forestry sector policy and plan identifies the core values of ecosystem based adaptation (</w:t>
            </w:r>
            <w:proofErr w:type="spellStart"/>
            <w:r w:rsidRPr="00D0552F">
              <w:rPr>
                <w:sz w:val="20"/>
              </w:rPr>
              <w:t>EbA</w:t>
            </w:r>
            <w:proofErr w:type="spellEnd"/>
            <w:r w:rsidRPr="00D0552F">
              <w:rPr>
                <w:sz w:val="20"/>
              </w:rPr>
              <w:t xml:space="preserve">) approaches. A draft guideline and management plan of </w:t>
            </w:r>
            <w:proofErr w:type="spellStart"/>
            <w:r w:rsidRPr="00D0552F">
              <w:rPr>
                <w:sz w:val="20"/>
              </w:rPr>
              <w:t>Panchase</w:t>
            </w:r>
            <w:proofErr w:type="spellEnd"/>
            <w:r w:rsidRPr="00D0552F">
              <w:rPr>
                <w:sz w:val="20"/>
              </w:rPr>
              <w:t xml:space="preserve"> Protection Forest and </w:t>
            </w:r>
            <w:proofErr w:type="spellStart"/>
            <w:r w:rsidRPr="00D0552F">
              <w:rPr>
                <w:sz w:val="20"/>
              </w:rPr>
              <w:t>ShivapuriNagarjun</w:t>
            </w:r>
            <w:proofErr w:type="spellEnd"/>
            <w:r w:rsidRPr="00D0552F">
              <w:rPr>
                <w:sz w:val="20"/>
              </w:rPr>
              <w:t xml:space="preserve"> National Park using </w:t>
            </w:r>
            <w:proofErr w:type="spellStart"/>
            <w:r w:rsidRPr="00D0552F">
              <w:rPr>
                <w:sz w:val="20"/>
              </w:rPr>
              <w:t>EbA</w:t>
            </w:r>
            <w:proofErr w:type="spellEnd"/>
            <w:r w:rsidRPr="00D0552F">
              <w:rPr>
                <w:sz w:val="20"/>
              </w:rPr>
              <w:t xml:space="preserve"> approaches have been submitted to Department of Forest.</w:t>
            </w:r>
          </w:p>
          <w:p w14:paraId="3D586147" w14:textId="77777777" w:rsidR="00D0552F" w:rsidRPr="00D0552F" w:rsidRDefault="00D0552F" w:rsidP="00D0552F">
            <w:pPr>
              <w:pStyle w:val="ListParagraph"/>
              <w:widowControl/>
              <w:autoSpaceDE w:val="0"/>
              <w:autoSpaceDN w:val="0"/>
              <w:adjustRightInd w:val="0"/>
              <w:spacing w:before="60" w:after="60"/>
              <w:ind w:left="360"/>
              <w:contextualSpacing w:val="0"/>
              <w:rPr>
                <w:sz w:val="20"/>
              </w:rPr>
            </w:pPr>
          </w:p>
          <w:p w14:paraId="0298C56D" w14:textId="77777777" w:rsidR="00D0552F" w:rsidRPr="00D0552F" w:rsidRDefault="00D0552F" w:rsidP="00766182">
            <w:pPr>
              <w:pStyle w:val="ListParagraph"/>
              <w:widowControl/>
              <w:numPr>
                <w:ilvl w:val="1"/>
                <w:numId w:val="27"/>
              </w:numPr>
              <w:autoSpaceDE w:val="0"/>
              <w:autoSpaceDN w:val="0"/>
              <w:adjustRightInd w:val="0"/>
              <w:spacing w:before="60" w:after="60"/>
              <w:contextualSpacing w:val="0"/>
              <w:rPr>
                <w:sz w:val="20"/>
              </w:rPr>
            </w:pPr>
            <w:r w:rsidRPr="00D0552F">
              <w:rPr>
                <w:sz w:val="20"/>
              </w:rPr>
              <w:t xml:space="preserve">All 75 districts (100%) have district disaster preparedness and response plans. Similarly, 700 local disaster risk management plans are in place. As part of the plan, community based early warning system has been established in </w:t>
            </w:r>
            <w:proofErr w:type="spellStart"/>
            <w:r w:rsidRPr="00D0552F">
              <w:rPr>
                <w:sz w:val="20"/>
              </w:rPr>
              <w:t>Tsho</w:t>
            </w:r>
            <w:proofErr w:type="spellEnd"/>
            <w:r w:rsidRPr="00D0552F">
              <w:rPr>
                <w:sz w:val="20"/>
              </w:rPr>
              <w:t xml:space="preserve"> </w:t>
            </w:r>
            <w:proofErr w:type="spellStart"/>
            <w:r w:rsidRPr="00D0552F">
              <w:rPr>
                <w:sz w:val="20"/>
              </w:rPr>
              <w:t>Rolpa</w:t>
            </w:r>
            <w:proofErr w:type="spellEnd"/>
            <w:r w:rsidRPr="00D0552F">
              <w:rPr>
                <w:sz w:val="20"/>
              </w:rPr>
              <w:t xml:space="preserve"> Glacial Lake in </w:t>
            </w:r>
            <w:proofErr w:type="spellStart"/>
            <w:r w:rsidRPr="00D0552F">
              <w:rPr>
                <w:sz w:val="20"/>
              </w:rPr>
              <w:t>Dolakha</w:t>
            </w:r>
            <w:proofErr w:type="spellEnd"/>
            <w:r w:rsidRPr="00D0552F">
              <w:rPr>
                <w:sz w:val="20"/>
              </w:rPr>
              <w:t xml:space="preserve">, in </w:t>
            </w:r>
            <w:proofErr w:type="spellStart"/>
            <w:r w:rsidRPr="00D0552F">
              <w:rPr>
                <w:sz w:val="20"/>
              </w:rPr>
              <w:t>Riu-</w:t>
            </w:r>
            <w:r w:rsidR="00BC1731" w:rsidRPr="00D0552F">
              <w:rPr>
                <w:sz w:val="20"/>
              </w:rPr>
              <w:t>khola</w:t>
            </w:r>
            <w:proofErr w:type="spellEnd"/>
            <w:r w:rsidR="00BC1731" w:rsidRPr="00D0552F">
              <w:rPr>
                <w:sz w:val="20"/>
              </w:rPr>
              <w:t xml:space="preserve"> sub</w:t>
            </w:r>
            <w:r w:rsidRPr="00D0552F">
              <w:rPr>
                <w:sz w:val="20"/>
              </w:rPr>
              <w:t xml:space="preserve">-watershed in </w:t>
            </w:r>
            <w:proofErr w:type="spellStart"/>
            <w:r w:rsidRPr="00D0552F">
              <w:rPr>
                <w:sz w:val="20"/>
              </w:rPr>
              <w:t>Maadi</w:t>
            </w:r>
            <w:proofErr w:type="spellEnd"/>
            <w:r w:rsidRPr="00D0552F">
              <w:rPr>
                <w:sz w:val="20"/>
              </w:rPr>
              <w:t xml:space="preserve">, </w:t>
            </w:r>
            <w:proofErr w:type="spellStart"/>
            <w:r w:rsidRPr="00D0552F">
              <w:rPr>
                <w:sz w:val="20"/>
              </w:rPr>
              <w:t>Chitwan</w:t>
            </w:r>
            <w:proofErr w:type="spellEnd"/>
            <w:r w:rsidRPr="00D0552F">
              <w:rPr>
                <w:sz w:val="20"/>
              </w:rPr>
              <w:t xml:space="preserve"> and Sindhu-</w:t>
            </w:r>
            <w:proofErr w:type="spellStart"/>
            <w:r w:rsidRPr="00D0552F">
              <w:rPr>
                <w:sz w:val="20"/>
              </w:rPr>
              <w:t>khola</w:t>
            </w:r>
            <w:proofErr w:type="spellEnd"/>
            <w:r w:rsidRPr="00D0552F">
              <w:rPr>
                <w:sz w:val="20"/>
              </w:rPr>
              <w:t xml:space="preserve"> sub-watershed benefiting 17,000 households.</w:t>
            </w:r>
            <w:r w:rsidR="00766182">
              <w:t xml:space="preserve"> </w:t>
            </w:r>
            <w:r w:rsidR="00766182" w:rsidRPr="00766182">
              <w:rPr>
                <w:sz w:val="20"/>
              </w:rPr>
              <w:t xml:space="preserve">Department of Hydrology/ Metrology (DHM) and UNDP in collaboration with Nepal Army has successfully lowered the water level of </w:t>
            </w:r>
            <w:proofErr w:type="spellStart"/>
            <w:r w:rsidR="00766182" w:rsidRPr="00766182">
              <w:rPr>
                <w:sz w:val="20"/>
              </w:rPr>
              <w:t>Imja</w:t>
            </w:r>
            <w:proofErr w:type="spellEnd"/>
            <w:r w:rsidR="00766182" w:rsidRPr="00766182">
              <w:rPr>
                <w:sz w:val="20"/>
              </w:rPr>
              <w:t xml:space="preserve"> Lake by 3.4 meters reducing GLOF risks to 12,690 local inhabitants of the downstream and about 74,992 annual floating population in the region. Operationalization of automated GLOF early warning systems in 6 prime locations including 18 CBEWS downstream of </w:t>
            </w:r>
            <w:proofErr w:type="spellStart"/>
            <w:r w:rsidR="00766182" w:rsidRPr="00766182">
              <w:rPr>
                <w:sz w:val="20"/>
              </w:rPr>
              <w:t>Imja</w:t>
            </w:r>
            <w:proofErr w:type="spellEnd"/>
            <w:r w:rsidR="00766182" w:rsidRPr="00766182">
              <w:rPr>
                <w:sz w:val="20"/>
              </w:rPr>
              <w:t xml:space="preserve"> and hydro-met sensors have enabled local communities to get GLOF risk warnings with sufficient lead time for preparedness. Vulnerable population have increased knowledge and skill on GLOF risk management through mock drill events, radio </w:t>
            </w:r>
            <w:proofErr w:type="spellStart"/>
            <w:r w:rsidR="00766182" w:rsidRPr="00766182">
              <w:rPr>
                <w:sz w:val="20"/>
              </w:rPr>
              <w:t>programmes</w:t>
            </w:r>
            <w:proofErr w:type="spellEnd"/>
            <w:r w:rsidR="00766182" w:rsidRPr="00766182">
              <w:rPr>
                <w:sz w:val="20"/>
              </w:rPr>
              <w:t xml:space="preserve"> and combination of information products.</w:t>
            </w:r>
          </w:p>
        </w:tc>
      </w:tr>
      <w:tr w:rsidR="00F719D6" w:rsidRPr="00377BBF" w14:paraId="42C0E64C" w14:textId="77777777" w:rsidTr="00136189">
        <w:tc>
          <w:tcPr>
            <w:tcW w:w="3623" w:type="dxa"/>
            <w:gridSpan w:val="3"/>
            <w:shd w:val="clear" w:color="auto" w:fill="002060"/>
          </w:tcPr>
          <w:p w14:paraId="12024055" w14:textId="77777777" w:rsidR="00F719D6" w:rsidRPr="00377BBF" w:rsidRDefault="00F719D6" w:rsidP="0043380E">
            <w:pPr>
              <w:pStyle w:val="BodyText2"/>
              <w:spacing w:before="60" w:after="60"/>
              <w:rPr>
                <w:rFonts w:ascii="Times New Roman" w:hAnsi="Times New Roman"/>
                <w:b/>
                <w:sz w:val="24"/>
              </w:rPr>
            </w:pPr>
            <w:r w:rsidRPr="00377BBF">
              <w:rPr>
                <w:rFonts w:ascii="Times New Roman" w:hAnsi="Times New Roman"/>
                <w:b/>
                <w:sz w:val="24"/>
              </w:rPr>
              <w:lastRenderedPageBreak/>
              <w:t>Outcomes</w:t>
            </w:r>
          </w:p>
        </w:tc>
        <w:tc>
          <w:tcPr>
            <w:tcW w:w="1507" w:type="dxa"/>
            <w:gridSpan w:val="2"/>
            <w:shd w:val="clear" w:color="auto" w:fill="002060"/>
          </w:tcPr>
          <w:p w14:paraId="7B6AA4F6" w14:textId="77777777" w:rsidR="00F719D6" w:rsidRPr="00377BBF" w:rsidRDefault="00F719D6" w:rsidP="0043380E">
            <w:pPr>
              <w:pStyle w:val="BodyText2"/>
              <w:spacing w:before="60" w:after="60"/>
              <w:rPr>
                <w:rFonts w:ascii="Times New Roman" w:hAnsi="Times New Roman"/>
                <w:b/>
                <w:sz w:val="22"/>
              </w:rPr>
            </w:pPr>
            <w:r w:rsidRPr="00377BBF">
              <w:rPr>
                <w:rFonts w:ascii="Times New Roman" w:hAnsi="Times New Roman"/>
                <w:b/>
                <w:sz w:val="22"/>
              </w:rPr>
              <w:t>Total Expenditure</w:t>
            </w:r>
          </w:p>
        </w:tc>
        <w:tc>
          <w:tcPr>
            <w:tcW w:w="4320" w:type="dxa"/>
            <w:gridSpan w:val="2"/>
            <w:tcBorders>
              <w:left w:val="single" w:sz="4" w:space="0" w:color="auto"/>
            </w:tcBorders>
            <w:shd w:val="clear" w:color="auto" w:fill="002060"/>
          </w:tcPr>
          <w:p w14:paraId="45477863" w14:textId="77777777" w:rsidR="00F719D6" w:rsidRPr="00377BBF" w:rsidRDefault="00F719D6" w:rsidP="0043380E">
            <w:pPr>
              <w:pStyle w:val="BodyText2"/>
              <w:spacing w:before="60" w:after="60"/>
              <w:rPr>
                <w:rFonts w:ascii="Times New Roman" w:hAnsi="Times New Roman"/>
                <w:b/>
                <w:sz w:val="22"/>
              </w:rPr>
            </w:pPr>
            <w:r w:rsidRPr="00377BBF">
              <w:rPr>
                <w:rFonts w:ascii="Times New Roman" w:hAnsi="Times New Roman"/>
                <w:b/>
                <w:sz w:val="22"/>
              </w:rPr>
              <w:t>Key Indicators of outcome (1-4 per outcome)</w:t>
            </w:r>
          </w:p>
        </w:tc>
        <w:tc>
          <w:tcPr>
            <w:tcW w:w="4680" w:type="dxa"/>
            <w:gridSpan w:val="2"/>
            <w:shd w:val="clear" w:color="auto" w:fill="002060"/>
          </w:tcPr>
          <w:p w14:paraId="61E25417" w14:textId="77777777" w:rsidR="00F719D6" w:rsidRPr="00377BBF" w:rsidRDefault="00F719D6" w:rsidP="0043380E">
            <w:pPr>
              <w:pStyle w:val="BodyText2"/>
              <w:spacing w:before="60" w:after="60"/>
              <w:rPr>
                <w:rFonts w:ascii="Times New Roman" w:hAnsi="Times New Roman"/>
                <w:b/>
                <w:sz w:val="22"/>
              </w:rPr>
            </w:pPr>
            <w:r w:rsidRPr="00377BBF">
              <w:rPr>
                <w:rFonts w:ascii="Times New Roman" w:hAnsi="Times New Roman"/>
                <w:b/>
                <w:sz w:val="22"/>
              </w:rPr>
              <w:t>Progress made against key indicators</w:t>
            </w:r>
          </w:p>
        </w:tc>
      </w:tr>
      <w:tr w:rsidR="008025DC" w:rsidRPr="00377BBF" w14:paraId="16369052" w14:textId="77777777" w:rsidTr="00136189">
        <w:trPr>
          <w:gridAfter w:val="1"/>
          <w:wAfter w:w="18" w:type="dxa"/>
        </w:trPr>
        <w:tc>
          <w:tcPr>
            <w:tcW w:w="3605" w:type="dxa"/>
            <w:gridSpan w:val="2"/>
            <w:shd w:val="clear" w:color="auto" w:fill="C6D9F1" w:themeFill="text2" w:themeFillTint="33"/>
          </w:tcPr>
          <w:p w14:paraId="7D4FD9AE" w14:textId="77777777" w:rsidR="008025DC" w:rsidRPr="00377BBF" w:rsidRDefault="00545061" w:rsidP="0043380E">
            <w:pPr>
              <w:pStyle w:val="BodyText2"/>
              <w:spacing w:before="60" w:after="60"/>
              <w:rPr>
                <w:rFonts w:ascii="Times New Roman" w:hAnsi="Times New Roman"/>
                <w:b/>
              </w:rPr>
            </w:pPr>
            <w:r w:rsidRPr="00377BBF">
              <w:rPr>
                <w:rFonts w:ascii="Times New Roman" w:hAnsi="Times New Roman"/>
                <w:b/>
              </w:rPr>
              <w:t>UNDAF OUTCOME 8: National institutions have addressed conflict-related violations of human rights and international humanitarian law and the post-conflict needs of victims.</w:t>
            </w:r>
          </w:p>
        </w:tc>
        <w:tc>
          <w:tcPr>
            <w:tcW w:w="1525" w:type="dxa"/>
            <w:gridSpan w:val="3"/>
            <w:shd w:val="clear" w:color="auto" w:fill="auto"/>
          </w:tcPr>
          <w:p w14:paraId="7B5EF3E0" w14:textId="77777777" w:rsidR="008025DC" w:rsidRPr="00377BBF" w:rsidRDefault="008025DC" w:rsidP="0043380E">
            <w:pPr>
              <w:pStyle w:val="BodyText2"/>
              <w:spacing w:before="60" w:after="60"/>
              <w:rPr>
                <w:rFonts w:ascii="Times New Roman" w:hAnsi="Times New Roman"/>
              </w:rPr>
            </w:pPr>
            <w:r w:rsidRPr="00377BBF">
              <w:rPr>
                <w:rFonts w:ascii="Times New Roman" w:hAnsi="Times New Roman"/>
              </w:rPr>
              <w:t>$295722</w:t>
            </w:r>
          </w:p>
        </w:tc>
        <w:tc>
          <w:tcPr>
            <w:tcW w:w="4320" w:type="dxa"/>
            <w:gridSpan w:val="2"/>
            <w:tcBorders>
              <w:left w:val="single" w:sz="4" w:space="0" w:color="auto"/>
            </w:tcBorders>
          </w:tcPr>
          <w:p w14:paraId="04BEC866" w14:textId="77777777" w:rsidR="008025DC" w:rsidRPr="00377BBF" w:rsidRDefault="008025DC" w:rsidP="00A229C1">
            <w:pPr>
              <w:pStyle w:val="BodyText2"/>
              <w:numPr>
                <w:ilvl w:val="0"/>
                <w:numId w:val="15"/>
              </w:numPr>
              <w:spacing w:before="60" w:after="60"/>
              <w:rPr>
                <w:rFonts w:ascii="Times New Roman" w:hAnsi="Times New Roman"/>
              </w:rPr>
            </w:pPr>
            <w:r w:rsidRPr="00377BBF">
              <w:rPr>
                <w:rFonts w:ascii="Times New Roman" w:hAnsi="Times New Roman"/>
              </w:rPr>
              <w:t xml:space="preserve">% of people who perceive that people facing conflict-related land and property rights issues have had them adequately addressed                  b) % of people who perceive that a mechanism to address the issues related to disappearance /truth/reconciliation/prosecution is needed                                           c) % of people who perceive that issues </w:t>
            </w:r>
            <w:r w:rsidRPr="00377BBF">
              <w:rPr>
                <w:rFonts w:ascii="Times New Roman" w:hAnsi="Times New Roman"/>
              </w:rPr>
              <w:lastRenderedPageBreak/>
              <w:t>related to disappearances/ truth/reconciliation/prosecution have been addressed (UNDAF 1 #8.1)</w:t>
            </w:r>
          </w:p>
          <w:p w14:paraId="261A9373" w14:textId="77777777" w:rsidR="008025DC" w:rsidRPr="00377BBF" w:rsidRDefault="008025DC" w:rsidP="00A229C1">
            <w:pPr>
              <w:pStyle w:val="BodyText2"/>
              <w:numPr>
                <w:ilvl w:val="0"/>
                <w:numId w:val="15"/>
              </w:numPr>
              <w:spacing w:before="60" w:after="60"/>
              <w:rPr>
                <w:rFonts w:ascii="Times New Roman" w:hAnsi="Times New Roman"/>
              </w:rPr>
            </w:pPr>
            <w:r w:rsidRPr="00377BBF">
              <w:rPr>
                <w:rFonts w:ascii="Times New Roman" w:hAnsi="Times New Roman"/>
              </w:rPr>
              <w:t>% of people who perceive that people affected by conflict have access to services and support. (UNDAF 1 # 8.2.1)</w:t>
            </w:r>
          </w:p>
        </w:tc>
        <w:tc>
          <w:tcPr>
            <w:tcW w:w="4662" w:type="dxa"/>
            <w:shd w:val="clear" w:color="auto" w:fill="auto"/>
          </w:tcPr>
          <w:p w14:paraId="64976490" w14:textId="77777777" w:rsidR="008025DC" w:rsidRPr="00377BBF" w:rsidRDefault="008025DC" w:rsidP="00A229C1">
            <w:pPr>
              <w:pStyle w:val="BodyText2"/>
              <w:numPr>
                <w:ilvl w:val="0"/>
                <w:numId w:val="16"/>
              </w:numPr>
              <w:spacing w:before="60" w:after="60"/>
              <w:rPr>
                <w:rFonts w:ascii="Times New Roman" w:hAnsi="Times New Roman"/>
              </w:rPr>
            </w:pPr>
            <w:r w:rsidRPr="00377BBF">
              <w:rPr>
                <w:rFonts w:ascii="Times New Roman" w:hAnsi="Times New Roman"/>
              </w:rPr>
              <w:lastRenderedPageBreak/>
              <w:t>32% NHRC recommendations fully implemented and 60% partially implemented [OPM Report, 2015]</w:t>
            </w:r>
          </w:p>
          <w:p w14:paraId="1EF9D496" w14:textId="77777777" w:rsidR="008025DC" w:rsidRPr="00377BBF" w:rsidRDefault="008025DC" w:rsidP="0043380E">
            <w:pPr>
              <w:pStyle w:val="BodyText2"/>
              <w:spacing w:before="60" w:after="60"/>
              <w:rPr>
                <w:rFonts w:ascii="Times New Roman" w:hAnsi="Times New Roman"/>
              </w:rPr>
            </w:pPr>
          </w:p>
          <w:p w14:paraId="715D4406" w14:textId="77777777" w:rsidR="008025DC" w:rsidRPr="00377BBF" w:rsidRDefault="008025DC" w:rsidP="00A229C1">
            <w:pPr>
              <w:pStyle w:val="BodyText2"/>
              <w:numPr>
                <w:ilvl w:val="0"/>
                <w:numId w:val="16"/>
              </w:numPr>
              <w:spacing w:before="60" w:after="60"/>
              <w:rPr>
                <w:rFonts w:ascii="Times New Roman" w:hAnsi="Times New Roman"/>
              </w:rPr>
            </w:pPr>
            <w:r w:rsidRPr="00377BBF">
              <w:rPr>
                <w:rFonts w:ascii="Times New Roman" w:hAnsi="Times New Roman"/>
              </w:rPr>
              <w:t>NA- Perception survey planned in 2017-18</w:t>
            </w:r>
          </w:p>
          <w:p w14:paraId="2207899A" w14:textId="77777777" w:rsidR="008025DC" w:rsidRPr="00377BBF" w:rsidRDefault="008025DC" w:rsidP="0043380E">
            <w:pPr>
              <w:pStyle w:val="BodyText2"/>
              <w:spacing w:before="60" w:after="60"/>
              <w:rPr>
                <w:rFonts w:ascii="Times New Roman" w:hAnsi="Times New Roman"/>
              </w:rPr>
            </w:pPr>
          </w:p>
        </w:tc>
      </w:tr>
      <w:tr w:rsidR="00F719D6" w:rsidRPr="00377BBF" w14:paraId="6683F5AB" w14:textId="77777777" w:rsidTr="00136189">
        <w:tc>
          <w:tcPr>
            <w:tcW w:w="14130" w:type="dxa"/>
            <w:gridSpan w:val="9"/>
          </w:tcPr>
          <w:p w14:paraId="464B562E" w14:textId="77777777" w:rsidR="00F719D6" w:rsidRPr="00377BBF" w:rsidRDefault="00F719D6" w:rsidP="0043380E">
            <w:pPr>
              <w:pStyle w:val="BodyText2"/>
              <w:spacing w:before="60" w:after="60"/>
              <w:rPr>
                <w:rFonts w:ascii="Times New Roman" w:hAnsi="Times New Roman"/>
                <w:b/>
              </w:rPr>
            </w:pPr>
            <w:r w:rsidRPr="00377BBF">
              <w:rPr>
                <w:rFonts w:ascii="Times New Roman" w:hAnsi="Times New Roman"/>
                <w:b/>
              </w:rPr>
              <w:t>UNDP Contribution:</w:t>
            </w:r>
          </w:p>
          <w:p w14:paraId="53360BFC" w14:textId="77777777" w:rsidR="00F719D6" w:rsidRPr="00377BBF" w:rsidRDefault="00F719D6" w:rsidP="0043380E">
            <w:pPr>
              <w:pStyle w:val="BodyText2"/>
              <w:spacing w:before="60" w:after="60"/>
              <w:rPr>
                <w:rFonts w:ascii="Times New Roman" w:hAnsi="Times New Roman"/>
              </w:rPr>
            </w:pPr>
            <w:r w:rsidRPr="00377BBF">
              <w:rPr>
                <w:rFonts w:ascii="Times New Roman" w:hAnsi="Times New Roman"/>
              </w:rPr>
              <w:t xml:space="preserve">(Please provide an assessment of the progress made against the </w:t>
            </w:r>
            <w:r w:rsidRPr="00377BBF">
              <w:rPr>
                <w:rFonts w:ascii="Times New Roman" w:hAnsi="Times New Roman"/>
                <w:u w:val="single"/>
              </w:rPr>
              <w:t>CP outputs</w:t>
            </w:r>
            <w:r w:rsidRPr="00377BBF">
              <w:rPr>
                <w:rFonts w:ascii="Times New Roman" w:hAnsi="Times New Roman"/>
              </w:rPr>
              <w:t xml:space="preserve"> over the cycle, and indicate their contribution to the outcome. Please indicate each of the main outputs and provide a summary assessment of overall progress)</w:t>
            </w:r>
          </w:p>
          <w:p w14:paraId="5B76A441" w14:textId="77777777" w:rsidR="00F719D6" w:rsidRPr="00377BBF" w:rsidRDefault="00F719D6" w:rsidP="0043380E">
            <w:pPr>
              <w:pStyle w:val="BodyText2"/>
              <w:spacing w:before="60" w:after="60"/>
              <w:rPr>
                <w:rFonts w:ascii="Times New Roman" w:hAnsi="Times New Roman"/>
              </w:rPr>
            </w:pPr>
          </w:p>
          <w:p w14:paraId="7188260E" w14:textId="77777777" w:rsidR="00F719D6" w:rsidRPr="00377BBF" w:rsidRDefault="00F719D6" w:rsidP="0043380E">
            <w:pPr>
              <w:pStyle w:val="BodyText2"/>
              <w:spacing w:before="60" w:after="60"/>
              <w:rPr>
                <w:rFonts w:ascii="Times New Roman" w:hAnsi="Times New Roman"/>
                <w:b/>
              </w:rPr>
            </w:pPr>
            <w:r w:rsidRPr="00377BBF">
              <w:rPr>
                <w:rFonts w:ascii="Times New Roman" w:hAnsi="Times New Roman"/>
                <w:b/>
                <w:u w:val="single"/>
              </w:rPr>
              <w:t>CP Outputs</w:t>
            </w:r>
            <w:r w:rsidRPr="00377BBF">
              <w:rPr>
                <w:rFonts w:ascii="Times New Roman" w:hAnsi="Times New Roman"/>
                <w:b/>
              </w:rPr>
              <w:t>:</w:t>
            </w:r>
          </w:p>
          <w:p w14:paraId="0F28DC21" w14:textId="77777777" w:rsidR="005D4789" w:rsidRPr="00377BBF" w:rsidRDefault="00F719D6" w:rsidP="0043380E">
            <w:pPr>
              <w:pStyle w:val="BodyText2"/>
              <w:spacing w:before="60" w:after="60"/>
              <w:rPr>
                <w:rFonts w:ascii="Times New Roman" w:hAnsi="Times New Roman"/>
              </w:rPr>
            </w:pPr>
            <w:r w:rsidRPr="00377BBF">
              <w:rPr>
                <w:rFonts w:ascii="Times New Roman" w:hAnsi="Times New Roman"/>
              </w:rPr>
              <w:t xml:space="preserve">The UNDP CP identified three major outputs to support the Government in achieving this outcome: </w:t>
            </w:r>
          </w:p>
          <w:p w14:paraId="2D9186FA" w14:textId="77777777" w:rsidR="005D4789" w:rsidRPr="00377BBF" w:rsidRDefault="005D4789" w:rsidP="0043380E">
            <w:pPr>
              <w:pStyle w:val="BodyText2"/>
              <w:spacing w:before="60" w:after="60"/>
              <w:rPr>
                <w:rFonts w:ascii="Times New Roman" w:hAnsi="Times New Roman"/>
              </w:rPr>
            </w:pPr>
          </w:p>
          <w:p w14:paraId="42F3E602" w14:textId="77777777" w:rsidR="005D4789" w:rsidRPr="00CD2BE7" w:rsidRDefault="005D4789" w:rsidP="0043380E">
            <w:pPr>
              <w:pStyle w:val="BodyText2"/>
              <w:spacing w:before="60" w:after="60"/>
              <w:rPr>
                <w:rFonts w:ascii="Times New Roman" w:hAnsi="Times New Roman"/>
                <w:i/>
              </w:rPr>
            </w:pPr>
            <w:r w:rsidRPr="00CD2BE7">
              <w:rPr>
                <w:rFonts w:ascii="Times New Roman" w:hAnsi="Times New Roman"/>
                <w:i/>
              </w:rPr>
              <w:t xml:space="preserve">Output 8.1 Government and civil society have enhanced capacity </w:t>
            </w:r>
            <w:r w:rsidR="004E70CD" w:rsidRPr="00CD2BE7">
              <w:rPr>
                <w:rFonts w:ascii="Times New Roman" w:hAnsi="Times New Roman"/>
                <w:i/>
              </w:rPr>
              <w:t xml:space="preserve">to </w:t>
            </w:r>
            <w:r w:rsidRPr="00CD2BE7">
              <w:rPr>
                <w:rFonts w:ascii="Times New Roman" w:hAnsi="Times New Roman"/>
                <w:i/>
              </w:rPr>
              <w:t>develop, establish and Implement inclusive transitional justice mechanisms and policies that comply with international law standards</w:t>
            </w:r>
          </w:p>
          <w:p w14:paraId="21CBB59E" w14:textId="77777777" w:rsidR="005D4789" w:rsidRPr="00CD2BE7" w:rsidRDefault="005D4789" w:rsidP="0043380E">
            <w:pPr>
              <w:pStyle w:val="BodyText2"/>
              <w:spacing w:before="60" w:after="60"/>
              <w:rPr>
                <w:rFonts w:ascii="Times New Roman" w:hAnsi="Times New Roman"/>
                <w:i/>
              </w:rPr>
            </w:pPr>
            <w:r w:rsidRPr="00CD2BE7">
              <w:rPr>
                <w:rFonts w:ascii="Times New Roman" w:hAnsi="Times New Roman"/>
                <w:i/>
              </w:rPr>
              <w:t xml:space="preserve">Output 8.2 Conflict victims have benefited from inclusive </w:t>
            </w:r>
            <w:proofErr w:type="spellStart"/>
            <w:r w:rsidRPr="00CD2BE7">
              <w:rPr>
                <w:rFonts w:ascii="Times New Roman" w:hAnsi="Times New Roman"/>
                <w:i/>
              </w:rPr>
              <w:t>programmes</w:t>
            </w:r>
            <w:proofErr w:type="spellEnd"/>
            <w:r w:rsidRPr="00CD2BE7">
              <w:rPr>
                <w:rFonts w:ascii="Times New Roman" w:hAnsi="Times New Roman"/>
                <w:i/>
              </w:rPr>
              <w:t xml:space="preserve"> addressing their post-conflict needs, and ensuring their voices are heard</w:t>
            </w:r>
          </w:p>
          <w:p w14:paraId="1F032E8A" w14:textId="77777777" w:rsidR="005D4789" w:rsidRPr="00CD2BE7" w:rsidRDefault="005D4789" w:rsidP="0043380E">
            <w:pPr>
              <w:pStyle w:val="BodyText2"/>
              <w:spacing w:before="60" w:after="60"/>
              <w:rPr>
                <w:rFonts w:ascii="Times New Roman" w:hAnsi="Times New Roman"/>
                <w:i/>
              </w:rPr>
            </w:pPr>
            <w:r w:rsidRPr="00CD2BE7">
              <w:rPr>
                <w:rFonts w:ascii="Times New Roman" w:hAnsi="Times New Roman"/>
                <w:i/>
              </w:rPr>
              <w:t>Output 8.3 An independent and impartial property dispute resolution has been established and implemented in regards to conflict-related property issues</w:t>
            </w:r>
          </w:p>
          <w:p w14:paraId="581D2A31" w14:textId="77777777" w:rsidR="005D4789" w:rsidRPr="00377BBF" w:rsidRDefault="005D4789" w:rsidP="0043380E">
            <w:pPr>
              <w:pStyle w:val="BodyText2"/>
              <w:spacing w:before="60" w:after="60"/>
              <w:rPr>
                <w:rFonts w:ascii="Times New Roman" w:hAnsi="Times New Roman"/>
              </w:rPr>
            </w:pPr>
          </w:p>
          <w:p w14:paraId="71E86D45" w14:textId="77777777" w:rsidR="00F719D6" w:rsidRPr="00377BBF" w:rsidRDefault="00F719D6" w:rsidP="0043380E">
            <w:pPr>
              <w:pStyle w:val="BodyText2"/>
              <w:spacing w:before="60" w:after="60"/>
              <w:rPr>
                <w:rFonts w:ascii="Times New Roman" w:hAnsi="Times New Roman"/>
                <w:b/>
              </w:rPr>
            </w:pPr>
            <w:r w:rsidRPr="00377BBF">
              <w:rPr>
                <w:rFonts w:ascii="Times New Roman" w:hAnsi="Times New Roman"/>
                <w:b/>
                <w:u w:val="single"/>
              </w:rPr>
              <w:t>Progress and Achievements</w:t>
            </w:r>
            <w:r w:rsidRPr="00377BBF">
              <w:rPr>
                <w:rFonts w:ascii="Times New Roman" w:hAnsi="Times New Roman"/>
                <w:b/>
              </w:rPr>
              <w:t>:</w:t>
            </w:r>
          </w:p>
          <w:p w14:paraId="7CB4D73D" w14:textId="77777777" w:rsidR="000109F9" w:rsidRDefault="00566700" w:rsidP="000109F9">
            <w:pPr>
              <w:pStyle w:val="BodyText2"/>
              <w:numPr>
                <w:ilvl w:val="1"/>
                <w:numId w:val="28"/>
              </w:numPr>
              <w:autoSpaceDE w:val="0"/>
              <w:autoSpaceDN w:val="0"/>
              <w:adjustRightInd w:val="0"/>
              <w:spacing w:before="60" w:after="60"/>
              <w:rPr>
                <w:rFonts w:ascii="Times New Roman" w:hAnsi="Times New Roman"/>
              </w:rPr>
            </w:pPr>
            <w:r w:rsidRPr="00CD2BE7">
              <w:rPr>
                <w:rFonts w:ascii="Times New Roman" w:hAnsi="Times New Roman"/>
              </w:rPr>
              <w:t>A draft gender-responsive transitional justice strategy was developed in 2013, but it needs to be reviewed and endorsed by the T</w:t>
            </w:r>
            <w:r w:rsidR="004E70CD" w:rsidRPr="00CD2BE7">
              <w:rPr>
                <w:rFonts w:ascii="Times New Roman" w:hAnsi="Times New Roman"/>
              </w:rPr>
              <w:t xml:space="preserve">ruth and </w:t>
            </w:r>
            <w:r w:rsidRPr="00CD2BE7">
              <w:rPr>
                <w:rFonts w:ascii="Times New Roman" w:hAnsi="Times New Roman"/>
              </w:rPr>
              <w:t>R</w:t>
            </w:r>
            <w:r w:rsidR="004E70CD" w:rsidRPr="00CD2BE7">
              <w:rPr>
                <w:rFonts w:ascii="Times New Roman" w:hAnsi="Times New Roman"/>
              </w:rPr>
              <w:t xml:space="preserve">econciliation </w:t>
            </w:r>
            <w:r w:rsidRPr="00CD2BE7">
              <w:rPr>
                <w:rFonts w:ascii="Times New Roman" w:hAnsi="Times New Roman"/>
              </w:rPr>
              <w:t>C</w:t>
            </w:r>
            <w:r w:rsidR="004E70CD" w:rsidRPr="00CD2BE7">
              <w:rPr>
                <w:rFonts w:ascii="Times New Roman" w:hAnsi="Times New Roman"/>
              </w:rPr>
              <w:t>ommission (TRC)</w:t>
            </w:r>
            <w:r w:rsidRPr="00CD2BE7">
              <w:rPr>
                <w:rFonts w:ascii="Times New Roman" w:hAnsi="Times New Roman"/>
              </w:rPr>
              <w:t xml:space="preserve">. This is pending implementation of Supreme Court Verdict regarding TRC. The TRC and the Commission for Investigation on Enforced Disappeared Persons </w:t>
            </w:r>
            <w:r w:rsidR="004E70CD" w:rsidRPr="00CD2BE7">
              <w:rPr>
                <w:rFonts w:ascii="Times New Roman" w:hAnsi="Times New Roman"/>
              </w:rPr>
              <w:t xml:space="preserve">(CIEDP) </w:t>
            </w:r>
            <w:r w:rsidRPr="00CD2BE7">
              <w:rPr>
                <w:rFonts w:ascii="Times New Roman" w:hAnsi="Times New Roman"/>
              </w:rPr>
              <w:t>were established in February 2015</w:t>
            </w:r>
            <w:r w:rsidR="008F2671" w:rsidRPr="00CD2BE7">
              <w:rPr>
                <w:rFonts w:ascii="Times New Roman" w:hAnsi="Times New Roman"/>
              </w:rPr>
              <w:t>, after Nepal’s parliament passed the Enforced Disappearances Enquiry, Truth and Reconciliation Commission Act in April 2014</w:t>
            </w:r>
            <w:r w:rsidRPr="00CD2BE7">
              <w:rPr>
                <w:rFonts w:ascii="Times New Roman" w:hAnsi="Times New Roman"/>
              </w:rPr>
              <w:t xml:space="preserve">. </w:t>
            </w:r>
            <w:r w:rsidR="000109F9" w:rsidRPr="000109F9">
              <w:rPr>
                <w:rFonts w:ascii="Times New Roman" w:hAnsi="Times New Roman"/>
              </w:rPr>
              <w:t>The TRC has created eight sub- committees, which also include a “Victim, Children, Senior Citizens, Persons with Disability and Women Friendly Structure Sub-committee”</w:t>
            </w:r>
            <w:r w:rsidR="000109F9">
              <w:rPr>
                <w:rFonts w:ascii="Times New Roman" w:hAnsi="Times New Roman"/>
              </w:rPr>
              <w:t xml:space="preserve">. </w:t>
            </w:r>
            <w:r w:rsidR="004E70CD" w:rsidRPr="00CD2BE7">
              <w:rPr>
                <w:rFonts w:ascii="Times New Roman" w:hAnsi="Times New Roman"/>
              </w:rPr>
              <w:t xml:space="preserve">By the end of August 2016, the TRC received around a total of 58,000 complaints while the CIEDP received 2,847 complaints. </w:t>
            </w:r>
            <w:r w:rsidRPr="00CD2BE7">
              <w:rPr>
                <w:rFonts w:ascii="Times New Roman" w:hAnsi="Times New Roman"/>
              </w:rPr>
              <w:t>The Legal Aid Act was amended in October 2015 and it now identifies conflict victims as beneficiaries of the Act. 63 conflict victims received relief support from the Government of Nepal in 2014. The data has not been updated in 2015.</w:t>
            </w:r>
            <w:r w:rsidR="00CD2BE7" w:rsidRPr="00CD2BE7">
              <w:rPr>
                <w:rFonts w:ascii="Times New Roman" w:hAnsi="Times New Roman"/>
              </w:rPr>
              <w:t xml:space="preserve"> </w:t>
            </w:r>
          </w:p>
          <w:p w14:paraId="40B24402" w14:textId="77777777" w:rsidR="000109F9" w:rsidRDefault="000109F9" w:rsidP="000109F9">
            <w:pPr>
              <w:pStyle w:val="BodyText2"/>
              <w:autoSpaceDE w:val="0"/>
              <w:autoSpaceDN w:val="0"/>
              <w:adjustRightInd w:val="0"/>
              <w:spacing w:before="60" w:after="60"/>
              <w:rPr>
                <w:rFonts w:ascii="Times New Roman" w:hAnsi="Times New Roman"/>
              </w:rPr>
            </w:pPr>
          </w:p>
          <w:p w14:paraId="11E7DC84" w14:textId="77777777" w:rsidR="000109F9" w:rsidRPr="000109F9" w:rsidRDefault="000109F9" w:rsidP="000109F9">
            <w:pPr>
              <w:pStyle w:val="BodyText2"/>
              <w:numPr>
                <w:ilvl w:val="1"/>
                <w:numId w:val="28"/>
              </w:numPr>
              <w:autoSpaceDE w:val="0"/>
              <w:autoSpaceDN w:val="0"/>
              <w:adjustRightInd w:val="0"/>
              <w:spacing w:before="60" w:after="60"/>
              <w:rPr>
                <w:rFonts w:ascii="Times New Roman" w:hAnsi="Times New Roman"/>
              </w:rPr>
            </w:pPr>
            <w:r w:rsidRPr="000109F9">
              <w:rPr>
                <w:rFonts w:ascii="Times New Roman" w:hAnsi="Times New Roman"/>
              </w:rPr>
              <w:t xml:space="preserve">UNDP has been contributing towards the truth and justice process in Nepal by strengthening the capacity of the victims’ community in Nepal. It has contributed to sustain collaboration and partnership with the Conflict Victims' Common Platform (CVCP) which is an umbrella network encompassing 17 different victim organizations that represent victims from both state and Maoists. The CVCP has now been widely recognized as a legitimate victim forum widely engaged with both national and international stakeholders who are gradually showing interest to work and collaborate with the CVCP. The transitional justice (TJ) commissions in Nepal have also started undertaking the key policy discussions through the CVCP. And the national mainstream media reports on TJ issues almost invariably referring to the views of the CVCP members. This shows that UNDP’s efforts have contributed in bringing the victims in the </w:t>
            </w:r>
            <w:r w:rsidR="00BC1731" w:rsidRPr="000109F9">
              <w:rPr>
                <w:rFonts w:ascii="Times New Roman" w:hAnsi="Times New Roman"/>
              </w:rPr>
              <w:t>center</w:t>
            </w:r>
            <w:r w:rsidRPr="000109F9">
              <w:rPr>
                <w:rFonts w:ascii="Times New Roman" w:hAnsi="Times New Roman"/>
              </w:rPr>
              <w:t xml:space="preserve"> of the TJ debate, empowering them as active actors to the process rather than only as beneficiaries.</w:t>
            </w:r>
            <w:r w:rsidRPr="000109F9">
              <w:t xml:space="preserve">   </w:t>
            </w:r>
          </w:p>
          <w:p w14:paraId="07037AFD" w14:textId="77777777" w:rsidR="000109F9" w:rsidRDefault="000109F9" w:rsidP="000109F9">
            <w:pPr>
              <w:pStyle w:val="BodyText2"/>
              <w:autoSpaceDE w:val="0"/>
              <w:autoSpaceDN w:val="0"/>
              <w:adjustRightInd w:val="0"/>
              <w:spacing w:before="120" w:after="120"/>
              <w:ind w:left="360"/>
              <w:rPr>
                <w:rFonts w:ascii="Times New Roman" w:hAnsi="Times New Roman"/>
              </w:rPr>
            </w:pPr>
            <w:r w:rsidRPr="000109F9">
              <w:rPr>
                <w:rFonts w:ascii="Times New Roman" w:hAnsi="Times New Roman"/>
              </w:rPr>
              <w:lastRenderedPageBreak/>
              <w:t>In partnership with the Conflict Victim’s Common Platform (CVCP), UNDP organized awareness campaigns, conferences, counselling, workshops and trained 150 women on Conflict Related Sexual Violence (CRSV) issues. A total of 1,328 victims (45.7% women) against the milestone of 1,900 (42.1% women) have been provided with transitional justice services to address their grievances. The CVCP has reliable national networks in all the 73 conflict affected districts in Nepal.</w:t>
            </w:r>
          </w:p>
          <w:p w14:paraId="2B91F6E1" w14:textId="77777777" w:rsidR="00CD2BE7" w:rsidRPr="00C047E9" w:rsidRDefault="00CD2BE7" w:rsidP="00C047E9">
            <w:pPr>
              <w:pStyle w:val="ListParagraph"/>
              <w:spacing w:before="60" w:after="60"/>
              <w:contextualSpacing w:val="0"/>
              <w:rPr>
                <w:sz w:val="20"/>
              </w:rPr>
            </w:pPr>
          </w:p>
          <w:p w14:paraId="19B8EDB5" w14:textId="77777777" w:rsidR="00566700" w:rsidRPr="00377BBF" w:rsidRDefault="004E70CD" w:rsidP="000109F9">
            <w:pPr>
              <w:pStyle w:val="BodyText2"/>
              <w:numPr>
                <w:ilvl w:val="1"/>
                <w:numId w:val="28"/>
              </w:numPr>
              <w:autoSpaceDE w:val="0"/>
              <w:autoSpaceDN w:val="0"/>
              <w:adjustRightInd w:val="0"/>
              <w:spacing w:before="60" w:after="60"/>
              <w:rPr>
                <w:rFonts w:ascii="Times New Roman" w:hAnsi="Times New Roman"/>
              </w:rPr>
            </w:pPr>
            <w:r w:rsidRPr="00377BBF">
              <w:rPr>
                <w:rFonts w:ascii="Times New Roman" w:hAnsi="Times New Roman"/>
              </w:rPr>
              <w:t>To</w:t>
            </w:r>
            <w:r w:rsidR="00566700" w:rsidRPr="00377BBF">
              <w:rPr>
                <w:rFonts w:ascii="Times New Roman" w:hAnsi="Times New Roman"/>
              </w:rPr>
              <w:t xml:space="preserve"> mitigate land-use related conflicts, a systematic approach to participatory land use planning and implementation was adopted by three district and three village land use implementation committees (</w:t>
            </w:r>
            <w:proofErr w:type="spellStart"/>
            <w:r w:rsidR="00566700" w:rsidRPr="00377BBF">
              <w:rPr>
                <w:rFonts w:ascii="Times New Roman" w:hAnsi="Times New Roman"/>
              </w:rPr>
              <w:t>Latikoili</w:t>
            </w:r>
            <w:proofErr w:type="spellEnd"/>
            <w:r w:rsidR="00566700" w:rsidRPr="00377BBF">
              <w:rPr>
                <w:rFonts w:ascii="Times New Roman" w:hAnsi="Times New Roman"/>
              </w:rPr>
              <w:t xml:space="preserve"> of </w:t>
            </w:r>
            <w:proofErr w:type="spellStart"/>
            <w:r w:rsidR="00566700" w:rsidRPr="00377BBF">
              <w:rPr>
                <w:rFonts w:ascii="Times New Roman" w:hAnsi="Times New Roman"/>
              </w:rPr>
              <w:t>Surkhet</w:t>
            </w:r>
            <w:proofErr w:type="spellEnd"/>
            <w:r w:rsidR="00566700" w:rsidRPr="00377BBF">
              <w:rPr>
                <w:rFonts w:ascii="Times New Roman" w:hAnsi="Times New Roman"/>
              </w:rPr>
              <w:t xml:space="preserve">; </w:t>
            </w:r>
            <w:proofErr w:type="spellStart"/>
            <w:r w:rsidR="00566700" w:rsidRPr="00377BBF">
              <w:rPr>
                <w:rFonts w:ascii="Times New Roman" w:hAnsi="Times New Roman"/>
              </w:rPr>
              <w:t>Amrat</w:t>
            </w:r>
            <w:proofErr w:type="spellEnd"/>
            <w:r w:rsidR="00566700" w:rsidRPr="00377BBF">
              <w:rPr>
                <w:rFonts w:ascii="Times New Roman" w:hAnsi="Times New Roman"/>
              </w:rPr>
              <w:t xml:space="preserve"> of </w:t>
            </w:r>
            <w:proofErr w:type="spellStart"/>
            <w:r w:rsidR="00566700" w:rsidRPr="00377BBF">
              <w:rPr>
                <w:rFonts w:ascii="Times New Roman" w:hAnsi="Times New Roman"/>
              </w:rPr>
              <w:t>Nawalparasi</w:t>
            </w:r>
            <w:proofErr w:type="spellEnd"/>
            <w:r w:rsidR="00566700" w:rsidRPr="00377BBF">
              <w:rPr>
                <w:rFonts w:ascii="Times New Roman" w:hAnsi="Times New Roman"/>
              </w:rPr>
              <w:t xml:space="preserve"> and </w:t>
            </w:r>
            <w:proofErr w:type="spellStart"/>
            <w:r w:rsidR="00566700" w:rsidRPr="00377BBF">
              <w:rPr>
                <w:rFonts w:ascii="Times New Roman" w:hAnsi="Times New Roman"/>
              </w:rPr>
              <w:t>Jhorat</w:t>
            </w:r>
            <w:proofErr w:type="spellEnd"/>
            <w:r w:rsidR="00566700" w:rsidRPr="00377BBF">
              <w:rPr>
                <w:rFonts w:ascii="Times New Roman" w:hAnsi="Times New Roman"/>
              </w:rPr>
              <w:t xml:space="preserve"> of Morag). Training manual on ‘Gender Responsive Land Administration and Management’ was developed. The manual was used to train 165 government officials representing the Ministry of Land Reform and Management, Department of Land Reform and Management, Department of Survey, District Revenue Office, District Reform Office, District Survey Office, District Women and Children Office, LPCs, among others. Also, the training manual on ‘Dispute Resolution and Mediation’ was developed and was used to train 87 representatives from the local government agencies and nongovernmental organizations in the three project districts</w:t>
            </w:r>
          </w:p>
        </w:tc>
      </w:tr>
      <w:tr w:rsidR="00374F07" w:rsidRPr="00377BBF" w14:paraId="42AE53E1" w14:textId="77777777" w:rsidTr="00136189">
        <w:tc>
          <w:tcPr>
            <w:tcW w:w="3623" w:type="dxa"/>
            <w:gridSpan w:val="3"/>
            <w:shd w:val="clear" w:color="auto" w:fill="002060"/>
          </w:tcPr>
          <w:p w14:paraId="6F7494CF" w14:textId="77777777" w:rsidR="00374F07" w:rsidRPr="00377BBF" w:rsidRDefault="00374F07" w:rsidP="0043380E">
            <w:pPr>
              <w:pStyle w:val="BodyText2"/>
              <w:spacing w:before="60" w:after="60"/>
              <w:rPr>
                <w:rFonts w:ascii="Times New Roman" w:hAnsi="Times New Roman"/>
                <w:b/>
                <w:sz w:val="24"/>
              </w:rPr>
            </w:pPr>
            <w:r w:rsidRPr="00377BBF">
              <w:rPr>
                <w:rFonts w:ascii="Times New Roman" w:hAnsi="Times New Roman"/>
                <w:b/>
                <w:sz w:val="24"/>
              </w:rPr>
              <w:lastRenderedPageBreak/>
              <w:t>Outcomes</w:t>
            </w:r>
          </w:p>
        </w:tc>
        <w:tc>
          <w:tcPr>
            <w:tcW w:w="1507" w:type="dxa"/>
            <w:gridSpan w:val="2"/>
            <w:shd w:val="clear" w:color="auto" w:fill="002060"/>
          </w:tcPr>
          <w:p w14:paraId="667DB46B" w14:textId="77777777" w:rsidR="00374F07" w:rsidRPr="00377BBF" w:rsidRDefault="00374F07" w:rsidP="0043380E">
            <w:pPr>
              <w:pStyle w:val="BodyText2"/>
              <w:spacing w:before="60" w:after="60"/>
              <w:rPr>
                <w:rFonts w:ascii="Times New Roman" w:hAnsi="Times New Roman"/>
                <w:b/>
                <w:sz w:val="22"/>
              </w:rPr>
            </w:pPr>
            <w:r w:rsidRPr="00377BBF">
              <w:rPr>
                <w:rFonts w:ascii="Times New Roman" w:hAnsi="Times New Roman"/>
                <w:b/>
                <w:sz w:val="22"/>
              </w:rPr>
              <w:t>Total Expenditure</w:t>
            </w:r>
          </w:p>
        </w:tc>
        <w:tc>
          <w:tcPr>
            <w:tcW w:w="4320" w:type="dxa"/>
            <w:gridSpan w:val="2"/>
            <w:tcBorders>
              <w:left w:val="single" w:sz="4" w:space="0" w:color="auto"/>
            </w:tcBorders>
            <w:shd w:val="clear" w:color="auto" w:fill="002060"/>
          </w:tcPr>
          <w:p w14:paraId="7F7F6A5F" w14:textId="77777777" w:rsidR="00374F07" w:rsidRPr="00377BBF" w:rsidRDefault="00374F07" w:rsidP="0043380E">
            <w:pPr>
              <w:pStyle w:val="BodyText2"/>
              <w:spacing w:before="60" w:after="60"/>
              <w:rPr>
                <w:rFonts w:ascii="Times New Roman" w:hAnsi="Times New Roman"/>
                <w:b/>
                <w:sz w:val="22"/>
              </w:rPr>
            </w:pPr>
            <w:r w:rsidRPr="00377BBF">
              <w:rPr>
                <w:rFonts w:ascii="Times New Roman" w:hAnsi="Times New Roman"/>
                <w:b/>
                <w:sz w:val="22"/>
              </w:rPr>
              <w:t>Key Indicators of outcome (1-4 per outcome)</w:t>
            </w:r>
          </w:p>
        </w:tc>
        <w:tc>
          <w:tcPr>
            <w:tcW w:w="4680" w:type="dxa"/>
            <w:gridSpan w:val="2"/>
            <w:shd w:val="clear" w:color="auto" w:fill="002060"/>
          </w:tcPr>
          <w:p w14:paraId="5620C83B" w14:textId="77777777" w:rsidR="00374F07" w:rsidRPr="00377BBF" w:rsidRDefault="00374F07" w:rsidP="0043380E">
            <w:pPr>
              <w:pStyle w:val="BodyText2"/>
              <w:spacing w:before="60" w:after="60"/>
              <w:rPr>
                <w:rFonts w:ascii="Times New Roman" w:hAnsi="Times New Roman"/>
                <w:b/>
                <w:sz w:val="22"/>
              </w:rPr>
            </w:pPr>
            <w:r w:rsidRPr="00377BBF">
              <w:rPr>
                <w:rFonts w:ascii="Times New Roman" w:hAnsi="Times New Roman"/>
                <w:b/>
                <w:sz w:val="22"/>
              </w:rPr>
              <w:t>Progress made against key indicators</w:t>
            </w:r>
          </w:p>
        </w:tc>
      </w:tr>
      <w:tr w:rsidR="008025DC" w:rsidRPr="00377BBF" w14:paraId="5C6177AF" w14:textId="77777777" w:rsidTr="00136189">
        <w:tc>
          <w:tcPr>
            <w:tcW w:w="3623" w:type="dxa"/>
            <w:gridSpan w:val="3"/>
            <w:shd w:val="clear" w:color="auto" w:fill="C6D9F1" w:themeFill="text2" w:themeFillTint="33"/>
          </w:tcPr>
          <w:p w14:paraId="34D4AD6A" w14:textId="77777777" w:rsidR="008025DC" w:rsidRPr="00377BBF" w:rsidRDefault="00EC1DDE" w:rsidP="0043380E">
            <w:pPr>
              <w:pStyle w:val="BodyText2"/>
              <w:spacing w:before="60" w:after="60"/>
              <w:rPr>
                <w:rFonts w:ascii="Times New Roman" w:hAnsi="Times New Roman"/>
                <w:b/>
              </w:rPr>
            </w:pPr>
            <w:r w:rsidRPr="00377BBF">
              <w:rPr>
                <w:rFonts w:ascii="Times New Roman" w:hAnsi="Times New Roman"/>
                <w:b/>
              </w:rPr>
              <w:t>UNDAF Outcome 9 National actors and institutions have managed conflict risk and are progressively consolidating the peace</w:t>
            </w:r>
          </w:p>
        </w:tc>
        <w:tc>
          <w:tcPr>
            <w:tcW w:w="1507" w:type="dxa"/>
            <w:gridSpan w:val="2"/>
            <w:shd w:val="clear" w:color="auto" w:fill="auto"/>
          </w:tcPr>
          <w:p w14:paraId="5E0D8AB5" w14:textId="77777777" w:rsidR="008025DC" w:rsidRPr="00377BBF" w:rsidRDefault="008025DC" w:rsidP="0043380E">
            <w:pPr>
              <w:pStyle w:val="BodyText2"/>
              <w:spacing w:before="60" w:after="60"/>
              <w:rPr>
                <w:rFonts w:ascii="Times New Roman" w:hAnsi="Times New Roman"/>
              </w:rPr>
            </w:pPr>
            <w:r w:rsidRPr="00377BBF">
              <w:rPr>
                <w:rFonts w:ascii="Times New Roman" w:hAnsi="Times New Roman"/>
              </w:rPr>
              <w:t>$9269635</w:t>
            </w:r>
          </w:p>
        </w:tc>
        <w:tc>
          <w:tcPr>
            <w:tcW w:w="4320" w:type="dxa"/>
            <w:gridSpan w:val="2"/>
            <w:tcBorders>
              <w:left w:val="single" w:sz="4" w:space="0" w:color="auto"/>
            </w:tcBorders>
          </w:tcPr>
          <w:p w14:paraId="488F1B5E" w14:textId="77777777" w:rsidR="008025DC" w:rsidRPr="00377BBF" w:rsidRDefault="008025DC" w:rsidP="00A229C1">
            <w:pPr>
              <w:pStyle w:val="BodyText2"/>
              <w:numPr>
                <w:ilvl w:val="0"/>
                <w:numId w:val="17"/>
              </w:numPr>
              <w:spacing w:before="60" w:after="60"/>
              <w:ind w:left="360"/>
              <w:rPr>
                <w:rFonts w:ascii="Times New Roman" w:hAnsi="Times New Roman"/>
              </w:rPr>
            </w:pPr>
            <w:r w:rsidRPr="00377BBF">
              <w:rPr>
                <w:rFonts w:ascii="Times New Roman" w:hAnsi="Times New Roman"/>
              </w:rPr>
              <w:t>% of people who believe that peace will be sustained on a national level throughout the next five years (UNDAF 1 #9.1 a)</w:t>
            </w:r>
          </w:p>
          <w:p w14:paraId="3519C848" w14:textId="77777777" w:rsidR="008025DC" w:rsidRPr="00377BBF" w:rsidRDefault="008025DC" w:rsidP="00A229C1">
            <w:pPr>
              <w:pStyle w:val="BodyText2"/>
              <w:numPr>
                <w:ilvl w:val="0"/>
                <w:numId w:val="17"/>
              </w:numPr>
              <w:spacing w:before="60" w:after="60"/>
              <w:ind w:left="360"/>
              <w:rPr>
                <w:rFonts w:ascii="Times New Roman" w:hAnsi="Times New Roman"/>
              </w:rPr>
            </w:pPr>
            <w:r w:rsidRPr="00377BBF">
              <w:rPr>
                <w:rFonts w:ascii="Times New Roman" w:hAnsi="Times New Roman"/>
              </w:rPr>
              <w:t>% of people who perceive that peace will be sustained on a local level throughout the next 5 years within five years in their district (UNDAF 1 #9.1b)</w:t>
            </w:r>
          </w:p>
        </w:tc>
        <w:tc>
          <w:tcPr>
            <w:tcW w:w="4680" w:type="dxa"/>
            <w:gridSpan w:val="2"/>
            <w:shd w:val="clear" w:color="auto" w:fill="auto"/>
          </w:tcPr>
          <w:p w14:paraId="3925318C" w14:textId="77777777" w:rsidR="008025DC" w:rsidRPr="00377BBF" w:rsidRDefault="008025DC" w:rsidP="00A229C1">
            <w:pPr>
              <w:pStyle w:val="BodyText2"/>
              <w:numPr>
                <w:ilvl w:val="0"/>
                <w:numId w:val="18"/>
              </w:numPr>
              <w:spacing w:before="60" w:after="60"/>
              <w:rPr>
                <w:rFonts w:ascii="Times New Roman" w:hAnsi="Times New Roman"/>
              </w:rPr>
            </w:pPr>
            <w:r w:rsidRPr="00377BBF">
              <w:rPr>
                <w:rFonts w:ascii="Times New Roman" w:hAnsi="Times New Roman"/>
              </w:rPr>
              <w:t>NA- Perception survey planned in 2017-18</w:t>
            </w:r>
          </w:p>
          <w:p w14:paraId="62EA94F5" w14:textId="77777777" w:rsidR="008025DC" w:rsidRPr="00377BBF" w:rsidRDefault="008025DC" w:rsidP="00A229C1">
            <w:pPr>
              <w:pStyle w:val="BodyText2"/>
              <w:numPr>
                <w:ilvl w:val="0"/>
                <w:numId w:val="18"/>
              </w:numPr>
              <w:spacing w:before="60" w:after="60"/>
              <w:rPr>
                <w:rFonts w:ascii="Times New Roman" w:hAnsi="Times New Roman"/>
              </w:rPr>
            </w:pPr>
            <w:r w:rsidRPr="00377BBF">
              <w:rPr>
                <w:rFonts w:ascii="Times New Roman" w:hAnsi="Times New Roman"/>
              </w:rPr>
              <w:t>However, beneficiaries believe that dialogue culture has changed the perception of stakeholders and beneficiaries towards resolving differences non-violently with notable contribution to improve community security (ROAR 2016).</w:t>
            </w:r>
          </w:p>
        </w:tc>
      </w:tr>
      <w:tr w:rsidR="00374F07" w:rsidRPr="00377BBF" w14:paraId="49718CF8" w14:textId="77777777" w:rsidTr="00136189">
        <w:tc>
          <w:tcPr>
            <w:tcW w:w="14130" w:type="dxa"/>
            <w:gridSpan w:val="9"/>
          </w:tcPr>
          <w:p w14:paraId="22395802" w14:textId="77777777" w:rsidR="00374F07" w:rsidRPr="00377BBF" w:rsidRDefault="00374F07" w:rsidP="0043380E">
            <w:pPr>
              <w:pStyle w:val="BodyText2"/>
              <w:spacing w:before="60" w:after="60"/>
              <w:rPr>
                <w:rFonts w:ascii="Times New Roman" w:hAnsi="Times New Roman"/>
                <w:b/>
              </w:rPr>
            </w:pPr>
            <w:r w:rsidRPr="00377BBF">
              <w:rPr>
                <w:rFonts w:ascii="Times New Roman" w:hAnsi="Times New Roman"/>
                <w:b/>
              </w:rPr>
              <w:t>UNDP Contribution:</w:t>
            </w:r>
          </w:p>
          <w:p w14:paraId="0CF1F9A1" w14:textId="77777777" w:rsidR="00374F07" w:rsidRPr="00377BBF" w:rsidRDefault="00374F07" w:rsidP="0043380E">
            <w:pPr>
              <w:pStyle w:val="BodyText2"/>
              <w:spacing w:before="60" w:after="60"/>
              <w:rPr>
                <w:rFonts w:ascii="Times New Roman" w:hAnsi="Times New Roman"/>
              </w:rPr>
            </w:pPr>
            <w:r w:rsidRPr="00377BBF">
              <w:rPr>
                <w:rFonts w:ascii="Times New Roman" w:hAnsi="Times New Roman"/>
              </w:rPr>
              <w:t xml:space="preserve">(Please provide an assessment of the progress made against the </w:t>
            </w:r>
            <w:r w:rsidRPr="00377BBF">
              <w:rPr>
                <w:rFonts w:ascii="Times New Roman" w:hAnsi="Times New Roman"/>
                <w:u w:val="single"/>
              </w:rPr>
              <w:t>CP outputs</w:t>
            </w:r>
            <w:r w:rsidRPr="00377BBF">
              <w:rPr>
                <w:rFonts w:ascii="Times New Roman" w:hAnsi="Times New Roman"/>
              </w:rPr>
              <w:t xml:space="preserve"> over the cycle, and indicate their contribution to the outcome. Please indicate each of the main outputs and provide a summary assessment of overall progress)</w:t>
            </w:r>
          </w:p>
          <w:p w14:paraId="3A02521B" w14:textId="77777777" w:rsidR="00374F07" w:rsidRPr="00377BBF" w:rsidRDefault="00374F07" w:rsidP="0043380E">
            <w:pPr>
              <w:pStyle w:val="BodyText2"/>
              <w:spacing w:before="60" w:after="60"/>
              <w:rPr>
                <w:rFonts w:ascii="Times New Roman" w:hAnsi="Times New Roman"/>
              </w:rPr>
            </w:pPr>
          </w:p>
          <w:p w14:paraId="0614ADA1" w14:textId="77777777" w:rsidR="00374F07" w:rsidRPr="00377BBF" w:rsidRDefault="00374F07" w:rsidP="0043380E">
            <w:pPr>
              <w:pStyle w:val="BodyText2"/>
              <w:spacing w:before="60" w:after="60"/>
              <w:rPr>
                <w:rFonts w:ascii="Times New Roman" w:hAnsi="Times New Roman"/>
                <w:b/>
              </w:rPr>
            </w:pPr>
            <w:r w:rsidRPr="00377BBF">
              <w:rPr>
                <w:rFonts w:ascii="Times New Roman" w:hAnsi="Times New Roman"/>
                <w:b/>
                <w:u w:val="single"/>
              </w:rPr>
              <w:t>CP Outputs</w:t>
            </w:r>
            <w:r w:rsidRPr="00377BBF">
              <w:rPr>
                <w:rFonts w:ascii="Times New Roman" w:hAnsi="Times New Roman"/>
                <w:b/>
              </w:rPr>
              <w:t>:</w:t>
            </w:r>
          </w:p>
          <w:p w14:paraId="6255A877" w14:textId="77777777" w:rsidR="00C5578F" w:rsidRPr="00377BBF" w:rsidRDefault="00C5578F" w:rsidP="0043380E">
            <w:pPr>
              <w:pStyle w:val="BodyText2"/>
              <w:spacing w:before="60" w:after="60"/>
              <w:rPr>
                <w:rFonts w:ascii="Times New Roman" w:hAnsi="Times New Roman"/>
              </w:rPr>
            </w:pPr>
          </w:p>
          <w:p w14:paraId="0B2CD92A" w14:textId="77777777" w:rsidR="005D4789" w:rsidRPr="00377BBF" w:rsidRDefault="00374F07" w:rsidP="0043380E">
            <w:pPr>
              <w:pStyle w:val="BodyText2"/>
              <w:spacing w:before="60" w:after="60"/>
              <w:rPr>
                <w:rFonts w:ascii="Times New Roman" w:hAnsi="Times New Roman"/>
              </w:rPr>
            </w:pPr>
            <w:r w:rsidRPr="00377BBF">
              <w:rPr>
                <w:rFonts w:ascii="Times New Roman" w:hAnsi="Times New Roman"/>
              </w:rPr>
              <w:t xml:space="preserve">The UNDP CP identified three major outputs to support the Government in achieving this outcome: </w:t>
            </w:r>
          </w:p>
          <w:p w14:paraId="5293E45E" w14:textId="77777777" w:rsidR="005D4789" w:rsidRPr="00377BBF" w:rsidRDefault="005D4789" w:rsidP="0043380E">
            <w:pPr>
              <w:pStyle w:val="BodyText2"/>
              <w:spacing w:before="60" w:after="60"/>
              <w:rPr>
                <w:rFonts w:ascii="Times New Roman" w:hAnsi="Times New Roman"/>
              </w:rPr>
            </w:pPr>
          </w:p>
          <w:p w14:paraId="0EACC843" w14:textId="77777777" w:rsidR="00374F07" w:rsidRPr="00CD2BE7" w:rsidRDefault="005D4789" w:rsidP="0043380E">
            <w:pPr>
              <w:pStyle w:val="BodyText2"/>
              <w:spacing w:before="60" w:after="60"/>
              <w:rPr>
                <w:rFonts w:ascii="Times New Roman" w:hAnsi="Times New Roman"/>
                <w:i/>
              </w:rPr>
            </w:pPr>
            <w:r w:rsidRPr="00CD2BE7">
              <w:rPr>
                <w:rFonts w:ascii="Times New Roman" w:hAnsi="Times New Roman"/>
                <w:i/>
              </w:rPr>
              <w:t>Output 9.1 National actors have collaborated to manage and resolve conflict issues, strengthening peace consolidation</w:t>
            </w:r>
          </w:p>
          <w:p w14:paraId="158B6B37" w14:textId="77777777" w:rsidR="005D4789" w:rsidRPr="00CD2BE7" w:rsidRDefault="005D4789" w:rsidP="0043380E">
            <w:pPr>
              <w:pStyle w:val="BodyText2"/>
              <w:spacing w:before="60" w:after="60"/>
              <w:rPr>
                <w:rFonts w:ascii="Times New Roman" w:hAnsi="Times New Roman"/>
                <w:i/>
              </w:rPr>
            </w:pPr>
            <w:r w:rsidRPr="00CD2BE7">
              <w:rPr>
                <w:rFonts w:ascii="Times New Roman" w:hAnsi="Times New Roman"/>
                <w:i/>
              </w:rPr>
              <w:t xml:space="preserve">Output 9.3 Relevant actors at local and national levels implement policies, procedures and </w:t>
            </w:r>
            <w:proofErr w:type="spellStart"/>
            <w:r w:rsidRPr="00CD2BE7">
              <w:rPr>
                <w:rFonts w:ascii="Times New Roman" w:hAnsi="Times New Roman"/>
                <w:i/>
              </w:rPr>
              <w:t>programmes</w:t>
            </w:r>
            <w:proofErr w:type="spellEnd"/>
            <w:r w:rsidRPr="00CD2BE7">
              <w:rPr>
                <w:rFonts w:ascii="Times New Roman" w:hAnsi="Times New Roman"/>
                <w:i/>
              </w:rPr>
              <w:t xml:space="preserve"> to reduce armed violence and prevent conflict, with special attention to geographic 'hotspots'</w:t>
            </w:r>
          </w:p>
          <w:p w14:paraId="209CCB4A" w14:textId="77777777" w:rsidR="005D4789" w:rsidRPr="00377BBF" w:rsidRDefault="005D4789" w:rsidP="0043380E">
            <w:pPr>
              <w:pStyle w:val="BodyText2"/>
              <w:spacing w:before="60" w:after="60"/>
              <w:rPr>
                <w:rFonts w:ascii="Times New Roman" w:hAnsi="Times New Roman"/>
              </w:rPr>
            </w:pPr>
            <w:r w:rsidRPr="00377BBF">
              <w:rPr>
                <w:rFonts w:ascii="Times New Roman" w:hAnsi="Times New Roman"/>
              </w:rPr>
              <w:t xml:space="preserve">Output 9.4 Targeted populations participate in social and economic empowerment initiatives and integration </w:t>
            </w:r>
            <w:proofErr w:type="spellStart"/>
            <w:r w:rsidRPr="00377BBF">
              <w:rPr>
                <w:rFonts w:ascii="Times New Roman" w:hAnsi="Times New Roman"/>
              </w:rPr>
              <w:t>programmes</w:t>
            </w:r>
            <w:proofErr w:type="spellEnd"/>
            <w:r w:rsidRPr="00377BBF">
              <w:rPr>
                <w:rFonts w:ascii="Times New Roman" w:hAnsi="Times New Roman"/>
              </w:rPr>
              <w:t xml:space="preserve"> to diminish future conflict risks</w:t>
            </w:r>
          </w:p>
          <w:p w14:paraId="3A2F931A" w14:textId="77777777" w:rsidR="005D4789" w:rsidRPr="00377BBF" w:rsidRDefault="005D4789" w:rsidP="0043380E">
            <w:pPr>
              <w:pStyle w:val="BodyText2"/>
              <w:spacing w:before="60" w:after="60"/>
              <w:rPr>
                <w:rFonts w:ascii="Times New Roman" w:hAnsi="Times New Roman"/>
              </w:rPr>
            </w:pPr>
          </w:p>
          <w:p w14:paraId="4E2B0F48" w14:textId="77777777" w:rsidR="00374F07" w:rsidRPr="00377BBF" w:rsidRDefault="00374F07" w:rsidP="0043380E">
            <w:pPr>
              <w:pStyle w:val="BodyText2"/>
              <w:spacing w:before="60" w:after="60"/>
              <w:rPr>
                <w:rFonts w:ascii="Times New Roman" w:hAnsi="Times New Roman"/>
                <w:b/>
              </w:rPr>
            </w:pPr>
            <w:r w:rsidRPr="00377BBF">
              <w:rPr>
                <w:rFonts w:ascii="Times New Roman" w:hAnsi="Times New Roman"/>
                <w:b/>
                <w:u w:val="single"/>
              </w:rPr>
              <w:lastRenderedPageBreak/>
              <w:t>Progress and Achievements</w:t>
            </w:r>
            <w:r w:rsidRPr="00377BBF">
              <w:rPr>
                <w:rFonts w:ascii="Times New Roman" w:hAnsi="Times New Roman"/>
                <w:b/>
              </w:rPr>
              <w:t>:</w:t>
            </w:r>
          </w:p>
          <w:p w14:paraId="64F617E4" w14:textId="77777777" w:rsidR="00374F07" w:rsidRPr="00377BBF" w:rsidRDefault="00374F07" w:rsidP="0043380E">
            <w:pPr>
              <w:pStyle w:val="BodyText2"/>
              <w:spacing w:before="60" w:after="60"/>
              <w:rPr>
                <w:rFonts w:ascii="Times New Roman" w:hAnsi="Times New Roman"/>
              </w:rPr>
            </w:pPr>
          </w:p>
          <w:p w14:paraId="4FFF84C2" w14:textId="77777777" w:rsidR="00CD2BE7" w:rsidRDefault="000109F9" w:rsidP="000109F9">
            <w:pPr>
              <w:pStyle w:val="BodyText2"/>
              <w:numPr>
                <w:ilvl w:val="1"/>
                <w:numId w:val="29"/>
              </w:numPr>
              <w:spacing w:before="60" w:after="60"/>
              <w:rPr>
                <w:rFonts w:ascii="Times New Roman" w:hAnsi="Times New Roman"/>
              </w:rPr>
            </w:pPr>
            <w:r w:rsidRPr="000109F9">
              <w:rPr>
                <w:rFonts w:ascii="Times New Roman" w:hAnsi="Times New Roman"/>
              </w:rPr>
              <w:t xml:space="preserve">National and local leaders used Collaborative Leadership and Dialogue tools to address divisive issues related to political, resource-based and identity-based and minimize serious tensions. Several multi-stakeholders dialogue forums, formed with support from UNDP, </w:t>
            </w:r>
            <w:proofErr w:type="spellStart"/>
            <w:r w:rsidR="00D9584C">
              <w:rPr>
                <w:rFonts w:ascii="Times New Roman" w:hAnsi="Times New Roman"/>
              </w:rPr>
              <w:t>p</w:t>
            </w:r>
            <w:r w:rsidR="00BC1731" w:rsidRPr="000109F9">
              <w:rPr>
                <w:rFonts w:ascii="Times New Roman" w:hAnsi="Times New Roman"/>
              </w:rPr>
              <w:t>rogramme</w:t>
            </w:r>
            <w:proofErr w:type="spellEnd"/>
            <w:r w:rsidR="00BC1731" w:rsidRPr="000109F9">
              <w:rPr>
                <w:rFonts w:ascii="Times New Roman" w:hAnsi="Times New Roman"/>
              </w:rPr>
              <w:t xml:space="preserve"> provided</w:t>
            </w:r>
            <w:r w:rsidRPr="000109F9">
              <w:rPr>
                <w:rFonts w:ascii="Times New Roman" w:hAnsi="Times New Roman"/>
              </w:rPr>
              <w:t xml:space="preserve"> common spaces for </w:t>
            </w:r>
            <w:proofErr w:type="spellStart"/>
            <w:r w:rsidRPr="000109F9">
              <w:rPr>
                <w:rFonts w:ascii="Times New Roman" w:hAnsi="Times New Roman"/>
              </w:rPr>
              <w:t>GoN</w:t>
            </w:r>
            <w:proofErr w:type="spellEnd"/>
            <w:r w:rsidRPr="000109F9">
              <w:rPr>
                <w:rFonts w:ascii="Times New Roman" w:hAnsi="Times New Roman"/>
              </w:rPr>
              <w:t xml:space="preserve"> officials, political party leaders and civil society actors to identify and discuss contentious issues as well as develop strategy to respond to potential tensions. Nine political, resource and identity-based conflicts were resolved, including potential religious tensions in </w:t>
            </w:r>
            <w:proofErr w:type="spellStart"/>
            <w:r w:rsidRPr="000109F9">
              <w:rPr>
                <w:rFonts w:ascii="Times New Roman" w:hAnsi="Times New Roman"/>
              </w:rPr>
              <w:t>Banke</w:t>
            </w:r>
            <w:proofErr w:type="spellEnd"/>
            <w:r w:rsidRPr="000109F9">
              <w:rPr>
                <w:rFonts w:ascii="Times New Roman" w:hAnsi="Times New Roman"/>
              </w:rPr>
              <w:t xml:space="preserve"> district. Nepal Administrative Staff College and the Local Development Training Academy integrated conflict sensitivity into their curricula to sensitize </w:t>
            </w:r>
            <w:proofErr w:type="spellStart"/>
            <w:r w:rsidRPr="000109F9">
              <w:rPr>
                <w:rFonts w:ascii="Times New Roman" w:hAnsi="Times New Roman"/>
              </w:rPr>
              <w:t>GoN</w:t>
            </w:r>
            <w:proofErr w:type="spellEnd"/>
            <w:r w:rsidRPr="000109F9">
              <w:rPr>
                <w:rFonts w:ascii="Times New Roman" w:hAnsi="Times New Roman"/>
              </w:rPr>
              <w:t xml:space="preserve"> officials to build their capacity on conflict-sensitive development programming and peacebuilding, contributing to strengthening of national institutions, processes and initiatives to consolidate peace. Similarly, UN supported the NPC for provision of peace sensitivity in the Annual Budget Preparation Guidelines. Leaders from </w:t>
            </w:r>
            <w:proofErr w:type="spellStart"/>
            <w:r w:rsidRPr="000109F9">
              <w:rPr>
                <w:rFonts w:ascii="Times New Roman" w:hAnsi="Times New Roman"/>
              </w:rPr>
              <w:t>programme</w:t>
            </w:r>
            <w:proofErr w:type="spellEnd"/>
            <w:r w:rsidRPr="000109F9">
              <w:rPr>
                <w:rFonts w:ascii="Times New Roman" w:hAnsi="Times New Roman"/>
              </w:rPr>
              <w:t xml:space="preserve"> districts have developed shared agendas on conflict issues through collaborative leadership and dialogue processes. Apart from that, multi-community joint economic undertakings have been initiated at in 7 districts. These initiatives are designed to bring divided communities together to strengthen social ties and ensure equitable participation as well as integration social cohesion components in the local development plan and </w:t>
            </w:r>
            <w:proofErr w:type="spellStart"/>
            <w:r w:rsidRPr="000109F9">
              <w:rPr>
                <w:rFonts w:ascii="Times New Roman" w:hAnsi="Times New Roman"/>
              </w:rPr>
              <w:t>programmes</w:t>
            </w:r>
            <w:proofErr w:type="spellEnd"/>
            <w:r w:rsidRPr="000109F9">
              <w:rPr>
                <w:rFonts w:ascii="Times New Roman" w:hAnsi="Times New Roman"/>
              </w:rPr>
              <w:t>.  These examples reflect the commitment of key institutions in contributing resources to address emerging/ recurring conflicts at local and national level.</w:t>
            </w:r>
          </w:p>
          <w:p w14:paraId="1894D4C8" w14:textId="77777777" w:rsidR="000109F9" w:rsidRDefault="000109F9" w:rsidP="000109F9">
            <w:pPr>
              <w:pStyle w:val="BodyText2"/>
              <w:spacing w:before="60" w:after="60"/>
              <w:ind w:left="360"/>
              <w:rPr>
                <w:rFonts w:ascii="Times New Roman" w:hAnsi="Times New Roman"/>
              </w:rPr>
            </w:pPr>
          </w:p>
          <w:p w14:paraId="20B3A904" w14:textId="77777777" w:rsidR="00CD2BE7" w:rsidRDefault="00C5578F" w:rsidP="000109F9">
            <w:pPr>
              <w:pStyle w:val="BodyText2"/>
              <w:numPr>
                <w:ilvl w:val="1"/>
                <w:numId w:val="29"/>
              </w:numPr>
              <w:spacing w:before="60" w:after="60"/>
              <w:rPr>
                <w:rFonts w:ascii="Times New Roman" w:hAnsi="Times New Roman"/>
              </w:rPr>
            </w:pPr>
            <w:r w:rsidRPr="00CD2BE7">
              <w:rPr>
                <w:rFonts w:ascii="Times New Roman" w:hAnsi="Times New Roman"/>
              </w:rPr>
              <w:t>Support provided to the Nepal Police’s extensive crime and violence data collection, analysis and reporting system by reengineering the databases to make them more user friendly</w:t>
            </w:r>
            <w:r w:rsidR="00EC1DDE" w:rsidRPr="00CD2BE7">
              <w:rPr>
                <w:rFonts w:ascii="Times New Roman" w:hAnsi="Times New Roman"/>
              </w:rPr>
              <w:t xml:space="preserve">. </w:t>
            </w:r>
            <w:r w:rsidRPr="00CD2BE7">
              <w:rPr>
                <w:rFonts w:ascii="Times New Roman" w:hAnsi="Times New Roman"/>
              </w:rPr>
              <w:t xml:space="preserve"> </w:t>
            </w:r>
            <w:r w:rsidR="00EC1DDE" w:rsidRPr="00CD2BE7">
              <w:rPr>
                <w:rFonts w:ascii="Times New Roman" w:hAnsi="Times New Roman"/>
              </w:rPr>
              <w:t xml:space="preserve">The physical office structure for the National Crime Observation Centre was established and once operational, it will contribute to the measurability and analysis of disaggregated crime and violence (Output 9.3) data, including violence against </w:t>
            </w:r>
            <w:r w:rsidR="003B41EA" w:rsidRPr="00CD2BE7">
              <w:rPr>
                <w:rFonts w:ascii="Times New Roman" w:hAnsi="Times New Roman"/>
              </w:rPr>
              <w:t>women.</w:t>
            </w:r>
            <w:r w:rsidRPr="00CD2BE7">
              <w:rPr>
                <w:rFonts w:ascii="Times New Roman" w:hAnsi="Times New Roman"/>
              </w:rPr>
              <w:t xml:space="preserve"> Re-engineering of the Nepal Police </w:t>
            </w:r>
            <w:r w:rsidR="003B41EA" w:rsidRPr="00CD2BE7">
              <w:rPr>
                <w:rFonts w:ascii="Times New Roman" w:hAnsi="Times New Roman"/>
              </w:rPr>
              <w:t>Databases</w:t>
            </w:r>
            <w:r w:rsidRPr="00CD2BE7">
              <w:rPr>
                <w:rFonts w:ascii="Times New Roman" w:hAnsi="Times New Roman"/>
              </w:rPr>
              <w:t xml:space="preserve"> Crime and Criminal Information System (CCIS) and Daily Incident Record System (DIRS) are 80% complete.</w:t>
            </w:r>
            <w:r w:rsidR="00EC1DDE" w:rsidRPr="00CD2BE7">
              <w:rPr>
                <w:rFonts w:ascii="Times New Roman" w:hAnsi="Times New Roman"/>
              </w:rPr>
              <w:t xml:space="preserve"> Participation of 100 women from vulnerable groups in six participatory women’s safety audits paved the way for gender sensitive community security planning processes in six clusters, involving 24 Village Development Committees (VDCs) of </w:t>
            </w:r>
            <w:proofErr w:type="gramStart"/>
            <w:r w:rsidR="00EC1DDE" w:rsidRPr="00CD2BE7">
              <w:rPr>
                <w:rFonts w:ascii="Times New Roman" w:hAnsi="Times New Roman"/>
              </w:rPr>
              <w:t>Mid</w:t>
            </w:r>
            <w:proofErr w:type="gramEnd"/>
            <w:r w:rsidR="00EC1DDE" w:rsidRPr="00CD2BE7">
              <w:rPr>
                <w:rFonts w:ascii="Times New Roman" w:hAnsi="Times New Roman"/>
              </w:rPr>
              <w:t xml:space="preserve"> and Far-West regions. 2,800 people (of which 38% women) participated in community security planning consultations, raising the level of mutual trust and confidence between the community and representatives of the Nepal Police.</w:t>
            </w:r>
          </w:p>
          <w:p w14:paraId="2767C650" w14:textId="77777777" w:rsidR="00CD2BE7" w:rsidRPr="00C047E9" w:rsidRDefault="00CD2BE7" w:rsidP="00CD2BE7">
            <w:pPr>
              <w:pStyle w:val="ListParagraph"/>
              <w:rPr>
                <w:sz w:val="20"/>
              </w:rPr>
            </w:pPr>
          </w:p>
          <w:p w14:paraId="532FA5F5" w14:textId="77777777" w:rsidR="00CD2BE7" w:rsidRDefault="00C5578F" w:rsidP="00A229C1">
            <w:pPr>
              <w:pStyle w:val="BodyText2"/>
              <w:numPr>
                <w:ilvl w:val="1"/>
                <w:numId w:val="29"/>
              </w:numPr>
              <w:spacing w:before="60" w:after="60"/>
              <w:rPr>
                <w:rFonts w:ascii="Times New Roman" w:hAnsi="Times New Roman"/>
              </w:rPr>
            </w:pPr>
            <w:r w:rsidRPr="00CD2BE7">
              <w:rPr>
                <w:rFonts w:ascii="Times New Roman" w:hAnsi="Times New Roman"/>
              </w:rPr>
              <w:t xml:space="preserve">A total of 27,202 households, comprising 8% of the total population in </w:t>
            </w:r>
            <w:proofErr w:type="spellStart"/>
            <w:r w:rsidRPr="00CD2BE7">
              <w:rPr>
                <w:rFonts w:ascii="Times New Roman" w:hAnsi="Times New Roman"/>
              </w:rPr>
              <w:t>Mahottari</w:t>
            </w:r>
            <w:proofErr w:type="spellEnd"/>
            <w:r w:rsidRPr="00CD2BE7">
              <w:rPr>
                <w:rFonts w:ascii="Times New Roman" w:hAnsi="Times New Roman"/>
              </w:rPr>
              <w:t xml:space="preserve">, </w:t>
            </w:r>
            <w:proofErr w:type="spellStart"/>
            <w:r w:rsidRPr="00CD2BE7">
              <w:rPr>
                <w:rFonts w:ascii="Times New Roman" w:hAnsi="Times New Roman"/>
              </w:rPr>
              <w:t>Sarlahi</w:t>
            </w:r>
            <w:proofErr w:type="spellEnd"/>
            <w:r w:rsidRPr="00CD2BE7">
              <w:rPr>
                <w:rFonts w:ascii="Times New Roman" w:hAnsi="Times New Roman"/>
              </w:rPr>
              <w:t xml:space="preserve"> and </w:t>
            </w:r>
            <w:proofErr w:type="spellStart"/>
            <w:r w:rsidRPr="00CD2BE7">
              <w:rPr>
                <w:rFonts w:ascii="Times New Roman" w:hAnsi="Times New Roman"/>
              </w:rPr>
              <w:t>Rautahat</w:t>
            </w:r>
            <w:proofErr w:type="spellEnd"/>
            <w:r w:rsidRPr="00CD2BE7">
              <w:rPr>
                <w:rFonts w:ascii="Times New Roman" w:hAnsi="Times New Roman"/>
              </w:rPr>
              <w:t xml:space="preserve">, have benefitted through UNDP’s integrated development approach that has contributed to the socio-economic empowerment of the ultra-poor as well as marginalized households and groups. They are better informed about the dynamics of poverty and more responsive to change. One fourth of them are incorporated into local cooperatives </w:t>
            </w:r>
            <w:r w:rsidR="003B41EA" w:rsidRPr="00CD2BE7">
              <w:rPr>
                <w:rFonts w:ascii="Times New Roman" w:hAnsi="Times New Roman"/>
              </w:rPr>
              <w:t>to</w:t>
            </w:r>
            <w:r w:rsidRPr="00CD2BE7">
              <w:rPr>
                <w:rFonts w:ascii="Times New Roman" w:hAnsi="Times New Roman"/>
              </w:rPr>
              <w:t xml:space="preserve"> make collective efforts to improve their economic well-being and diminish future conflict risks.</w:t>
            </w:r>
          </w:p>
          <w:p w14:paraId="65FE7900" w14:textId="77777777" w:rsidR="00CD2BE7" w:rsidRPr="00C047E9" w:rsidRDefault="00CD2BE7" w:rsidP="00CD2BE7">
            <w:pPr>
              <w:pStyle w:val="ListParagraph"/>
              <w:rPr>
                <w:sz w:val="20"/>
              </w:rPr>
            </w:pPr>
          </w:p>
          <w:p w14:paraId="6E74DC66" w14:textId="77777777" w:rsidR="00C5578F" w:rsidRPr="00CD2BE7" w:rsidRDefault="00EC1DDE" w:rsidP="00A229C1">
            <w:pPr>
              <w:pStyle w:val="BodyText2"/>
              <w:numPr>
                <w:ilvl w:val="1"/>
                <w:numId w:val="29"/>
              </w:numPr>
              <w:spacing w:before="60" w:after="60"/>
              <w:rPr>
                <w:rFonts w:ascii="Times New Roman" w:hAnsi="Times New Roman"/>
              </w:rPr>
            </w:pPr>
            <w:r w:rsidRPr="00CD2BE7">
              <w:rPr>
                <w:rFonts w:ascii="Times New Roman" w:hAnsi="Times New Roman"/>
              </w:rPr>
              <w:t xml:space="preserve">Out of 27,000 vulnerable households in selected districts, 6,543 households received income generation and socio-economic empowerment support (Output 9.4) to carry out small scale enterprises </w:t>
            </w:r>
            <w:r w:rsidR="003B41EA" w:rsidRPr="00CD2BE7">
              <w:rPr>
                <w:rFonts w:ascii="Times New Roman" w:hAnsi="Times New Roman"/>
              </w:rPr>
              <w:t>in</w:t>
            </w:r>
            <w:r w:rsidRPr="00CD2BE7">
              <w:rPr>
                <w:rFonts w:ascii="Times New Roman" w:hAnsi="Times New Roman"/>
              </w:rPr>
              <w:t xml:space="preserve"> agriculture, livestock and services. Altogether 3,076 households benefitted from 61 small scale infrastructure projects, including hand pumps, sanitation support, and transport facilities. For the sustainability of such interventions, 7,932 members from 341 groups are registered in </w:t>
            </w:r>
            <w:r w:rsidR="00040DD0" w:rsidRPr="00CD2BE7">
              <w:rPr>
                <w:rFonts w:ascii="Times New Roman" w:hAnsi="Times New Roman"/>
              </w:rPr>
              <w:t xml:space="preserve">64 </w:t>
            </w:r>
            <w:r w:rsidRPr="00CD2BE7">
              <w:rPr>
                <w:rFonts w:ascii="Times New Roman" w:hAnsi="Times New Roman"/>
              </w:rPr>
              <w:t xml:space="preserve">cooperatives </w:t>
            </w:r>
            <w:r w:rsidR="00040DD0" w:rsidRPr="00CD2BE7">
              <w:rPr>
                <w:rFonts w:ascii="Times New Roman" w:hAnsi="Times New Roman"/>
              </w:rPr>
              <w:t xml:space="preserve">by the Division Cooperative Office </w:t>
            </w:r>
            <w:r w:rsidRPr="00CD2BE7">
              <w:rPr>
                <w:rFonts w:ascii="Times New Roman" w:hAnsi="Times New Roman"/>
              </w:rPr>
              <w:t xml:space="preserve">to ensure their access to finance and business opportunities. 800 community groups of vulnerable communities were linked </w:t>
            </w:r>
            <w:r w:rsidR="00F20AFE" w:rsidRPr="00CD2BE7">
              <w:rPr>
                <w:rFonts w:ascii="Times New Roman" w:hAnsi="Times New Roman"/>
              </w:rPr>
              <w:t xml:space="preserve">who </w:t>
            </w:r>
            <w:r w:rsidRPr="00CD2BE7">
              <w:rPr>
                <w:rFonts w:ascii="Times New Roman" w:hAnsi="Times New Roman"/>
              </w:rPr>
              <w:t xml:space="preserve">are represented in Ward Citizen Forums and 98 community groups in District Agriculture Offices and District Livestock Support Offices to ensure their issues are heard and </w:t>
            </w:r>
            <w:r w:rsidR="003B41EA" w:rsidRPr="00CD2BE7">
              <w:rPr>
                <w:rFonts w:ascii="Times New Roman" w:hAnsi="Times New Roman"/>
              </w:rPr>
              <w:t>considered</w:t>
            </w:r>
            <w:r w:rsidRPr="00CD2BE7">
              <w:rPr>
                <w:rFonts w:ascii="Times New Roman" w:hAnsi="Times New Roman"/>
              </w:rPr>
              <w:t xml:space="preserve"> in planning. These groups benefitted from agriculture and livestock services provided by the district line agencies. Training on GBV provided to 521 members of women rights fora contributed to increase in GBV cases being reported through a government mechanism.</w:t>
            </w:r>
          </w:p>
          <w:p w14:paraId="1438285F" w14:textId="77777777" w:rsidR="00C5578F" w:rsidRPr="00377BBF" w:rsidRDefault="00C5578F" w:rsidP="0043380E">
            <w:pPr>
              <w:pStyle w:val="BodyText2"/>
              <w:spacing w:before="60" w:after="60"/>
              <w:rPr>
                <w:rFonts w:ascii="Times New Roman" w:hAnsi="Times New Roman"/>
              </w:rPr>
            </w:pPr>
          </w:p>
        </w:tc>
      </w:tr>
      <w:tr w:rsidR="00374F07" w:rsidRPr="00377BBF" w14:paraId="2A550408" w14:textId="77777777" w:rsidTr="00136189">
        <w:tc>
          <w:tcPr>
            <w:tcW w:w="3623" w:type="dxa"/>
            <w:gridSpan w:val="3"/>
            <w:shd w:val="clear" w:color="auto" w:fill="002060"/>
          </w:tcPr>
          <w:p w14:paraId="2439D25F" w14:textId="77777777" w:rsidR="00374F07" w:rsidRPr="00377BBF" w:rsidRDefault="00374F07" w:rsidP="0043380E">
            <w:pPr>
              <w:pStyle w:val="BodyText2"/>
              <w:spacing w:before="60" w:after="60"/>
              <w:rPr>
                <w:rFonts w:ascii="Times New Roman" w:hAnsi="Times New Roman"/>
                <w:b/>
                <w:sz w:val="24"/>
              </w:rPr>
            </w:pPr>
            <w:r w:rsidRPr="00377BBF">
              <w:rPr>
                <w:rFonts w:ascii="Times New Roman" w:hAnsi="Times New Roman"/>
                <w:b/>
                <w:sz w:val="24"/>
              </w:rPr>
              <w:lastRenderedPageBreak/>
              <w:t>Outcomes</w:t>
            </w:r>
          </w:p>
        </w:tc>
        <w:tc>
          <w:tcPr>
            <w:tcW w:w="1507" w:type="dxa"/>
            <w:gridSpan w:val="2"/>
            <w:shd w:val="clear" w:color="auto" w:fill="002060"/>
          </w:tcPr>
          <w:p w14:paraId="59485CE7" w14:textId="77777777" w:rsidR="00374F07" w:rsidRPr="00377BBF" w:rsidRDefault="00374F07" w:rsidP="0043380E">
            <w:pPr>
              <w:pStyle w:val="BodyText2"/>
              <w:spacing w:before="60" w:after="60"/>
              <w:rPr>
                <w:rFonts w:ascii="Times New Roman" w:hAnsi="Times New Roman"/>
                <w:b/>
                <w:sz w:val="22"/>
              </w:rPr>
            </w:pPr>
            <w:r w:rsidRPr="00377BBF">
              <w:rPr>
                <w:rFonts w:ascii="Times New Roman" w:hAnsi="Times New Roman"/>
                <w:b/>
                <w:sz w:val="22"/>
              </w:rPr>
              <w:t>Total Expenditure</w:t>
            </w:r>
          </w:p>
        </w:tc>
        <w:tc>
          <w:tcPr>
            <w:tcW w:w="4320" w:type="dxa"/>
            <w:gridSpan w:val="2"/>
            <w:tcBorders>
              <w:left w:val="single" w:sz="4" w:space="0" w:color="auto"/>
            </w:tcBorders>
            <w:shd w:val="clear" w:color="auto" w:fill="002060"/>
          </w:tcPr>
          <w:p w14:paraId="4820F451" w14:textId="77777777" w:rsidR="00374F07" w:rsidRPr="00377BBF" w:rsidRDefault="00374F07" w:rsidP="0043380E">
            <w:pPr>
              <w:pStyle w:val="BodyText2"/>
              <w:spacing w:before="60" w:after="60"/>
              <w:rPr>
                <w:rFonts w:ascii="Times New Roman" w:hAnsi="Times New Roman"/>
                <w:b/>
                <w:sz w:val="22"/>
              </w:rPr>
            </w:pPr>
            <w:r w:rsidRPr="00377BBF">
              <w:rPr>
                <w:rFonts w:ascii="Times New Roman" w:hAnsi="Times New Roman"/>
                <w:b/>
                <w:sz w:val="22"/>
              </w:rPr>
              <w:t>Key Indicators of outcome (1-4 per outcome)</w:t>
            </w:r>
          </w:p>
        </w:tc>
        <w:tc>
          <w:tcPr>
            <w:tcW w:w="4680" w:type="dxa"/>
            <w:gridSpan w:val="2"/>
            <w:shd w:val="clear" w:color="auto" w:fill="002060"/>
          </w:tcPr>
          <w:p w14:paraId="33499E92" w14:textId="77777777" w:rsidR="00374F07" w:rsidRPr="00377BBF" w:rsidRDefault="00374F07" w:rsidP="0043380E">
            <w:pPr>
              <w:pStyle w:val="BodyText2"/>
              <w:spacing w:before="60" w:after="60"/>
              <w:rPr>
                <w:rFonts w:ascii="Times New Roman" w:hAnsi="Times New Roman"/>
                <w:b/>
                <w:sz w:val="22"/>
              </w:rPr>
            </w:pPr>
            <w:r w:rsidRPr="00377BBF">
              <w:rPr>
                <w:rFonts w:ascii="Times New Roman" w:hAnsi="Times New Roman"/>
                <w:b/>
                <w:sz w:val="22"/>
              </w:rPr>
              <w:t>Progress made against key indicators</w:t>
            </w:r>
          </w:p>
        </w:tc>
      </w:tr>
      <w:tr w:rsidR="008025DC" w:rsidRPr="00377BBF" w14:paraId="27134C2A" w14:textId="77777777" w:rsidTr="00136189">
        <w:tc>
          <w:tcPr>
            <w:tcW w:w="3623" w:type="dxa"/>
            <w:gridSpan w:val="3"/>
            <w:shd w:val="clear" w:color="auto" w:fill="C6D9F1" w:themeFill="text2" w:themeFillTint="33"/>
          </w:tcPr>
          <w:p w14:paraId="1A887B34" w14:textId="77777777" w:rsidR="008025DC" w:rsidRPr="00377BBF" w:rsidRDefault="00013CCA" w:rsidP="0043380E">
            <w:pPr>
              <w:pStyle w:val="BodyText2"/>
              <w:spacing w:before="60" w:after="60"/>
              <w:rPr>
                <w:rFonts w:ascii="Times New Roman" w:hAnsi="Times New Roman"/>
                <w:b/>
              </w:rPr>
            </w:pPr>
            <w:r w:rsidRPr="00377BBF">
              <w:rPr>
                <w:rFonts w:ascii="Times New Roman" w:hAnsi="Times New Roman"/>
                <w:b/>
              </w:rPr>
              <w:t>UNDAF Outcome 10 Nepal's institutions are strengthened for more effective integration of policy and the economy into intergovernmental economic and normative processes, and international policy and legal regimes</w:t>
            </w:r>
          </w:p>
        </w:tc>
        <w:tc>
          <w:tcPr>
            <w:tcW w:w="1507" w:type="dxa"/>
            <w:gridSpan w:val="2"/>
            <w:shd w:val="clear" w:color="auto" w:fill="auto"/>
          </w:tcPr>
          <w:p w14:paraId="00EB3AA2" w14:textId="77777777" w:rsidR="008025DC" w:rsidRPr="00377BBF" w:rsidRDefault="008025DC" w:rsidP="0043380E">
            <w:pPr>
              <w:pStyle w:val="BodyText2"/>
              <w:spacing w:before="60" w:after="60"/>
              <w:rPr>
                <w:rFonts w:ascii="Times New Roman" w:hAnsi="Times New Roman"/>
              </w:rPr>
            </w:pPr>
            <w:r w:rsidRPr="00377BBF">
              <w:rPr>
                <w:rFonts w:ascii="Times New Roman" w:hAnsi="Times New Roman"/>
              </w:rPr>
              <w:t>$886655</w:t>
            </w:r>
          </w:p>
        </w:tc>
        <w:tc>
          <w:tcPr>
            <w:tcW w:w="4320" w:type="dxa"/>
            <w:gridSpan w:val="2"/>
            <w:tcBorders>
              <w:left w:val="single" w:sz="4" w:space="0" w:color="auto"/>
            </w:tcBorders>
          </w:tcPr>
          <w:p w14:paraId="5B3509EE" w14:textId="77777777" w:rsidR="008025DC" w:rsidRPr="00377BBF" w:rsidRDefault="008025DC" w:rsidP="00A229C1">
            <w:pPr>
              <w:pStyle w:val="BodyText2"/>
              <w:numPr>
                <w:ilvl w:val="0"/>
                <w:numId w:val="19"/>
              </w:numPr>
              <w:spacing w:before="60" w:after="60"/>
              <w:ind w:left="360"/>
              <w:rPr>
                <w:rFonts w:ascii="Times New Roman" w:hAnsi="Times New Roman"/>
              </w:rPr>
            </w:pPr>
            <w:r w:rsidRPr="00377BBF">
              <w:rPr>
                <w:rFonts w:ascii="Times New Roman" w:hAnsi="Times New Roman"/>
              </w:rPr>
              <w:t>Annual change in trade deficit</w:t>
            </w:r>
          </w:p>
          <w:p w14:paraId="1CCAC854" w14:textId="77777777" w:rsidR="008025DC" w:rsidRPr="00377BBF" w:rsidRDefault="008025DC" w:rsidP="0043380E">
            <w:pPr>
              <w:pStyle w:val="BodyText2"/>
              <w:spacing w:before="60" w:after="60"/>
              <w:rPr>
                <w:rFonts w:ascii="Times New Roman" w:hAnsi="Times New Roman"/>
              </w:rPr>
            </w:pPr>
          </w:p>
          <w:p w14:paraId="2A740DCB" w14:textId="77777777" w:rsidR="008025DC" w:rsidRPr="00377BBF" w:rsidRDefault="008025DC" w:rsidP="00A229C1">
            <w:pPr>
              <w:pStyle w:val="BodyText2"/>
              <w:numPr>
                <w:ilvl w:val="0"/>
                <w:numId w:val="19"/>
              </w:numPr>
              <w:spacing w:before="60" w:after="60"/>
              <w:ind w:left="360"/>
              <w:rPr>
                <w:rFonts w:ascii="Times New Roman" w:hAnsi="Times New Roman"/>
              </w:rPr>
            </w:pPr>
            <w:r w:rsidRPr="00377BBF">
              <w:rPr>
                <w:rFonts w:ascii="Times New Roman" w:hAnsi="Times New Roman"/>
              </w:rPr>
              <w:t># of bilateral or multilateral agreements that the government is party to that regulate high-value-added exports</w:t>
            </w:r>
          </w:p>
          <w:p w14:paraId="4141DEF7" w14:textId="77777777" w:rsidR="008025DC" w:rsidRPr="00377BBF" w:rsidRDefault="008025DC" w:rsidP="0043380E">
            <w:pPr>
              <w:pStyle w:val="BodyText2"/>
              <w:spacing w:before="60" w:after="60"/>
              <w:rPr>
                <w:rFonts w:ascii="Times New Roman" w:hAnsi="Times New Roman"/>
              </w:rPr>
            </w:pPr>
          </w:p>
          <w:p w14:paraId="171388BE" w14:textId="77777777" w:rsidR="008025DC" w:rsidRPr="00377BBF" w:rsidRDefault="008025DC" w:rsidP="00A229C1">
            <w:pPr>
              <w:pStyle w:val="BodyText2"/>
              <w:numPr>
                <w:ilvl w:val="0"/>
                <w:numId w:val="19"/>
              </w:numPr>
              <w:spacing w:before="60" w:after="60"/>
              <w:ind w:left="360"/>
              <w:rPr>
                <w:rFonts w:ascii="Times New Roman" w:hAnsi="Times New Roman"/>
              </w:rPr>
            </w:pPr>
            <w:r w:rsidRPr="00377BBF">
              <w:rPr>
                <w:rFonts w:ascii="Times New Roman" w:hAnsi="Times New Roman"/>
              </w:rPr>
              <w:t>Amount of climate financing received by government from international funding sources</w:t>
            </w:r>
          </w:p>
        </w:tc>
        <w:tc>
          <w:tcPr>
            <w:tcW w:w="4680" w:type="dxa"/>
            <w:gridSpan w:val="2"/>
            <w:shd w:val="clear" w:color="auto" w:fill="auto"/>
          </w:tcPr>
          <w:p w14:paraId="6371A0C9" w14:textId="77777777" w:rsidR="008025DC" w:rsidRPr="00377BBF" w:rsidRDefault="008025DC" w:rsidP="00A229C1">
            <w:pPr>
              <w:pStyle w:val="BodyText2"/>
              <w:numPr>
                <w:ilvl w:val="0"/>
                <w:numId w:val="20"/>
              </w:numPr>
              <w:spacing w:before="60" w:after="60"/>
              <w:ind w:left="360"/>
              <w:rPr>
                <w:rFonts w:ascii="Times New Roman" w:hAnsi="Times New Roman"/>
              </w:rPr>
            </w:pPr>
            <w:r w:rsidRPr="00377BBF">
              <w:rPr>
                <w:rFonts w:ascii="Times New Roman" w:hAnsi="Times New Roman"/>
              </w:rPr>
              <w:t xml:space="preserve">10.8% (Source: </w:t>
            </w:r>
            <w:proofErr w:type="spellStart"/>
            <w:r w:rsidRPr="00377BBF">
              <w:rPr>
                <w:rFonts w:ascii="Times New Roman" w:hAnsi="Times New Roman"/>
              </w:rPr>
              <w:t>MoF</w:t>
            </w:r>
            <w:proofErr w:type="spellEnd"/>
            <w:r w:rsidRPr="00377BBF">
              <w:rPr>
                <w:rFonts w:ascii="Times New Roman" w:hAnsi="Times New Roman"/>
              </w:rPr>
              <w:t xml:space="preserve"> Economy Survey 2014/15)</w:t>
            </w:r>
          </w:p>
          <w:p w14:paraId="19322EF7" w14:textId="77777777" w:rsidR="008025DC" w:rsidRPr="00377BBF" w:rsidRDefault="008025DC" w:rsidP="0043380E">
            <w:pPr>
              <w:pStyle w:val="BodyText2"/>
              <w:spacing w:before="60" w:after="60"/>
              <w:rPr>
                <w:rFonts w:ascii="Times New Roman" w:hAnsi="Times New Roman"/>
              </w:rPr>
            </w:pPr>
          </w:p>
          <w:p w14:paraId="35407B72" w14:textId="77777777" w:rsidR="008025DC" w:rsidRPr="00377BBF" w:rsidRDefault="008025DC" w:rsidP="00A229C1">
            <w:pPr>
              <w:pStyle w:val="BodyText2"/>
              <w:numPr>
                <w:ilvl w:val="0"/>
                <w:numId w:val="20"/>
              </w:numPr>
              <w:spacing w:before="60" w:after="60"/>
              <w:ind w:left="360"/>
              <w:rPr>
                <w:rFonts w:ascii="Times New Roman" w:hAnsi="Times New Roman"/>
              </w:rPr>
            </w:pPr>
            <w:r w:rsidRPr="00377BBF">
              <w:rPr>
                <w:rFonts w:ascii="Times New Roman" w:hAnsi="Times New Roman"/>
              </w:rPr>
              <w:t>167 (MOCS: 17 bilateral and UNCT Nepal: 150 multilateral)</w:t>
            </w:r>
          </w:p>
          <w:p w14:paraId="05CC835C" w14:textId="77777777" w:rsidR="008025DC" w:rsidRPr="00377BBF" w:rsidRDefault="008025DC" w:rsidP="0043380E">
            <w:pPr>
              <w:tabs>
                <w:tab w:val="left" w:pos="945"/>
              </w:tabs>
              <w:spacing w:before="60" w:after="60"/>
              <w:ind w:left="-360" w:firstLine="945"/>
            </w:pPr>
          </w:p>
          <w:p w14:paraId="11D803B7" w14:textId="77777777" w:rsidR="008025DC" w:rsidRPr="00377BBF" w:rsidRDefault="008025DC" w:rsidP="00A229C1">
            <w:pPr>
              <w:pStyle w:val="ListParagraph"/>
              <w:numPr>
                <w:ilvl w:val="0"/>
                <w:numId w:val="20"/>
              </w:numPr>
              <w:tabs>
                <w:tab w:val="left" w:pos="945"/>
              </w:tabs>
              <w:spacing w:before="60" w:after="60"/>
              <w:ind w:left="360"/>
              <w:contextualSpacing w:val="0"/>
            </w:pPr>
            <w:r w:rsidRPr="00377BBF">
              <w:rPr>
                <w:sz w:val="20"/>
              </w:rPr>
              <w:t>$31.4 million for Environment, Science and technology as per the latest National Development Cooperation Report for FY 2013-14 (pg8)</w:t>
            </w:r>
          </w:p>
        </w:tc>
      </w:tr>
      <w:tr w:rsidR="00374F07" w:rsidRPr="00377BBF" w14:paraId="44AA67D5" w14:textId="77777777" w:rsidTr="00136189">
        <w:tc>
          <w:tcPr>
            <w:tcW w:w="14130" w:type="dxa"/>
            <w:gridSpan w:val="9"/>
          </w:tcPr>
          <w:p w14:paraId="2A5DA214" w14:textId="77777777" w:rsidR="00013CCA" w:rsidRPr="00C047E9" w:rsidRDefault="00374F07" w:rsidP="00C047E9">
            <w:pPr>
              <w:pStyle w:val="BodyText2"/>
              <w:spacing w:before="60" w:after="60"/>
              <w:rPr>
                <w:rFonts w:ascii="Times New Roman" w:hAnsi="Times New Roman"/>
                <w:b/>
              </w:rPr>
            </w:pPr>
            <w:r w:rsidRPr="00377BBF">
              <w:rPr>
                <w:rFonts w:ascii="Times New Roman" w:hAnsi="Times New Roman"/>
                <w:b/>
              </w:rPr>
              <w:t>UNDP Contribution:</w:t>
            </w:r>
          </w:p>
          <w:p w14:paraId="651FA34B" w14:textId="77777777" w:rsidR="00013CCA" w:rsidRPr="00377BBF" w:rsidRDefault="00C5578F" w:rsidP="0043380E">
            <w:pPr>
              <w:spacing w:before="60" w:after="60"/>
              <w:rPr>
                <w:sz w:val="20"/>
              </w:rPr>
            </w:pPr>
            <w:r w:rsidRPr="00377BBF">
              <w:rPr>
                <w:sz w:val="20"/>
              </w:rPr>
              <w:t xml:space="preserve">UNDP’s work with the </w:t>
            </w:r>
            <w:proofErr w:type="spellStart"/>
            <w:r w:rsidRPr="00377BBF">
              <w:rPr>
                <w:sz w:val="20"/>
              </w:rPr>
              <w:t>GoN</w:t>
            </w:r>
            <w:proofErr w:type="spellEnd"/>
            <w:r w:rsidRPr="00377BBF">
              <w:rPr>
                <w:sz w:val="20"/>
              </w:rPr>
              <w:t xml:space="preserve"> in aid effectiveness created an enabling policy environment for more effective integration of normative processes and international standards in development policy and planning. </w:t>
            </w:r>
            <w:r w:rsidR="00013CCA" w:rsidRPr="00377BBF">
              <w:rPr>
                <w:sz w:val="20"/>
              </w:rPr>
              <w:t>After the introduction of the Sustainable Development Goals (SDGs), SDGs financing has become a big debate globally. It has created momentum for both ODA and internal sources. Several policy tools and mechanisms have been introduced. ODA continues to play an important role in supporting Nepal’s development results. ODA constitutes roughly 20% of the annual national budget. In Nepal, out of the total pledge of USD 4.1 billion for the reconstruction and recovery from the devastating earthquake of 2015, government already made an agreement of approx. USD 3 billion. UND</w:t>
            </w:r>
            <w:r w:rsidR="00B02CA9" w:rsidRPr="00377BBF">
              <w:rPr>
                <w:sz w:val="20"/>
              </w:rPr>
              <w:t>P</w:t>
            </w:r>
            <w:r w:rsidR="00013CCA" w:rsidRPr="00377BBF">
              <w:rPr>
                <w:sz w:val="20"/>
              </w:rPr>
              <w:t xml:space="preserve"> has been proactively engaged with the Ministry of Finance to support the implementation of 2030 agenda by strengthening resource with result. Development Finance Assessment (DFA), a tool to assess resource flows and linking it with planning and budgeting system, has been initiated. Preliminary draft report on DFA has been submitted to the Ministry of Finance. The </w:t>
            </w:r>
            <w:proofErr w:type="spellStart"/>
            <w:r w:rsidR="00013CCA" w:rsidRPr="00377BBF">
              <w:rPr>
                <w:sz w:val="20"/>
              </w:rPr>
              <w:t>GoN’s</w:t>
            </w:r>
            <w:proofErr w:type="spellEnd"/>
            <w:r w:rsidR="00013CCA" w:rsidRPr="00377BBF">
              <w:rPr>
                <w:sz w:val="20"/>
              </w:rPr>
              <w:t xml:space="preserve"> Aid Management Platform (AMP), an online web-based information system in the </w:t>
            </w:r>
            <w:proofErr w:type="spellStart"/>
            <w:r w:rsidR="00013CCA" w:rsidRPr="00377BBF">
              <w:rPr>
                <w:sz w:val="20"/>
              </w:rPr>
              <w:t>MoF</w:t>
            </w:r>
            <w:proofErr w:type="spellEnd"/>
            <w:r w:rsidR="00013CCA" w:rsidRPr="00377BBF">
              <w:rPr>
                <w:sz w:val="20"/>
              </w:rPr>
              <w:t xml:space="preserve"> introduced in 2010 with UNDP’s support, is now fully owned by the Ministry of Finance. MOF now has a dedicated staff to manage AMP and MOF has made providing data on AMP mandatory before any project with de</w:t>
            </w:r>
            <w:r w:rsidR="00B02CA9" w:rsidRPr="00377BBF">
              <w:rPr>
                <w:sz w:val="20"/>
              </w:rPr>
              <w:t>velopment partners are approved</w:t>
            </w:r>
            <w:r w:rsidR="00013CCA" w:rsidRPr="00377BBF">
              <w:rPr>
                <w:sz w:val="20"/>
              </w:rPr>
              <w:t>.</w:t>
            </w:r>
          </w:p>
          <w:p w14:paraId="09C85FC6" w14:textId="77777777" w:rsidR="00013CCA" w:rsidRPr="00377BBF" w:rsidRDefault="00013CCA" w:rsidP="0043380E">
            <w:pPr>
              <w:spacing w:before="60" w:after="60"/>
              <w:rPr>
                <w:sz w:val="20"/>
              </w:rPr>
            </w:pPr>
          </w:p>
          <w:p w14:paraId="670ED524" w14:textId="77777777" w:rsidR="00374F07" w:rsidRPr="00377BBF" w:rsidRDefault="00374F07" w:rsidP="0043380E">
            <w:pPr>
              <w:pStyle w:val="BodyText2"/>
              <w:spacing w:before="60" w:after="60"/>
              <w:rPr>
                <w:rFonts w:ascii="Times New Roman" w:hAnsi="Times New Roman"/>
                <w:b/>
              </w:rPr>
            </w:pPr>
            <w:r w:rsidRPr="00377BBF">
              <w:rPr>
                <w:rFonts w:ascii="Times New Roman" w:hAnsi="Times New Roman"/>
                <w:b/>
                <w:u w:val="single"/>
              </w:rPr>
              <w:t>CP Outputs</w:t>
            </w:r>
            <w:r w:rsidRPr="00377BBF">
              <w:rPr>
                <w:rFonts w:ascii="Times New Roman" w:hAnsi="Times New Roman"/>
                <w:b/>
              </w:rPr>
              <w:t>:</w:t>
            </w:r>
          </w:p>
          <w:p w14:paraId="3F13B858" w14:textId="77777777" w:rsidR="00C5578F" w:rsidRPr="00377BBF" w:rsidRDefault="00C5578F" w:rsidP="0043380E">
            <w:pPr>
              <w:pStyle w:val="BodyText2"/>
              <w:spacing w:before="60" w:after="60"/>
              <w:rPr>
                <w:rFonts w:ascii="Times New Roman" w:hAnsi="Times New Roman"/>
              </w:rPr>
            </w:pPr>
          </w:p>
          <w:p w14:paraId="7293E1E1" w14:textId="77777777" w:rsidR="005D4789" w:rsidRPr="00377BBF" w:rsidRDefault="00374F07" w:rsidP="0043380E">
            <w:pPr>
              <w:pStyle w:val="BodyText2"/>
              <w:spacing w:before="60" w:after="60"/>
              <w:rPr>
                <w:rFonts w:ascii="Times New Roman" w:hAnsi="Times New Roman"/>
              </w:rPr>
            </w:pPr>
            <w:r w:rsidRPr="00377BBF">
              <w:rPr>
                <w:rFonts w:ascii="Times New Roman" w:hAnsi="Times New Roman"/>
              </w:rPr>
              <w:t>The UNDP CP identified t</w:t>
            </w:r>
            <w:r w:rsidR="005D4789" w:rsidRPr="00377BBF">
              <w:rPr>
                <w:rFonts w:ascii="Times New Roman" w:hAnsi="Times New Roman"/>
              </w:rPr>
              <w:t>wo</w:t>
            </w:r>
            <w:r w:rsidRPr="00377BBF">
              <w:rPr>
                <w:rFonts w:ascii="Times New Roman" w:hAnsi="Times New Roman"/>
              </w:rPr>
              <w:t xml:space="preserve"> major outputs to support the Government in achieving this outcome: </w:t>
            </w:r>
          </w:p>
          <w:p w14:paraId="2E4D73BE" w14:textId="77777777" w:rsidR="005D4789" w:rsidRPr="00377BBF" w:rsidRDefault="005D4789" w:rsidP="0043380E">
            <w:pPr>
              <w:pStyle w:val="BodyText2"/>
              <w:spacing w:before="60" w:after="60"/>
              <w:rPr>
                <w:rFonts w:ascii="Times New Roman" w:hAnsi="Times New Roman"/>
              </w:rPr>
            </w:pPr>
          </w:p>
          <w:p w14:paraId="6C5E155D" w14:textId="77777777" w:rsidR="005D4789" w:rsidRPr="00CD2BE7" w:rsidRDefault="005D4789" w:rsidP="00CD2BE7">
            <w:pPr>
              <w:pStyle w:val="BodyText2"/>
              <w:spacing w:before="60" w:after="60"/>
              <w:rPr>
                <w:rFonts w:ascii="Times New Roman" w:hAnsi="Times New Roman"/>
                <w:i/>
              </w:rPr>
            </w:pPr>
            <w:r w:rsidRPr="00CD2BE7">
              <w:rPr>
                <w:rFonts w:ascii="Times New Roman" w:hAnsi="Times New Roman"/>
                <w:i/>
              </w:rPr>
              <w:t>Output 10.2 National institutions have enhanced capacity to better comply with the international policy regulatory framework, recommendation</w:t>
            </w:r>
          </w:p>
          <w:p w14:paraId="70668CB7" w14:textId="77777777" w:rsidR="005D4789" w:rsidRPr="00CD2BE7" w:rsidRDefault="005D4789" w:rsidP="00CD2BE7">
            <w:pPr>
              <w:pStyle w:val="BodyText2"/>
              <w:spacing w:before="60" w:after="60"/>
              <w:rPr>
                <w:rFonts w:ascii="Times New Roman" w:hAnsi="Times New Roman"/>
                <w:i/>
              </w:rPr>
            </w:pPr>
            <w:r w:rsidRPr="00CD2BE7">
              <w:rPr>
                <w:rFonts w:ascii="Times New Roman" w:hAnsi="Times New Roman"/>
                <w:i/>
              </w:rPr>
              <w:t>Output 10.3 Government bodies have strengthened capacity and information tools required to coordinate aid, increase accountability and operationalize development effectiveness mechanisms</w:t>
            </w:r>
          </w:p>
          <w:p w14:paraId="2931331B" w14:textId="77777777" w:rsidR="005D4789" w:rsidRPr="00377BBF" w:rsidRDefault="005D4789" w:rsidP="0043380E">
            <w:pPr>
              <w:pStyle w:val="BodyText2"/>
              <w:spacing w:before="60" w:after="60"/>
              <w:rPr>
                <w:rFonts w:ascii="Times New Roman" w:hAnsi="Times New Roman"/>
              </w:rPr>
            </w:pPr>
          </w:p>
          <w:p w14:paraId="5F825891" w14:textId="77777777" w:rsidR="00374F07" w:rsidRPr="00377BBF" w:rsidRDefault="00374F07" w:rsidP="0043380E">
            <w:pPr>
              <w:pStyle w:val="BodyText2"/>
              <w:spacing w:before="60" w:after="60"/>
              <w:rPr>
                <w:rFonts w:ascii="Times New Roman" w:hAnsi="Times New Roman"/>
                <w:b/>
              </w:rPr>
            </w:pPr>
            <w:r w:rsidRPr="00377BBF">
              <w:rPr>
                <w:rFonts w:ascii="Times New Roman" w:hAnsi="Times New Roman"/>
                <w:b/>
                <w:u w:val="single"/>
              </w:rPr>
              <w:t>Progress and Achievements</w:t>
            </w:r>
            <w:r w:rsidRPr="00377BBF">
              <w:rPr>
                <w:rFonts w:ascii="Times New Roman" w:hAnsi="Times New Roman"/>
                <w:b/>
              </w:rPr>
              <w:t>:</w:t>
            </w:r>
          </w:p>
          <w:p w14:paraId="268C90A3" w14:textId="77777777" w:rsidR="00374F07" w:rsidRPr="00377BBF" w:rsidRDefault="00374F07" w:rsidP="0043380E">
            <w:pPr>
              <w:pStyle w:val="BodyText2"/>
              <w:spacing w:before="60" w:after="60"/>
              <w:rPr>
                <w:rFonts w:ascii="Times New Roman" w:hAnsi="Times New Roman"/>
              </w:rPr>
            </w:pPr>
          </w:p>
          <w:p w14:paraId="79958E82" w14:textId="77777777" w:rsidR="00CD2BE7" w:rsidRDefault="00CD2BE7" w:rsidP="00A229C1">
            <w:pPr>
              <w:pStyle w:val="BodyText2"/>
              <w:numPr>
                <w:ilvl w:val="1"/>
                <w:numId w:val="30"/>
              </w:numPr>
              <w:spacing w:before="60" w:after="60"/>
              <w:rPr>
                <w:rFonts w:ascii="Times New Roman" w:hAnsi="Times New Roman"/>
              </w:rPr>
            </w:pPr>
            <w:r>
              <w:rPr>
                <w:rFonts w:ascii="Times New Roman" w:hAnsi="Times New Roman"/>
              </w:rPr>
              <w:lastRenderedPageBreak/>
              <w:t xml:space="preserve"> </w:t>
            </w:r>
            <w:r w:rsidR="009B673B" w:rsidRPr="00377BBF">
              <w:rPr>
                <w:rFonts w:ascii="Times New Roman" w:hAnsi="Times New Roman"/>
              </w:rPr>
              <w:t>With UNDP’s technical support in r</w:t>
            </w:r>
            <w:r>
              <w:rPr>
                <w:rFonts w:ascii="Times New Roman" w:hAnsi="Times New Roman"/>
              </w:rPr>
              <w:t>elation to international policy</w:t>
            </w:r>
            <w:r w:rsidR="009B673B" w:rsidRPr="00377BBF">
              <w:rPr>
                <w:rFonts w:ascii="Times New Roman" w:hAnsi="Times New Roman"/>
              </w:rPr>
              <w:t>, "Special Operation Procedure on Treaty Making" was developed and endorsed by Ministry of Law and Justice. The government officials were trained on</w:t>
            </w:r>
            <w:r w:rsidR="008841AA" w:rsidRPr="00377BBF">
              <w:rPr>
                <w:rFonts w:ascii="Times New Roman" w:hAnsi="Times New Roman"/>
              </w:rPr>
              <w:t xml:space="preserve"> negotiation skills,</w:t>
            </w:r>
            <w:r w:rsidR="009B673B" w:rsidRPr="00377BBF">
              <w:rPr>
                <w:rFonts w:ascii="Times New Roman" w:hAnsi="Times New Roman"/>
              </w:rPr>
              <w:t xml:space="preserve"> legisla</w:t>
            </w:r>
            <w:r w:rsidR="008841AA" w:rsidRPr="00377BBF">
              <w:rPr>
                <w:rFonts w:ascii="Times New Roman" w:hAnsi="Times New Roman"/>
              </w:rPr>
              <w:t xml:space="preserve">tive drafting and treaty making. Thus, treaty making SOP based on learning from the UK exchange visit and training was developed and validated among the concerned </w:t>
            </w:r>
            <w:proofErr w:type="spellStart"/>
            <w:r w:rsidR="008841AA" w:rsidRPr="00377BBF">
              <w:rPr>
                <w:rFonts w:ascii="Times New Roman" w:hAnsi="Times New Roman"/>
              </w:rPr>
              <w:t>GoN</w:t>
            </w:r>
            <w:proofErr w:type="spellEnd"/>
            <w:r w:rsidR="008841AA" w:rsidRPr="00377BBF">
              <w:rPr>
                <w:rFonts w:ascii="Times New Roman" w:hAnsi="Times New Roman"/>
              </w:rPr>
              <w:t xml:space="preserve"> agencies.</w:t>
            </w:r>
            <w:r w:rsidR="009B673B" w:rsidRPr="00377BBF">
              <w:rPr>
                <w:rFonts w:ascii="Times New Roman" w:hAnsi="Times New Roman"/>
              </w:rPr>
              <w:t xml:space="preserve"> </w:t>
            </w:r>
          </w:p>
          <w:p w14:paraId="7989147F" w14:textId="77777777" w:rsidR="00CD2BE7" w:rsidRDefault="00CD2BE7" w:rsidP="00CD2BE7">
            <w:pPr>
              <w:pStyle w:val="BodyText2"/>
              <w:spacing w:before="60" w:after="60"/>
              <w:ind w:left="360"/>
              <w:rPr>
                <w:rFonts w:ascii="Times New Roman" w:hAnsi="Times New Roman"/>
              </w:rPr>
            </w:pPr>
          </w:p>
          <w:p w14:paraId="1AE45555" w14:textId="77777777" w:rsidR="005D4789" w:rsidRPr="00CD2BE7" w:rsidRDefault="008841AA" w:rsidP="00A229C1">
            <w:pPr>
              <w:pStyle w:val="BodyText2"/>
              <w:numPr>
                <w:ilvl w:val="1"/>
                <w:numId w:val="30"/>
              </w:numPr>
              <w:spacing w:before="60" w:after="60"/>
              <w:rPr>
                <w:rFonts w:ascii="Times New Roman" w:hAnsi="Times New Roman"/>
              </w:rPr>
            </w:pPr>
            <w:r w:rsidRPr="00CD2BE7">
              <w:rPr>
                <w:rFonts w:ascii="Times New Roman" w:hAnsi="Times New Roman"/>
              </w:rPr>
              <w:t xml:space="preserve"> </w:t>
            </w:r>
            <w:r w:rsidR="009B673B" w:rsidRPr="00CD2BE7">
              <w:rPr>
                <w:rFonts w:ascii="Times New Roman" w:hAnsi="Times New Roman"/>
              </w:rPr>
              <w:t>In</w:t>
            </w:r>
            <w:r w:rsidR="00B02CA9" w:rsidRPr="00CD2BE7">
              <w:rPr>
                <w:rFonts w:ascii="Times New Roman" w:hAnsi="Times New Roman"/>
              </w:rPr>
              <w:t xml:space="preserve"> aid effectiveness, support to the Ministry of Finance in maintaining the Aid Management Platform (AMP) and the data published in the public portal was continued. </w:t>
            </w:r>
            <w:r w:rsidR="009B673B" w:rsidRPr="00CD2BE7">
              <w:rPr>
                <w:rFonts w:ascii="Times New Roman" w:hAnsi="Times New Roman"/>
              </w:rPr>
              <w:t>On policy support, a Development Cooperation Report that provides a broad overview of foreign aid in Nepal along with some analysis of aid fragmentation, the use of technical assistance, overview of INGO contribution and the alignment of programs with national policy is being produced annually since 2011. Analysis</w:t>
            </w:r>
            <w:r w:rsidR="00B02CA9" w:rsidRPr="00CD2BE7">
              <w:rPr>
                <w:rFonts w:ascii="Times New Roman" w:hAnsi="Times New Roman"/>
              </w:rPr>
              <w:t xml:space="preserve"> of the AMP data was a critical input for the preparation of the new Development Cooperation Policy 2014.</w:t>
            </w:r>
            <w:r w:rsidR="00C5578F" w:rsidRPr="00CD2BE7">
              <w:rPr>
                <w:rFonts w:ascii="Times New Roman" w:hAnsi="Times New Roman"/>
              </w:rPr>
              <w:t xml:space="preserve"> </w:t>
            </w:r>
            <w:r w:rsidR="00B02CA9" w:rsidRPr="00CD2BE7">
              <w:rPr>
                <w:rFonts w:ascii="Times New Roman" w:hAnsi="Times New Roman"/>
              </w:rPr>
              <w:t xml:space="preserve">UNDP provided training on Aid Management Platform to </w:t>
            </w:r>
            <w:r w:rsidR="009B673B" w:rsidRPr="00CD2BE7">
              <w:rPr>
                <w:rFonts w:ascii="Times New Roman" w:hAnsi="Times New Roman"/>
              </w:rPr>
              <w:t>more than 500 people (</w:t>
            </w:r>
            <w:r w:rsidR="00B02CA9" w:rsidRPr="00CD2BE7">
              <w:rPr>
                <w:rFonts w:ascii="Times New Roman" w:hAnsi="Times New Roman"/>
              </w:rPr>
              <w:t>INGO representatives, donor representatives and government representatives</w:t>
            </w:r>
            <w:r w:rsidR="009B673B" w:rsidRPr="00CD2BE7">
              <w:rPr>
                <w:rFonts w:ascii="Times New Roman" w:hAnsi="Times New Roman"/>
              </w:rPr>
              <w:t>)</w:t>
            </w:r>
            <w:r w:rsidR="00B02CA9" w:rsidRPr="00CD2BE7">
              <w:rPr>
                <w:rFonts w:ascii="Times New Roman" w:hAnsi="Times New Roman"/>
              </w:rPr>
              <w:t xml:space="preserve"> to ensure that AMP is timely updated by all stakeholders. To educate the local level stakeholders on Development Cooperation Policy 2014 as well as updates on global aid architect, training on aid literacy was provided to Government Officials representing various districts </w:t>
            </w:r>
            <w:r w:rsidR="009B673B" w:rsidRPr="00CD2BE7">
              <w:rPr>
                <w:rFonts w:ascii="Times New Roman" w:hAnsi="Times New Roman"/>
              </w:rPr>
              <w:t>and development regions</w:t>
            </w:r>
            <w:r w:rsidR="00B02CA9" w:rsidRPr="00CD2BE7">
              <w:rPr>
                <w:rFonts w:ascii="Times New Roman" w:hAnsi="Times New Roman"/>
              </w:rPr>
              <w:t xml:space="preserve">.  </w:t>
            </w:r>
          </w:p>
        </w:tc>
      </w:tr>
    </w:tbl>
    <w:p w14:paraId="585E3AEE" w14:textId="77777777" w:rsidR="00D9192E" w:rsidRPr="00377BBF" w:rsidRDefault="00D9192E"/>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9E7526" w:rsidRPr="00377BBF" w14:paraId="257A4771" w14:textId="77777777" w:rsidTr="00B240C0">
        <w:tc>
          <w:tcPr>
            <w:tcW w:w="14040" w:type="dxa"/>
          </w:tcPr>
          <w:p w14:paraId="3207B386" w14:textId="77777777" w:rsidR="009E7526" w:rsidRPr="00CD2BE7" w:rsidRDefault="009E7526" w:rsidP="009E7526">
            <w:pPr>
              <w:rPr>
                <w:b/>
                <w:sz w:val="20"/>
                <w:u w:val="single"/>
              </w:rPr>
            </w:pPr>
            <w:r w:rsidRPr="00CD2BE7">
              <w:rPr>
                <w:b/>
                <w:sz w:val="20"/>
                <w:u w:val="single"/>
              </w:rPr>
              <w:t>Summary of evaluation</w:t>
            </w:r>
            <w:r w:rsidR="00674B1A" w:rsidRPr="00CD2BE7">
              <w:rPr>
                <w:b/>
                <w:sz w:val="20"/>
                <w:u w:val="single"/>
              </w:rPr>
              <w:t xml:space="preserve"> finding</w:t>
            </w:r>
            <w:r w:rsidRPr="00CD2BE7">
              <w:rPr>
                <w:b/>
                <w:sz w:val="20"/>
                <w:u w:val="single"/>
              </w:rPr>
              <w:t>s (</w:t>
            </w:r>
            <w:r w:rsidR="008F0A97" w:rsidRPr="00CD2BE7">
              <w:rPr>
                <w:b/>
                <w:sz w:val="20"/>
                <w:u w:val="single"/>
              </w:rPr>
              <w:t xml:space="preserve">e.g. from outcome and project evaluations, UNDAF </w:t>
            </w:r>
            <w:r w:rsidRPr="00CD2BE7">
              <w:rPr>
                <w:b/>
                <w:sz w:val="20"/>
                <w:u w:val="single"/>
              </w:rPr>
              <w:t xml:space="preserve">reviews, </w:t>
            </w:r>
            <w:r w:rsidR="008F0A97" w:rsidRPr="00CD2BE7">
              <w:rPr>
                <w:b/>
                <w:sz w:val="20"/>
                <w:u w:val="single"/>
              </w:rPr>
              <w:t xml:space="preserve">and other </w:t>
            </w:r>
            <w:r w:rsidRPr="00CD2BE7">
              <w:rPr>
                <w:b/>
                <w:sz w:val="20"/>
                <w:u w:val="single"/>
              </w:rPr>
              <w:t>assessments)</w:t>
            </w:r>
          </w:p>
          <w:p w14:paraId="6C7EE734" w14:textId="77777777" w:rsidR="009E7526" w:rsidRPr="00377BBF" w:rsidRDefault="009E7526" w:rsidP="00674B1A">
            <w:pPr>
              <w:rPr>
                <w:sz w:val="20"/>
              </w:rPr>
            </w:pPr>
            <w:r w:rsidRPr="00377BBF">
              <w:rPr>
                <w:sz w:val="20"/>
              </w:rPr>
              <w:t xml:space="preserve">Based on the evaluation s and/or assessments undertaken please provide a </w:t>
            </w:r>
            <w:r w:rsidR="008841AA" w:rsidRPr="00377BBF">
              <w:rPr>
                <w:sz w:val="20"/>
              </w:rPr>
              <w:t>summary</w:t>
            </w:r>
            <w:r w:rsidRPr="00377BBF">
              <w:rPr>
                <w:sz w:val="20"/>
              </w:rPr>
              <w:t xml:space="preserve"> of the overall findings on the CP for the </w:t>
            </w:r>
            <w:r w:rsidR="008841AA" w:rsidRPr="00377BBF">
              <w:rPr>
                <w:sz w:val="20"/>
              </w:rPr>
              <w:t>4-year</w:t>
            </w:r>
            <w:r w:rsidRPr="00377BBF">
              <w:rPr>
                <w:sz w:val="20"/>
              </w:rPr>
              <w:t xml:space="preserve"> period in terms of performance effectiveness and efficiency and key ac</w:t>
            </w:r>
            <w:r w:rsidR="00674B1A" w:rsidRPr="00377BBF">
              <w:rPr>
                <w:sz w:val="20"/>
              </w:rPr>
              <w:t>hievements and lessons learned. Maximum 500 words.</w:t>
            </w:r>
          </w:p>
          <w:p w14:paraId="5B78B9B0" w14:textId="77777777" w:rsidR="00674B1A" w:rsidRPr="00377BBF" w:rsidRDefault="00674B1A" w:rsidP="009E7526">
            <w:pPr>
              <w:jc w:val="both"/>
              <w:rPr>
                <w:sz w:val="20"/>
              </w:rPr>
            </w:pPr>
          </w:p>
          <w:p w14:paraId="41788242" w14:textId="77777777" w:rsidR="009E7526" w:rsidRDefault="009E7526" w:rsidP="009E7526">
            <w:pPr>
              <w:jc w:val="both"/>
              <w:rPr>
                <w:sz w:val="20"/>
              </w:rPr>
            </w:pPr>
            <w:r w:rsidRPr="00377BBF">
              <w:rPr>
                <w:sz w:val="20"/>
                <w:u w:val="single"/>
              </w:rPr>
              <w:t>Key Achievements</w:t>
            </w:r>
            <w:r w:rsidR="005F6261" w:rsidRPr="00377BBF">
              <w:rPr>
                <w:sz w:val="20"/>
              </w:rPr>
              <w:t>:</w:t>
            </w:r>
          </w:p>
          <w:p w14:paraId="4729F857" w14:textId="77777777" w:rsidR="00CD2BE7" w:rsidRDefault="00CD2BE7" w:rsidP="009E7526">
            <w:pPr>
              <w:jc w:val="both"/>
              <w:rPr>
                <w:sz w:val="20"/>
              </w:rPr>
            </w:pPr>
          </w:p>
          <w:p w14:paraId="3028FDB2" w14:textId="77777777" w:rsidR="003C7CA3" w:rsidRPr="00FF4D52" w:rsidRDefault="003C7CA3" w:rsidP="003C7CA3">
            <w:pPr>
              <w:rPr>
                <w:b/>
                <w:sz w:val="20"/>
              </w:rPr>
            </w:pPr>
            <w:r w:rsidRPr="00FF4D52">
              <w:rPr>
                <w:b/>
                <w:sz w:val="20"/>
              </w:rPr>
              <w:t xml:space="preserve">Poverty Outcome evaluation </w:t>
            </w:r>
          </w:p>
          <w:p w14:paraId="2F995235" w14:textId="77777777" w:rsidR="003C7CA3" w:rsidRPr="00FF4D52" w:rsidRDefault="003C7CA3" w:rsidP="00FF4D52">
            <w:pPr>
              <w:pStyle w:val="ListParagraph"/>
              <w:numPr>
                <w:ilvl w:val="0"/>
                <w:numId w:val="34"/>
              </w:numPr>
              <w:rPr>
                <w:sz w:val="20"/>
              </w:rPr>
            </w:pPr>
            <w:r w:rsidRPr="00FF4D52">
              <w:rPr>
                <w:sz w:val="20"/>
              </w:rPr>
              <w:t xml:space="preserve">Strong </w:t>
            </w:r>
            <w:proofErr w:type="spellStart"/>
            <w:r w:rsidRPr="00FF4D52">
              <w:rPr>
                <w:sz w:val="20"/>
              </w:rPr>
              <w:t>programme</w:t>
            </w:r>
            <w:proofErr w:type="spellEnd"/>
            <w:r w:rsidRPr="00FF4D52">
              <w:rPr>
                <w:sz w:val="20"/>
              </w:rPr>
              <w:t xml:space="preserve"> focus on GESI issues. While women are increasingly part of the local economy, limited participation in decision making bodies (VDCs, DDCs). People with disability not addressed</w:t>
            </w:r>
          </w:p>
          <w:p w14:paraId="27F38C1A" w14:textId="77777777" w:rsidR="003C7CA3" w:rsidRPr="00FF4D52" w:rsidRDefault="003C7CA3" w:rsidP="00FF4D52">
            <w:pPr>
              <w:pStyle w:val="ListParagraph"/>
              <w:numPr>
                <w:ilvl w:val="0"/>
                <w:numId w:val="34"/>
              </w:numPr>
              <w:rPr>
                <w:sz w:val="20"/>
              </w:rPr>
            </w:pPr>
            <w:r w:rsidRPr="00FF4D52">
              <w:rPr>
                <w:sz w:val="20"/>
              </w:rPr>
              <w:t>Energy a key factor to successful enterprise development; where energy availability was limited, enterprises in the area were limited (outcome evaluation mission field visit, Nov 2016)</w:t>
            </w:r>
          </w:p>
          <w:p w14:paraId="45529AE9" w14:textId="77777777" w:rsidR="003C7CA3" w:rsidRPr="00FF4D52" w:rsidRDefault="003C7CA3" w:rsidP="00FF4D52">
            <w:pPr>
              <w:pStyle w:val="ListParagraph"/>
              <w:numPr>
                <w:ilvl w:val="0"/>
                <w:numId w:val="34"/>
              </w:numPr>
              <w:rPr>
                <w:sz w:val="20"/>
              </w:rPr>
            </w:pPr>
            <w:r w:rsidRPr="00FF4D52">
              <w:rPr>
                <w:sz w:val="20"/>
              </w:rPr>
              <w:t>Post-earthquake Livelihoods projects tapped maximum new resources; existing donor support, UNDP’s credibility in the area, proven project delivery capacity</w:t>
            </w:r>
          </w:p>
          <w:p w14:paraId="0D0DB1D7" w14:textId="77777777" w:rsidR="003C7CA3" w:rsidRPr="00FF4D52" w:rsidRDefault="003C7CA3" w:rsidP="00FF4D52">
            <w:pPr>
              <w:pStyle w:val="ListParagraph"/>
              <w:numPr>
                <w:ilvl w:val="0"/>
                <w:numId w:val="34"/>
              </w:numPr>
              <w:rPr>
                <w:sz w:val="20"/>
              </w:rPr>
            </w:pPr>
            <w:r w:rsidRPr="00FF4D52">
              <w:rPr>
                <w:sz w:val="20"/>
              </w:rPr>
              <w:t>Flexibility in project implementation enabled relatively quick support to the earthquake affected entrepreneurs</w:t>
            </w:r>
          </w:p>
          <w:p w14:paraId="616C4CBC" w14:textId="77777777" w:rsidR="003C7CA3" w:rsidRPr="00FF4D52" w:rsidRDefault="003C7CA3" w:rsidP="00FF4D52">
            <w:pPr>
              <w:rPr>
                <w:b/>
                <w:sz w:val="20"/>
              </w:rPr>
            </w:pPr>
            <w:r w:rsidRPr="00FF4D52">
              <w:rPr>
                <w:b/>
                <w:sz w:val="20"/>
              </w:rPr>
              <w:t>Governance Reform Outcome</w:t>
            </w:r>
          </w:p>
          <w:p w14:paraId="12C8BB04" w14:textId="77777777" w:rsidR="003C7CA3" w:rsidRPr="00FF4D52" w:rsidRDefault="003C7CA3" w:rsidP="00FF4D52">
            <w:pPr>
              <w:pStyle w:val="ListParagraph"/>
              <w:numPr>
                <w:ilvl w:val="0"/>
                <w:numId w:val="34"/>
              </w:numPr>
              <w:rPr>
                <w:sz w:val="20"/>
              </w:rPr>
            </w:pPr>
            <w:r w:rsidRPr="00FF4D52">
              <w:rPr>
                <w:sz w:val="20"/>
              </w:rPr>
              <w:t xml:space="preserve">Ambitious outcomes – scope far too great for the time frame and resources available; need to define realistic outcomes, outputs; </w:t>
            </w:r>
          </w:p>
          <w:p w14:paraId="39BB3F74" w14:textId="77777777" w:rsidR="003C7CA3" w:rsidRPr="00FF4D52" w:rsidRDefault="003C7CA3" w:rsidP="00FF4D52">
            <w:pPr>
              <w:pStyle w:val="ListParagraph"/>
              <w:numPr>
                <w:ilvl w:val="0"/>
                <w:numId w:val="34"/>
              </w:numPr>
              <w:rPr>
                <w:sz w:val="20"/>
              </w:rPr>
            </w:pPr>
            <w:r w:rsidRPr="00FF4D52">
              <w:rPr>
                <w:sz w:val="20"/>
              </w:rPr>
              <w:t>Weak link between the outcomes, outputs and the respective indicators; data used for the indicators to be readily available; absence of baseline and targets for many indicators</w:t>
            </w:r>
          </w:p>
          <w:p w14:paraId="5F7E050E" w14:textId="77777777" w:rsidR="003C7CA3" w:rsidRPr="00FF4D52" w:rsidRDefault="003C7CA3" w:rsidP="00FF4D52">
            <w:pPr>
              <w:pStyle w:val="ListParagraph"/>
              <w:numPr>
                <w:ilvl w:val="0"/>
                <w:numId w:val="34"/>
              </w:numPr>
              <w:rPr>
                <w:sz w:val="20"/>
              </w:rPr>
            </w:pPr>
            <w:r w:rsidRPr="00FF4D52">
              <w:rPr>
                <w:sz w:val="20"/>
              </w:rPr>
              <w:t>Perceived advantages of working with UN/UNDP – people felt confident and secure to present their views about the Constitution under the UN banner; government’s evident trust in UNDP to support this crucial work</w:t>
            </w:r>
          </w:p>
          <w:p w14:paraId="0094C19B" w14:textId="77777777" w:rsidR="003C7CA3" w:rsidRPr="00FF4D52" w:rsidRDefault="003C7CA3" w:rsidP="00FF4D52">
            <w:pPr>
              <w:pStyle w:val="ListParagraph"/>
              <w:numPr>
                <w:ilvl w:val="0"/>
                <w:numId w:val="34"/>
              </w:numPr>
              <w:rPr>
                <w:sz w:val="20"/>
              </w:rPr>
            </w:pPr>
            <w:r w:rsidRPr="00FF4D52">
              <w:rPr>
                <w:sz w:val="20"/>
              </w:rPr>
              <w:t>Need for effective performance management of TAs employed in the projects</w:t>
            </w:r>
          </w:p>
          <w:p w14:paraId="65D410C7" w14:textId="77777777" w:rsidR="003C7CA3" w:rsidRPr="00FF4D52" w:rsidRDefault="003C7CA3" w:rsidP="00FF4D52">
            <w:pPr>
              <w:pStyle w:val="ListParagraph"/>
              <w:numPr>
                <w:ilvl w:val="0"/>
                <w:numId w:val="34"/>
              </w:numPr>
              <w:rPr>
                <w:sz w:val="20"/>
              </w:rPr>
            </w:pPr>
            <w:r w:rsidRPr="00FF4D52">
              <w:rPr>
                <w:sz w:val="20"/>
              </w:rPr>
              <w:t>Poor integration of gender concerns in projects (</w:t>
            </w:r>
            <w:proofErr w:type="spellStart"/>
            <w:r w:rsidRPr="00FF4D52">
              <w:rPr>
                <w:sz w:val="20"/>
              </w:rPr>
              <w:t>eg</w:t>
            </w:r>
            <w:proofErr w:type="spellEnd"/>
            <w:r w:rsidRPr="00FF4D52">
              <w:rPr>
                <w:sz w:val="20"/>
              </w:rPr>
              <w:t>. Elections P, Public Administration for State Reforms)</w:t>
            </w:r>
          </w:p>
          <w:p w14:paraId="13948859" w14:textId="77777777" w:rsidR="003C7CA3" w:rsidRPr="00FF4D52" w:rsidRDefault="003C7CA3" w:rsidP="00FF4D52">
            <w:pPr>
              <w:pStyle w:val="ListParagraph"/>
              <w:numPr>
                <w:ilvl w:val="0"/>
                <w:numId w:val="34"/>
              </w:numPr>
              <w:rPr>
                <w:sz w:val="20"/>
              </w:rPr>
            </w:pPr>
            <w:r w:rsidRPr="00FF4D52">
              <w:rPr>
                <w:sz w:val="20"/>
              </w:rPr>
              <w:t xml:space="preserve">Capacity development vs capacity substitution!  Capacity for policy formulation, project implementation </w:t>
            </w:r>
            <w:r w:rsidR="00FF4D52" w:rsidRPr="00FF4D52">
              <w:rPr>
                <w:sz w:val="20"/>
              </w:rPr>
              <w:t>etc.</w:t>
            </w:r>
            <w:r w:rsidR="00FF4D52">
              <w:rPr>
                <w:sz w:val="20"/>
              </w:rPr>
              <w:t xml:space="preserve"> </w:t>
            </w:r>
            <w:r w:rsidR="00FF4D52" w:rsidRPr="00FF4D52">
              <w:rPr>
                <w:sz w:val="20"/>
              </w:rPr>
              <w:t>(</w:t>
            </w:r>
            <w:r w:rsidRPr="00FF4D52">
              <w:rPr>
                <w:sz w:val="20"/>
              </w:rPr>
              <w:t xml:space="preserve">MEDEP; governance projects - Public Admiration for State Reform); frequent turnover of government staff undermines the sustainability of capacity development efforts; need for self-conscious about building requisite capacity at senior management level.  However, CD well institutionalized in some cases </w:t>
            </w:r>
            <w:proofErr w:type="spellStart"/>
            <w:r w:rsidRPr="00FF4D52">
              <w:rPr>
                <w:sz w:val="20"/>
              </w:rPr>
              <w:t>eg</w:t>
            </w:r>
            <w:proofErr w:type="spellEnd"/>
            <w:r w:rsidRPr="00FF4D52">
              <w:rPr>
                <w:sz w:val="20"/>
              </w:rPr>
              <w:t>. Elections Support Project</w:t>
            </w:r>
          </w:p>
          <w:p w14:paraId="443F8C68" w14:textId="77777777" w:rsidR="003C7CA3" w:rsidRPr="00FF4D52" w:rsidRDefault="003C7CA3" w:rsidP="003C7CA3">
            <w:pPr>
              <w:rPr>
                <w:b/>
                <w:sz w:val="20"/>
              </w:rPr>
            </w:pPr>
            <w:r w:rsidRPr="00FF4D52">
              <w:rPr>
                <w:b/>
                <w:sz w:val="20"/>
              </w:rPr>
              <w:t>Common observations</w:t>
            </w:r>
            <w:r w:rsidR="00FF4D52">
              <w:rPr>
                <w:b/>
                <w:sz w:val="20"/>
              </w:rPr>
              <w:t xml:space="preserve"> on Project evaluations</w:t>
            </w:r>
          </w:p>
          <w:p w14:paraId="54FA55F6" w14:textId="77777777" w:rsidR="003C7CA3" w:rsidRPr="00FF4D52" w:rsidRDefault="003C7CA3" w:rsidP="00FF4D52">
            <w:pPr>
              <w:pStyle w:val="ListParagraph"/>
              <w:numPr>
                <w:ilvl w:val="0"/>
                <w:numId w:val="35"/>
              </w:numPr>
              <w:rPr>
                <w:sz w:val="20"/>
              </w:rPr>
            </w:pPr>
            <w:r w:rsidRPr="00FF4D52">
              <w:rPr>
                <w:sz w:val="20"/>
              </w:rPr>
              <w:lastRenderedPageBreak/>
              <w:t xml:space="preserve">Lack of reliable data makes it difficult to assess effectiveness of the </w:t>
            </w:r>
            <w:proofErr w:type="spellStart"/>
            <w:r w:rsidRPr="00FF4D52">
              <w:rPr>
                <w:sz w:val="20"/>
              </w:rPr>
              <w:t>programme</w:t>
            </w:r>
            <w:proofErr w:type="spellEnd"/>
          </w:p>
          <w:p w14:paraId="22C09297" w14:textId="77777777" w:rsidR="003C7CA3" w:rsidRPr="00FF4D52" w:rsidRDefault="003C7CA3" w:rsidP="00FF4D52">
            <w:pPr>
              <w:pStyle w:val="ListParagraph"/>
              <w:numPr>
                <w:ilvl w:val="0"/>
                <w:numId w:val="35"/>
              </w:numPr>
              <w:rPr>
                <w:sz w:val="20"/>
              </w:rPr>
            </w:pPr>
            <w:r w:rsidRPr="00FF4D52">
              <w:rPr>
                <w:sz w:val="20"/>
              </w:rPr>
              <w:t xml:space="preserve">Two </w:t>
            </w:r>
            <w:r w:rsidR="00FF4D52">
              <w:rPr>
                <w:sz w:val="20"/>
              </w:rPr>
              <w:t>k</w:t>
            </w:r>
            <w:r w:rsidRPr="00FF4D52">
              <w:rPr>
                <w:sz w:val="20"/>
              </w:rPr>
              <w:t xml:space="preserve">ey factors that work against sustainability of </w:t>
            </w:r>
            <w:proofErr w:type="spellStart"/>
            <w:r w:rsidRPr="00FF4D52">
              <w:rPr>
                <w:sz w:val="20"/>
              </w:rPr>
              <w:t>programme</w:t>
            </w:r>
            <w:proofErr w:type="spellEnd"/>
            <w:r w:rsidRPr="00FF4D52">
              <w:rPr>
                <w:sz w:val="20"/>
              </w:rPr>
              <w:t xml:space="preserve"> interventions – vulnerability to disasters; and frequent change of government; contingency planning necessary </w:t>
            </w:r>
          </w:p>
          <w:p w14:paraId="50C464A0" w14:textId="77777777" w:rsidR="003C7CA3" w:rsidRPr="00FF4D52" w:rsidRDefault="003C7CA3" w:rsidP="00FF4D52">
            <w:pPr>
              <w:pStyle w:val="ListParagraph"/>
              <w:numPr>
                <w:ilvl w:val="0"/>
                <w:numId w:val="35"/>
              </w:numPr>
              <w:rPr>
                <w:sz w:val="20"/>
              </w:rPr>
            </w:pPr>
            <w:r w:rsidRPr="00FF4D52">
              <w:rPr>
                <w:sz w:val="20"/>
              </w:rPr>
              <w:t>Engagement of DDCs and VDCs promoted capacity building at local level as well as mobilization of resources</w:t>
            </w:r>
          </w:p>
          <w:p w14:paraId="195529B1" w14:textId="77777777" w:rsidR="003C7CA3" w:rsidRPr="00FF4D52" w:rsidRDefault="003C7CA3" w:rsidP="00FF4D52">
            <w:pPr>
              <w:pStyle w:val="ListParagraph"/>
              <w:numPr>
                <w:ilvl w:val="0"/>
                <w:numId w:val="35"/>
              </w:numPr>
              <w:rPr>
                <w:sz w:val="20"/>
              </w:rPr>
            </w:pPr>
            <w:r w:rsidRPr="00FF4D52">
              <w:rPr>
                <w:sz w:val="20"/>
              </w:rPr>
              <w:t>Strong ownership of the project activities/results by government counterparts; Government counterparts’ general appreciation of ‘neutrality” and “government-friendliness” of UNDP; similar view by the donors, however not always seen as positive feature by donors. (</w:t>
            </w:r>
            <w:proofErr w:type="spellStart"/>
            <w:proofErr w:type="gramStart"/>
            <w:r w:rsidRPr="00FF4D52">
              <w:rPr>
                <w:sz w:val="20"/>
              </w:rPr>
              <w:t>eg</w:t>
            </w:r>
            <w:proofErr w:type="spellEnd"/>
            <w:proofErr w:type="gramEnd"/>
            <w:r w:rsidRPr="00FF4D52">
              <w:rPr>
                <w:sz w:val="20"/>
              </w:rPr>
              <w:t>. LGCDP; Participatory Constitution Building P)</w:t>
            </w:r>
          </w:p>
          <w:p w14:paraId="732D1D6D" w14:textId="77777777" w:rsidR="003C7CA3" w:rsidRPr="00FF4D52" w:rsidRDefault="003C7CA3" w:rsidP="00FF4D52">
            <w:pPr>
              <w:pStyle w:val="ListParagraph"/>
              <w:numPr>
                <w:ilvl w:val="0"/>
                <w:numId w:val="35"/>
              </w:numPr>
              <w:rPr>
                <w:sz w:val="20"/>
              </w:rPr>
            </w:pPr>
            <w:r w:rsidRPr="00FF4D52">
              <w:rPr>
                <w:sz w:val="20"/>
              </w:rPr>
              <w:t>Strong relationship with the Government; sometimes negative perception by donors – “UNDP too close to the Government” and cannot raise sensitive issues with the Government</w:t>
            </w:r>
          </w:p>
          <w:p w14:paraId="24CECC4B" w14:textId="77777777" w:rsidR="003C7CA3" w:rsidRPr="00FF4D52" w:rsidRDefault="003C7CA3" w:rsidP="00FF4D52">
            <w:pPr>
              <w:pStyle w:val="ListParagraph"/>
              <w:numPr>
                <w:ilvl w:val="0"/>
                <w:numId w:val="35"/>
              </w:numPr>
              <w:rPr>
                <w:sz w:val="20"/>
              </w:rPr>
            </w:pPr>
            <w:r w:rsidRPr="00FF4D52">
              <w:rPr>
                <w:sz w:val="20"/>
              </w:rPr>
              <w:t>Most projects highly relevant</w:t>
            </w:r>
          </w:p>
          <w:p w14:paraId="2C803017" w14:textId="77777777" w:rsidR="003C7CA3" w:rsidRPr="00FF4D52" w:rsidRDefault="003C7CA3" w:rsidP="00FF4D52">
            <w:pPr>
              <w:pStyle w:val="ListParagraph"/>
              <w:numPr>
                <w:ilvl w:val="0"/>
                <w:numId w:val="35"/>
              </w:numPr>
              <w:rPr>
                <w:sz w:val="20"/>
              </w:rPr>
            </w:pPr>
            <w:r w:rsidRPr="00FF4D52">
              <w:rPr>
                <w:sz w:val="20"/>
              </w:rPr>
              <w:t xml:space="preserve">Scattered projects? </w:t>
            </w:r>
            <w:proofErr w:type="spellStart"/>
            <w:r w:rsidRPr="00FF4D52">
              <w:rPr>
                <w:sz w:val="20"/>
              </w:rPr>
              <w:t>Eg</w:t>
            </w:r>
            <w:proofErr w:type="spellEnd"/>
            <w:r w:rsidRPr="00FF4D52">
              <w:rPr>
                <w:sz w:val="20"/>
              </w:rPr>
              <w:t>: Outcome 2: Poverty reduction &amp; social protection (5 projects MEDEP, CILRP, RERL, LRP, RELRP, CSUWN</w:t>
            </w:r>
            <w:r w:rsidR="00FF4D52">
              <w:rPr>
                <w:sz w:val="20"/>
              </w:rPr>
              <w:t>)</w:t>
            </w:r>
          </w:p>
          <w:p w14:paraId="4CC1A9D6" w14:textId="77777777" w:rsidR="003C7CA3" w:rsidRPr="00FF4D52" w:rsidRDefault="003C7CA3" w:rsidP="00FF4D52">
            <w:pPr>
              <w:pStyle w:val="ListParagraph"/>
              <w:numPr>
                <w:ilvl w:val="0"/>
                <w:numId w:val="35"/>
              </w:numPr>
              <w:rPr>
                <w:sz w:val="20"/>
              </w:rPr>
            </w:pPr>
            <w:r w:rsidRPr="00FF4D52">
              <w:rPr>
                <w:sz w:val="20"/>
              </w:rPr>
              <w:t xml:space="preserve">Project teams to be periodically oriented on the Country </w:t>
            </w:r>
            <w:proofErr w:type="spellStart"/>
            <w:r w:rsidRPr="00FF4D52">
              <w:rPr>
                <w:sz w:val="20"/>
              </w:rPr>
              <w:t>Progamme</w:t>
            </w:r>
            <w:proofErr w:type="spellEnd"/>
            <w:r w:rsidRPr="00FF4D52">
              <w:rPr>
                <w:sz w:val="20"/>
              </w:rPr>
              <w:t xml:space="preserve"> outcomes and outputs and monitoring/reporting these particularly related to their respective projects</w:t>
            </w:r>
          </w:p>
          <w:p w14:paraId="3C9D5B85" w14:textId="77777777" w:rsidR="003C7CA3" w:rsidRPr="00FF4D52" w:rsidRDefault="003C7CA3" w:rsidP="00FF4D52">
            <w:pPr>
              <w:pStyle w:val="ListParagraph"/>
              <w:numPr>
                <w:ilvl w:val="0"/>
                <w:numId w:val="35"/>
              </w:numPr>
              <w:rPr>
                <w:sz w:val="20"/>
              </w:rPr>
            </w:pPr>
            <w:r w:rsidRPr="00FF4D52">
              <w:rPr>
                <w:sz w:val="20"/>
              </w:rPr>
              <w:t xml:space="preserve">Partnerships with relevant actors highly encouraged to enhance project efficiency and effectiveness particularly with other UN Agencies (past partnerships UNCDF, UNV, </w:t>
            </w:r>
            <w:r w:rsidR="00FF4D52" w:rsidRPr="00FF4D52">
              <w:rPr>
                <w:sz w:val="20"/>
              </w:rPr>
              <w:t>UNICEF,</w:t>
            </w:r>
            <w:r w:rsidRPr="00FF4D52">
              <w:rPr>
                <w:sz w:val="20"/>
              </w:rPr>
              <w:t>)</w:t>
            </w:r>
          </w:p>
          <w:p w14:paraId="7BCCE2EA" w14:textId="77777777" w:rsidR="003C7CA3" w:rsidRPr="003C7CA3" w:rsidRDefault="003C7CA3" w:rsidP="003C7CA3">
            <w:pPr>
              <w:rPr>
                <w:sz w:val="20"/>
              </w:rPr>
            </w:pPr>
          </w:p>
          <w:p w14:paraId="7E2A36E5" w14:textId="77777777" w:rsidR="003C7CA3" w:rsidRPr="00FF4D52" w:rsidRDefault="003C7CA3" w:rsidP="003C7CA3">
            <w:pPr>
              <w:jc w:val="both"/>
              <w:rPr>
                <w:b/>
                <w:sz w:val="20"/>
                <w:u w:val="single"/>
              </w:rPr>
            </w:pPr>
            <w:r w:rsidRPr="00FF4D52">
              <w:rPr>
                <w:b/>
                <w:sz w:val="20"/>
                <w:u w:val="single"/>
              </w:rPr>
              <w:t xml:space="preserve">Top 3 lessons from the </w:t>
            </w:r>
            <w:r w:rsidR="00FF4D52" w:rsidRPr="00FF4D52">
              <w:rPr>
                <w:b/>
                <w:sz w:val="20"/>
                <w:u w:val="single"/>
              </w:rPr>
              <w:t>After-Action</w:t>
            </w:r>
            <w:r w:rsidRPr="00FF4D52">
              <w:rPr>
                <w:b/>
                <w:sz w:val="20"/>
                <w:u w:val="single"/>
              </w:rPr>
              <w:t xml:space="preserve"> Review relevant for CPD</w:t>
            </w:r>
          </w:p>
          <w:p w14:paraId="3488F431" w14:textId="77777777" w:rsidR="003C7CA3" w:rsidRPr="00FF4D52" w:rsidRDefault="003C7CA3" w:rsidP="00FF4D52">
            <w:pPr>
              <w:pStyle w:val="ListParagraph"/>
              <w:numPr>
                <w:ilvl w:val="0"/>
                <w:numId w:val="36"/>
              </w:numPr>
              <w:jc w:val="both"/>
              <w:rPr>
                <w:sz w:val="20"/>
              </w:rPr>
            </w:pPr>
            <w:r w:rsidRPr="00FF4D52">
              <w:rPr>
                <w:sz w:val="20"/>
              </w:rPr>
              <w:t>Overall, decent level of Operational preparedness existed prior to the earthquake in April 2015. Improvement is required i.e. annual updating of Business Continuity Plan, CO-level SURGE Plan and orientation to staff. During crisis, local/CO staff to be actively engaged in SURGE Plan preparation to ensure context specific SURGE planning and transition to CO team.</w:t>
            </w:r>
          </w:p>
          <w:p w14:paraId="050CBF2A" w14:textId="77777777" w:rsidR="003C7CA3" w:rsidRPr="00FF4D52" w:rsidRDefault="003C7CA3" w:rsidP="00FF4D52">
            <w:pPr>
              <w:pStyle w:val="ListParagraph"/>
              <w:numPr>
                <w:ilvl w:val="0"/>
                <w:numId w:val="36"/>
              </w:numPr>
              <w:rPr>
                <w:sz w:val="20"/>
              </w:rPr>
            </w:pPr>
            <w:r w:rsidRPr="00FF4D52">
              <w:rPr>
                <w:sz w:val="20"/>
              </w:rPr>
              <w:t>On-going Disaster Risk Management project and relationship with the government partners through UNDP’s regular program contributed to the smooth facilitation of immediate post-disaster response and early recovery. This highlights the importance of UNDP’s investment in DRR and resilience building prior to a crisis.</w:t>
            </w:r>
          </w:p>
          <w:p w14:paraId="550E6D0C" w14:textId="77777777" w:rsidR="00CD2BE7" w:rsidRPr="00377BBF" w:rsidRDefault="003C7CA3" w:rsidP="00FF4D52">
            <w:pPr>
              <w:pStyle w:val="ListParagraph"/>
              <w:numPr>
                <w:ilvl w:val="0"/>
                <w:numId w:val="36"/>
              </w:numPr>
            </w:pPr>
            <w:r w:rsidRPr="00FF4D52">
              <w:rPr>
                <w:sz w:val="20"/>
              </w:rPr>
              <w:t xml:space="preserve">Current CPD (2013-2017), identified rightly “People living in areas vulnerable to climate change and disasters benefit from improved risk management and are more resilient to hazard-related shocks”. The priority given to climate risk and disaster risk reduction and dedicated </w:t>
            </w:r>
            <w:proofErr w:type="spellStart"/>
            <w:r w:rsidRPr="00FF4D52">
              <w:rPr>
                <w:sz w:val="20"/>
              </w:rPr>
              <w:t>programmes</w:t>
            </w:r>
            <w:proofErr w:type="spellEnd"/>
            <w:r w:rsidRPr="00FF4D52">
              <w:rPr>
                <w:sz w:val="20"/>
              </w:rPr>
              <w:t xml:space="preserve"> helped enhance community resilience to disasters. E.g. rapid local level response led by the DDRC and VDCs. However, quantitative evidence on this result requires in-depth study. </w:t>
            </w:r>
          </w:p>
        </w:tc>
      </w:tr>
    </w:tbl>
    <w:p w14:paraId="5F138AF9" w14:textId="77777777" w:rsidR="004B3911" w:rsidRPr="00377BBF" w:rsidRDefault="004B3911">
      <w:pPr>
        <w:pStyle w:val="BodyText2"/>
        <w:rPr>
          <w:rFonts w:ascii="Times New Roman" w:hAnsi="Times New Roman"/>
          <w:sz w:val="24"/>
        </w:rPr>
      </w:pPr>
    </w:p>
    <w:p w14:paraId="0BC752E5" w14:textId="77777777" w:rsidR="004E7B40" w:rsidRPr="00377BBF" w:rsidRDefault="004E7B40" w:rsidP="004E7B40">
      <w:pPr>
        <w:pStyle w:val="BodyText2"/>
        <w:jc w:val="center"/>
        <w:rPr>
          <w:rFonts w:ascii="Times New Roman" w:hAnsi="Times New Roman"/>
          <w:sz w:val="24"/>
        </w:rPr>
      </w:pPr>
      <w:r w:rsidRPr="00377BBF">
        <w:rPr>
          <w:rFonts w:ascii="Times New Roman" w:hAnsi="Times New Roman"/>
          <w:sz w:val="24"/>
        </w:rPr>
        <w:t xml:space="preserve">III. </w:t>
      </w:r>
      <w:r w:rsidRPr="00CD2BE7">
        <w:rPr>
          <w:rFonts w:ascii="Times New Roman" w:hAnsi="Times New Roman"/>
          <w:b/>
          <w:sz w:val="24"/>
        </w:rPr>
        <w:t xml:space="preserve">Country </w:t>
      </w:r>
      <w:proofErr w:type="spellStart"/>
      <w:r w:rsidRPr="00CD2BE7">
        <w:rPr>
          <w:rFonts w:ascii="Times New Roman" w:hAnsi="Times New Roman"/>
          <w:b/>
          <w:sz w:val="24"/>
        </w:rPr>
        <w:t>Programme</w:t>
      </w:r>
      <w:proofErr w:type="spellEnd"/>
      <w:r w:rsidRPr="00CD2BE7">
        <w:rPr>
          <w:rFonts w:ascii="Times New Roman" w:hAnsi="Times New Roman"/>
          <w:b/>
          <w:sz w:val="24"/>
        </w:rPr>
        <w:t xml:space="preserve"> Resources</w:t>
      </w:r>
    </w:p>
    <w:tbl>
      <w:tblPr>
        <w:tblStyle w:val="TableGrid"/>
        <w:tblW w:w="0" w:type="auto"/>
        <w:tblLook w:val="04A0" w:firstRow="1" w:lastRow="0" w:firstColumn="1" w:lastColumn="0" w:noHBand="0" w:noVBand="1"/>
      </w:tblPr>
      <w:tblGrid>
        <w:gridCol w:w="6116"/>
        <w:gridCol w:w="1867"/>
        <w:gridCol w:w="2038"/>
        <w:gridCol w:w="1949"/>
        <w:gridCol w:w="1980"/>
      </w:tblGrid>
      <w:tr w:rsidR="004E7B40" w:rsidRPr="00377BBF" w14:paraId="04891517" w14:textId="77777777" w:rsidTr="00DE7B7E">
        <w:tc>
          <w:tcPr>
            <w:tcW w:w="6116" w:type="dxa"/>
            <w:shd w:val="clear" w:color="auto" w:fill="002060"/>
          </w:tcPr>
          <w:p w14:paraId="78C3C5E6" w14:textId="77777777" w:rsidR="004E7B40" w:rsidRPr="00377BBF" w:rsidRDefault="004E7B40" w:rsidP="00DE7B7E">
            <w:pPr>
              <w:pStyle w:val="BodyText2"/>
              <w:jc w:val="center"/>
              <w:rPr>
                <w:rFonts w:ascii="Times New Roman" w:hAnsi="Times New Roman"/>
                <w:b/>
                <w:color w:val="FFFFFF" w:themeColor="background1"/>
                <w:sz w:val="24"/>
              </w:rPr>
            </w:pPr>
            <w:r w:rsidRPr="00377BBF">
              <w:rPr>
                <w:rFonts w:ascii="Times New Roman" w:hAnsi="Times New Roman"/>
                <w:b/>
                <w:color w:val="FFFFFF" w:themeColor="background1"/>
                <w:sz w:val="24"/>
              </w:rPr>
              <w:t>Focus Area</w:t>
            </w:r>
          </w:p>
        </w:tc>
        <w:tc>
          <w:tcPr>
            <w:tcW w:w="5854" w:type="dxa"/>
            <w:gridSpan w:val="3"/>
            <w:shd w:val="clear" w:color="auto" w:fill="002060"/>
          </w:tcPr>
          <w:p w14:paraId="098BF6ED" w14:textId="77777777" w:rsidR="004E7B40" w:rsidRPr="00377BBF" w:rsidRDefault="004E7B40" w:rsidP="00DE7B7E">
            <w:pPr>
              <w:pStyle w:val="BodyText2"/>
              <w:jc w:val="center"/>
              <w:rPr>
                <w:rFonts w:ascii="Times New Roman" w:hAnsi="Times New Roman"/>
                <w:b/>
                <w:color w:val="FFFFFF" w:themeColor="background1"/>
                <w:sz w:val="24"/>
              </w:rPr>
            </w:pPr>
            <w:proofErr w:type="spellStart"/>
            <w:r w:rsidRPr="00377BBF">
              <w:rPr>
                <w:rFonts w:ascii="Times New Roman" w:hAnsi="Times New Roman"/>
                <w:b/>
                <w:color w:val="FFFFFF" w:themeColor="background1"/>
                <w:sz w:val="24"/>
              </w:rPr>
              <w:t>Programme</w:t>
            </w:r>
            <w:proofErr w:type="spellEnd"/>
            <w:r w:rsidRPr="00377BBF">
              <w:rPr>
                <w:rFonts w:ascii="Times New Roman" w:hAnsi="Times New Roman"/>
                <w:b/>
                <w:color w:val="FFFFFF" w:themeColor="background1"/>
                <w:sz w:val="24"/>
              </w:rPr>
              <w:t xml:space="preserve"> Expenditure ($)</w:t>
            </w:r>
          </w:p>
        </w:tc>
        <w:tc>
          <w:tcPr>
            <w:tcW w:w="1980" w:type="dxa"/>
            <w:shd w:val="clear" w:color="auto" w:fill="002060"/>
          </w:tcPr>
          <w:p w14:paraId="598CAB00" w14:textId="77777777" w:rsidR="004E7B40" w:rsidRPr="00377BBF" w:rsidRDefault="004E7B40" w:rsidP="00DE7B7E">
            <w:pPr>
              <w:pStyle w:val="BodyText2"/>
              <w:jc w:val="center"/>
              <w:rPr>
                <w:rFonts w:ascii="Times New Roman" w:hAnsi="Times New Roman"/>
                <w:b/>
                <w:color w:val="FFFFFF" w:themeColor="background1"/>
                <w:sz w:val="24"/>
              </w:rPr>
            </w:pPr>
            <w:r w:rsidRPr="00377BBF">
              <w:rPr>
                <w:rFonts w:ascii="Times New Roman" w:hAnsi="Times New Roman"/>
                <w:b/>
                <w:color w:val="FFFFFF" w:themeColor="background1"/>
                <w:sz w:val="24"/>
              </w:rPr>
              <w:t>% of Total</w:t>
            </w:r>
          </w:p>
        </w:tc>
      </w:tr>
      <w:tr w:rsidR="004E7B40" w:rsidRPr="00377BBF" w14:paraId="44A3FF79" w14:textId="77777777" w:rsidTr="00DE7B7E">
        <w:tc>
          <w:tcPr>
            <w:tcW w:w="6116" w:type="dxa"/>
          </w:tcPr>
          <w:p w14:paraId="19FAD106" w14:textId="77777777" w:rsidR="004E7B40" w:rsidRPr="00377BBF" w:rsidRDefault="004E7B40" w:rsidP="00DE7B7E">
            <w:pPr>
              <w:pStyle w:val="BodyText2"/>
              <w:rPr>
                <w:rFonts w:ascii="Times New Roman" w:hAnsi="Times New Roman"/>
              </w:rPr>
            </w:pPr>
          </w:p>
        </w:tc>
        <w:tc>
          <w:tcPr>
            <w:tcW w:w="1867" w:type="dxa"/>
          </w:tcPr>
          <w:p w14:paraId="46319976" w14:textId="77777777" w:rsidR="004E7B40" w:rsidRPr="00377BBF" w:rsidRDefault="004E7B40" w:rsidP="00DE7B7E">
            <w:pPr>
              <w:pStyle w:val="BodyText2"/>
              <w:jc w:val="center"/>
              <w:rPr>
                <w:rFonts w:ascii="Times New Roman" w:hAnsi="Times New Roman"/>
              </w:rPr>
            </w:pPr>
            <w:r w:rsidRPr="00377BBF">
              <w:rPr>
                <w:rFonts w:ascii="Times New Roman" w:hAnsi="Times New Roman"/>
              </w:rPr>
              <w:t>Regular (TRAC)</w:t>
            </w:r>
          </w:p>
        </w:tc>
        <w:tc>
          <w:tcPr>
            <w:tcW w:w="2038" w:type="dxa"/>
          </w:tcPr>
          <w:p w14:paraId="77D92C3D" w14:textId="77777777" w:rsidR="004E7B40" w:rsidRPr="00377BBF" w:rsidRDefault="004E7B40" w:rsidP="00DE7B7E">
            <w:pPr>
              <w:pStyle w:val="BodyText2"/>
              <w:jc w:val="center"/>
              <w:rPr>
                <w:rFonts w:ascii="Times New Roman" w:hAnsi="Times New Roman"/>
              </w:rPr>
            </w:pPr>
            <w:r w:rsidRPr="00377BBF">
              <w:rPr>
                <w:rFonts w:ascii="Times New Roman" w:hAnsi="Times New Roman"/>
              </w:rPr>
              <w:t>Other</w:t>
            </w:r>
          </w:p>
        </w:tc>
        <w:tc>
          <w:tcPr>
            <w:tcW w:w="1949" w:type="dxa"/>
          </w:tcPr>
          <w:p w14:paraId="61832156" w14:textId="77777777" w:rsidR="004E7B40" w:rsidRPr="00377BBF" w:rsidRDefault="004E7B40" w:rsidP="00DE7B7E">
            <w:pPr>
              <w:pStyle w:val="BodyText2"/>
              <w:jc w:val="center"/>
              <w:rPr>
                <w:rFonts w:ascii="Times New Roman" w:hAnsi="Times New Roman"/>
              </w:rPr>
            </w:pPr>
            <w:r w:rsidRPr="00377BBF">
              <w:rPr>
                <w:rFonts w:ascii="Times New Roman" w:hAnsi="Times New Roman"/>
              </w:rPr>
              <w:t>Total</w:t>
            </w:r>
          </w:p>
        </w:tc>
        <w:tc>
          <w:tcPr>
            <w:tcW w:w="1980" w:type="dxa"/>
          </w:tcPr>
          <w:p w14:paraId="7EA2BFC6" w14:textId="77777777" w:rsidR="004E7B40" w:rsidRPr="00377BBF" w:rsidRDefault="004E7B40" w:rsidP="00DE7B7E">
            <w:pPr>
              <w:pStyle w:val="BodyText2"/>
              <w:jc w:val="center"/>
              <w:rPr>
                <w:rFonts w:ascii="Times New Roman" w:hAnsi="Times New Roman"/>
              </w:rPr>
            </w:pPr>
          </w:p>
        </w:tc>
      </w:tr>
      <w:tr w:rsidR="004E7B40" w:rsidRPr="00377BBF" w14:paraId="35A9C82C" w14:textId="77777777" w:rsidTr="00DE7B7E">
        <w:tc>
          <w:tcPr>
            <w:tcW w:w="6116" w:type="dxa"/>
          </w:tcPr>
          <w:p w14:paraId="628C9833" w14:textId="77777777" w:rsidR="004E7B40" w:rsidRPr="00C81B23" w:rsidRDefault="004E7B40" w:rsidP="00DE7B7E">
            <w:pPr>
              <w:pStyle w:val="BodyText2"/>
              <w:rPr>
                <w:rFonts w:ascii="Times New Roman" w:hAnsi="Times New Roman"/>
              </w:rPr>
            </w:pPr>
            <w:r w:rsidRPr="00C81B23">
              <w:rPr>
                <w:rFonts w:ascii="Times New Roman" w:hAnsi="Times New Roman"/>
              </w:rPr>
              <w:t>Poverty and MDGs</w:t>
            </w:r>
          </w:p>
        </w:tc>
        <w:tc>
          <w:tcPr>
            <w:tcW w:w="1867" w:type="dxa"/>
          </w:tcPr>
          <w:p w14:paraId="46B7D529" w14:textId="77777777" w:rsidR="004E7B40" w:rsidRPr="00C81B23" w:rsidRDefault="004E7B40" w:rsidP="00DE7B7E">
            <w:pPr>
              <w:pStyle w:val="BodyText2"/>
              <w:jc w:val="center"/>
              <w:rPr>
                <w:rFonts w:ascii="Times New Roman" w:hAnsi="Times New Roman"/>
              </w:rPr>
            </w:pPr>
            <w:r w:rsidRPr="00C81B23">
              <w:rPr>
                <w:rFonts w:ascii="Times New Roman" w:hAnsi="Times New Roman"/>
                <w:color w:val="000000"/>
              </w:rPr>
              <w:t>9,246,829</w:t>
            </w:r>
          </w:p>
        </w:tc>
        <w:tc>
          <w:tcPr>
            <w:tcW w:w="2038" w:type="dxa"/>
          </w:tcPr>
          <w:p w14:paraId="157970AC" w14:textId="77777777" w:rsidR="004E7B40" w:rsidRPr="00C81B23" w:rsidRDefault="004E7B40" w:rsidP="00DE7B7E">
            <w:pPr>
              <w:pStyle w:val="BodyText2"/>
              <w:jc w:val="center"/>
              <w:rPr>
                <w:rFonts w:ascii="Times New Roman" w:hAnsi="Times New Roman"/>
              </w:rPr>
            </w:pPr>
            <w:r w:rsidRPr="00C81B23">
              <w:rPr>
                <w:rFonts w:ascii="Times New Roman" w:hAnsi="Times New Roman"/>
                <w:color w:val="000000"/>
              </w:rPr>
              <w:t>33,858,683</w:t>
            </w:r>
          </w:p>
        </w:tc>
        <w:tc>
          <w:tcPr>
            <w:tcW w:w="1949" w:type="dxa"/>
          </w:tcPr>
          <w:p w14:paraId="6EE423BD" w14:textId="77777777" w:rsidR="004E7B40" w:rsidRPr="00C81B23" w:rsidRDefault="004E7B40" w:rsidP="00DE7B7E">
            <w:pPr>
              <w:pStyle w:val="BodyText2"/>
              <w:jc w:val="center"/>
              <w:rPr>
                <w:rFonts w:ascii="Times New Roman" w:hAnsi="Times New Roman"/>
              </w:rPr>
            </w:pPr>
            <w:r w:rsidRPr="00C81B23">
              <w:rPr>
                <w:rFonts w:ascii="Times New Roman" w:hAnsi="Times New Roman"/>
                <w:color w:val="000000"/>
              </w:rPr>
              <w:t>43,105,513</w:t>
            </w:r>
          </w:p>
        </w:tc>
        <w:tc>
          <w:tcPr>
            <w:tcW w:w="1980" w:type="dxa"/>
          </w:tcPr>
          <w:p w14:paraId="413BFEC6" w14:textId="77777777" w:rsidR="004E7B40" w:rsidRPr="00C81B23" w:rsidRDefault="004E7B40" w:rsidP="00DE7B7E">
            <w:pPr>
              <w:pStyle w:val="BodyText2"/>
              <w:jc w:val="center"/>
              <w:rPr>
                <w:rFonts w:ascii="Times New Roman" w:hAnsi="Times New Roman"/>
              </w:rPr>
            </w:pPr>
            <w:r w:rsidRPr="00C81B23">
              <w:rPr>
                <w:rFonts w:ascii="Times New Roman" w:hAnsi="Times New Roman"/>
              </w:rPr>
              <w:t>31%</w:t>
            </w:r>
          </w:p>
        </w:tc>
      </w:tr>
      <w:tr w:rsidR="004E7B40" w:rsidRPr="00377BBF" w14:paraId="246CF712" w14:textId="77777777" w:rsidTr="00DE7B7E">
        <w:tc>
          <w:tcPr>
            <w:tcW w:w="6116" w:type="dxa"/>
          </w:tcPr>
          <w:p w14:paraId="4D711C72" w14:textId="77777777" w:rsidR="004E7B40" w:rsidRPr="00C81B23" w:rsidRDefault="004E7B40" w:rsidP="00DE7B7E">
            <w:pPr>
              <w:pStyle w:val="BodyText2"/>
              <w:rPr>
                <w:rFonts w:ascii="Times New Roman" w:hAnsi="Times New Roman"/>
              </w:rPr>
            </w:pPr>
            <w:r w:rsidRPr="00C81B23">
              <w:rPr>
                <w:rFonts w:ascii="Times New Roman" w:hAnsi="Times New Roman"/>
              </w:rPr>
              <w:t>Democratic Governance</w:t>
            </w:r>
          </w:p>
        </w:tc>
        <w:tc>
          <w:tcPr>
            <w:tcW w:w="1867" w:type="dxa"/>
          </w:tcPr>
          <w:p w14:paraId="075D20CD" w14:textId="77777777" w:rsidR="004E7B40" w:rsidRPr="00C81B23" w:rsidRDefault="004E7B40" w:rsidP="00DE7B7E">
            <w:pPr>
              <w:pStyle w:val="BodyText2"/>
              <w:jc w:val="center"/>
              <w:rPr>
                <w:rFonts w:ascii="Times New Roman" w:hAnsi="Times New Roman"/>
              </w:rPr>
            </w:pPr>
            <w:r w:rsidRPr="00C81B23">
              <w:rPr>
                <w:rFonts w:ascii="Times New Roman" w:hAnsi="Times New Roman"/>
                <w:color w:val="000000"/>
              </w:rPr>
              <w:t>8,933,229</w:t>
            </w:r>
          </w:p>
        </w:tc>
        <w:tc>
          <w:tcPr>
            <w:tcW w:w="2038" w:type="dxa"/>
          </w:tcPr>
          <w:p w14:paraId="1AC014B8" w14:textId="77777777" w:rsidR="004E7B40" w:rsidRPr="00C81B23" w:rsidRDefault="004E7B40" w:rsidP="00DE7B7E">
            <w:pPr>
              <w:pStyle w:val="BodyText2"/>
              <w:jc w:val="center"/>
              <w:rPr>
                <w:rFonts w:ascii="Times New Roman" w:hAnsi="Times New Roman"/>
              </w:rPr>
            </w:pPr>
            <w:r w:rsidRPr="00C81B23">
              <w:rPr>
                <w:rFonts w:ascii="Times New Roman" w:hAnsi="Times New Roman"/>
                <w:color w:val="000000"/>
              </w:rPr>
              <w:t>42,817,093</w:t>
            </w:r>
          </w:p>
        </w:tc>
        <w:tc>
          <w:tcPr>
            <w:tcW w:w="1949" w:type="dxa"/>
          </w:tcPr>
          <w:p w14:paraId="55E78BD1" w14:textId="77777777" w:rsidR="004E7B40" w:rsidRPr="00C81B23" w:rsidRDefault="004E7B40" w:rsidP="00DE7B7E">
            <w:pPr>
              <w:pStyle w:val="BodyText2"/>
              <w:jc w:val="center"/>
              <w:rPr>
                <w:rFonts w:ascii="Times New Roman" w:hAnsi="Times New Roman"/>
              </w:rPr>
            </w:pPr>
            <w:r w:rsidRPr="00C81B23">
              <w:rPr>
                <w:rFonts w:ascii="Times New Roman" w:hAnsi="Times New Roman"/>
                <w:color w:val="000000"/>
              </w:rPr>
              <w:t>51,750,322</w:t>
            </w:r>
          </w:p>
        </w:tc>
        <w:tc>
          <w:tcPr>
            <w:tcW w:w="1980" w:type="dxa"/>
          </w:tcPr>
          <w:p w14:paraId="2EEBBAE0" w14:textId="77777777" w:rsidR="004E7B40" w:rsidRPr="00C81B23" w:rsidRDefault="004E7B40" w:rsidP="00DE7B7E">
            <w:pPr>
              <w:pStyle w:val="BodyText2"/>
              <w:jc w:val="center"/>
              <w:rPr>
                <w:rFonts w:ascii="Times New Roman" w:hAnsi="Times New Roman"/>
              </w:rPr>
            </w:pPr>
            <w:r w:rsidRPr="00C81B23">
              <w:rPr>
                <w:rFonts w:ascii="Times New Roman" w:hAnsi="Times New Roman"/>
              </w:rPr>
              <w:t>37%</w:t>
            </w:r>
          </w:p>
        </w:tc>
      </w:tr>
      <w:tr w:rsidR="004E7B40" w:rsidRPr="00377BBF" w14:paraId="7B92E262" w14:textId="77777777" w:rsidTr="00DE7B7E">
        <w:tc>
          <w:tcPr>
            <w:tcW w:w="6116" w:type="dxa"/>
          </w:tcPr>
          <w:p w14:paraId="034F4343" w14:textId="77777777" w:rsidR="004E7B40" w:rsidRPr="00C81B23" w:rsidRDefault="004E7B40" w:rsidP="00DE7B7E">
            <w:pPr>
              <w:pStyle w:val="BodyText2"/>
              <w:rPr>
                <w:rFonts w:ascii="Times New Roman" w:hAnsi="Times New Roman"/>
              </w:rPr>
            </w:pPr>
            <w:r w:rsidRPr="00C81B23">
              <w:rPr>
                <w:rFonts w:ascii="Times New Roman" w:hAnsi="Times New Roman"/>
              </w:rPr>
              <w:t>Crisis Prevention and Recovery</w:t>
            </w:r>
          </w:p>
        </w:tc>
        <w:tc>
          <w:tcPr>
            <w:tcW w:w="1867" w:type="dxa"/>
          </w:tcPr>
          <w:p w14:paraId="12D40D07" w14:textId="77777777" w:rsidR="004E7B40" w:rsidRPr="00C81B23" w:rsidRDefault="004E7B40" w:rsidP="00DE7B7E">
            <w:pPr>
              <w:pStyle w:val="BodyText2"/>
              <w:jc w:val="center"/>
              <w:rPr>
                <w:rFonts w:ascii="Times New Roman" w:hAnsi="Times New Roman"/>
              </w:rPr>
            </w:pPr>
            <w:r w:rsidRPr="00C81B23">
              <w:rPr>
                <w:rFonts w:ascii="Times New Roman" w:hAnsi="Times New Roman"/>
                <w:color w:val="000000"/>
              </w:rPr>
              <w:t>7,797,426</w:t>
            </w:r>
          </w:p>
        </w:tc>
        <w:tc>
          <w:tcPr>
            <w:tcW w:w="2038" w:type="dxa"/>
          </w:tcPr>
          <w:p w14:paraId="6C04750C" w14:textId="77777777" w:rsidR="004E7B40" w:rsidRPr="00C81B23" w:rsidRDefault="004E7B40" w:rsidP="00DE7B7E">
            <w:pPr>
              <w:pStyle w:val="BodyText2"/>
              <w:jc w:val="center"/>
              <w:rPr>
                <w:rFonts w:ascii="Times New Roman" w:hAnsi="Times New Roman"/>
              </w:rPr>
            </w:pPr>
            <w:r w:rsidRPr="00C81B23">
              <w:rPr>
                <w:rFonts w:ascii="Times New Roman" w:hAnsi="Times New Roman"/>
                <w:color w:val="000000"/>
              </w:rPr>
              <w:t>11,238,762</w:t>
            </w:r>
          </w:p>
        </w:tc>
        <w:tc>
          <w:tcPr>
            <w:tcW w:w="1949" w:type="dxa"/>
          </w:tcPr>
          <w:p w14:paraId="020B4459" w14:textId="77777777" w:rsidR="004E7B40" w:rsidRPr="00C81B23" w:rsidRDefault="004E7B40" w:rsidP="00DE7B7E">
            <w:pPr>
              <w:pStyle w:val="BodyText2"/>
              <w:jc w:val="center"/>
              <w:rPr>
                <w:rFonts w:ascii="Times New Roman" w:hAnsi="Times New Roman"/>
              </w:rPr>
            </w:pPr>
            <w:r w:rsidRPr="00C81B23">
              <w:rPr>
                <w:rFonts w:ascii="Times New Roman" w:hAnsi="Times New Roman"/>
                <w:color w:val="000000"/>
              </w:rPr>
              <w:t>19,036,188</w:t>
            </w:r>
          </w:p>
        </w:tc>
        <w:tc>
          <w:tcPr>
            <w:tcW w:w="1980" w:type="dxa"/>
          </w:tcPr>
          <w:p w14:paraId="0549CEE5" w14:textId="77777777" w:rsidR="004E7B40" w:rsidRPr="00C81B23" w:rsidRDefault="004E7B40" w:rsidP="00DE7B7E">
            <w:pPr>
              <w:pStyle w:val="BodyText2"/>
              <w:jc w:val="center"/>
              <w:rPr>
                <w:rFonts w:ascii="Times New Roman" w:hAnsi="Times New Roman"/>
              </w:rPr>
            </w:pPr>
            <w:r w:rsidRPr="00C81B23">
              <w:rPr>
                <w:rFonts w:ascii="Times New Roman" w:hAnsi="Times New Roman"/>
              </w:rPr>
              <w:t>14%</w:t>
            </w:r>
          </w:p>
        </w:tc>
      </w:tr>
      <w:tr w:rsidR="004E7B40" w:rsidRPr="00377BBF" w14:paraId="076074BF" w14:textId="77777777" w:rsidTr="00DE7B7E">
        <w:tc>
          <w:tcPr>
            <w:tcW w:w="6116" w:type="dxa"/>
          </w:tcPr>
          <w:p w14:paraId="4D03CD77" w14:textId="77777777" w:rsidR="004E7B40" w:rsidRPr="00C81B23" w:rsidRDefault="004E7B40" w:rsidP="00DE7B7E">
            <w:pPr>
              <w:pStyle w:val="BodyText2"/>
              <w:rPr>
                <w:rFonts w:ascii="Times New Roman" w:hAnsi="Times New Roman"/>
              </w:rPr>
            </w:pPr>
            <w:r w:rsidRPr="00C81B23">
              <w:rPr>
                <w:rFonts w:ascii="Times New Roman" w:hAnsi="Times New Roman"/>
              </w:rPr>
              <w:t>Environment and Sustainable Development</w:t>
            </w:r>
          </w:p>
        </w:tc>
        <w:tc>
          <w:tcPr>
            <w:tcW w:w="1867" w:type="dxa"/>
          </w:tcPr>
          <w:p w14:paraId="25EE3350" w14:textId="77777777" w:rsidR="004E7B40" w:rsidRPr="00C81B23" w:rsidRDefault="004E7B40" w:rsidP="00DE7B7E">
            <w:pPr>
              <w:pStyle w:val="BodyText2"/>
              <w:jc w:val="center"/>
              <w:rPr>
                <w:rFonts w:ascii="Times New Roman" w:hAnsi="Times New Roman"/>
              </w:rPr>
            </w:pPr>
            <w:r w:rsidRPr="00C81B23">
              <w:rPr>
                <w:rFonts w:ascii="Times New Roman" w:hAnsi="Times New Roman"/>
                <w:color w:val="000000"/>
              </w:rPr>
              <w:t>5,954,282</w:t>
            </w:r>
          </w:p>
        </w:tc>
        <w:tc>
          <w:tcPr>
            <w:tcW w:w="2038" w:type="dxa"/>
          </w:tcPr>
          <w:p w14:paraId="3E3338D0" w14:textId="77777777" w:rsidR="004E7B40" w:rsidRPr="00C81B23" w:rsidRDefault="004E7B40" w:rsidP="00DE7B7E">
            <w:pPr>
              <w:pStyle w:val="BodyText2"/>
              <w:jc w:val="center"/>
              <w:rPr>
                <w:rFonts w:ascii="Times New Roman" w:hAnsi="Times New Roman"/>
              </w:rPr>
            </w:pPr>
            <w:r w:rsidRPr="00C81B23">
              <w:rPr>
                <w:rFonts w:ascii="Times New Roman" w:hAnsi="Times New Roman"/>
                <w:color w:val="000000"/>
              </w:rPr>
              <w:t>19,268,810</w:t>
            </w:r>
          </w:p>
        </w:tc>
        <w:tc>
          <w:tcPr>
            <w:tcW w:w="1949" w:type="dxa"/>
          </w:tcPr>
          <w:p w14:paraId="4E17589B" w14:textId="77777777" w:rsidR="004E7B40" w:rsidRPr="00C81B23" w:rsidRDefault="004E7B40" w:rsidP="00DE7B7E">
            <w:pPr>
              <w:pStyle w:val="BodyText2"/>
              <w:jc w:val="center"/>
              <w:rPr>
                <w:rFonts w:ascii="Times New Roman" w:hAnsi="Times New Roman"/>
              </w:rPr>
            </w:pPr>
            <w:r w:rsidRPr="00C81B23">
              <w:rPr>
                <w:rFonts w:ascii="Times New Roman" w:hAnsi="Times New Roman"/>
                <w:color w:val="000000"/>
              </w:rPr>
              <w:t>25,223,092</w:t>
            </w:r>
          </w:p>
        </w:tc>
        <w:tc>
          <w:tcPr>
            <w:tcW w:w="1980" w:type="dxa"/>
          </w:tcPr>
          <w:p w14:paraId="70AF125D" w14:textId="77777777" w:rsidR="004E7B40" w:rsidRPr="00C81B23" w:rsidRDefault="004E7B40" w:rsidP="00DE7B7E">
            <w:pPr>
              <w:pStyle w:val="BodyText2"/>
              <w:jc w:val="center"/>
              <w:rPr>
                <w:rFonts w:ascii="Times New Roman" w:hAnsi="Times New Roman"/>
              </w:rPr>
            </w:pPr>
            <w:r w:rsidRPr="00C81B23">
              <w:rPr>
                <w:rFonts w:ascii="Times New Roman" w:hAnsi="Times New Roman"/>
              </w:rPr>
              <w:t>18%</w:t>
            </w:r>
          </w:p>
        </w:tc>
      </w:tr>
      <w:tr w:rsidR="004E7B40" w:rsidRPr="00377BBF" w14:paraId="64873A0C" w14:textId="77777777" w:rsidTr="00DE7B7E">
        <w:tc>
          <w:tcPr>
            <w:tcW w:w="6116" w:type="dxa"/>
            <w:shd w:val="clear" w:color="auto" w:fill="00B0F0"/>
          </w:tcPr>
          <w:p w14:paraId="1A6B79B6" w14:textId="77777777" w:rsidR="004E7B40" w:rsidRPr="00C81B23" w:rsidRDefault="004E7B40" w:rsidP="00DE7B7E">
            <w:pPr>
              <w:pStyle w:val="BodyText2"/>
              <w:jc w:val="center"/>
              <w:rPr>
                <w:rFonts w:ascii="Times New Roman" w:hAnsi="Times New Roman"/>
              </w:rPr>
            </w:pPr>
            <w:r w:rsidRPr="00C81B23">
              <w:rPr>
                <w:rFonts w:ascii="Times New Roman" w:hAnsi="Times New Roman"/>
              </w:rPr>
              <w:t>Total</w:t>
            </w:r>
          </w:p>
        </w:tc>
        <w:tc>
          <w:tcPr>
            <w:tcW w:w="1867" w:type="dxa"/>
            <w:shd w:val="clear" w:color="auto" w:fill="00B0F0"/>
          </w:tcPr>
          <w:p w14:paraId="2829090B" w14:textId="77777777" w:rsidR="004E7B40" w:rsidRPr="00C81B23" w:rsidRDefault="004E7B40" w:rsidP="00DE7B7E">
            <w:pPr>
              <w:pStyle w:val="BodyText2"/>
              <w:jc w:val="center"/>
              <w:rPr>
                <w:rFonts w:ascii="Times New Roman" w:hAnsi="Times New Roman"/>
                <w:b/>
              </w:rPr>
            </w:pPr>
            <w:r w:rsidRPr="00C81B23">
              <w:rPr>
                <w:rFonts w:ascii="Times New Roman" w:hAnsi="Times New Roman"/>
                <w:b/>
                <w:color w:val="000000"/>
              </w:rPr>
              <w:t>31,931,767</w:t>
            </w:r>
          </w:p>
        </w:tc>
        <w:tc>
          <w:tcPr>
            <w:tcW w:w="2038" w:type="dxa"/>
            <w:shd w:val="clear" w:color="auto" w:fill="00B0F0"/>
          </w:tcPr>
          <w:p w14:paraId="494CC13D" w14:textId="77777777" w:rsidR="004E7B40" w:rsidRPr="00C81B23" w:rsidRDefault="004E7B40" w:rsidP="00DE7B7E">
            <w:pPr>
              <w:pStyle w:val="BodyText2"/>
              <w:jc w:val="center"/>
              <w:rPr>
                <w:rFonts w:ascii="Times New Roman" w:hAnsi="Times New Roman"/>
                <w:b/>
              </w:rPr>
            </w:pPr>
            <w:r w:rsidRPr="00C81B23">
              <w:rPr>
                <w:rFonts w:ascii="Times New Roman" w:hAnsi="Times New Roman"/>
                <w:b/>
                <w:color w:val="000000"/>
              </w:rPr>
              <w:t>107,183,348</w:t>
            </w:r>
          </w:p>
        </w:tc>
        <w:tc>
          <w:tcPr>
            <w:tcW w:w="1949" w:type="dxa"/>
            <w:shd w:val="clear" w:color="auto" w:fill="00B0F0"/>
          </w:tcPr>
          <w:p w14:paraId="209E1DA0" w14:textId="77777777" w:rsidR="004E7B40" w:rsidRPr="00C81B23" w:rsidRDefault="004E7B40" w:rsidP="00DE7B7E">
            <w:pPr>
              <w:pStyle w:val="BodyText2"/>
              <w:jc w:val="center"/>
              <w:rPr>
                <w:rFonts w:ascii="Times New Roman" w:hAnsi="Times New Roman"/>
                <w:b/>
              </w:rPr>
            </w:pPr>
            <w:r w:rsidRPr="00C81B23">
              <w:rPr>
                <w:rFonts w:ascii="Times New Roman" w:hAnsi="Times New Roman"/>
                <w:b/>
                <w:color w:val="000000"/>
              </w:rPr>
              <w:t>139,115,115</w:t>
            </w:r>
          </w:p>
        </w:tc>
        <w:tc>
          <w:tcPr>
            <w:tcW w:w="1980" w:type="dxa"/>
            <w:shd w:val="clear" w:color="auto" w:fill="00B0F0"/>
          </w:tcPr>
          <w:p w14:paraId="6CE33C25" w14:textId="77777777" w:rsidR="004E7B40" w:rsidRPr="00C81B23" w:rsidRDefault="004E7B40" w:rsidP="00DE7B7E">
            <w:pPr>
              <w:pStyle w:val="BodyText2"/>
              <w:jc w:val="center"/>
              <w:rPr>
                <w:rFonts w:ascii="Times New Roman" w:hAnsi="Times New Roman"/>
                <w:b/>
              </w:rPr>
            </w:pPr>
            <w:r w:rsidRPr="00C81B23">
              <w:rPr>
                <w:rFonts w:ascii="Times New Roman" w:hAnsi="Times New Roman"/>
                <w:b/>
              </w:rPr>
              <w:t>100%</w:t>
            </w:r>
          </w:p>
        </w:tc>
      </w:tr>
    </w:tbl>
    <w:p w14:paraId="32CAB9B3" w14:textId="77777777" w:rsidR="00635929" w:rsidRPr="00377BBF" w:rsidRDefault="00635929" w:rsidP="002315A5">
      <w:pPr>
        <w:pStyle w:val="BodyText2"/>
        <w:rPr>
          <w:rFonts w:ascii="Times New Roman" w:hAnsi="Times New Roman"/>
          <w:sz w:val="24"/>
        </w:rPr>
      </w:pPr>
    </w:p>
    <w:tbl>
      <w:tblPr>
        <w:tblStyle w:val="TableGrid"/>
        <w:tblW w:w="0" w:type="auto"/>
        <w:tblLook w:val="04A0" w:firstRow="1" w:lastRow="0" w:firstColumn="1" w:lastColumn="0" w:noHBand="0" w:noVBand="1"/>
      </w:tblPr>
      <w:tblGrid>
        <w:gridCol w:w="13950"/>
      </w:tblGrid>
      <w:tr w:rsidR="002547CF" w:rsidRPr="00377BBF" w14:paraId="6B8A19BA" w14:textId="77777777" w:rsidTr="00B64ACA">
        <w:tc>
          <w:tcPr>
            <w:tcW w:w="14176" w:type="dxa"/>
          </w:tcPr>
          <w:p w14:paraId="2642CB9D" w14:textId="77777777" w:rsidR="002547CF" w:rsidRPr="00377BBF" w:rsidRDefault="002547CF" w:rsidP="005E0C05">
            <w:pPr>
              <w:pStyle w:val="BodyText2"/>
              <w:rPr>
                <w:rFonts w:ascii="Times New Roman" w:hAnsi="Times New Roman"/>
                <w:b/>
              </w:rPr>
            </w:pPr>
            <w:r w:rsidRPr="00377BBF">
              <w:rPr>
                <w:rFonts w:ascii="Times New Roman" w:hAnsi="Times New Roman"/>
                <w:b/>
              </w:rPr>
              <w:t>Data sources</w:t>
            </w:r>
            <w:r w:rsidR="003C7CA3" w:rsidRPr="00377BBF">
              <w:rPr>
                <w:rFonts w:ascii="Times New Roman" w:hAnsi="Times New Roman"/>
                <w:b/>
              </w:rPr>
              <w:t>: (</w:t>
            </w:r>
            <w:r w:rsidRPr="00377BBF">
              <w:rPr>
                <w:rFonts w:ascii="Times New Roman" w:hAnsi="Times New Roman"/>
                <w:b/>
              </w:rPr>
              <w:t xml:space="preserve">please indicate the main sources from which data were obtained for this report.) </w:t>
            </w:r>
          </w:p>
        </w:tc>
      </w:tr>
      <w:tr w:rsidR="00B64ACA" w:rsidRPr="00377BBF" w14:paraId="7646CCC4" w14:textId="77777777" w:rsidTr="00B64ACA">
        <w:tc>
          <w:tcPr>
            <w:tcW w:w="14176" w:type="dxa"/>
          </w:tcPr>
          <w:p w14:paraId="2C09F0A7" w14:textId="77777777" w:rsidR="00B64ACA" w:rsidRPr="003C7CA3" w:rsidRDefault="00B64ACA" w:rsidP="002315A5">
            <w:pPr>
              <w:pStyle w:val="BodyText2"/>
              <w:rPr>
                <w:rFonts w:ascii="Times New Roman" w:hAnsi="Times New Roman"/>
                <w:b/>
                <w:i/>
              </w:rPr>
            </w:pPr>
          </w:p>
          <w:p w14:paraId="146208B8" w14:textId="77777777" w:rsidR="00403E66" w:rsidRPr="003C7CA3" w:rsidRDefault="00403E66" w:rsidP="00D9584C">
            <w:pPr>
              <w:pStyle w:val="BodyText2"/>
              <w:numPr>
                <w:ilvl w:val="0"/>
                <w:numId w:val="33"/>
              </w:numPr>
              <w:rPr>
                <w:rFonts w:ascii="Times New Roman" w:hAnsi="Times New Roman"/>
                <w:i/>
              </w:rPr>
            </w:pPr>
            <w:r w:rsidRPr="003C7CA3">
              <w:rPr>
                <w:rFonts w:ascii="Times New Roman" w:hAnsi="Times New Roman"/>
                <w:i/>
              </w:rPr>
              <w:lastRenderedPageBreak/>
              <w:t>Nepal Living Standard Survey Reports</w:t>
            </w:r>
          </w:p>
          <w:p w14:paraId="0FF52A5A" w14:textId="77777777" w:rsidR="00403E66" w:rsidRPr="003C7CA3" w:rsidRDefault="00403E66" w:rsidP="00D9584C">
            <w:pPr>
              <w:pStyle w:val="BodyText2"/>
              <w:numPr>
                <w:ilvl w:val="0"/>
                <w:numId w:val="33"/>
              </w:numPr>
              <w:rPr>
                <w:rFonts w:ascii="Times New Roman" w:hAnsi="Times New Roman"/>
                <w:i/>
              </w:rPr>
            </w:pPr>
            <w:r w:rsidRPr="003C7CA3">
              <w:rPr>
                <w:rFonts w:ascii="Times New Roman" w:hAnsi="Times New Roman"/>
                <w:i/>
              </w:rPr>
              <w:t>Nepal Human Development Reports</w:t>
            </w:r>
          </w:p>
          <w:p w14:paraId="4B667851" w14:textId="77777777" w:rsidR="00403E66" w:rsidRPr="003C7CA3" w:rsidRDefault="00403E66" w:rsidP="00D9584C">
            <w:pPr>
              <w:pStyle w:val="BodyText2"/>
              <w:numPr>
                <w:ilvl w:val="0"/>
                <w:numId w:val="33"/>
              </w:numPr>
              <w:rPr>
                <w:rFonts w:ascii="Times New Roman" w:hAnsi="Times New Roman"/>
                <w:i/>
              </w:rPr>
            </w:pPr>
            <w:r w:rsidRPr="003C7CA3">
              <w:rPr>
                <w:rFonts w:ascii="Times New Roman" w:hAnsi="Times New Roman"/>
                <w:i/>
              </w:rPr>
              <w:t>MDG and SDG Progress Reports</w:t>
            </w:r>
          </w:p>
          <w:p w14:paraId="3522890D" w14:textId="77777777" w:rsidR="00403E66" w:rsidRPr="003C7CA3" w:rsidRDefault="00403E66" w:rsidP="00D9584C">
            <w:pPr>
              <w:pStyle w:val="BodyText2"/>
              <w:numPr>
                <w:ilvl w:val="0"/>
                <w:numId w:val="33"/>
              </w:numPr>
              <w:rPr>
                <w:rFonts w:ascii="Times New Roman" w:hAnsi="Times New Roman"/>
                <w:i/>
              </w:rPr>
            </w:pPr>
            <w:r w:rsidRPr="003C7CA3">
              <w:rPr>
                <w:rFonts w:ascii="Times New Roman" w:hAnsi="Times New Roman"/>
                <w:i/>
              </w:rPr>
              <w:t>National Planning Commission Reports</w:t>
            </w:r>
          </w:p>
          <w:p w14:paraId="08F09875" w14:textId="77777777" w:rsidR="003C7CA3" w:rsidRPr="003C7CA3" w:rsidRDefault="003C7CA3" w:rsidP="003C7CA3">
            <w:pPr>
              <w:pStyle w:val="BodyText2"/>
              <w:numPr>
                <w:ilvl w:val="0"/>
                <w:numId w:val="33"/>
              </w:numPr>
              <w:rPr>
                <w:rFonts w:ascii="Times New Roman" w:hAnsi="Times New Roman"/>
                <w:i/>
              </w:rPr>
            </w:pPr>
            <w:r w:rsidRPr="003C7CA3">
              <w:rPr>
                <w:rFonts w:ascii="Times New Roman" w:hAnsi="Times New Roman"/>
                <w:i/>
              </w:rPr>
              <w:t>Annual Report of Supreme Court, Ministry of Industry, Ministry of Science and technology</w:t>
            </w:r>
          </w:p>
          <w:p w14:paraId="11158717" w14:textId="77777777" w:rsidR="00403E66" w:rsidRPr="003C7CA3" w:rsidRDefault="003C7CA3" w:rsidP="003C7CA3">
            <w:pPr>
              <w:pStyle w:val="BodyText2"/>
              <w:numPr>
                <w:ilvl w:val="0"/>
                <w:numId w:val="33"/>
              </w:numPr>
              <w:rPr>
                <w:rFonts w:ascii="Times New Roman" w:hAnsi="Times New Roman"/>
                <w:i/>
              </w:rPr>
            </w:pPr>
            <w:r w:rsidRPr="003C7CA3">
              <w:rPr>
                <w:rFonts w:ascii="Times New Roman" w:hAnsi="Times New Roman"/>
                <w:i/>
              </w:rPr>
              <w:t xml:space="preserve">Annual Report of the National Human Rights Commission, Annual Report of the Government Task Force on UPR monitoring </w:t>
            </w:r>
          </w:p>
          <w:p w14:paraId="01EC34E2" w14:textId="77777777" w:rsidR="003C7CA3" w:rsidRPr="003C7CA3" w:rsidRDefault="003C7CA3" w:rsidP="003C7CA3">
            <w:pPr>
              <w:pStyle w:val="BodyText2"/>
              <w:numPr>
                <w:ilvl w:val="0"/>
                <w:numId w:val="33"/>
              </w:numPr>
              <w:rPr>
                <w:rFonts w:ascii="Times New Roman" w:hAnsi="Times New Roman"/>
                <w:i/>
              </w:rPr>
            </w:pPr>
            <w:r w:rsidRPr="003C7CA3">
              <w:rPr>
                <w:rFonts w:ascii="Times New Roman" w:hAnsi="Times New Roman"/>
                <w:i/>
              </w:rPr>
              <w:t>Nepal Gazette, Report of the Ministry of Law and Justice, Constituent Assembly and Parliamentary Affairs</w:t>
            </w:r>
          </w:p>
          <w:p w14:paraId="5DB56611" w14:textId="77777777" w:rsidR="003C7CA3" w:rsidRPr="003C7CA3" w:rsidRDefault="003C7CA3" w:rsidP="003C7CA3">
            <w:pPr>
              <w:pStyle w:val="BodyText2"/>
              <w:numPr>
                <w:ilvl w:val="0"/>
                <w:numId w:val="33"/>
              </w:numPr>
              <w:rPr>
                <w:rFonts w:ascii="Times New Roman" w:hAnsi="Times New Roman"/>
                <w:i/>
              </w:rPr>
            </w:pPr>
            <w:r w:rsidRPr="003C7CA3">
              <w:rPr>
                <w:rFonts w:ascii="Times New Roman" w:hAnsi="Times New Roman"/>
                <w:i/>
              </w:rPr>
              <w:t>Report of Nepal Bar Association</w:t>
            </w:r>
          </w:p>
          <w:p w14:paraId="13197B37" w14:textId="77777777" w:rsidR="00403E66" w:rsidRPr="003C7CA3" w:rsidRDefault="00403E66" w:rsidP="003C7CA3">
            <w:pPr>
              <w:pStyle w:val="BodyText2"/>
              <w:numPr>
                <w:ilvl w:val="0"/>
                <w:numId w:val="33"/>
              </w:numPr>
              <w:rPr>
                <w:rFonts w:ascii="Times New Roman" w:hAnsi="Times New Roman"/>
                <w:i/>
              </w:rPr>
            </w:pPr>
            <w:r w:rsidRPr="003C7CA3">
              <w:rPr>
                <w:rFonts w:ascii="Times New Roman" w:hAnsi="Times New Roman"/>
                <w:i/>
              </w:rPr>
              <w:t xml:space="preserve">Perception Survey (UNDP/UNW) </w:t>
            </w:r>
            <w:r w:rsidR="003C7CA3" w:rsidRPr="003C7CA3">
              <w:rPr>
                <w:rFonts w:ascii="Times New Roman" w:hAnsi="Times New Roman"/>
                <w:i/>
              </w:rPr>
              <w:t>reports,</w:t>
            </w:r>
            <w:r w:rsidRPr="003C7CA3">
              <w:rPr>
                <w:rFonts w:ascii="Times New Roman" w:hAnsi="Times New Roman"/>
                <w:i/>
              </w:rPr>
              <w:t xml:space="preserve"> 2014</w:t>
            </w:r>
          </w:p>
          <w:p w14:paraId="539899B6" w14:textId="77777777" w:rsidR="003C7CA3" w:rsidRPr="003C7CA3" w:rsidRDefault="003C7CA3" w:rsidP="003C7CA3">
            <w:pPr>
              <w:pStyle w:val="BodyText2"/>
              <w:numPr>
                <w:ilvl w:val="0"/>
                <w:numId w:val="33"/>
              </w:numPr>
              <w:rPr>
                <w:rFonts w:ascii="Times New Roman" w:hAnsi="Times New Roman"/>
                <w:i/>
              </w:rPr>
            </w:pPr>
            <w:r w:rsidRPr="003C7CA3">
              <w:rPr>
                <w:rFonts w:ascii="Times New Roman" w:hAnsi="Times New Roman"/>
                <w:i/>
              </w:rPr>
              <w:t xml:space="preserve">OHCHR review of </w:t>
            </w:r>
            <w:proofErr w:type="spellStart"/>
            <w:r w:rsidRPr="003C7CA3">
              <w:rPr>
                <w:rFonts w:ascii="Times New Roman" w:hAnsi="Times New Roman"/>
                <w:i/>
              </w:rPr>
              <w:t>GoN</w:t>
            </w:r>
            <w:proofErr w:type="spellEnd"/>
            <w:r w:rsidRPr="003C7CA3">
              <w:rPr>
                <w:rFonts w:ascii="Times New Roman" w:hAnsi="Times New Roman"/>
                <w:i/>
              </w:rPr>
              <w:t xml:space="preserve"> report to covenant on Economic, Social and Cultural Rights, Attorney General annual reports, shadow reports</w:t>
            </w:r>
          </w:p>
          <w:p w14:paraId="204DC5D1" w14:textId="77777777" w:rsidR="003C7CA3" w:rsidRPr="003C7CA3" w:rsidRDefault="003C7CA3" w:rsidP="003C7CA3">
            <w:pPr>
              <w:pStyle w:val="BodyText2"/>
              <w:numPr>
                <w:ilvl w:val="0"/>
                <w:numId w:val="33"/>
              </w:numPr>
              <w:rPr>
                <w:rFonts w:ascii="Times New Roman" w:hAnsi="Times New Roman"/>
                <w:i/>
              </w:rPr>
            </w:pPr>
            <w:r w:rsidRPr="003C7CA3">
              <w:rPr>
                <w:rFonts w:ascii="Times New Roman" w:hAnsi="Times New Roman"/>
                <w:i/>
              </w:rPr>
              <w:t>Report of the National Dalit Commission, Monitoring reports</w:t>
            </w:r>
          </w:p>
          <w:p w14:paraId="62AAAF93" w14:textId="77777777" w:rsidR="003C7CA3" w:rsidRPr="003C7CA3" w:rsidRDefault="003C7CA3" w:rsidP="003C7CA3">
            <w:pPr>
              <w:pStyle w:val="BodyText2"/>
              <w:numPr>
                <w:ilvl w:val="0"/>
                <w:numId w:val="33"/>
              </w:numPr>
              <w:rPr>
                <w:rFonts w:ascii="Times New Roman" w:hAnsi="Times New Roman"/>
                <w:i/>
              </w:rPr>
            </w:pPr>
            <w:r w:rsidRPr="003C7CA3">
              <w:rPr>
                <w:rFonts w:ascii="Times New Roman" w:hAnsi="Times New Roman"/>
                <w:i/>
              </w:rPr>
              <w:t>Election Commission Reports</w:t>
            </w:r>
          </w:p>
          <w:p w14:paraId="491E93A3" w14:textId="77777777" w:rsidR="003C7CA3" w:rsidRPr="003C7CA3" w:rsidRDefault="003C7CA3" w:rsidP="003C7CA3">
            <w:pPr>
              <w:pStyle w:val="BodyText2"/>
              <w:numPr>
                <w:ilvl w:val="0"/>
                <w:numId w:val="33"/>
              </w:numPr>
              <w:rPr>
                <w:rFonts w:ascii="Times New Roman" w:hAnsi="Times New Roman"/>
                <w:i/>
              </w:rPr>
            </w:pPr>
            <w:r w:rsidRPr="003C7CA3">
              <w:rPr>
                <w:rFonts w:ascii="Times New Roman" w:hAnsi="Times New Roman"/>
                <w:i/>
              </w:rPr>
              <w:t>Annual Minimum Conditions Performance Measures Assessments by Local Bodies Fiscal Commission (available on LGCDP website)</w:t>
            </w:r>
          </w:p>
          <w:p w14:paraId="3512AA02" w14:textId="77777777" w:rsidR="003C7CA3" w:rsidRPr="003C7CA3" w:rsidRDefault="003C7CA3" w:rsidP="003C7CA3">
            <w:pPr>
              <w:pStyle w:val="BodyText2"/>
              <w:numPr>
                <w:ilvl w:val="0"/>
                <w:numId w:val="33"/>
              </w:numPr>
              <w:rPr>
                <w:rFonts w:ascii="Times New Roman" w:hAnsi="Times New Roman"/>
                <w:i/>
              </w:rPr>
            </w:pPr>
            <w:r w:rsidRPr="003C7CA3">
              <w:rPr>
                <w:rFonts w:ascii="Times New Roman" w:hAnsi="Times New Roman"/>
                <w:i/>
              </w:rPr>
              <w:t>Assessments conducted by the 5 Regional Cluster Coordinating Units</w:t>
            </w:r>
          </w:p>
          <w:p w14:paraId="2810E7BE" w14:textId="77777777" w:rsidR="003C7CA3" w:rsidRPr="003C7CA3" w:rsidRDefault="003C7CA3" w:rsidP="003C7CA3">
            <w:pPr>
              <w:pStyle w:val="BodyText2"/>
              <w:numPr>
                <w:ilvl w:val="0"/>
                <w:numId w:val="33"/>
              </w:numPr>
              <w:rPr>
                <w:rFonts w:ascii="Times New Roman" w:hAnsi="Times New Roman"/>
                <w:i/>
              </w:rPr>
            </w:pPr>
            <w:r w:rsidRPr="003C7CA3">
              <w:rPr>
                <w:rFonts w:ascii="Times New Roman" w:hAnsi="Times New Roman"/>
                <w:i/>
              </w:rPr>
              <w:t>Project progress report and Flagship 4 monitoring document</w:t>
            </w:r>
          </w:p>
          <w:p w14:paraId="2B9735C6" w14:textId="77777777" w:rsidR="003C7CA3" w:rsidRPr="003C7CA3" w:rsidRDefault="003C7CA3" w:rsidP="00355C3F">
            <w:pPr>
              <w:pStyle w:val="BodyText2"/>
              <w:numPr>
                <w:ilvl w:val="0"/>
                <w:numId w:val="33"/>
              </w:numPr>
              <w:rPr>
                <w:rFonts w:ascii="Times New Roman" w:hAnsi="Times New Roman"/>
                <w:i/>
              </w:rPr>
            </w:pPr>
            <w:r w:rsidRPr="003C7CA3">
              <w:rPr>
                <w:rFonts w:ascii="Times New Roman" w:hAnsi="Times New Roman"/>
                <w:i/>
              </w:rPr>
              <w:t>Review of national policy documents and red book. Technical Report, agreed by NPC by May 2016</w:t>
            </w:r>
          </w:p>
          <w:p w14:paraId="62F6A6EC" w14:textId="77777777" w:rsidR="003C7CA3" w:rsidRPr="003C7CA3" w:rsidRDefault="003C7CA3" w:rsidP="003C7CA3">
            <w:pPr>
              <w:pStyle w:val="BodyText2"/>
              <w:numPr>
                <w:ilvl w:val="0"/>
                <w:numId w:val="33"/>
              </w:numPr>
              <w:rPr>
                <w:rFonts w:ascii="Times New Roman" w:hAnsi="Times New Roman"/>
                <w:i/>
              </w:rPr>
            </w:pPr>
            <w:r w:rsidRPr="003C7CA3">
              <w:rPr>
                <w:rFonts w:ascii="Times New Roman" w:hAnsi="Times New Roman"/>
                <w:i/>
              </w:rPr>
              <w:t>Ministries annual plans, district line agencies annual plan</w:t>
            </w:r>
          </w:p>
          <w:p w14:paraId="2B6E9C34" w14:textId="77777777" w:rsidR="003C7CA3" w:rsidRPr="003C7CA3" w:rsidRDefault="003C7CA3" w:rsidP="003C7CA3">
            <w:pPr>
              <w:pStyle w:val="BodyText2"/>
              <w:numPr>
                <w:ilvl w:val="0"/>
                <w:numId w:val="33"/>
              </w:numPr>
              <w:rPr>
                <w:rFonts w:ascii="Times New Roman" w:hAnsi="Times New Roman"/>
                <w:i/>
              </w:rPr>
            </w:pPr>
            <w:r w:rsidRPr="003C7CA3">
              <w:rPr>
                <w:rFonts w:ascii="Times New Roman" w:hAnsi="Times New Roman"/>
                <w:i/>
              </w:rPr>
              <w:t>District Disaster Relief Committee/DDC reports, flagship 4 monitoring document</w:t>
            </w:r>
          </w:p>
          <w:p w14:paraId="4D6B4304" w14:textId="77777777" w:rsidR="003C7CA3" w:rsidRPr="003C7CA3" w:rsidRDefault="003C7CA3" w:rsidP="003C7CA3">
            <w:pPr>
              <w:pStyle w:val="BodyText2"/>
              <w:numPr>
                <w:ilvl w:val="0"/>
                <w:numId w:val="33"/>
              </w:numPr>
              <w:rPr>
                <w:rFonts w:ascii="Times New Roman" w:hAnsi="Times New Roman"/>
                <w:i/>
              </w:rPr>
            </w:pPr>
            <w:r w:rsidRPr="003C7CA3">
              <w:rPr>
                <w:rFonts w:ascii="Times New Roman" w:hAnsi="Times New Roman"/>
                <w:i/>
              </w:rPr>
              <w:t>Transitional Justice mechanism reports</w:t>
            </w:r>
          </w:p>
          <w:p w14:paraId="26F6DF46" w14:textId="77777777" w:rsidR="003C7CA3" w:rsidRPr="003C7CA3" w:rsidRDefault="003C7CA3" w:rsidP="003C7CA3">
            <w:pPr>
              <w:pStyle w:val="BodyText2"/>
              <w:numPr>
                <w:ilvl w:val="0"/>
                <w:numId w:val="33"/>
              </w:numPr>
              <w:rPr>
                <w:rFonts w:ascii="Times New Roman" w:hAnsi="Times New Roman"/>
                <w:i/>
              </w:rPr>
            </w:pPr>
            <w:r w:rsidRPr="003C7CA3">
              <w:rPr>
                <w:rFonts w:ascii="Times New Roman" w:hAnsi="Times New Roman"/>
                <w:i/>
              </w:rPr>
              <w:t xml:space="preserve">Nepal Portfolio Performance Review annual reports, minutes of sectoral coordination meetings, </w:t>
            </w:r>
            <w:proofErr w:type="spellStart"/>
            <w:r w:rsidRPr="003C7CA3">
              <w:rPr>
                <w:rFonts w:ascii="Times New Roman" w:hAnsi="Times New Roman"/>
                <w:i/>
              </w:rPr>
              <w:t>MoF</w:t>
            </w:r>
            <w:proofErr w:type="spellEnd"/>
            <w:r w:rsidRPr="003C7CA3">
              <w:rPr>
                <w:rFonts w:ascii="Times New Roman" w:hAnsi="Times New Roman"/>
                <w:i/>
              </w:rPr>
              <w:t xml:space="preserve"> reports on aid</w:t>
            </w:r>
          </w:p>
          <w:p w14:paraId="67E04CB4" w14:textId="77777777" w:rsidR="003C7CA3" w:rsidRPr="003C7CA3" w:rsidRDefault="003C7CA3" w:rsidP="003C7CA3">
            <w:pPr>
              <w:pStyle w:val="BodyText2"/>
              <w:numPr>
                <w:ilvl w:val="0"/>
                <w:numId w:val="33"/>
              </w:numPr>
              <w:rPr>
                <w:rFonts w:ascii="Times New Roman" w:hAnsi="Times New Roman"/>
                <w:i/>
              </w:rPr>
            </w:pPr>
            <w:r w:rsidRPr="003C7CA3">
              <w:rPr>
                <w:rFonts w:ascii="Times New Roman" w:hAnsi="Times New Roman"/>
                <w:i/>
              </w:rPr>
              <w:t>Study report of DSCWM, DWIDP and Project completion report</w:t>
            </w:r>
          </w:p>
          <w:p w14:paraId="22EB9226" w14:textId="77777777" w:rsidR="003C7CA3" w:rsidRPr="003C7CA3" w:rsidRDefault="003C7CA3" w:rsidP="003C7CA3">
            <w:pPr>
              <w:pStyle w:val="BodyText2"/>
              <w:numPr>
                <w:ilvl w:val="0"/>
                <w:numId w:val="33"/>
              </w:numPr>
              <w:rPr>
                <w:rFonts w:ascii="Times New Roman" w:hAnsi="Times New Roman"/>
                <w:i/>
              </w:rPr>
            </w:pPr>
            <w:r w:rsidRPr="003C7CA3">
              <w:rPr>
                <w:rFonts w:ascii="Times New Roman" w:hAnsi="Times New Roman"/>
                <w:i/>
              </w:rPr>
              <w:t xml:space="preserve">Government </w:t>
            </w:r>
            <w:proofErr w:type="spellStart"/>
            <w:r w:rsidRPr="003C7CA3">
              <w:rPr>
                <w:rFonts w:ascii="Times New Roman" w:hAnsi="Times New Roman"/>
                <w:i/>
              </w:rPr>
              <w:t>webistes</w:t>
            </w:r>
            <w:proofErr w:type="spellEnd"/>
          </w:p>
          <w:p w14:paraId="42527FD7" w14:textId="77777777" w:rsidR="003C7CA3" w:rsidRPr="003C7CA3" w:rsidRDefault="003C7CA3" w:rsidP="003C7CA3">
            <w:pPr>
              <w:pStyle w:val="BodyText2"/>
              <w:numPr>
                <w:ilvl w:val="0"/>
                <w:numId w:val="33"/>
              </w:numPr>
              <w:rPr>
                <w:rFonts w:ascii="Times New Roman" w:hAnsi="Times New Roman"/>
                <w:i/>
              </w:rPr>
            </w:pPr>
            <w:r w:rsidRPr="003C7CA3">
              <w:rPr>
                <w:rFonts w:ascii="Times New Roman" w:hAnsi="Times New Roman"/>
                <w:i/>
              </w:rPr>
              <w:t>Informal sector service center (INSEC) monthly reports</w:t>
            </w:r>
          </w:p>
          <w:p w14:paraId="71FF323F" w14:textId="77777777" w:rsidR="003C7CA3" w:rsidRPr="003C7CA3" w:rsidRDefault="003C7CA3" w:rsidP="003C7CA3">
            <w:pPr>
              <w:pStyle w:val="BodyText2"/>
              <w:numPr>
                <w:ilvl w:val="0"/>
                <w:numId w:val="33"/>
              </w:numPr>
              <w:rPr>
                <w:rFonts w:ascii="Times New Roman" w:hAnsi="Times New Roman"/>
                <w:i/>
              </w:rPr>
            </w:pPr>
            <w:r w:rsidRPr="003C7CA3">
              <w:rPr>
                <w:rFonts w:ascii="Times New Roman" w:hAnsi="Times New Roman"/>
                <w:i/>
              </w:rPr>
              <w:t>Annual report of the Office of the Attorney General</w:t>
            </w:r>
          </w:p>
          <w:p w14:paraId="66377E3D" w14:textId="77777777" w:rsidR="008D791F" w:rsidRPr="003C7CA3" w:rsidRDefault="00D9584C" w:rsidP="003C7CA3">
            <w:pPr>
              <w:pStyle w:val="BodyText2"/>
              <w:numPr>
                <w:ilvl w:val="0"/>
                <w:numId w:val="33"/>
              </w:numPr>
              <w:rPr>
                <w:rFonts w:ascii="Times New Roman" w:hAnsi="Times New Roman"/>
                <w:i/>
              </w:rPr>
            </w:pPr>
            <w:r w:rsidRPr="003C7CA3">
              <w:rPr>
                <w:rFonts w:ascii="Times New Roman" w:hAnsi="Times New Roman"/>
                <w:i/>
              </w:rPr>
              <w:t>Annual Progress Reports of projects (2013, 2014, 2015, 2016)</w:t>
            </w:r>
          </w:p>
          <w:p w14:paraId="79F2E4F7" w14:textId="77777777" w:rsidR="008D791F" w:rsidRPr="003C7CA3" w:rsidRDefault="00403E66" w:rsidP="003C7CA3">
            <w:pPr>
              <w:pStyle w:val="BodyText2"/>
              <w:numPr>
                <w:ilvl w:val="0"/>
                <w:numId w:val="33"/>
              </w:numPr>
              <w:rPr>
                <w:rFonts w:ascii="Times New Roman" w:hAnsi="Times New Roman"/>
                <w:b/>
                <w:i/>
              </w:rPr>
            </w:pPr>
            <w:r w:rsidRPr="003C7CA3">
              <w:rPr>
                <w:rFonts w:ascii="Times New Roman" w:hAnsi="Times New Roman"/>
                <w:i/>
              </w:rPr>
              <w:t>UNDP monitoring and evaluation reports</w:t>
            </w:r>
          </w:p>
        </w:tc>
      </w:tr>
    </w:tbl>
    <w:p w14:paraId="152A70EB" w14:textId="77777777" w:rsidR="00635929" w:rsidRPr="00377BBF" w:rsidRDefault="00635929" w:rsidP="005E0C05">
      <w:pPr>
        <w:pStyle w:val="BodyText2"/>
        <w:rPr>
          <w:rFonts w:ascii="Times New Roman" w:hAnsi="Times New Roman"/>
          <w:sz w:val="24"/>
        </w:rPr>
      </w:pPr>
    </w:p>
    <w:sectPr w:rsidR="00635929" w:rsidRPr="00377BBF"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E8A4F" w14:textId="77777777" w:rsidR="00780E60" w:rsidRDefault="00780E60">
      <w:r>
        <w:separator/>
      </w:r>
    </w:p>
  </w:endnote>
  <w:endnote w:type="continuationSeparator" w:id="0">
    <w:p w14:paraId="78D04A60" w14:textId="77777777" w:rsidR="00780E60" w:rsidRDefault="0078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14:paraId="7D2D3A3E" w14:textId="1C2C731A" w:rsidR="007A0024" w:rsidRDefault="007A0024">
        <w:pPr>
          <w:pStyle w:val="Footer"/>
          <w:jc w:val="center"/>
        </w:pPr>
        <w:r>
          <w:fldChar w:fldCharType="begin"/>
        </w:r>
        <w:r>
          <w:instrText xml:space="preserve"> PAGE   \* MERGEFORMAT </w:instrText>
        </w:r>
        <w:r>
          <w:fldChar w:fldCharType="separate"/>
        </w:r>
        <w:r w:rsidR="00844F59">
          <w:rPr>
            <w:noProof/>
          </w:rPr>
          <w:t>5</w:t>
        </w:r>
        <w:r>
          <w:rPr>
            <w:noProof/>
          </w:rPr>
          <w:fldChar w:fldCharType="end"/>
        </w:r>
      </w:p>
    </w:sdtContent>
  </w:sdt>
  <w:p w14:paraId="4B204845" w14:textId="77777777" w:rsidR="007A0024" w:rsidRDefault="007A0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E8ABB" w14:textId="77777777" w:rsidR="00780E60" w:rsidRDefault="00780E60">
      <w:r>
        <w:separator/>
      </w:r>
    </w:p>
  </w:footnote>
  <w:footnote w:type="continuationSeparator" w:id="0">
    <w:p w14:paraId="32A70B49" w14:textId="77777777" w:rsidR="00780E60" w:rsidRDefault="00780E60">
      <w:r>
        <w:continuationSeparator/>
      </w:r>
    </w:p>
  </w:footnote>
  <w:footnote w:id="1">
    <w:p w14:paraId="14F3972C" w14:textId="77777777" w:rsidR="007A0024" w:rsidRPr="0043380E" w:rsidRDefault="007A0024">
      <w:pPr>
        <w:pStyle w:val="FootnoteText"/>
      </w:pPr>
      <w:r w:rsidRPr="0043380E">
        <w:rPr>
          <w:rStyle w:val="FootnoteReference"/>
          <w:sz w:val="16"/>
        </w:rPr>
        <w:footnoteRef/>
      </w:r>
      <w:r w:rsidRPr="0043380E">
        <w:rPr>
          <w:sz w:val="16"/>
        </w:rPr>
        <w:t xml:space="preserve"> This assessment of results is to be prepared only in the absence of a completed Assessment of Development Results (ADR) for the cycle.</w:t>
      </w:r>
    </w:p>
  </w:footnote>
  <w:footnote w:id="2">
    <w:p w14:paraId="71E29EB0" w14:textId="77777777" w:rsidR="003F336E" w:rsidRDefault="003F336E" w:rsidP="003F336E">
      <w:pPr>
        <w:pStyle w:val="FootnoteText"/>
      </w:pPr>
      <w:r>
        <w:rPr>
          <w:rStyle w:val="FootnoteReference"/>
        </w:rPr>
        <w:footnoteRef/>
      </w:r>
      <w:r>
        <w:t xml:space="preserve"> 2015 figures based on latest estimates</w:t>
      </w:r>
    </w:p>
  </w:footnote>
  <w:footnote w:id="3">
    <w:p w14:paraId="1DEEAC38" w14:textId="77777777" w:rsidR="003F336E" w:rsidRDefault="003F336E" w:rsidP="003F336E">
      <w:pPr>
        <w:pStyle w:val="FootnoteText"/>
        <w:rPr>
          <w:color w:val="000000" w:themeColor="text1"/>
          <w:sz w:val="16"/>
          <w:szCs w:val="16"/>
          <w:highlight w:val="yellow"/>
          <w:lang w:val="en-IN"/>
        </w:rPr>
      </w:pPr>
      <w:r>
        <w:rPr>
          <w:rStyle w:val="FootnoteReference"/>
          <w:color w:val="000000" w:themeColor="text1"/>
          <w:sz w:val="16"/>
          <w:szCs w:val="16"/>
        </w:rPr>
        <w:footnoteRef/>
      </w:r>
      <w:r>
        <w:rPr>
          <w:color w:val="000000" w:themeColor="text1"/>
          <w:sz w:val="16"/>
          <w:szCs w:val="16"/>
        </w:rPr>
        <w:t xml:space="preserve"> </w:t>
      </w:r>
      <w:hyperlink r:id="rId1" w:history="1">
        <w:r>
          <w:rPr>
            <w:rStyle w:val="Hyperlink"/>
            <w:color w:val="000000" w:themeColor="text1"/>
            <w:sz w:val="16"/>
            <w:szCs w:val="16"/>
          </w:rPr>
          <w:t>https://erc.undp.org/evaluation/evaluations/detail/7917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2BAC"/>
    <w:multiLevelType w:val="hybridMultilevel"/>
    <w:tmpl w:val="63E6F8BA"/>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66CB2"/>
    <w:multiLevelType w:val="hybridMultilevel"/>
    <w:tmpl w:val="6FFE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C788E"/>
    <w:multiLevelType w:val="multilevel"/>
    <w:tmpl w:val="1F8A54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CC72BA"/>
    <w:multiLevelType w:val="hybridMultilevel"/>
    <w:tmpl w:val="1FD2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300EE"/>
    <w:multiLevelType w:val="hybridMultilevel"/>
    <w:tmpl w:val="DA50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37925"/>
    <w:multiLevelType w:val="multilevel"/>
    <w:tmpl w:val="1F8A542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067BA8"/>
    <w:multiLevelType w:val="multilevel"/>
    <w:tmpl w:val="1F8A54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F70343"/>
    <w:multiLevelType w:val="hybridMultilevel"/>
    <w:tmpl w:val="8688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1B3"/>
    <w:multiLevelType w:val="hybridMultilevel"/>
    <w:tmpl w:val="B6D21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7A2E02"/>
    <w:multiLevelType w:val="hybridMultilevel"/>
    <w:tmpl w:val="5CEC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D7776"/>
    <w:multiLevelType w:val="multilevel"/>
    <w:tmpl w:val="1F8A5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F37FD2"/>
    <w:multiLevelType w:val="multilevel"/>
    <w:tmpl w:val="1F8A54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794405"/>
    <w:multiLevelType w:val="hybridMultilevel"/>
    <w:tmpl w:val="0EC02E1E"/>
    <w:lvl w:ilvl="0" w:tplc="04090001">
      <w:start w:val="1"/>
      <w:numFmt w:val="bullet"/>
      <w:lvlText w:val=""/>
      <w:lvlJc w:val="left"/>
      <w:pPr>
        <w:ind w:left="1080" w:hanging="360"/>
      </w:pPr>
      <w:rPr>
        <w:rFonts w:ascii="Symbol" w:hAnsi="Symbol" w:hint="default"/>
      </w:rPr>
    </w:lvl>
    <w:lvl w:ilvl="1" w:tplc="9D66DAD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A172D5"/>
    <w:multiLevelType w:val="hybridMultilevel"/>
    <w:tmpl w:val="6772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0145C"/>
    <w:multiLevelType w:val="hybridMultilevel"/>
    <w:tmpl w:val="7128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418BA"/>
    <w:multiLevelType w:val="multilevel"/>
    <w:tmpl w:val="1F8A54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27A40F1"/>
    <w:multiLevelType w:val="hybridMultilevel"/>
    <w:tmpl w:val="21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D420C"/>
    <w:multiLevelType w:val="hybridMultilevel"/>
    <w:tmpl w:val="FE6A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C48BD"/>
    <w:multiLevelType w:val="multilevel"/>
    <w:tmpl w:val="1F8A54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31F2CB0"/>
    <w:multiLevelType w:val="hybridMultilevel"/>
    <w:tmpl w:val="D3D090B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4D2EEA"/>
    <w:multiLevelType w:val="hybridMultilevel"/>
    <w:tmpl w:val="F8243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DC67F3"/>
    <w:multiLevelType w:val="hybridMultilevel"/>
    <w:tmpl w:val="720C9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790DF8"/>
    <w:multiLevelType w:val="hybridMultilevel"/>
    <w:tmpl w:val="702A58FE"/>
    <w:lvl w:ilvl="0" w:tplc="0409000F">
      <w:start w:val="1"/>
      <w:numFmt w:val="decimal"/>
      <w:lvlText w:val="%1."/>
      <w:lvlJc w:val="left"/>
      <w:pPr>
        <w:ind w:left="360" w:hanging="360"/>
      </w:pPr>
    </w:lvl>
    <w:lvl w:ilvl="1" w:tplc="C032EEB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62548B"/>
    <w:multiLevelType w:val="multilevel"/>
    <w:tmpl w:val="1F8A54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387FF6"/>
    <w:multiLevelType w:val="hybridMultilevel"/>
    <w:tmpl w:val="9D601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F30AA7"/>
    <w:multiLevelType w:val="hybridMultilevel"/>
    <w:tmpl w:val="C69CEFDE"/>
    <w:lvl w:ilvl="0" w:tplc="0409000F">
      <w:start w:val="1"/>
      <w:numFmt w:val="decimal"/>
      <w:lvlText w:val="%1."/>
      <w:lvlJc w:val="left"/>
      <w:pPr>
        <w:ind w:left="360" w:hanging="360"/>
      </w:pPr>
    </w:lvl>
    <w:lvl w:ilvl="1" w:tplc="C032EEB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7B0AB1"/>
    <w:multiLevelType w:val="hybridMultilevel"/>
    <w:tmpl w:val="6A524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C730F"/>
    <w:multiLevelType w:val="multilevel"/>
    <w:tmpl w:val="1F8A542A"/>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F76D31"/>
    <w:multiLevelType w:val="hybridMultilevel"/>
    <w:tmpl w:val="8DB8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90947"/>
    <w:multiLevelType w:val="hybridMultilevel"/>
    <w:tmpl w:val="43DA6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334DB3"/>
    <w:multiLevelType w:val="multilevel"/>
    <w:tmpl w:val="1F8A54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4D427AD"/>
    <w:multiLevelType w:val="hybridMultilevel"/>
    <w:tmpl w:val="ABB82A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5" w15:restartNumberingAfterBreak="0">
    <w:nsid w:val="7827558C"/>
    <w:multiLevelType w:val="hybridMultilevel"/>
    <w:tmpl w:val="EC2CF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2C4D78"/>
    <w:multiLevelType w:val="hybridMultilevel"/>
    <w:tmpl w:val="85B2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4"/>
  </w:num>
  <w:num w:numId="4">
    <w:abstractNumId w:val="27"/>
  </w:num>
  <w:num w:numId="5">
    <w:abstractNumId w:val="24"/>
  </w:num>
  <w:num w:numId="6">
    <w:abstractNumId w:val="28"/>
  </w:num>
  <w:num w:numId="7">
    <w:abstractNumId w:val="21"/>
  </w:num>
  <w:num w:numId="8">
    <w:abstractNumId w:val="0"/>
  </w:num>
  <w:num w:numId="9">
    <w:abstractNumId w:val="4"/>
  </w:num>
  <w:num w:numId="10">
    <w:abstractNumId w:val="18"/>
  </w:num>
  <w:num w:numId="11">
    <w:abstractNumId w:val="35"/>
  </w:num>
  <w:num w:numId="12">
    <w:abstractNumId w:val="8"/>
  </w:num>
  <w:num w:numId="13">
    <w:abstractNumId w:val="9"/>
  </w:num>
  <w:num w:numId="14">
    <w:abstractNumId w:val="3"/>
  </w:num>
  <w:num w:numId="15">
    <w:abstractNumId w:val="23"/>
  </w:num>
  <w:num w:numId="16">
    <w:abstractNumId w:val="22"/>
  </w:num>
  <w:num w:numId="17">
    <w:abstractNumId w:val="7"/>
  </w:num>
  <w:num w:numId="18">
    <w:abstractNumId w:val="32"/>
  </w:num>
  <w:num w:numId="19">
    <w:abstractNumId w:val="29"/>
  </w:num>
  <w:num w:numId="20">
    <w:abstractNumId w:val="15"/>
  </w:num>
  <w:num w:numId="21">
    <w:abstractNumId w:val="1"/>
  </w:num>
  <w:num w:numId="22">
    <w:abstractNumId w:val="33"/>
  </w:num>
  <w:num w:numId="23">
    <w:abstractNumId w:val="26"/>
  </w:num>
  <w:num w:numId="24">
    <w:abstractNumId w:val="11"/>
  </w:num>
  <w:num w:numId="25">
    <w:abstractNumId w:val="10"/>
  </w:num>
  <w:num w:numId="26">
    <w:abstractNumId w:val="5"/>
  </w:num>
  <w:num w:numId="27">
    <w:abstractNumId w:val="17"/>
  </w:num>
  <w:num w:numId="28">
    <w:abstractNumId w:val="6"/>
  </w:num>
  <w:num w:numId="29">
    <w:abstractNumId w:val="2"/>
  </w:num>
  <w:num w:numId="30">
    <w:abstractNumId w:val="30"/>
  </w:num>
  <w:num w:numId="31">
    <w:abstractNumId w:val="20"/>
  </w:num>
  <w:num w:numId="32">
    <w:abstractNumId w:val="13"/>
  </w:num>
  <w:num w:numId="33">
    <w:abstractNumId w:val="16"/>
  </w:num>
  <w:num w:numId="34">
    <w:abstractNumId w:val="36"/>
  </w:num>
  <w:num w:numId="35">
    <w:abstractNumId w:val="31"/>
  </w:num>
  <w:num w:numId="36">
    <w:abstractNumId w:val="19"/>
  </w:num>
  <w:num w:numId="37">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09F9"/>
    <w:rsid w:val="00011A63"/>
    <w:rsid w:val="00013CCA"/>
    <w:rsid w:val="000363C6"/>
    <w:rsid w:val="00040DD0"/>
    <w:rsid w:val="000502AD"/>
    <w:rsid w:val="00051C00"/>
    <w:rsid w:val="00060C33"/>
    <w:rsid w:val="00061FB3"/>
    <w:rsid w:val="000711E8"/>
    <w:rsid w:val="000823AC"/>
    <w:rsid w:val="000A049E"/>
    <w:rsid w:val="000A1326"/>
    <w:rsid w:val="000C09B4"/>
    <w:rsid w:val="000C4457"/>
    <w:rsid w:val="000D6DE5"/>
    <w:rsid w:val="000F77FD"/>
    <w:rsid w:val="00124D6E"/>
    <w:rsid w:val="001279C5"/>
    <w:rsid w:val="00127B2D"/>
    <w:rsid w:val="00131CD8"/>
    <w:rsid w:val="00132966"/>
    <w:rsid w:val="00135883"/>
    <w:rsid w:val="00136189"/>
    <w:rsid w:val="00137F5C"/>
    <w:rsid w:val="001520DD"/>
    <w:rsid w:val="0015409F"/>
    <w:rsid w:val="00157815"/>
    <w:rsid w:val="001663A4"/>
    <w:rsid w:val="00167DA9"/>
    <w:rsid w:val="001752E8"/>
    <w:rsid w:val="00176076"/>
    <w:rsid w:val="001956C7"/>
    <w:rsid w:val="001A1F96"/>
    <w:rsid w:val="001A3293"/>
    <w:rsid w:val="001A4D75"/>
    <w:rsid w:val="001A5E98"/>
    <w:rsid w:val="001B721D"/>
    <w:rsid w:val="001D606D"/>
    <w:rsid w:val="001F3524"/>
    <w:rsid w:val="001F4DC3"/>
    <w:rsid w:val="001F4E38"/>
    <w:rsid w:val="001F5D3D"/>
    <w:rsid w:val="001F7669"/>
    <w:rsid w:val="00230A0E"/>
    <w:rsid w:val="002315A5"/>
    <w:rsid w:val="00232597"/>
    <w:rsid w:val="002339E4"/>
    <w:rsid w:val="002547CF"/>
    <w:rsid w:val="00262BF9"/>
    <w:rsid w:val="0026321D"/>
    <w:rsid w:val="002920BB"/>
    <w:rsid w:val="002923D9"/>
    <w:rsid w:val="002C4B80"/>
    <w:rsid w:val="002F7E65"/>
    <w:rsid w:val="00310D40"/>
    <w:rsid w:val="00315155"/>
    <w:rsid w:val="0032175A"/>
    <w:rsid w:val="00322DEA"/>
    <w:rsid w:val="00346615"/>
    <w:rsid w:val="00347E38"/>
    <w:rsid w:val="00354CB5"/>
    <w:rsid w:val="00357B0E"/>
    <w:rsid w:val="00363EC5"/>
    <w:rsid w:val="00366AD1"/>
    <w:rsid w:val="003705C3"/>
    <w:rsid w:val="00374F07"/>
    <w:rsid w:val="0037523B"/>
    <w:rsid w:val="00377003"/>
    <w:rsid w:val="00377BBF"/>
    <w:rsid w:val="003B037A"/>
    <w:rsid w:val="003B41EA"/>
    <w:rsid w:val="003B422F"/>
    <w:rsid w:val="003B47E9"/>
    <w:rsid w:val="003B79E9"/>
    <w:rsid w:val="003C1042"/>
    <w:rsid w:val="003C581B"/>
    <w:rsid w:val="003C7CA3"/>
    <w:rsid w:val="003D653B"/>
    <w:rsid w:val="003F336E"/>
    <w:rsid w:val="003F4607"/>
    <w:rsid w:val="003F7E72"/>
    <w:rsid w:val="004004FC"/>
    <w:rsid w:val="00403E66"/>
    <w:rsid w:val="00417008"/>
    <w:rsid w:val="00424E4F"/>
    <w:rsid w:val="0043380E"/>
    <w:rsid w:val="00461D62"/>
    <w:rsid w:val="004735AA"/>
    <w:rsid w:val="00494172"/>
    <w:rsid w:val="004B3911"/>
    <w:rsid w:val="004C595C"/>
    <w:rsid w:val="004C76DE"/>
    <w:rsid w:val="004D3DBE"/>
    <w:rsid w:val="004D4E64"/>
    <w:rsid w:val="004E70CD"/>
    <w:rsid w:val="004E7B40"/>
    <w:rsid w:val="00512C2A"/>
    <w:rsid w:val="00516AC8"/>
    <w:rsid w:val="00517955"/>
    <w:rsid w:val="00530FDE"/>
    <w:rsid w:val="00545061"/>
    <w:rsid w:val="005474ED"/>
    <w:rsid w:val="005644DA"/>
    <w:rsid w:val="00566700"/>
    <w:rsid w:val="0057521F"/>
    <w:rsid w:val="00581D35"/>
    <w:rsid w:val="00597C7B"/>
    <w:rsid w:val="005A7B65"/>
    <w:rsid w:val="005B04CF"/>
    <w:rsid w:val="005C6168"/>
    <w:rsid w:val="005D4789"/>
    <w:rsid w:val="005E0C05"/>
    <w:rsid w:val="005F2E08"/>
    <w:rsid w:val="005F6261"/>
    <w:rsid w:val="00604297"/>
    <w:rsid w:val="00605D03"/>
    <w:rsid w:val="00612159"/>
    <w:rsid w:val="00635929"/>
    <w:rsid w:val="0064746F"/>
    <w:rsid w:val="006542B7"/>
    <w:rsid w:val="0067312E"/>
    <w:rsid w:val="00673710"/>
    <w:rsid w:val="00674B1A"/>
    <w:rsid w:val="00687661"/>
    <w:rsid w:val="006900FE"/>
    <w:rsid w:val="006B497B"/>
    <w:rsid w:val="006D1040"/>
    <w:rsid w:val="00700521"/>
    <w:rsid w:val="00737A6E"/>
    <w:rsid w:val="00753DA5"/>
    <w:rsid w:val="00760E32"/>
    <w:rsid w:val="00764E41"/>
    <w:rsid w:val="00766182"/>
    <w:rsid w:val="00771515"/>
    <w:rsid w:val="00776056"/>
    <w:rsid w:val="00780E60"/>
    <w:rsid w:val="00790C12"/>
    <w:rsid w:val="00794D79"/>
    <w:rsid w:val="007A0024"/>
    <w:rsid w:val="007A1198"/>
    <w:rsid w:val="007C1B15"/>
    <w:rsid w:val="007C3651"/>
    <w:rsid w:val="007C686E"/>
    <w:rsid w:val="007E1663"/>
    <w:rsid w:val="008018C5"/>
    <w:rsid w:val="008025DC"/>
    <w:rsid w:val="00813F1E"/>
    <w:rsid w:val="0081403B"/>
    <w:rsid w:val="00825102"/>
    <w:rsid w:val="00837C4B"/>
    <w:rsid w:val="00842737"/>
    <w:rsid w:val="00843006"/>
    <w:rsid w:val="008440D9"/>
    <w:rsid w:val="00844F59"/>
    <w:rsid w:val="00845340"/>
    <w:rsid w:val="00847C0E"/>
    <w:rsid w:val="00856205"/>
    <w:rsid w:val="0085696C"/>
    <w:rsid w:val="00867AAC"/>
    <w:rsid w:val="00882ECA"/>
    <w:rsid w:val="008841AA"/>
    <w:rsid w:val="008B06DD"/>
    <w:rsid w:val="008B6156"/>
    <w:rsid w:val="008C4D60"/>
    <w:rsid w:val="008D4556"/>
    <w:rsid w:val="008D6BF4"/>
    <w:rsid w:val="008D791F"/>
    <w:rsid w:val="008F0A97"/>
    <w:rsid w:val="008F2671"/>
    <w:rsid w:val="00920DBC"/>
    <w:rsid w:val="009353D7"/>
    <w:rsid w:val="00940A59"/>
    <w:rsid w:val="00942B3B"/>
    <w:rsid w:val="0097197E"/>
    <w:rsid w:val="00973248"/>
    <w:rsid w:val="00973991"/>
    <w:rsid w:val="00975566"/>
    <w:rsid w:val="00990CED"/>
    <w:rsid w:val="009B1B49"/>
    <w:rsid w:val="009B673B"/>
    <w:rsid w:val="009B76A1"/>
    <w:rsid w:val="009D719C"/>
    <w:rsid w:val="009E7526"/>
    <w:rsid w:val="009F21FD"/>
    <w:rsid w:val="00A0001A"/>
    <w:rsid w:val="00A1786A"/>
    <w:rsid w:val="00A210CD"/>
    <w:rsid w:val="00A229C1"/>
    <w:rsid w:val="00A30EBB"/>
    <w:rsid w:val="00A40130"/>
    <w:rsid w:val="00A44F24"/>
    <w:rsid w:val="00A45528"/>
    <w:rsid w:val="00A57912"/>
    <w:rsid w:val="00A74149"/>
    <w:rsid w:val="00A85E34"/>
    <w:rsid w:val="00A86223"/>
    <w:rsid w:val="00A963BE"/>
    <w:rsid w:val="00A96AAC"/>
    <w:rsid w:val="00A96E72"/>
    <w:rsid w:val="00AC20CB"/>
    <w:rsid w:val="00AF05E5"/>
    <w:rsid w:val="00AF0B72"/>
    <w:rsid w:val="00AF3701"/>
    <w:rsid w:val="00AF65BA"/>
    <w:rsid w:val="00B00E5C"/>
    <w:rsid w:val="00B02CA9"/>
    <w:rsid w:val="00B04A47"/>
    <w:rsid w:val="00B053BE"/>
    <w:rsid w:val="00B055F0"/>
    <w:rsid w:val="00B14752"/>
    <w:rsid w:val="00B2050D"/>
    <w:rsid w:val="00B240C0"/>
    <w:rsid w:val="00B25A54"/>
    <w:rsid w:val="00B25B8C"/>
    <w:rsid w:val="00B32ADA"/>
    <w:rsid w:val="00B4694E"/>
    <w:rsid w:val="00B47FC0"/>
    <w:rsid w:val="00B55467"/>
    <w:rsid w:val="00B5747D"/>
    <w:rsid w:val="00B64ACA"/>
    <w:rsid w:val="00B64B00"/>
    <w:rsid w:val="00BB198D"/>
    <w:rsid w:val="00BB37B9"/>
    <w:rsid w:val="00BB3D11"/>
    <w:rsid w:val="00BB5B3E"/>
    <w:rsid w:val="00BC1731"/>
    <w:rsid w:val="00BC38E0"/>
    <w:rsid w:val="00BC5BC5"/>
    <w:rsid w:val="00BD3A8A"/>
    <w:rsid w:val="00BE2925"/>
    <w:rsid w:val="00BE448B"/>
    <w:rsid w:val="00C047E9"/>
    <w:rsid w:val="00C11ABF"/>
    <w:rsid w:val="00C26D76"/>
    <w:rsid w:val="00C5578F"/>
    <w:rsid w:val="00C55945"/>
    <w:rsid w:val="00C66DE1"/>
    <w:rsid w:val="00C67662"/>
    <w:rsid w:val="00C8688D"/>
    <w:rsid w:val="00C97E31"/>
    <w:rsid w:val="00CB647D"/>
    <w:rsid w:val="00CD2BE7"/>
    <w:rsid w:val="00CD6FFD"/>
    <w:rsid w:val="00D0552F"/>
    <w:rsid w:val="00D16304"/>
    <w:rsid w:val="00D30BE3"/>
    <w:rsid w:val="00D43F7D"/>
    <w:rsid w:val="00D54DC5"/>
    <w:rsid w:val="00D80A4F"/>
    <w:rsid w:val="00D8797A"/>
    <w:rsid w:val="00D9192E"/>
    <w:rsid w:val="00D9584C"/>
    <w:rsid w:val="00DA6ACD"/>
    <w:rsid w:val="00DC4D86"/>
    <w:rsid w:val="00DC7354"/>
    <w:rsid w:val="00DD4368"/>
    <w:rsid w:val="00DF0357"/>
    <w:rsid w:val="00E06A4E"/>
    <w:rsid w:val="00E1547F"/>
    <w:rsid w:val="00E32ACA"/>
    <w:rsid w:val="00E3735C"/>
    <w:rsid w:val="00E37E7A"/>
    <w:rsid w:val="00E47EE4"/>
    <w:rsid w:val="00E770DC"/>
    <w:rsid w:val="00E92DED"/>
    <w:rsid w:val="00EA69DC"/>
    <w:rsid w:val="00EA7740"/>
    <w:rsid w:val="00EB75E7"/>
    <w:rsid w:val="00EC1DDE"/>
    <w:rsid w:val="00EC7BBC"/>
    <w:rsid w:val="00EE1D60"/>
    <w:rsid w:val="00EF03DD"/>
    <w:rsid w:val="00EF5159"/>
    <w:rsid w:val="00F012AC"/>
    <w:rsid w:val="00F01FDE"/>
    <w:rsid w:val="00F16195"/>
    <w:rsid w:val="00F20AFE"/>
    <w:rsid w:val="00F31949"/>
    <w:rsid w:val="00F37FA7"/>
    <w:rsid w:val="00F701E3"/>
    <w:rsid w:val="00F719D6"/>
    <w:rsid w:val="00F826EC"/>
    <w:rsid w:val="00F84FD4"/>
    <w:rsid w:val="00F85803"/>
    <w:rsid w:val="00FB2C4C"/>
    <w:rsid w:val="00FB3DB2"/>
    <w:rsid w:val="00FE0D37"/>
    <w:rsid w:val="00FE3711"/>
    <w:rsid w:val="00FF4D52"/>
    <w:rsid w:val="00FF5BC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52356"/>
  <w15:docId w15:val="{7599B6A8-5805-428F-B631-1DE1E130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C0"/>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aliases w:val="Char Char Char,Tegn1,Tegn1 Char,Char,Footnote Text Char Char Char Char Char,Footnote Text Char Char2 Char Char,Footnote Text Char1 Char,Footnote Text Char1 Char Char Char,Footnote Text Char2 Char Char,Lábjegyzet-szöveg,Podrozdział,fn,ft"/>
    <w:basedOn w:val="Normal"/>
    <w:link w:val="FootnoteTextChar"/>
    <w:uiPriority w:val="99"/>
    <w:qFormat/>
    <w:rsid w:val="001F3524"/>
    <w:rPr>
      <w:sz w:val="20"/>
    </w:rPr>
  </w:style>
  <w:style w:type="character" w:customStyle="1" w:styleId="FootnoteTextChar">
    <w:name w:val="Footnote Text Char"/>
    <w:aliases w:val="Char Char Char Char,Tegn1 Char1,Tegn1 Char Char,Char Char,Footnote Text Char Char Char Char Char Char,Footnote Text Char Char2 Char Char Char,Footnote Text Char1 Char Char,Footnote Text Char1 Char Char Char Char,Lábjegyzet-szöveg Char"/>
    <w:basedOn w:val="DefaultParagraphFont"/>
    <w:link w:val="FootnoteText"/>
    <w:uiPriority w:val="99"/>
    <w:rsid w:val="001F3524"/>
  </w:style>
  <w:style w:type="character" w:styleId="FootnoteReference">
    <w:name w:val="footnote reference"/>
    <w:aliases w:val="16 Poin,16 Point,4_G,BVI fnr,Carattere Char Carattere Carattere Char Carattere Char Carattere Char Char Char1 Char,Footnote Reference Char Char Char,Footnote Reference Superscript,RSC_WP (footnote reference),Superscript 6 Point,ftref"/>
    <w:basedOn w:val="DefaultParagraphFont"/>
    <w:link w:val="Char2"/>
    <w:uiPriority w:val="99"/>
    <w:qFormat/>
    <w:rsid w:val="001F3524"/>
    <w:rPr>
      <w:vertAlign w:val="superscript"/>
    </w:rPr>
  </w:style>
  <w:style w:type="paragraph" w:styleId="BalloonText">
    <w:name w:val="Balloon Text"/>
    <w:basedOn w:val="Normal"/>
    <w:link w:val="BalloonTextChar"/>
    <w:rsid w:val="00B240C0"/>
    <w:rPr>
      <w:rFonts w:ascii="Segoe UI" w:hAnsi="Segoe UI" w:cs="Segoe UI"/>
      <w:sz w:val="18"/>
      <w:szCs w:val="18"/>
    </w:rPr>
  </w:style>
  <w:style w:type="character" w:customStyle="1" w:styleId="BalloonTextChar">
    <w:name w:val="Balloon Text Char"/>
    <w:basedOn w:val="DefaultParagraphFont"/>
    <w:link w:val="BalloonText"/>
    <w:rsid w:val="00B240C0"/>
    <w:rPr>
      <w:rFonts w:ascii="Segoe UI" w:hAnsi="Segoe UI" w:cs="Segoe UI"/>
      <w:sz w:val="18"/>
      <w:szCs w:val="18"/>
    </w:rPr>
  </w:style>
  <w:style w:type="character" w:customStyle="1" w:styleId="BodyText2Char">
    <w:name w:val="Body Text 2 Char"/>
    <w:basedOn w:val="DefaultParagraphFont"/>
    <w:link w:val="BodyText2"/>
    <w:rsid w:val="00B240C0"/>
    <w:rPr>
      <w:rFonts w:ascii="Arial" w:hAnsi="Arial"/>
    </w:rPr>
  </w:style>
  <w:style w:type="paragraph" w:styleId="ListParagraph">
    <w:name w:val="List Paragraph"/>
    <w:basedOn w:val="Normal"/>
    <w:uiPriority w:val="34"/>
    <w:qFormat/>
    <w:rsid w:val="008025DC"/>
    <w:pPr>
      <w:ind w:left="720"/>
      <w:contextualSpacing/>
    </w:pPr>
  </w:style>
  <w:style w:type="character" w:styleId="CommentReference">
    <w:name w:val="annotation reference"/>
    <w:basedOn w:val="DefaultParagraphFont"/>
    <w:semiHidden/>
    <w:unhideWhenUsed/>
    <w:rsid w:val="003705C3"/>
    <w:rPr>
      <w:sz w:val="16"/>
      <w:szCs w:val="16"/>
    </w:rPr>
  </w:style>
  <w:style w:type="paragraph" w:styleId="CommentText">
    <w:name w:val="annotation text"/>
    <w:basedOn w:val="Normal"/>
    <w:link w:val="CommentTextChar"/>
    <w:semiHidden/>
    <w:unhideWhenUsed/>
    <w:rsid w:val="003705C3"/>
    <w:rPr>
      <w:sz w:val="20"/>
    </w:rPr>
  </w:style>
  <w:style w:type="character" w:customStyle="1" w:styleId="CommentTextChar">
    <w:name w:val="Comment Text Char"/>
    <w:basedOn w:val="DefaultParagraphFont"/>
    <w:link w:val="CommentText"/>
    <w:semiHidden/>
    <w:rsid w:val="003705C3"/>
  </w:style>
  <w:style w:type="paragraph" w:styleId="CommentSubject">
    <w:name w:val="annotation subject"/>
    <w:basedOn w:val="CommentText"/>
    <w:next w:val="CommentText"/>
    <w:link w:val="CommentSubjectChar"/>
    <w:semiHidden/>
    <w:unhideWhenUsed/>
    <w:rsid w:val="003705C3"/>
    <w:rPr>
      <w:b/>
      <w:bCs/>
    </w:rPr>
  </w:style>
  <w:style w:type="character" w:customStyle="1" w:styleId="CommentSubjectChar">
    <w:name w:val="Comment Subject Char"/>
    <w:basedOn w:val="CommentTextChar"/>
    <w:link w:val="CommentSubject"/>
    <w:semiHidden/>
    <w:rsid w:val="003705C3"/>
    <w:rPr>
      <w:b/>
      <w:bCs/>
    </w:rPr>
  </w:style>
  <w:style w:type="character" w:styleId="Hyperlink">
    <w:name w:val="Hyperlink"/>
    <w:basedOn w:val="DefaultParagraphFont"/>
    <w:uiPriority w:val="99"/>
    <w:semiHidden/>
    <w:unhideWhenUsed/>
    <w:rsid w:val="003F336E"/>
    <w:rPr>
      <w:color w:val="0563C1"/>
      <w:u w:val="single"/>
    </w:rPr>
  </w:style>
  <w:style w:type="character" w:customStyle="1" w:styleId="BodyTextChar">
    <w:name w:val="Body Text Char"/>
    <w:basedOn w:val="DefaultParagraphFont"/>
    <w:link w:val="BodyText"/>
    <w:rsid w:val="003F336E"/>
    <w:rPr>
      <w:rFonts w:ascii="Univers" w:hAnsi="Univers"/>
      <w:sz w:val="22"/>
    </w:rPr>
  </w:style>
  <w:style w:type="paragraph" w:customStyle="1" w:styleId="Char2">
    <w:name w:val="Char2"/>
    <w:basedOn w:val="Normal"/>
    <w:link w:val="FootnoteReference"/>
    <w:uiPriority w:val="99"/>
    <w:rsid w:val="003F336E"/>
    <w:pPr>
      <w:widowControl/>
      <w:spacing w:after="160" w:line="240" w:lineRule="exact"/>
    </w:pPr>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934878">
      <w:bodyDiv w:val="1"/>
      <w:marLeft w:val="0"/>
      <w:marRight w:val="0"/>
      <w:marTop w:val="0"/>
      <w:marBottom w:val="0"/>
      <w:divBdr>
        <w:top w:val="none" w:sz="0" w:space="0" w:color="auto"/>
        <w:left w:val="none" w:sz="0" w:space="0" w:color="auto"/>
        <w:bottom w:val="none" w:sz="0" w:space="0" w:color="auto"/>
        <w:right w:val="none" w:sz="0" w:space="0" w:color="auto"/>
      </w:divBdr>
    </w:div>
    <w:div w:id="1187256692">
      <w:bodyDiv w:val="1"/>
      <w:marLeft w:val="0"/>
      <w:marRight w:val="0"/>
      <w:marTop w:val="0"/>
      <w:marBottom w:val="0"/>
      <w:divBdr>
        <w:top w:val="none" w:sz="0" w:space="0" w:color="auto"/>
        <w:left w:val="none" w:sz="0" w:space="0" w:color="auto"/>
        <w:bottom w:val="none" w:sz="0" w:space="0" w:color="auto"/>
        <w:right w:val="none" w:sz="0" w:space="0" w:color="auto"/>
      </w:divBdr>
    </w:div>
    <w:div w:id="1504928613">
      <w:bodyDiv w:val="1"/>
      <w:marLeft w:val="0"/>
      <w:marRight w:val="0"/>
      <w:marTop w:val="0"/>
      <w:marBottom w:val="0"/>
      <w:divBdr>
        <w:top w:val="none" w:sz="0" w:space="0" w:color="auto"/>
        <w:left w:val="none" w:sz="0" w:space="0" w:color="auto"/>
        <w:bottom w:val="none" w:sz="0" w:space="0" w:color="auto"/>
        <w:right w:val="none" w:sz="0" w:space="0" w:color="auto"/>
      </w:divBdr>
    </w:div>
    <w:div w:id="20362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rc.undp.org/evaluation/evaluations/detail/7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2.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e6de6f4a163210476040df223df441e8">
  <xsd:schema xmlns:xsd="http://www.w3.org/2001/XMLSchema" xmlns:xs="http://www.w3.org/2001/XMLSchema" xmlns:p="http://schemas.microsoft.com/office/2006/metadata/properties" xmlns:ns2="83ed2304-0f0e-45ba-b0cc-7d360cbc1769" targetNamespace="http://schemas.microsoft.com/office/2006/metadata/properties" ma:root="true" ma:fieldsID="75b7e553a872fe2836fe2ecc2b8c7ab0"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2.xml><?xml version="1.0" encoding="utf-8"?>
<ds:datastoreItem xmlns:ds="http://schemas.openxmlformats.org/officeDocument/2006/customXml" ds:itemID="{BBF204ED-984C-407A-92BA-8E5AD42E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4.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5.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6.xml><?xml version="1.0" encoding="utf-8"?>
<ds:datastoreItem xmlns:ds="http://schemas.openxmlformats.org/officeDocument/2006/customXml" ds:itemID="{44D04DE8-FE00-409E-A334-0D0CD23B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8875</Words>
  <Characters>56357</Characters>
  <Application>Microsoft Office Word</Application>
  <DocSecurity>0</DocSecurity>
  <Lines>1483</Lines>
  <Paragraphs>598</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64634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3</cp:revision>
  <cp:lastPrinted>2017-04-24T05:49:00Z</cp:lastPrinted>
  <dcterms:created xsi:type="dcterms:W3CDTF">2017-05-15T16:51:00Z</dcterms:created>
  <dcterms:modified xsi:type="dcterms:W3CDTF">2017-05-15T16:52:00Z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