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164D" w14:textId="0594D820" w:rsidR="00112415" w:rsidRPr="00112415" w:rsidRDefault="00112415" w:rsidP="00112415">
      <w:pPr>
        <w:pStyle w:val="Title"/>
      </w:pPr>
      <w:r w:rsidRPr="00112415">
        <w:t>COMMENTS ON THE DRAFT UNDP COUNTRY PROGRAMME DOCUMENT FOR</w:t>
      </w:r>
      <w:r w:rsidR="005273E4">
        <w:t xml:space="preserve"> PAKISTAN</w:t>
      </w:r>
      <w:r w:rsidR="00D10B59">
        <w:t xml:space="preserve"> (2023-2027)</w:t>
      </w:r>
    </w:p>
    <w:p w14:paraId="38D66A51" w14:textId="194B825D" w:rsidR="00112415" w:rsidRPr="00112415" w:rsidRDefault="00E141C0" w:rsidP="00112415">
      <w:pPr>
        <w:pStyle w:val="Subtitle"/>
      </w:pPr>
      <w:r>
        <w:t>Second</w:t>
      </w:r>
      <w:r w:rsidRPr="00112415">
        <w:t xml:space="preserve"> </w:t>
      </w:r>
      <w:r w:rsidR="00112415" w:rsidRPr="00112415">
        <w:t>regular session 202</w:t>
      </w:r>
      <w:r w:rsidR="00A757C3">
        <w:t>2</w:t>
      </w:r>
    </w:p>
    <w:p w14:paraId="7C5CBC0F" w14:textId="1AA485A1" w:rsidR="006837DE" w:rsidRPr="00CE18A6" w:rsidRDefault="006837DE" w:rsidP="00CE18A6">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7645"/>
        <w:gridCol w:w="5670"/>
      </w:tblGrid>
      <w:tr w:rsidR="00112415" w:rsidRPr="00CE18A6" w14:paraId="08E415BC" w14:textId="77777777" w:rsidTr="00182295">
        <w:trPr>
          <w:trHeight w:val="720"/>
        </w:trPr>
        <w:tc>
          <w:tcPr>
            <w:tcW w:w="7645" w:type="dxa"/>
            <w:shd w:val="clear" w:color="auto" w:fill="BFBFBF" w:themeFill="background1" w:themeFillShade="BF"/>
          </w:tcPr>
          <w:p w14:paraId="4BC2E490" w14:textId="77777777" w:rsidR="00112415" w:rsidRPr="00112415" w:rsidRDefault="00112415" w:rsidP="00B4161D">
            <w:pPr>
              <w:autoSpaceDE w:val="0"/>
              <w:autoSpaceDN w:val="0"/>
              <w:adjustRightInd w:val="0"/>
              <w:jc w:val="center"/>
              <w:rPr>
                <w:rFonts w:ascii="Times New Roman" w:hAnsi="Times New Roman" w:cs="Times New Roman"/>
                <w:b/>
                <w:bCs/>
                <w:sz w:val="24"/>
                <w:szCs w:val="24"/>
              </w:rPr>
            </w:pPr>
          </w:p>
          <w:p w14:paraId="0EC73FC2" w14:textId="604E781B" w:rsidR="00112415" w:rsidRPr="00CE18A6" w:rsidRDefault="00112415" w:rsidP="00B4161D">
            <w:pPr>
              <w:autoSpaceDE w:val="0"/>
              <w:autoSpaceDN w:val="0"/>
              <w:adjustRightInd w:val="0"/>
              <w:jc w:val="center"/>
              <w:rPr>
                <w:rFonts w:ascii="Times New Roman" w:hAnsi="Times New Roman" w:cs="Times New Roman"/>
                <w:b/>
                <w:bCs/>
                <w:sz w:val="24"/>
                <w:szCs w:val="24"/>
              </w:rPr>
            </w:pPr>
            <w:r w:rsidRPr="00CE18A6">
              <w:rPr>
                <w:rFonts w:ascii="Times New Roman" w:hAnsi="Times New Roman" w:cs="Times New Roman"/>
                <w:b/>
                <w:bCs/>
                <w:sz w:val="24"/>
                <w:szCs w:val="24"/>
              </w:rPr>
              <w:t>Comment</w:t>
            </w:r>
            <w:r w:rsidR="00276457">
              <w:rPr>
                <w:rFonts w:ascii="Times New Roman" w:hAnsi="Times New Roman" w:cs="Times New Roman"/>
                <w:b/>
                <w:bCs/>
                <w:sz w:val="24"/>
                <w:szCs w:val="24"/>
              </w:rPr>
              <w:t>s</w:t>
            </w:r>
            <w:r w:rsidRPr="00CE18A6">
              <w:rPr>
                <w:rFonts w:ascii="Times New Roman" w:hAnsi="Times New Roman" w:cs="Times New Roman"/>
                <w:b/>
                <w:bCs/>
                <w:sz w:val="24"/>
                <w:szCs w:val="24"/>
              </w:rPr>
              <w:t xml:space="preserve"> by </w:t>
            </w:r>
            <w:r w:rsidR="00D10B59">
              <w:rPr>
                <w:rFonts w:ascii="Times New Roman" w:hAnsi="Times New Roman" w:cs="Times New Roman"/>
                <w:b/>
                <w:bCs/>
                <w:sz w:val="24"/>
                <w:szCs w:val="24"/>
              </w:rPr>
              <w:t xml:space="preserve">the </w:t>
            </w:r>
            <w:r w:rsidR="005273E4">
              <w:rPr>
                <w:rFonts w:ascii="Times New Roman" w:hAnsi="Times New Roman" w:cs="Times New Roman"/>
                <w:b/>
                <w:bCs/>
                <w:sz w:val="24"/>
                <w:szCs w:val="24"/>
              </w:rPr>
              <w:t>EU</w:t>
            </w:r>
          </w:p>
          <w:p w14:paraId="0CE5A7FB" w14:textId="77777777" w:rsidR="00112415" w:rsidRPr="00CE18A6" w:rsidRDefault="00112415" w:rsidP="00B4161D">
            <w:pPr>
              <w:autoSpaceDE w:val="0"/>
              <w:autoSpaceDN w:val="0"/>
              <w:adjustRightInd w:val="0"/>
              <w:jc w:val="center"/>
              <w:rPr>
                <w:rFonts w:ascii="Times New Roman" w:hAnsi="Times New Roman" w:cs="Times New Roman"/>
                <w:b/>
                <w:bCs/>
                <w:sz w:val="24"/>
                <w:szCs w:val="24"/>
              </w:rPr>
            </w:pPr>
          </w:p>
        </w:tc>
        <w:tc>
          <w:tcPr>
            <w:tcW w:w="5670" w:type="dxa"/>
            <w:shd w:val="clear" w:color="auto" w:fill="BFBFBF" w:themeFill="background1" w:themeFillShade="BF"/>
          </w:tcPr>
          <w:p w14:paraId="616A0BFE" w14:textId="77777777" w:rsidR="00112415" w:rsidRPr="00CE18A6" w:rsidRDefault="00112415" w:rsidP="00B4161D">
            <w:pPr>
              <w:autoSpaceDE w:val="0"/>
              <w:autoSpaceDN w:val="0"/>
              <w:adjustRightInd w:val="0"/>
              <w:jc w:val="center"/>
              <w:rPr>
                <w:rFonts w:ascii="Times New Roman" w:hAnsi="Times New Roman" w:cs="Times New Roman"/>
                <w:b/>
                <w:bCs/>
                <w:color w:val="000000"/>
                <w:sz w:val="24"/>
                <w:szCs w:val="24"/>
              </w:rPr>
            </w:pPr>
          </w:p>
          <w:p w14:paraId="3C5AF7E0" w14:textId="00D4EE46" w:rsidR="00112415" w:rsidRPr="00CE18A6" w:rsidRDefault="00D83EB5" w:rsidP="00B4161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w:t>
            </w:r>
            <w:r w:rsidRPr="00CE18A6">
              <w:rPr>
                <w:rFonts w:ascii="Times New Roman" w:hAnsi="Times New Roman" w:cs="Times New Roman"/>
                <w:b/>
                <w:bCs/>
                <w:color w:val="000000"/>
                <w:sz w:val="24"/>
                <w:szCs w:val="24"/>
              </w:rPr>
              <w:t xml:space="preserve"> </w:t>
            </w:r>
            <w:r w:rsidR="00112415" w:rsidRPr="00CE18A6">
              <w:rPr>
                <w:rFonts w:ascii="Times New Roman" w:hAnsi="Times New Roman" w:cs="Times New Roman"/>
                <w:b/>
                <w:bCs/>
                <w:color w:val="000000"/>
                <w:sz w:val="24"/>
                <w:szCs w:val="24"/>
              </w:rPr>
              <w:t>Response</w:t>
            </w:r>
          </w:p>
        </w:tc>
      </w:tr>
      <w:tr w:rsidR="005273E4" w:rsidRPr="00CE18A6" w14:paraId="0B5B09B3" w14:textId="77777777" w:rsidTr="00D35999">
        <w:tc>
          <w:tcPr>
            <w:tcW w:w="7645" w:type="dxa"/>
          </w:tcPr>
          <w:p w14:paraId="31227A1B" w14:textId="4AEBA3B9" w:rsidR="005273E4" w:rsidRPr="005273E4" w:rsidRDefault="005273E4" w:rsidP="00FF6E0E">
            <w:pPr>
              <w:pStyle w:val="Default"/>
              <w:ind w:left="360" w:right="144"/>
              <w:jc w:val="both"/>
              <w:rPr>
                <w:rFonts w:asciiTheme="majorBidi" w:hAnsiTheme="majorBidi" w:cstheme="majorBidi"/>
                <w:sz w:val="22"/>
                <w:szCs w:val="22"/>
              </w:rPr>
            </w:pPr>
            <w:r w:rsidRPr="005273E4">
              <w:rPr>
                <w:rFonts w:asciiTheme="majorBidi" w:hAnsiTheme="majorBidi" w:cstheme="majorBidi"/>
                <w:sz w:val="22"/>
                <w:szCs w:val="22"/>
              </w:rPr>
              <w:t xml:space="preserve">The EU Delegation welcomes the continued support foreseen in the upcoming electoral cycle. </w:t>
            </w:r>
          </w:p>
        </w:tc>
        <w:tc>
          <w:tcPr>
            <w:tcW w:w="5670" w:type="dxa"/>
          </w:tcPr>
          <w:p w14:paraId="53C017B9" w14:textId="58455C4C" w:rsidR="005273E4" w:rsidRPr="00FB7AFE" w:rsidRDefault="005273E4" w:rsidP="005273E4">
            <w:pPr>
              <w:ind w:left="144" w:right="144"/>
              <w:jc w:val="both"/>
              <w:rPr>
                <w:rFonts w:ascii="Times New Roman" w:hAnsi="Times New Roman" w:cs="Times New Roman"/>
                <w:i/>
                <w:iCs/>
                <w:color w:val="000000"/>
                <w:sz w:val="24"/>
                <w:szCs w:val="24"/>
              </w:rPr>
            </w:pPr>
            <w:r w:rsidRPr="00FB7AFE">
              <w:rPr>
                <w:rFonts w:ascii="Times New Roman" w:hAnsi="Times New Roman" w:cs="Times New Roman"/>
                <w:i/>
                <w:iCs/>
                <w:color w:val="000000"/>
              </w:rPr>
              <w:t xml:space="preserve">Thank you. UNDP </w:t>
            </w:r>
            <w:r w:rsidR="00FB7AFE" w:rsidRPr="00FB7AFE">
              <w:rPr>
                <w:rFonts w:ascii="Times New Roman" w:hAnsi="Times New Roman" w:cs="Times New Roman"/>
                <w:i/>
                <w:iCs/>
                <w:color w:val="000000"/>
              </w:rPr>
              <w:t>is committed to its enduring</w:t>
            </w:r>
            <w:r w:rsidRPr="00FB7AFE">
              <w:rPr>
                <w:rFonts w:ascii="Times New Roman" w:hAnsi="Times New Roman" w:cs="Times New Roman"/>
                <w:i/>
                <w:iCs/>
                <w:color w:val="000000"/>
              </w:rPr>
              <w:t xml:space="preserve"> partnership</w:t>
            </w:r>
            <w:r w:rsidR="00FB7AFE" w:rsidRPr="00FB7AFE">
              <w:rPr>
                <w:rFonts w:ascii="Times New Roman" w:hAnsi="Times New Roman" w:cs="Times New Roman"/>
                <w:i/>
                <w:iCs/>
                <w:color w:val="000000"/>
              </w:rPr>
              <w:t>s</w:t>
            </w:r>
            <w:r w:rsidRPr="00FB7AFE">
              <w:rPr>
                <w:rFonts w:ascii="Times New Roman" w:hAnsi="Times New Roman" w:cs="Times New Roman"/>
                <w:i/>
                <w:iCs/>
                <w:color w:val="000000"/>
              </w:rPr>
              <w:t xml:space="preserve"> with</w:t>
            </w:r>
            <w:r w:rsidR="00FB7AFE" w:rsidRPr="00FB7AFE">
              <w:rPr>
                <w:rFonts w:ascii="Times New Roman" w:hAnsi="Times New Roman" w:cs="Times New Roman"/>
                <w:i/>
                <w:iCs/>
                <w:color w:val="000000"/>
              </w:rPr>
              <w:t xml:space="preserve"> the</w:t>
            </w:r>
            <w:r w:rsidRPr="00FB7AFE">
              <w:rPr>
                <w:rFonts w:ascii="Times New Roman" w:hAnsi="Times New Roman" w:cs="Times New Roman"/>
                <w:i/>
                <w:iCs/>
                <w:color w:val="000000"/>
              </w:rPr>
              <w:t xml:space="preserve"> Development Partners, including the EU</w:t>
            </w:r>
            <w:r w:rsidR="00D83EB5">
              <w:rPr>
                <w:rFonts w:ascii="Times New Roman" w:hAnsi="Times New Roman" w:cs="Times New Roman"/>
                <w:i/>
                <w:iCs/>
                <w:color w:val="000000"/>
              </w:rPr>
              <w:t xml:space="preserve"> </w:t>
            </w:r>
            <w:r w:rsidRPr="00FB7AFE">
              <w:rPr>
                <w:rFonts w:ascii="Times New Roman" w:hAnsi="Times New Roman" w:cs="Times New Roman"/>
                <w:i/>
                <w:iCs/>
                <w:color w:val="000000"/>
              </w:rPr>
              <w:t>D</w:t>
            </w:r>
            <w:r w:rsidR="00D83EB5">
              <w:rPr>
                <w:rFonts w:ascii="Times New Roman" w:hAnsi="Times New Roman" w:cs="Times New Roman"/>
                <w:i/>
                <w:iCs/>
                <w:color w:val="000000"/>
              </w:rPr>
              <w:t>elegation</w:t>
            </w:r>
            <w:r w:rsidRPr="00FB7AFE">
              <w:rPr>
                <w:rFonts w:ascii="Times New Roman" w:hAnsi="Times New Roman" w:cs="Times New Roman"/>
                <w:i/>
                <w:iCs/>
                <w:color w:val="000000"/>
              </w:rPr>
              <w:t xml:space="preserve">, on </w:t>
            </w:r>
            <w:r w:rsidR="00FB7AFE" w:rsidRPr="00FB7AFE">
              <w:rPr>
                <w:rFonts w:ascii="Times New Roman" w:hAnsi="Times New Roman" w:cs="Times New Roman"/>
                <w:i/>
                <w:iCs/>
                <w:color w:val="000000"/>
              </w:rPr>
              <w:t xml:space="preserve">joint </w:t>
            </w:r>
            <w:r w:rsidRPr="00FB7AFE">
              <w:rPr>
                <w:rFonts w:ascii="Times New Roman" w:hAnsi="Times New Roman" w:cs="Times New Roman"/>
                <w:i/>
                <w:iCs/>
                <w:color w:val="000000"/>
              </w:rPr>
              <w:t>efforts to strengthen and deepen democracy and good governance in Pakistan.</w:t>
            </w:r>
          </w:p>
        </w:tc>
      </w:tr>
      <w:tr w:rsidR="005273E4" w:rsidRPr="00CE18A6" w14:paraId="4E43007D" w14:textId="77777777" w:rsidTr="00D35999">
        <w:tc>
          <w:tcPr>
            <w:tcW w:w="7645" w:type="dxa"/>
          </w:tcPr>
          <w:p w14:paraId="3E8FC44F" w14:textId="23CE2B8B" w:rsidR="005273E4" w:rsidRPr="00FF6E0E" w:rsidRDefault="005273E4" w:rsidP="00FF6E0E">
            <w:pPr>
              <w:ind w:left="360"/>
              <w:rPr>
                <w:rFonts w:asciiTheme="majorBidi" w:hAnsiTheme="majorBidi" w:cstheme="majorBidi"/>
                <w:lang w:val="en-GB"/>
              </w:rPr>
            </w:pPr>
            <w:r w:rsidRPr="00FF6E0E">
              <w:rPr>
                <w:rFonts w:asciiTheme="majorBidi" w:hAnsiTheme="majorBidi" w:cstheme="majorBidi"/>
              </w:rPr>
              <w:t>We welcome the continued work on rule of law, and suggest to also include specific elements on commercial law/investment climate. This could have a cross-cutting impact on outcome 2 (inclusive growth). The EU also supports the continued focussed work on human rights/business under outcome 2.</w:t>
            </w:r>
          </w:p>
        </w:tc>
        <w:tc>
          <w:tcPr>
            <w:tcW w:w="5670" w:type="dxa"/>
          </w:tcPr>
          <w:p w14:paraId="5AE99697" w14:textId="03C5A7A9" w:rsidR="005273E4" w:rsidRPr="00991A6D" w:rsidRDefault="00FB7AFE" w:rsidP="005273E4">
            <w:pPr>
              <w:pStyle w:val="Default"/>
              <w:ind w:left="144" w:right="144"/>
              <w:jc w:val="both"/>
              <w:rPr>
                <w:rFonts w:ascii="Times New Roman" w:hAnsi="Times New Roman" w:cs="Times New Roman"/>
                <w:i/>
                <w:iCs/>
              </w:rPr>
            </w:pPr>
            <w:r w:rsidRPr="00991A6D">
              <w:rPr>
                <w:rFonts w:ascii="Times New Roman" w:hAnsi="Times New Roman" w:cs="Times New Roman"/>
                <w:i/>
                <w:iCs/>
                <w:sz w:val="22"/>
                <w:szCs w:val="22"/>
              </w:rPr>
              <w:t xml:space="preserve">Thank you. </w:t>
            </w:r>
            <w:r w:rsidR="00426BC1">
              <w:rPr>
                <w:rFonts w:ascii="Times New Roman" w:hAnsi="Times New Roman" w:cs="Times New Roman"/>
                <w:i/>
                <w:iCs/>
                <w:sz w:val="22"/>
                <w:szCs w:val="22"/>
              </w:rPr>
              <w:t xml:space="preserve">Investment climate </w:t>
            </w:r>
            <w:r w:rsidR="00276628">
              <w:rPr>
                <w:rFonts w:ascii="Times New Roman" w:hAnsi="Times New Roman" w:cs="Times New Roman"/>
                <w:i/>
                <w:iCs/>
                <w:sz w:val="22"/>
                <w:szCs w:val="22"/>
              </w:rPr>
              <w:t xml:space="preserve">is </w:t>
            </w:r>
            <w:r w:rsidR="00426BC1">
              <w:rPr>
                <w:rFonts w:ascii="Times New Roman" w:hAnsi="Times New Roman" w:cs="Times New Roman"/>
                <w:i/>
                <w:iCs/>
                <w:sz w:val="22"/>
                <w:szCs w:val="22"/>
              </w:rPr>
              <w:t>reflected additionally in Para 2</w:t>
            </w:r>
            <w:r w:rsidR="0025170B">
              <w:rPr>
                <w:rFonts w:ascii="Times New Roman" w:hAnsi="Times New Roman" w:cs="Times New Roman"/>
                <w:i/>
                <w:iCs/>
                <w:sz w:val="22"/>
                <w:szCs w:val="22"/>
              </w:rPr>
              <w:t>1</w:t>
            </w:r>
            <w:r w:rsidR="00276628">
              <w:rPr>
                <w:rFonts w:ascii="Times New Roman" w:hAnsi="Times New Roman" w:cs="Times New Roman"/>
                <w:i/>
                <w:iCs/>
                <w:sz w:val="22"/>
                <w:szCs w:val="22"/>
              </w:rPr>
              <w:t xml:space="preserve"> and p</w:t>
            </w:r>
            <w:r w:rsidRPr="00991A6D">
              <w:rPr>
                <w:rFonts w:ascii="Times New Roman" w:hAnsi="Times New Roman" w:cs="Times New Roman"/>
                <w:i/>
                <w:iCs/>
                <w:sz w:val="22"/>
                <w:szCs w:val="22"/>
              </w:rPr>
              <w:t>rioritized efforts on Financing for Development, SDG Investments and</w:t>
            </w:r>
            <w:r w:rsidR="00EF38F6">
              <w:rPr>
                <w:rFonts w:ascii="Times New Roman" w:hAnsi="Times New Roman" w:cs="Times New Roman"/>
                <w:i/>
                <w:iCs/>
                <w:sz w:val="22"/>
                <w:szCs w:val="22"/>
              </w:rPr>
              <w:t>/or</w:t>
            </w:r>
            <w:r w:rsidRPr="00991A6D">
              <w:rPr>
                <w:rFonts w:ascii="Times New Roman" w:hAnsi="Times New Roman" w:cs="Times New Roman"/>
                <w:i/>
                <w:iCs/>
                <w:sz w:val="22"/>
                <w:szCs w:val="22"/>
              </w:rPr>
              <w:t xml:space="preserve"> Climate Finance </w:t>
            </w:r>
            <w:r w:rsidR="00426BC1">
              <w:rPr>
                <w:rFonts w:ascii="Times New Roman" w:hAnsi="Times New Roman" w:cs="Times New Roman"/>
                <w:i/>
                <w:iCs/>
                <w:sz w:val="22"/>
                <w:szCs w:val="22"/>
              </w:rPr>
              <w:t xml:space="preserve">are </w:t>
            </w:r>
            <w:r w:rsidRPr="00991A6D">
              <w:rPr>
                <w:rFonts w:ascii="Times New Roman" w:hAnsi="Times New Roman" w:cs="Times New Roman"/>
                <w:i/>
                <w:iCs/>
                <w:sz w:val="22"/>
                <w:szCs w:val="22"/>
              </w:rPr>
              <w:t xml:space="preserve">outlined across Outcome 2 (Sustainable, inclusive and green economic transformation) and Outcome 3 (Climate change resilience and environment). </w:t>
            </w:r>
            <w:r w:rsidR="00426BC1" w:rsidRPr="006E3431">
              <w:rPr>
                <w:rFonts w:ascii="Times New Roman" w:hAnsi="Times New Roman" w:cs="Times New Roman"/>
                <w:i/>
                <w:iCs/>
                <w:sz w:val="22"/>
                <w:szCs w:val="22"/>
              </w:rPr>
              <w:t>A</w:t>
            </w:r>
            <w:r w:rsidRPr="006E3431">
              <w:rPr>
                <w:rFonts w:ascii="Times New Roman" w:hAnsi="Times New Roman" w:cs="Times New Roman"/>
                <w:i/>
                <w:iCs/>
                <w:sz w:val="22"/>
                <w:szCs w:val="22"/>
              </w:rPr>
              <w:t xml:space="preserve">ddressing commercial law/investment climate elements </w:t>
            </w:r>
            <w:r w:rsidR="00426BC1" w:rsidRPr="006E3431">
              <w:rPr>
                <w:rFonts w:ascii="Times New Roman" w:hAnsi="Times New Roman" w:cs="Times New Roman"/>
                <w:i/>
                <w:iCs/>
                <w:sz w:val="22"/>
                <w:szCs w:val="22"/>
              </w:rPr>
              <w:t xml:space="preserve">is also integrated </w:t>
            </w:r>
            <w:r w:rsidRPr="006E3431">
              <w:rPr>
                <w:rFonts w:ascii="Times New Roman" w:hAnsi="Times New Roman" w:cs="Times New Roman"/>
                <w:i/>
                <w:iCs/>
                <w:sz w:val="22"/>
                <w:szCs w:val="22"/>
              </w:rPr>
              <w:t>in Para. 20 and Para. 21 of Outcome 2 through an integrated ideation of ‘enabling</w:t>
            </w:r>
            <w:r w:rsidR="00991A6D" w:rsidRPr="006E3431">
              <w:rPr>
                <w:rFonts w:ascii="Times New Roman" w:hAnsi="Times New Roman" w:cs="Times New Roman"/>
                <w:i/>
                <w:iCs/>
                <w:sz w:val="22"/>
                <w:szCs w:val="22"/>
              </w:rPr>
              <w:t xml:space="preserve"> and rights-based</w:t>
            </w:r>
            <w:r w:rsidRPr="006E3431">
              <w:rPr>
                <w:rFonts w:ascii="Times New Roman" w:hAnsi="Times New Roman" w:cs="Times New Roman"/>
                <w:i/>
                <w:iCs/>
                <w:sz w:val="22"/>
                <w:szCs w:val="22"/>
              </w:rPr>
              <w:t xml:space="preserve"> business en</w:t>
            </w:r>
            <w:r w:rsidR="00991A6D" w:rsidRPr="006E3431">
              <w:rPr>
                <w:rFonts w:ascii="Times New Roman" w:hAnsi="Times New Roman" w:cs="Times New Roman"/>
                <w:i/>
                <w:iCs/>
                <w:sz w:val="22"/>
                <w:szCs w:val="22"/>
              </w:rPr>
              <w:t>vironment’.</w:t>
            </w:r>
            <w:r w:rsidRPr="00991A6D">
              <w:rPr>
                <w:rFonts w:ascii="Times New Roman" w:hAnsi="Times New Roman" w:cs="Times New Roman"/>
                <w:i/>
                <w:iCs/>
                <w:sz w:val="22"/>
                <w:szCs w:val="22"/>
              </w:rPr>
              <w:t xml:space="preserve"> </w:t>
            </w:r>
          </w:p>
        </w:tc>
      </w:tr>
      <w:tr w:rsidR="005273E4" w:rsidRPr="00E53F9D" w14:paraId="12CC81F5" w14:textId="77777777" w:rsidTr="00D35999">
        <w:tc>
          <w:tcPr>
            <w:tcW w:w="7645" w:type="dxa"/>
          </w:tcPr>
          <w:p w14:paraId="7B7688E2" w14:textId="732C634E" w:rsidR="005273E4" w:rsidRPr="005273E4" w:rsidRDefault="005273E4" w:rsidP="00FF6E0E">
            <w:pPr>
              <w:pStyle w:val="Default"/>
              <w:ind w:left="360" w:right="144"/>
              <w:jc w:val="both"/>
              <w:rPr>
                <w:rFonts w:asciiTheme="majorBidi" w:hAnsiTheme="majorBidi" w:cstheme="majorBidi"/>
                <w:sz w:val="22"/>
                <w:szCs w:val="22"/>
              </w:rPr>
            </w:pPr>
            <w:r w:rsidRPr="005273E4">
              <w:rPr>
                <w:rFonts w:asciiTheme="majorBidi" w:hAnsiTheme="majorBidi" w:cstheme="majorBidi"/>
                <w:sz w:val="22"/>
                <w:szCs w:val="22"/>
              </w:rPr>
              <w:t>Given that UN agencies, for example in the area of rule of law, apply some division of labour in provincial implementation, the EU appeals to foresee close operational collaboration of UN agencies where parallel work is taking place in the same and in adjacent sectors.</w:t>
            </w:r>
          </w:p>
        </w:tc>
        <w:tc>
          <w:tcPr>
            <w:tcW w:w="5670" w:type="dxa"/>
          </w:tcPr>
          <w:p w14:paraId="47AB5444" w14:textId="7B251DCA" w:rsidR="005273E4" w:rsidRPr="00991A6D" w:rsidRDefault="00D83EB5" w:rsidP="005273E4">
            <w:pPr>
              <w:pStyle w:val="Default"/>
              <w:ind w:left="144" w:right="144"/>
              <w:jc w:val="both"/>
              <w:rPr>
                <w:rFonts w:ascii="Times New Roman" w:hAnsi="Times New Roman" w:cs="Times New Roman"/>
                <w:i/>
                <w:iCs/>
              </w:rPr>
            </w:pPr>
            <w:r w:rsidRPr="009F53C9">
              <w:rPr>
                <w:rFonts w:ascii="Times New Roman" w:hAnsi="Times New Roman" w:cs="Times New Roman"/>
                <w:i/>
                <w:iCs/>
                <w:sz w:val="22"/>
                <w:szCs w:val="22"/>
              </w:rPr>
              <w:t>The comment is w</w:t>
            </w:r>
            <w:r w:rsidR="00991A6D" w:rsidRPr="009F53C9">
              <w:rPr>
                <w:rFonts w:ascii="Times New Roman" w:hAnsi="Times New Roman" w:cs="Times New Roman"/>
                <w:i/>
                <w:iCs/>
                <w:sz w:val="22"/>
                <w:szCs w:val="22"/>
              </w:rPr>
              <w:t xml:space="preserve">ell acknowledged. The draft CPD is rooted in the principles of active inter-Agency coordination and collaboration through the institutional arrangements of RCO, UNCT and </w:t>
            </w:r>
            <w:r w:rsidRPr="009F53C9">
              <w:rPr>
                <w:rFonts w:ascii="Times New Roman" w:hAnsi="Times New Roman" w:cs="Times New Roman"/>
                <w:i/>
                <w:iCs/>
                <w:sz w:val="22"/>
                <w:szCs w:val="22"/>
              </w:rPr>
              <w:t>the Programme Management Team</w:t>
            </w:r>
            <w:r w:rsidR="00991A6D" w:rsidRPr="009F53C9">
              <w:rPr>
                <w:rFonts w:ascii="Times New Roman" w:hAnsi="Times New Roman" w:cs="Times New Roman"/>
                <w:i/>
                <w:iCs/>
                <w:sz w:val="22"/>
                <w:szCs w:val="22"/>
              </w:rPr>
              <w:t xml:space="preserve">, at federal and provincial levels. As spelt out in Para. 13 as well as throughout Section II Programme </w:t>
            </w:r>
            <w:r w:rsidR="009F53C9" w:rsidRPr="00E22FB5">
              <w:rPr>
                <w:rFonts w:ascii="Times New Roman" w:hAnsi="Times New Roman" w:cs="Times New Roman"/>
                <w:i/>
                <w:iCs/>
                <w:sz w:val="22"/>
                <w:szCs w:val="22"/>
              </w:rPr>
              <w:t>P</w:t>
            </w:r>
            <w:r w:rsidR="00991A6D" w:rsidRPr="009F53C9">
              <w:rPr>
                <w:rFonts w:ascii="Times New Roman" w:hAnsi="Times New Roman" w:cs="Times New Roman"/>
                <w:i/>
                <w:iCs/>
                <w:sz w:val="22"/>
                <w:szCs w:val="22"/>
              </w:rPr>
              <w:t xml:space="preserve">riorities and </w:t>
            </w:r>
            <w:r w:rsidR="009F53C9" w:rsidRPr="00E22FB5">
              <w:rPr>
                <w:rFonts w:ascii="Times New Roman" w:hAnsi="Times New Roman" w:cs="Times New Roman"/>
                <w:i/>
                <w:iCs/>
                <w:sz w:val="22"/>
                <w:szCs w:val="22"/>
              </w:rPr>
              <w:t>P</w:t>
            </w:r>
            <w:r w:rsidR="00991A6D" w:rsidRPr="009F53C9">
              <w:rPr>
                <w:rFonts w:ascii="Times New Roman" w:hAnsi="Times New Roman" w:cs="Times New Roman"/>
                <w:i/>
                <w:iCs/>
                <w:sz w:val="22"/>
                <w:szCs w:val="22"/>
              </w:rPr>
              <w:t>artnerships</w:t>
            </w:r>
            <w:r w:rsidR="009F53C9" w:rsidRPr="00E22FB5">
              <w:rPr>
                <w:rFonts w:ascii="Times New Roman" w:hAnsi="Times New Roman" w:cs="Times New Roman"/>
                <w:i/>
                <w:iCs/>
                <w:sz w:val="22"/>
                <w:szCs w:val="22"/>
              </w:rPr>
              <w:t>,</w:t>
            </w:r>
            <w:r w:rsidR="00991A6D" w:rsidRPr="009F53C9">
              <w:rPr>
                <w:rFonts w:ascii="Times New Roman" w:hAnsi="Times New Roman" w:cs="Times New Roman"/>
                <w:i/>
                <w:iCs/>
                <w:sz w:val="22"/>
                <w:szCs w:val="22"/>
              </w:rPr>
              <w:t xml:space="preserve"> as well as the RRF, UNDP’s inter-</w:t>
            </w:r>
            <w:r w:rsidR="001119B6">
              <w:rPr>
                <w:rFonts w:ascii="Times New Roman" w:hAnsi="Times New Roman" w:cs="Times New Roman"/>
                <w:i/>
                <w:iCs/>
                <w:sz w:val="22"/>
                <w:szCs w:val="22"/>
              </w:rPr>
              <w:t>a</w:t>
            </w:r>
            <w:r w:rsidR="00991A6D" w:rsidRPr="009F53C9">
              <w:rPr>
                <w:rFonts w:ascii="Times New Roman" w:hAnsi="Times New Roman" w:cs="Times New Roman"/>
                <w:i/>
                <w:iCs/>
                <w:sz w:val="22"/>
                <w:szCs w:val="22"/>
              </w:rPr>
              <w:t xml:space="preserve">gency collaborative approach is built on its institutional mandate of serving the SDG </w:t>
            </w:r>
            <w:r w:rsidR="001119B6">
              <w:rPr>
                <w:rFonts w:ascii="Times New Roman" w:hAnsi="Times New Roman" w:cs="Times New Roman"/>
                <w:i/>
                <w:iCs/>
                <w:sz w:val="22"/>
                <w:szCs w:val="22"/>
              </w:rPr>
              <w:t>i</w:t>
            </w:r>
            <w:r w:rsidR="00991A6D" w:rsidRPr="009F53C9">
              <w:rPr>
                <w:rFonts w:ascii="Times New Roman" w:hAnsi="Times New Roman" w:cs="Times New Roman"/>
                <w:i/>
                <w:iCs/>
                <w:sz w:val="22"/>
                <w:szCs w:val="22"/>
              </w:rPr>
              <w:t xml:space="preserve">ntegrator </w:t>
            </w:r>
            <w:r w:rsidR="001119B6">
              <w:rPr>
                <w:rFonts w:ascii="Times New Roman" w:hAnsi="Times New Roman" w:cs="Times New Roman"/>
                <w:i/>
                <w:iCs/>
                <w:sz w:val="22"/>
                <w:szCs w:val="22"/>
              </w:rPr>
              <w:t>r</w:t>
            </w:r>
            <w:r w:rsidR="00991A6D" w:rsidRPr="009F53C9">
              <w:rPr>
                <w:rFonts w:ascii="Times New Roman" w:hAnsi="Times New Roman" w:cs="Times New Roman"/>
                <w:i/>
                <w:iCs/>
                <w:sz w:val="22"/>
                <w:szCs w:val="22"/>
              </w:rPr>
              <w:t>ole.</w:t>
            </w:r>
          </w:p>
        </w:tc>
      </w:tr>
      <w:tr w:rsidR="005273E4" w:rsidRPr="00E53F9D" w14:paraId="08E2E4C6" w14:textId="77777777" w:rsidTr="00D35999">
        <w:tc>
          <w:tcPr>
            <w:tcW w:w="7645" w:type="dxa"/>
          </w:tcPr>
          <w:p w14:paraId="549D949C" w14:textId="18E86367" w:rsidR="005273E4" w:rsidRPr="005273E4" w:rsidRDefault="005273E4" w:rsidP="00FF6E0E">
            <w:pPr>
              <w:pStyle w:val="Default"/>
              <w:ind w:left="360" w:right="144"/>
              <w:jc w:val="both"/>
              <w:rPr>
                <w:rFonts w:asciiTheme="majorBidi" w:hAnsiTheme="majorBidi" w:cstheme="majorBidi"/>
                <w:sz w:val="22"/>
                <w:szCs w:val="22"/>
              </w:rPr>
            </w:pPr>
            <w:r w:rsidRPr="005273E4">
              <w:rPr>
                <w:rFonts w:asciiTheme="majorBidi" w:hAnsiTheme="majorBidi" w:cstheme="majorBidi"/>
                <w:sz w:val="22"/>
                <w:szCs w:val="22"/>
              </w:rPr>
              <w:t xml:space="preserve">We encourage considering strong cross-cutting gender empowerment elements, including possibly close work with UN-WOMEN, beyond the inter-institutional coordination and collaboration that is envisaged in the draft CPD. Overall, the evolution of the division of labour between UNDP and UN-Women </w:t>
            </w:r>
            <w:r w:rsidRPr="005273E4">
              <w:rPr>
                <w:rFonts w:asciiTheme="majorBidi" w:hAnsiTheme="majorBidi" w:cstheme="majorBidi"/>
                <w:sz w:val="22"/>
                <w:szCs w:val="22"/>
              </w:rPr>
              <w:lastRenderedPageBreak/>
              <w:t>is a topic that, from a partner perspective, may deserve further consideration (a point that is arguably not specific to Pakistan).</w:t>
            </w:r>
          </w:p>
        </w:tc>
        <w:tc>
          <w:tcPr>
            <w:tcW w:w="5670" w:type="dxa"/>
          </w:tcPr>
          <w:p w14:paraId="3C5AF7D8" w14:textId="2DD804B0" w:rsidR="005273E4" w:rsidRPr="00EC0F64" w:rsidRDefault="00D83EB5" w:rsidP="005273E4">
            <w:pPr>
              <w:pStyle w:val="Default"/>
              <w:ind w:left="144" w:right="144"/>
              <w:jc w:val="both"/>
              <w:rPr>
                <w:rFonts w:ascii="Times New Roman" w:hAnsi="Times New Roman" w:cs="Times New Roman"/>
                <w:i/>
                <w:iCs/>
              </w:rPr>
            </w:pPr>
            <w:r>
              <w:rPr>
                <w:rFonts w:ascii="Times New Roman" w:hAnsi="Times New Roman" w:cs="Times New Roman"/>
                <w:i/>
                <w:iCs/>
                <w:sz w:val="22"/>
                <w:szCs w:val="22"/>
              </w:rPr>
              <w:lastRenderedPageBreak/>
              <w:t>The comment is w</w:t>
            </w:r>
            <w:r w:rsidR="00991A6D" w:rsidRPr="00EC0F64">
              <w:rPr>
                <w:rFonts w:ascii="Times New Roman" w:hAnsi="Times New Roman" w:cs="Times New Roman"/>
                <w:i/>
                <w:iCs/>
                <w:sz w:val="22"/>
                <w:szCs w:val="22"/>
              </w:rPr>
              <w:t xml:space="preserve">ell acknowledged. </w:t>
            </w:r>
            <w:r w:rsidR="00276628" w:rsidRPr="00276628">
              <w:rPr>
                <w:rFonts w:ascii="Times New Roman" w:hAnsi="Times New Roman" w:cs="Times New Roman"/>
                <w:i/>
                <w:iCs/>
                <w:sz w:val="22"/>
                <w:szCs w:val="22"/>
              </w:rPr>
              <w:t xml:space="preserve">The draft CPD not only has a separate </w:t>
            </w:r>
            <w:r w:rsidR="00C83143">
              <w:rPr>
                <w:rFonts w:ascii="Times New Roman" w:hAnsi="Times New Roman" w:cs="Times New Roman"/>
                <w:i/>
                <w:iCs/>
                <w:sz w:val="22"/>
                <w:szCs w:val="22"/>
              </w:rPr>
              <w:t>o</w:t>
            </w:r>
            <w:r w:rsidR="00276628" w:rsidRPr="00276628">
              <w:rPr>
                <w:rFonts w:ascii="Times New Roman" w:hAnsi="Times New Roman" w:cs="Times New Roman"/>
                <w:i/>
                <w:iCs/>
                <w:sz w:val="22"/>
                <w:szCs w:val="22"/>
              </w:rPr>
              <w:t>utcome on Gender</w:t>
            </w:r>
            <w:r w:rsidR="00276628" w:rsidRPr="005D320B">
              <w:rPr>
                <w:rFonts w:ascii="Times New Roman" w:hAnsi="Times New Roman" w:cs="Times New Roman"/>
                <w:i/>
                <w:iCs/>
                <w:sz w:val="22"/>
                <w:szCs w:val="22"/>
              </w:rPr>
              <w:t xml:space="preserve"> b</w:t>
            </w:r>
            <w:r w:rsidR="00276628" w:rsidRPr="00276628">
              <w:rPr>
                <w:rFonts w:ascii="Times New Roman" w:hAnsi="Times New Roman" w:cs="Times New Roman"/>
                <w:i/>
                <w:iCs/>
                <w:sz w:val="22"/>
                <w:szCs w:val="22"/>
              </w:rPr>
              <w:t>ut also has strong</w:t>
            </w:r>
            <w:r w:rsidR="00276628" w:rsidRPr="00932266">
              <w:rPr>
                <w:rFonts w:asciiTheme="majorBidi" w:hAnsiTheme="majorBidi" w:cstheme="majorBidi"/>
                <w:i/>
                <w:iCs/>
                <w:sz w:val="22"/>
                <w:szCs w:val="22"/>
              </w:rPr>
              <w:t xml:space="preserve"> cross-cutting gender empowerment elements in all other outcome areas</w:t>
            </w:r>
            <w:r w:rsidR="00276628">
              <w:rPr>
                <w:rFonts w:asciiTheme="majorBidi" w:hAnsiTheme="majorBidi" w:cstheme="majorBidi"/>
                <w:i/>
                <w:iCs/>
                <w:sz w:val="22"/>
                <w:szCs w:val="22"/>
              </w:rPr>
              <w:t xml:space="preserve"> reflecting as well </w:t>
            </w:r>
            <w:r w:rsidR="009F53C9">
              <w:rPr>
                <w:rFonts w:asciiTheme="majorBidi" w:hAnsiTheme="majorBidi" w:cstheme="majorBidi"/>
                <w:i/>
                <w:iCs/>
                <w:sz w:val="22"/>
                <w:szCs w:val="22"/>
              </w:rPr>
              <w:t xml:space="preserve">as </w:t>
            </w:r>
            <w:r w:rsidR="00276628">
              <w:rPr>
                <w:rFonts w:asciiTheme="majorBidi" w:hAnsiTheme="majorBidi" w:cstheme="majorBidi"/>
                <w:i/>
                <w:iCs/>
                <w:sz w:val="22"/>
                <w:szCs w:val="22"/>
              </w:rPr>
              <w:t xml:space="preserve">the consultation, </w:t>
            </w:r>
            <w:r w:rsidR="00276628">
              <w:rPr>
                <w:rFonts w:asciiTheme="majorBidi" w:hAnsiTheme="majorBidi" w:cstheme="majorBidi"/>
                <w:i/>
                <w:iCs/>
                <w:sz w:val="22"/>
                <w:szCs w:val="22"/>
              </w:rPr>
              <w:lastRenderedPageBreak/>
              <w:t xml:space="preserve">coordination and collaboration with UN Women. </w:t>
            </w:r>
            <w:r w:rsidR="00276628">
              <w:rPr>
                <w:rFonts w:ascii="Times New Roman" w:hAnsi="Times New Roman" w:cs="Times New Roman"/>
                <w:i/>
                <w:iCs/>
                <w:sz w:val="22"/>
                <w:szCs w:val="22"/>
              </w:rPr>
              <w:t xml:space="preserve"> </w:t>
            </w:r>
            <w:r w:rsidR="00EC0F64" w:rsidRPr="00EC0F64">
              <w:rPr>
                <w:rFonts w:ascii="Times New Roman" w:hAnsi="Times New Roman" w:cs="Times New Roman"/>
                <w:i/>
                <w:iCs/>
                <w:sz w:val="22"/>
                <w:szCs w:val="22"/>
              </w:rPr>
              <w:t xml:space="preserve">In close consultation and partnership with UN Women, </w:t>
            </w:r>
            <w:r w:rsidR="00991A6D" w:rsidRPr="00EC0F64">
              <w:rPr>
                <w:rFonts w:ascii="Times New Roman" w:hAnsi="Times New Roman" w:cs="Times New Roman"/>
                <w:i/>
                <w:iCs/>
                <w:sz w:val="22"/>
                <w:szCs w:val="22"/>
              </w:rPr>
              <w:t xml:space="preserve">UNDP has already begun developing an integrated portfolio and systems-thinking approach </w:t>
            </w:r>
            <w:r w:rsidR="00EC0F64" w:rsidRPr="00EC0F64">
              <w:rPr>
                <w:rFonts w:ascii="Times New Roman" w:hAnsi="Times New Roman" w:cs="Times New Roman"/>
                <w:i/>
                <w:iCs/>
                <w:sz w:val="22"/>
                <w:szCs w:val="22"/>
              </w:rPr>
              <w:t xml:space="preserve">for programmatic realization of the </w:t>
            </w:r>
            <w:r w:rsidR="00991A6D" w:rsidRPr="00EC0F64">
              <w:rPr>
                <w:rFonts w:ascii="Times New Roman" w:hAnsi="Times New Roman" w:cs="Times New Roman"/>
                <w:i/>
                <w:iCs/>
                <w:sz w:val="22"/>
                <w:szCs w:val="22"/>
              </w:rPr>
              <w:t xml:space="preserve">Gender Equality </w:t>
            </w:r>
            <w:r w:rsidR="00C83143">
              <w:rPr>
                <w:rFonts w:ascii="Times New Roman" w:hAnsi="Times New Roman" w:cs="Times New Roman"/>
                <w:i/>
                <w:iCs/>
                <w:sz w:val="22"/>
                <w:szCs w:val="22"/>
              </w:rPr>
              <w:t>O</w:t>
            </w:r>
            <w:r w:rsidR="00991A6D" w:rsidRPr="00EC0F64">
              <w:rPr>
                <w:rFonts w:ascii="Times New Roman" w:hAnsi="Times New Roman" w:cs="Times New Roman"/>
                <w:i/>
                <w:iCs/>
                <w:sz w:val="22"/>
                <w:szCs w:val="22"/>
              </w:rPr>
              <w:t>utcome</w:t>
            </w:r>
            <w:r w:rsidR="00EC0F64" w:rsidRPr="00EC0F64">
              <w:rPr>
                <w:rFonts w:ascii="Times New Roman" w:hAnsi="Times New Roman" w:cs="Times New Roman"/>
                <w:i/>
                <w:iCs/>
                <w:sz w:val="22"/>
                <w:szCs w:val="22"/>
              </w:rPr>
              <w:t>. Partnership with UN Women as well as other Agencies and stakeholders for portfolio development and implementation will be based on principles of co-designing and co-implementation, leveraging respective institutional strengths and value-propositions for amplified impact</w:t>
            </w:r>
            <w:r w:rsidR="00EC0F64">
              <w:rPr>
                <w:rFonts w:ascii="Times New Roman" w:hAnsi="Times New Roman" w:cs="Times New Roman"/>
                <w:i/>
                <w:iCs/>
                <w:sz w:val="22"/>
                <w:szCs w:val="22"/>
              </w:rPr>
              <w:t>, especially in Outcomes 2 and 4.</w:t>
            </w:r>
          </w:p>
        </w:tc>
      </w:tr>
      <w:tr w:rsidR="005273E4" w:rsidRPr="00E53F9D" w14:paraId="1F7A1606" w14:textId="77777777" w:rsidTr="00D35999">
        <w:tc>
          <w:tcPr>
            <w:tcW w:w="7645" w:type="dxa"/>
          </w:tcPr>
          <w:p w14:paraId="0A4278CF" w14:textId="7E0C83DF" w:rsidR="005273E4" w:rsidRPr="005273E4" w:rsidRDefault="005273E4" w:rsidP="00FF6E0E">
            <w:pPr>
              <w:pStyle w:val="Default"/>
              <w:ind w:left="360" w:right="144"/>
              <w:jc w:val="both"/>
              <w:rPr>
                <w:rFonts w:asciiTheme="majorBidi" w:hAnsiTheme="majorBidi" w:cstheme="majorBidi"/>
                <w:sz w:val="22"/>
                <w:szCs w:val="22"/>
              </w:rPr>
            </w:pPr>
            <w:r w:rsidRPr="005273E4">
              <w:rPr>
                <w:rFonts w:asciiTheme="majorBidi" w:hAnsiTheme="majorBidi" w:cstheme="majorBidi"/>
                <w:sz w:val="22"/>
                <w:szCs w:val="22"/>
              </w:rPr>
              <w:lastRenderedPageBreak/>
              <w:t>We encourage a strong focus on digital transformation, including in the governance sector.</w:t>
            </w:r>
          </w:p>
        </w:tc>
        <w:tc>
          <w:tcPr>
            <w:tcW w:w="5670" w:type="dxa"/>
          </w:tcPr>
          <w:p w14:paraId="33214C55" w14:textId="0F4350AB" w:rsidR="005273E4" w:rsidRPr="00E22FB5" w:rsidRDefault="00815EB7" w:rsidP="005273E4">
            <w:pPr>
              <w:pStyle w:val="Default"/>
              <w:ind w:left="144" w:right="144"/>
              <w:jc w:val="both"/>
              <w:rPr>
                <w:rFonts w:ascii="Times New Roman" w:hAnsi="Times New Roman" w:cs="Times New Roman"/>
                <w:i/>
                <w:iCs/>
                <w:sz w:val="22"/>
                <w:szCs w:val="22"/>
              </w:rPr>
            </w:pPr>
            <w:r w:rsidRPr="009F53C9">
              <w:rPr>
                <w:rFonts w:ascii="Times New Roman" w:hAnsi="Times New Roman" w:cs="Times New Roman"/>
                <w:i/>
                <w:iCs/>
                <w:sz w:val="22"/>
                <w:szCs w:val="22"/>
              </w:rPr>
              <w:t>The comment is w</w:t>
            </w:r>
            <w:r w:rsidR="00276628" w:rsidRPr="009F53C9">
              <w:rPr>
                <w:rFonts w:ascii="Times New Roman" w:hAnsi="Times New Roman" w:cs="Times New Roman"/>
                <w:i/>
                <w:iCs/>
                <w:sz w:val="22"/>
                <w:szCs w:val="22"/>
              </w:rPr>
              <w:t xml:space="preserve">ell acknowledged. </w:t>
            </w:r>
            <w:r w:rsidR="005D320B" w:rsidRPr="009F53C9">
              <w:rPr>
                <w:rFonts w:ascii="Times New Roman" w:hAnsi="Times New Roman" w:cs="Times New Roman"/>
                <w:i/>
                <w:iCs/>
                <w:sz w:val="22"/>
                <w:szCs w:val="22"/>
              </w:rPr>
              <w:t xml:space="preserve">The CPD is designed to match </w:t>
            </w:r>
            <w:r w:rsidR="00770436">
              <w:rPr>
                <w:rFonts w:ascii="Times New Roman" w:hAnsi="Times New Roman" w:cs="Times New Roman"/>
                <w:i/>
                <w:iCs/>
                <w:sz w:val="22"/>
                <w:szCs w:val="22"/>
              </w:rPr>
              <w:t xml:space="preserve">Strategic Plan </w:t>
            </w:r>
            <w:r w:rsidR="005D320B" w:rsidRPr="00E22FB5">
              <w:rPr>
                <w:rFonts w:ascii="Times New Roman" w:eastAsia="Times New Roman" w:hAnsi="Times New Roman" w:cs="Times New Roman"/>
                <w:i/>
                <w:iCs/>
                <w:color w:val="auto"/>
                <w:sz w:val="22"/>
                <w:szCs w:val="22"/>
                <w:lang w:val="en-GB"/>
              </w:rPr>
              <w:t xml:space="preserve">signature solutions with evolving priorities by combining them with three powerful enablers: strategic innovation, digitalization, and development finance. The </w:t>
            </w:r>
            <w:r w:rsidR="009F53C9">
              <w:rPr>
                <w:rFonts w:ascii="Times New Roman" w:eastAsia="Times New Roman" w:hAnsi="Times New Roman" w:cs="Times New Roman"/>
                <w:i/>
                <w:iCs/>
                <w:color w:val="auto"/>
                <w:sz w:val="22"/>
                <w:szCs w:val="22"/>
                <w:lang w:val="en-GB"/>
              </w:rPr>
              <w:t xml:space="preserve">CPD </w:t>
            </w:r>
            <w:r w:rsidR="005D320B" w:rsidRPr="00E22FB5">
              <w:rPr>
                <w:rFonts w:ascii="Times New Roman" w:eastAsia="Times New Roman" w:hAnsi="Times New Roman" w:cs="Times New Roman"/>
                <w:i/>
                <w:iCs/>
                <w:color w:val="auto"/>
                <w:sz w:val="22"/>
                <w:szCs w:val="22"/>
                <w:lang w:val="en-GB"/>
              </w:rPr>
              <w:t>outcomes on governance (1)</w:t>
            </w:r>
            <w:r w:rsidR="009F53C9">
              <w:rPr>
                <w:rFonts w:ascii="Times New Roman" w:eastAsia="Times New Roman" w:hAnsi="Times New Roman" w:cs="Times New Roman"/>
                <w:i/>
                <w:iCs/>
                <w:color w:val="auto"/>
                <w:sz w:val="22"/>
                <w:szCs w:val="22"/>
                <w:lang w:val="en-GB"/>
              </w:rPr>
              <w:t>,</w:t>
            </w:r>
            <w:r w:rsidR="00E22FB5">
              <w:rPr>
                <w:rFonts w:ascii="Times New Roman" w:eastAsia="Times New Roman" w:hAnsi="Times New Roman" w:cs="Times New Roman"/>
                <w:i/>
                <w:iCs/>
                <w:color w:val="auto"/>
                <w:sz w:val="22"/>
                <w:szCs w:val="22"/>
                <w:lang w:val="en-GB"/>
              </w:rPr>
              <w:t xml:space="preserve"> </w:t>
            </w:r>
            <w:r w:rsidR="005D320B" w:rsidRPr="00E22FB5">
              <w:rPr>
                <w:rFonts w:ascii="Times New Roman" w:eastAsia="Times New Roman" w:hAnsi="Times New Roman" w:cs="Times New Roman"/>
                <w:i/>
                <w:iCs/>
                <w:color w:val="auto"/>
                <w:sz w:val="22"/>
                <w:szCs w:val="22"/>
                <w:lang w:val="en-GB"/>
              </w:rPr>
              <w:t>economic transformation (</w:t>
            </w:r>
            <w:r w:rsidR="009F53C9" w:rsidRPr="00E22FB5">
              <w:rPr>
                <w:rFonts w:ascii="Times New Roman" w:eastAsia="Times New Roman" w:hAnsi="Times New Roman" w:cs="Times New Roman"/>
                <w:i/>
                <w:iCs/>
                <w:color w:val="auto"/>
                <w:sz w:val="22"/>
                <w:szCs w:val="22"/>
                <w:lang w:val="en-GB"/>
              </w:rPr>
              <w:t>2</w:t>
            </w:r>
            <w:r w:rsidR="005D320B" w:rsidRPr="00E22FB5">
              <w:rPr>
                <w:rFonts w:ascii="Times New Roman" w:eastAsia="Times New Roman" w:hAnsi="Times New Roman" w:cs="Times New Roman"/>
                <w:i/>
                <w:iCs/>
                <w:color w:val="auto"/>
                <w:sz w:val="22"/>
                <w:szCs w:val="22"/>
                <w:lang w:val="en-GB"/>
              </w:rPr>
              <w:t xml:space="preserve">) and on gender equality (4) </w:t>
            </w:r>
            <w:r w:rsidR="005D320B" w:rsidRPr="009F53C9">
              <w:rPr>
                <w:rFonts w:ascii="Times New Roman" w:hAnsi="Times New Roman" w:cs="Times New Roman"/>
                <w:i/>
                <w:iCs/>
                <w:sz w:val="22"/>
                <w:szCs w:val="22"/>
              </w:rPr>
              <w:t>focus on digital transformation among other elements.</w:t>
            </w:r>
            <w:r w:rsidR="00EC0F64" w:rsidRPr="009F53C9">
              <w:rPr>
                <w:rFonts w:ascii="Times New Roman" w:hAnsi="Times New Roman" w:cs="Times New Roman"/>
                <w:i/>
                <w:iCs/>
                <w:sz w:val="22"/>
                <w:szCs w:val="22"/>
              </w:rPr>
              <w:t xml:space="preserve"> </w:t>
            </w:r>
            <w:r w:rsidR="0025134F" w:rsidRPr="009F53C9">
              <w:rPr>
                <w:rFonts w:ascii="Times New Roman" w:hAnsi="Times New Roman" w:cs="Times New Roman"/>
                <w:i/>
                <w:iCs/>
                <w:sz w:val="22"/>
                <w:szCs w:val="22"/>
              </w:rPr>
              <w:t xml:space="preserve">As outlined in </w:t>
            </w:r>
            <w:r w:rsidR="005949A2">
              <w:rPr>
                <w:rFonts w:ascii="Times New Roman" w:hAnsi="Times New Roman" w:cs="Times New Roman"/>
                <w:i/>
                <w:iCs/>
                <w:sz w:val="22"/>
                <w:szCs w:val="22"/>
              </w:rPr>
              <w:t>p</w:t>
            </w:r>
            <w:r w:rsidR="0025134F" w:rsidRPr="009F53C9">
              <w:rPr>
                <w:rFonts w:ascii="Times New Roman" w:hAnsi="Times New Roman" w:cs="Times New Roman"/>
                <w:i/>
                <w:iCs/>
                <w:sz w:val="22"/>
                <w:szCs w:val="22"/>
              </w:rPr>
              <w:t xml:space="preserve">ara. 7 and elsewhere, </w:t>
            </w:r>
            <w:r w:rsidR="00EC0F64" w:rsidRPr="009F53C9">
              <w:rPr>
                <w:rFonts w:ascii="Times New Roman" w:hAnsi="Times New Roman" w:cs="Times New Roman"/>
                <w:i/>
                <w:iCs/>
                <w:sz w:val="22"/>
                <w:szCs w:val="22"/>
              </w:rPr>
              <w:t xml:space="preserve">UNDP envisions horizontal and vertical digital transformation of all its programming across all prioritized </w:t>
            </w:r>
            <w:r w:rsidR="00770436">
              <w:rPr>
                <w:rFonts w:ascii="Times New Roman" w:hAnsi="Times New Roman" w:cs="Times New Roman"/>
                <w:i/>
                <w:iCs/>
                <w:sz w:val="22"/>
                <w:szCs w:val="22"/>
              </w:rPr>
              <w:t>o</w:t>
            </w:r>
            <w:r w:rsidR="00EC0F64" w:rsidRPr="009F53C9">
              <w:rPr>
                <w:rFonts w:ascii="Times New Roman" w:hAnsi="Times New Roman" w:cs="Times New Roman"/>
                <w:i/>
                <w:iCs/>
                <w:sz w:val="22"/>
                <w:szCs w:val="22"/>
              </w:rPr>
              <w:t>utcomes.</w:t>
            </w:r>
          </w:p>
        </w:tc>
      </w:tr>
      <w:tr w:rsidR="005273E4" w:rsidRPr="00CE18A6" w14:paraId="611F4E66" w14:textId="77777777" w:rsidTr="00D35999">
        <w:trPr>
          <w:trHeight w:val="720"/>
        </w:trPr>
        <w:tc>
          <w:tcPr>
            <w:tcW w:w="7645" w:type="dxa"/>
            <w:shd w:val="clear" w:color="auto" w:fill="BFBFBF" w:themeFill="background1" w:themeFillShade="BF"/>
          </w:tcPr>
          <w:p w14:paraId="1CB71876" w14:textId="77777777" w:rsidR="005273E4" w:rsidRPr="00CE18A6" w:rsidRDefault="005273E4" w:rsidP="005273E4">
            <w:pPr>
              <w:autoSpaceDE w:val="0"/>
              <w:autoSpaceDN w:val="0"/>
              <w:adjustRightInd w:val="0"/>
              <w:jc w:val="center"/>
              <w:rPr>
                <w:rFonts w:ascii="Times New Roman" w:hAnsi="Times New Roman" w:cs="Times New Roman"/>
                <w:b/>
                <w:bCs/>
                <w:sz w:val="24"/>
                <w:szCs w:val="24"/>
              </w:rPr>
            </w:pPr>
          </w:p>
          <w:p w14:paraId="1BE6A894" w14:textId="48B58627" w:rsidR="005273E4" w:rsidRPr="00CE18A6" w:rsidRDefault="005273E4" w:rsidP="005273E4">
            <w:pPr>
              <w:autoSpaceDE w:val="0"/>
              <w:autoSpaceDN w:val="0"/>
              <w:adjustRightInd w:val="0"/>
              <w:jc w:val="center"/>
              <w:rPr>
                <w:rFonts w:ascii="Times New Roman" w:hAnsi="Times New Roman" w:cs="Times New Roman"/>
                <w:b/>
                <w:bCs/>
                <w:sz w:val="24"/>
                <w:szCs w:val="24"/>
              </w:rPr>
            </w:pPr>
            <w:r w:rsidRPr="00CE18A6">
              <w:rPr>
                <w:rFonts w:ascii="Times New Roman" w:hAnsi="Times New Roman" w:cs="Times New Roman"/>
                <w:b/>
                <w:bCs/>
                <w:sz w:val="24"/>
                <w:szCs w:val="24"/>
              </w:rPr>
              <w:t>Comment</w:t>
            </w:r>
            <w:r>
              <w:rPr>
                <w:rFonts w:ascii="Times New Roman" w:hAnsi="Times New Roman" w:cs="Times New Roman"/>
                <w:b/>
                <w:bCs/>
                <w:sz w:val="24"/>
                <w:szCs w:val="24"/>
              </w:rPr>
              <w:t>s</w:t>
            </w:r>
            <w:r w:rsidRPr="00CE18A6">
              <w:rPr>
                <w:rFonts w:ascii="Times New Roman" w:hAnsi="Times New Roman" w:cs="Times New Roman"/>
                <w:b/>
                <w:bCs/>
                <w:sz w:val="24"/>
                <w:szCs w:val="24"/>
              </w:rPr>
              <w:t xml:space="preserve"> by</w:t>
            </w:r>
            <w:r>
              <w:rPr>
                <w:rFonts w:ascii="Times New Roman" w:hAnsi="Times New Roman" w:cs="Times New Roman"/>
                <w:b/>
                <w:bCs/>
                <w:sz w:val="24"/>
                <w:szCs w:val="24"/>
              </w:rPr>
              <w:t xml:space="preserve"> DENMARK</w:t>
            </w:r>
          </w:p>
          <w:p w14:paraId="162CE66B" w14:textId="3732334B" w:rsidR="005273E4" w:rsidRPr="00CE18A6" w:rsidRDefault="005273E4" w:rsidP="005273E4">
            <w:pPr>
              <w:autoSpaceDE w:val="0"/>
              <w:autoSpaceDN w:val="0"/>
              <w:adjustRightInd w:val="0"/>
              <w:jc w:val="center"/>
              <w:rPr>
                <w:rFonts w:ascii="Times New Roman" w:hAnsi="Times New Roman" w:cs="Times New Roman"/>
                <w:b/>
                <w:bCs/>
                <w:sz w:val="24"/>
                <w:szCs w:val="24"/>
              </w:rPr>
            </w:pPr>
          </w:p>
        </w:tc>
        <w:tc>
          <w:tcPr>
            <w:tcW w:w="5670" w:type="dxa"/>
            <w:shd w:val="clear" w:color="auto" w:fill="BFBFBF" w:themeFill="background1" w:themeFillShade="BF"/>
          </w:tcPr>
          <w:p w14:paraId="2F88D2D7" w14:textId="77777777" w:rsidR="005273E4" w:rsidRPr="00CE18A6" w:rsidRDefault="005273E4" w:rsidP="005273E4">
            <w:pPr>
              <w:autoSpaceDE w:val="0"/>
              <w:autoSpaceDN w:val="0"/>
              <w:adjustRightInd w:val="0"/>
              <w:jc w:val="center"/>
              <w:rPr>
                <w:rFonts w:ascii="Times New Roman" w:hAnsi="Times New Roman" w:cs="Times New Roman"/>
                <w:b/>
                <w:bCs/>
                <w:color w:val="000000"/>
                <w:sz w:val="24"/>
                <w:szCs w:val="24"/>
              </w:rPr>
            </w:pPr>
          </w:p>
          <w:p w14:paraId="539047CC" w14:textId="1996149A" w:rsidR="005273E4" w:rsidRPr="00CE18A6" w:rsidRDefault="00D83EB5" w:rsidP="005273E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w:t>
            </w:r>
            <w:r w:rsidRPr="00CE18A6">
              <w:rPr>
                <w:rFonts w:ascii="Times New Roman" w:hAnsi="Times New Roman" w:cs="Times New Roman"/>
                <w:b/>
                <w:bCs/>
                <w:color w:val="000000"/>
                <w:sz w:val="24"/>
                <w:szCs w:val="24"/>
              </w:rPr>
              <w:t xml:space="preserve"> </w:t>
            </w:r>
            <w:r w:rsidR="005273E4" w:rsidRPr="00CE18A6">
              <w:rPr>
                <w:rFonts w:ascii="Times New Roman" w:hAnsi="Times New Roman" w:cs="Times New Roman"/>
                <w:b/>
                <w:bCs/>
                <w:color w:val="000000"/>
                <w:sz w:val="24"/>
                <w:szCs w:val="24"/>
              </w:rPr>
              <w:t>Response</w:t>
            </w:r>
          </w:p>
        </w:tc>
      </w:tr>
      <w:tr w:rsidR="005273E4" w:rsidRPr="00CE18A6" w14:paraId="2716EE28" w14:textId="77777777" w:rsidTr="00D35999">
        <w:tc>
          <w:tcPr>
            <w:tcW w:w="7645" w:type="dxa"/>
          </w:tcPr>
          <w:p w14:paraId="5EB49478" w14:textId="76DB9F85" w:rsidR="005273E4" w:rsidRPr="00FF6E0E" w:rsidRDefault="005273E4" w:rsidP="00FF6E0E">
            <w:pPr>
              <w:pStyle w:val="ListParagraph"/>
              <w:numPr>
                <w:ilvl w:val="0"/>
                <w:numId w:val="35"/>
              </w:numPr>
              <w:autoSpaceDE w:val="0"/>
              <w:autoSpaceDN w:val="0"/>
              <w:adjustRightInd w:val="0"/>
              <w:spacing w:after="0" w:line="240" w:lineRule="auto"/>
              <w:jc w:val="both"/>
              <w:rPr>
                <w:rFonts w:asciiTheme="majorBidi" w:hAnsiTheme="majorBidi" w:cstheme="majorBidi"/>
                <w:color w:val="000000"/>
              </w:rPr>
            </w:pPr>
            <w:r w:rsidRPr="00FF6E0E">
              <w:rPr>
                <w:rFonts w:asciiTheme="majorBidi" w:hAnsiTheme="majorBidi" w:cstheme="majorBidi"/>
              </w:rPr>
              <w:t>Para. 2 – suggest to remove “an impressive” as much more could be done by Pakistan in particular in the area of green transition and structural challenges remain, particularly in relation to financing, commitment as well as actual implementation. In addition, Pakistan seems currently to be restarting coal power plants and exploitation. Deforestation also seems to remain high despite Governmental initiatives.</w:t>
            </w:r>
          </w:p>
        </w:tc>
        <w:tc>
          <w:tcPr>
            <w:tcW w:w="5670" w:type="dxa"/>
          </w:tcPr>
          <w:p w14:paraId="50B0BB86" w14:textId="1A50E67F" w:rsidR="005273E4" w:rsidRPr="0025134F" w:rsidRDefault="009127BE" w:rsidP="005273E4">
            <w:pPr>
              <w:autoSpaceDE w:val="0"/>
              <w:autoSpaceDN w:val="0"/>
              <w:adjustRightInd w:val="0"/>
              <w:jc w:val="both"/>
              <w:rPr>
                <w:rFonts w:ascii="Times New Roman" w:hAnsi="Times New Roman" w:cs="Times New Roman"/>
                <w:i/>
                <w:iCs/>
                <w:color w:val="000000"/>
                <w:sz w:val="24"/>
                <w:szCs w:val="24"/>
              </w:rPr>
            </w:pPr>
            <w:r w:rsidRPr="0025134F">
              <w:rPr>
                <w:rFonts w:ascii="Times New Roman" w:hAnsi="Times New Roman" w:cs="Times New Roman"/>
                <w:i/>
                <w:iCs/>
                <w:color w:val="000000"/>
              </w:rPr>
              <w:t xml:space="preserve">While </w:t>
            </w:r>
            <w:r w:rsidR="00815EB7">
              <w:rPr>
                <w:rFonts w:ascii="Times New Roman" w:hAnsi="Times New Roman" w:cs="Times New Roman"/>
                <w:i/>
                <w:iCs/>
                <w:color w:val="000000"/>
              </w:rPr>
              <w:t>we</w:t>
            </w:r>
            <w:r w:rsidR="00815EB7" w:rsidRPr="0025134F">
              <w:rPr>
                <w:rFonts w:ascii="Times New Roman" w:hAnsi="Times New Roman" w:cs="Times New Roman"/>
                <w:i/>
                <w:iCs/>
                <w:color w:val="000000"/>
              </w:rPr>
              <w:t xml:space="preserve"> </w:t>
            </w:r>
            <w:r w:rsidRPr="0025134F">
              <w:rPr>
                <w:rFonts w:ascii="Times New Roman" w:hAnsi="Times New Roman" w:cs="Times New Roman"/>
                <w:i/>
                <w:iCs/>
                <w:color w:val="000000"/>
              </w:rPr>
              <w:t>note the challenges identified</w:t>
            </w:r>
            <w:r w:rsidR="00815EB7">
              <w:rPr>
                <w:rFonts w:ascii="Times New Roman" w:hAnsi="Times New Roman" w:cs="Times New Roman"/>
                <w:i/>
                <w:iCs/>
                <w:color w:val="000000"/>
              </w:rPr>
              <w:t>, we</w:t>
            </w:r>
            <w:r w:rsidRPr="0025134F">
              <w:rPr>
                <w:rFonts w:ascii="Times New Roman" w:hAnsi="Times New Roman" w:cs="Times New Roman"/>
                <w:i/>
                <w:iCs/>
                <w:color w:val="000000"/>
              </w:rPr>
              <w:t xml:space="preserve"> wish to acknowledge the strong institutional leadership and sustained financial commitments made by the Pakistan Government</w:t>
            </w:r>
            <w:r w:rsidR="0025134F" w:rsidRPr="0025134F">
              <w:rPr>
                <w:rFonts w:ascii="Times New Roman" w:hAnsi="Times New Roman" w:cs="Times New Roman"/>
                <w:i/>
                <w:iCs/>
                <w:color w:val="000000"/>
              </w:rPr>
              <w:t xml:space="preserve"> for </w:t>
            </w:r>
            <w:r w:rsidR="00815EB7">
              <w:rPr>
                <w:rFonts w:ascii="Times New Roman" w:hAnsi="Times New Roman" w:cs="Times New Roman"/>
                <w:i/>
                <w:iCs/>
                <w:color w:val="000000"/>
              </w:rPr>
              <w:t xml:space="preserve">the </w:t>
            </w:r>
            <w:r w:rsidR="0025134F" w:rsidRPr="0025134F">
              <w:rPr>
                <w:rFonts w:ascii="Times New Roman" w:hAnsi="Times New Roman" w:cs="Times New Roman"/>
                <w:i/>
                <w:iCs/>
                <w:color w:val="000000"/>
              </w:rPr>
              <w:t xml:space="preserve">adoption and implementation of Agenda 2030 as part of its annual development plans and budgets. Pakistan </w:t>
            </w:r>
            <w:r w:rsidR="00815EB7">
              <w:rPr>
                <w:rFonts w:ascii="Times New Roman" w:hAnsi="Times New Roman" w:cs="Times New Roman"/>
                <w:i/>
                <w:iCs/>
                <w:color w:val="000000"/>
              </w:rPr>
              <w:t>is</w:t>
            </w:r>
            <w:r w:rsidR="0025134F" w:rsidRPr="0025134F">
              <w:rPr>
                <w:rFonts w:ascii="Times New Roman" w:hAnsi="Times New Roman" w:cs="Times New Roman"/>
                <w:i/>
                <w:iCs/>
                <w:color w:val="000000"/>
              </w:rPr>
              <w:t xml:space="preserve"> structurally, legislatively and financially investing in SDGs from its own resources through the National SDGs Programme, co-implemented with UNDP. </w:t>
            </w:r>
          </w:p>
        </w:tc>
      </w:tr>
      <w:tr w:rsidR="005273E4" w:rsidRPr="00CE18A6" w14:paraId="237C0437" w14:textId="77777777" w:rsidTr="00D35999">
        <w:tc>
          <w:tcPr>
            <w:tcW w:w="7645" w:type="dxa"/>
          </w:tcPr>
          <w:p w14:paraId="35BB2C47" w14:textId="0680E960" w:rsidR="005273E4" w:rsidRPr="00FF6E0E" w:rsidRDefault="005273E4" w:rsidP="00FF6E0E">
            <w:pPr>
              <w:pStyle w:val="ListParagraph"/>
              <w:numPr>
                <w:ilvl w:val="0"/>
                <w:numId w:val="35"/>
              </w:numPr>
              <w:autoSpaceDE w:val="0"/>
              <w:autoSpaceDN w:val="0"/>
              <w:adjustRightInd w:val="0"/>
              <w:spacing w:after="0" w:line="240" w:lineRule="auto"/>
              <w:rPr>
                <w:rFonts w:asciiTheme="majorBidi" w:hAnsiTheme="majorBidi" w:cstheme="majorBidi"/>
                <w:color w:val="000000"/>
              </w:rPr>
            </w:pPr>
            <w:r w:rsidRPr="00FF6E0E">
              <w:rPr>
                <w:rFonts w:asciiTheme="majorBidi" w:hAnsiTheme="majorBidi" w:cstheme="majorBidi"/>
              </w:rPr>
              <w:t xml:space="preserve">Para. 4 – suggest to include information on the current, relatively high vaccination roll-out rate in Pakistan, the Government´s innovative digital vaccination roll-out structure as well as information on vaccine donations </w:t>
            </w:r>
            <w:r w:rsidRPr="00FF6E0E">
              <w:rPr>
                <w:rFonts w:asciiTheme="majorBidi" w:hAnsiTheme="majorBidi" w:cstheme="majorBidi"/>
              </w:rPr>
              <w:lastRenderedPageBreak/>
              <w:t xml:space="preserve">received from other Member States through COVAX and bilaterally, including by EU Member States, cf. e.g. </w:t>
            </w:r>
            <w:hyperlink r:id="rId10" w:history="1">
              <w:r w:rsidRPr="00FF6E0E">
                <w:rPr>
                  <w:rStyle w:val="Hyperlink"/>
                  <w:rFonts w:asciiTheme="majorBidi" w:hAnsiTheme="majorBidi" w:cstheme="majorBidi"/>
                  <w:lang w:val="en-GB"/>
                </w:rPr>
                <w:t>COVAX roll-out - Pakistan | Gavi, the Vaccine Alliance</w:t>
              </w:r>
            </w:hyperlink>
            <w:r w:rsidRPr="00FF6E0E">
              <w:rPr>
                <w:rStyle w:val="Hyperlink"/>
                <w:rFonts w:asciiTheme="majorBidi" w:hAnsiTheme="majorBidi" w:cstheme="majorBidi"/>
                <w:lang w:val="en-GB"/>
              </w:rPr>
              <w:t>.</w:t>
            </w:r>
            <w:r w:rsidRPr="00FF6E0E">
              <w:rPr>
                <w:rFonts w:asciiTheme="majorBidi" w:hAnsiTheme="majorBidi" w:cstheme="majorBidi"/>
              </w:rPr>
              <w:t xml:space="preserve"> Also, the future outlook for the pandemic and vaccination roll-out in Pakistan could briefly be described.</w:t>
            </w:r>
          </w:p>
        </w:tc>
        <w:tc>
          <w:tcPr>
            <w:tcW w:w="5670" w:type="dxa"/>
          </w:tcPr>
          <w:p w14:paraId="689E7F06" w14:textId="2BA29C79" w:rsidR="005273E4" w:rsidRPr="0025134F" w:rsidRDefault="00C40704" w:rsidP="005273E4">
            <w:pPr>
              <w:autoSpaceDE w:val="0"/>
              <w:autoSpaceDN w:val="0"/>
              <w:adjustRightInd w:val="0"/>
              <w:rPr>
                <w:rFonts w:ascii="Times New Roman" w:hAnsi="Times New Roman" w:cs="Times New Roman"/>
                <w:i/>
                <w:iCs/>
                <w:color w:val="000000"/>
                <w:sz w:val="24"/>
                <w:szCs w:val="24"/>
              </w:rPr>
            </w:pPr>
            <w:r>
              <w:rPr>
                <w:rFonts w:ascii="Times New Roman" w:hAnsi="Times New Roman" w:cs="Times New Roman"/>
                <w:i/>
                <w:iCs/>
                <w:color w:val="000000"/>
              </w:rPr>
              <w:lastRenderedPageBreak/>
              <w:t xml:space="preserve">A detailed analysis of the socio-economic impact of the COVID-19 pandemic, including </w:t>
            </w:r>
            <w:r w:rsidR="00E93316">
              <w:rPr>
                <w:rFonts w:ascii="Times New Roman" w:hAnsi="Times New Roman" w:cs="Times New Roman"/>
                <w:i/>
                <w:iCs/>
                <w:color w:val="000000"/>
              </w:rPr>
              <w:t>in relation to</w:t>
            </w:r>
            <w:r>
              <w:rPr>
                <w:rFonts w:ascii="Times New Roman" w:hAnsi="Times New Roman" w:cs="Times New Roman"/>
                <w:i/>
                <w:iCs/>
                <w:color w:val="000000"/>
              </w:rPr>
              <w:t xml:space="preserve"> vaccination, underpinned the development of the CPD.  </w:t>
            </w:r>
            <w:r w:rsidR="0025134F" w:rsidRPr="0025134F">
              <w:rPr>
                <w:rFonts w:ascii="Times New Roman" w:hAnsi="Times New Roman" w:cs="Times New Roman"/>
                <w:i/>
                <w:iCs/>
                <w:color w:val="000000"/>
              </w:rPr>
              <w:t xml:space="preserve">Strategic </w:t>
            </w:r>
            <w:r w:rsidR="0025134F" w:rsidRPr="0025134F">
              <w:rPr>
                <w:rFonts w:ascii="Times New Roman" w:hAnsi="Times New Roman" w:cs="Times New Roman"/>
                <w:i/>
                <w:iCs/>
                <w:color w:val="000000"/>
              </w:rPr>
              <w:lastRenderedPageBreak/>
              <w:t>references to the Government’s policy responses for COVID-19 have been included in Paras. 3, 7, 10 and 11.</w:t>
            </w:r>
            <w:r>
              <w:rPr>
                <w:rFonts w:ascii="Times New Roman" w:hAnsi="Times New Roman" w:cs="Times New Roman"/>
                <w:i/>
                <w:iCs/>
                <w:color w:val="000000"/>
              </w:rPr>
              <w:t xml:space="preserve">  </w:t>
            </w:r>
            <w:r w:rsidR="00815EB7">
              <w:rPr>
                <w:rFonts w:ascii="Times New Roman" w:hAnsi="Times New Roman" w:cs="Times New Roman"/>
                <w:i/>
                <w:iCs/>
                <w:color w:val="000000"/>
              </w:rPr>
              <w:t xml:space="preserve"> </w:t>
            </w:r>
          </w:p>
        </w:tc>
      </w:tr>
      <w:tr w:rsidR="005273E4" w:rsidRPr="00CE18A6" w14:paraId="30BC8F0C" w14:textId="77777777" w:rsidTr="00D35999">
        <w:tc>
          <w:tcPr>
            <w:tcW w:w="7645" w:type="dxa"/>
          </w:tcPr>
          <w:p w14:paraId="6313F0A8" w14:textId="44AC0329" w:rsidR="005273E4" w:rsidRPr="00FF6E0E" w:rsidRDefault="005273E4" w:rsidP="00FF6E0E">
            <w:pPr>
              <w:pStyle w:val="ListParagraph"/>
              <w:numPr>
                <w:ilvl w:val="0"/>
                <w:numId w:val="35"/>
              </w:numPr>
              <w:autoSpaceDE w:val="0"/>
              <w:autoSpaceDN w:val="0"/>
              <w:adjustRightInd w:val="0"/>
              <w:spacing w:after="0" w:line="240" w:lineRule="auto"/>
              <w:rPr>
                <w:rFonts w:asciiTheme="majorBidi" w:hAnsiTheme="majorBidi" w:cstheme="majorBidi"/>
                <w:color w:val="000000"/>
              </w:rPr>
            </w:pPr>
            <w:r w:rsidRPr="00FF6E0E">
              <w:rPr>
                <w:rFonts w:asciiTheme="majorBidi" w:hAnsiTheme="majorBidi" w:cstheme="majorBidi"/>
              </w:rPr>
              <w:lastRenderedPageBreak/>
              <w:t xml:space="preserve">Para. 7 – suggest to include additional information and examples on Pakistan´s exposure as one of the top ten most exposed countries in the world to climate change, cf. e.g. </w:t>
            </w:r>
            <w:bookmarkStart w:id="0" w:name="_Hlk107996934"/>
            <w:r w:rsidRPr="00FF6E0E">
              <w:fldChar w:fldCharType="begin"/>
            </w:r>
            <w:r w:rsidRPr="00FF6E0E">
              <w:rPr>
                <w:rFonts w:asciiTheme="majorBidi" w:hAnsiTheme="majorBidi" w:cstheme="majorBidi"/>
              </w:rPr>
              <w:instrText xml:space="preserve"> HYPERLINK "https://germanwatch.org/en/19777" </w:instrText>
            </w:r>
            <w:r w:rsidRPr="00FF6E0E">
              <w:fldChar w:fldCharType="separate"/>
            </w:r>
            <w:r w:rsidRPr="00FF6E0E">
              <w:rPr>
                <w:rStyle w:val="Hyperlink"/>
                <w:rFonts w:asciiTheme="majorBidi" w:hAnsiTheme="majorBidi" w:cstheme="majorBidi"/>
                <w:lang w:val="en-GB"/>
              </w:rPr>
              <w:t>German Watch - Global Climate Risk Index 2021 – Long-Term Climate Risk Index</w:t>
            </w:r>
            <w:r w:rsidRPr="00FF6E0E">
              <w:rPr>
                <w:rStyle w:val="Hyperlink"/>
                <w:rFonts w:asciiTheme="majorBidi" w:hAnsiTheme="majorBidi" w:cstheme="majorBidi"/>
                <w:lang w:val="en-GB"/>
              </w:rPr>
              <w:fldChar w:fldCharType="end"/>
            </w:r>
            <w:bookmarkEnd w:id="0"/>
          </w:p>
        </w:tc>
        <w:tc>
          <w:tcPr>
            <w:tcW w:w="5670" w:type="dxa"/>
          </w:tcPr>
          <w:p w14:paraId="0F043D9E" w14:textId="67E9025D" w:rsidR="005273E4" w:rsidRPr="00290B08" w:rsidRDefault="00E141C0" w:rsidP="005273E4">
            <w:pPr>
              <w:autoSpaceDE w:val="0"/>
              <w:autoSpaceDN w:val="0"/>
              <w:adjustRightInd w:val="0"/>
              <w:rPr>
                <w:rFonts w:ascii="Times New Roman" w:hAnsi="Times New Roman" w:cs="Times New Roman"/>
                <w:i/>
                <w:iCs/>
                <w:color w:val="000000"/>
                <w:sz w:val="24"/>
                <w:szCs w:val="24"/>
              </w:rPr>
            </w:pPr>
            <w:r>
              <w:rPr>
                <w:rFonts w:ascii="Times New Roman" w:hAnsi="Times New Roman" w:cs="Times New Roman"/>
                <w:i/>
                <w:iCs/>
                <w:color w:val="000000"/>
              </w:rPr>
              <w:t>Information has been i</w:t>
            </w:r>
            <w:r w:rsidR="00290B08" w:rsidRPr="00290B08">
              <w:rPr>
                <w:rFonts w:ascii="Times New Roman" w:hAnsi="Times New Roman" w:cs="Times New Roman"/>
                <w:i/>
                <w:iCs/>
                <w:color w:val="000000"/>
              </w:rPr>
              <w:t>ncorporated as suggested</w:t>
            </w:r>
            <w:r w:rsidR="00E93316">
              <w:rPr>
                <w:rFonts w:ascii="Times New Roman" w:hAnsi="Times New Roman" w:cs="Times New Roman"/>
                <w:i/>
                <w:iCs/>
                <w:color w:val="000000"/>
              </w:rPr>
              <w:t xml:space="preserve">, </w:t>
            </w:r>
            <w:r w:rsidR="00172C8D">
              <w:rPr>
                <w:rFonts w:ascii="Times New Roman" w:hAnsi="Times New Roman" w:cs="Times New Roman"/>
                <w:i/>
                <w:iCs/>
                <w:color w:val="000000"/>
              </w:rPr>
              <w:t>in para</w:t>
            </w:r>
            <w:r w:rsidR="00E93316">
              <w:rPr>
                <w:rFonts w:ascii="Times New Roman" w:hAnsi="Times New Roman" w:cs="Times New Roman"/>
                <w:i/>
                <w:iCs/>
                <w:color w:val="000000"/>
              </w:rPr>
              <w:t>.</w:t>
            </w:r>
            <w:r w:rsidR="00172C8D">
              <w:rPr>
                <w:rFonts w:ascii="Times New Roman" w:hAnsi="Times New Roman" w:cs="Times New Roman"/>
                <w:i/>
                <w:iCs/>
                <w:color w:val="000000"/>
              </w:rPr>
              <w:t xml:space="preserve"> 8</w:t>
            </w:r>
            <w:r w:rsidR="00E93316">
              <w:rPr>
                <w:rFonts w:ascii="Times New Roman" w:hAnsi="Times New Roman" w:cs="Times New Roman"/>
                <w:i/>
                <w:iCs/>
                <w:color w:val="000000"/>
              </w:rPr>
              <w:t xml:space="preserve"> </w:t>
            </w:r>
            <w:r w:rsidR="0096134F">
              <w:rPr>
                <w:rFonts w:ascii="Times New Roman" w:hAnsi="Times New Roman" w:cs="Times New Roman"/>
                <w:i/>
                <w:iCs/>
                <w:color w:val="000000"/>
              </w:rPr>
              <w:t xml:space="preserve">which describes briefly </w:t>
            </w:r>
            <w:r w:rsidR="005949A2">
              <w:rPr>
                <w:rFonts w:ascii="Times New Roman" w:hAnsi="Times New Roman" w:cs="Times New Roman"/>
                <w:i/>
                <w:iCs/>
                <w:color w:val="000000"/>
              </w:rPr>
              <w:t>c</w:t>
            </w:r>
            <w:r w:rsidR="00E93316">
              <w:rPr>
                <w:rFonts w:ascii="Times New Roman" w:hAnsi="Times New Roman" w:cs="Times New Roman"/>
                <w:i/>
                <w:iCs/>
                <w:color w:val="000000"/>
              </w:rPr>
              <w:t>limate change challenges.</w:t>
            </w:r>
          </w:p>
        </w:tc>
      </w:tr>
      <w:tr w:rsidR="005273E4" w:rsidRPr="00CE18A6" w14:paraId="0AF821ED" w14:textId="77777777" w:rsidTr="00D35999">
        <w:tc>
          <w:tcPr>
            <w:tcW w:w="7645" w:type="dxa"/>
          </w:tcPr>
          <w:p w14:paraId="1CC48AF8" w14:textId="6FBE2E96" w:rsidR="005273E4" w:rsidRPr="00FF6E0E" w:rsidRDefault="005273E4" w:rsidP="00FF6E0E">
            <w:pPr>
              <w:pStyle w:val="ListParagraph"/>
              <w:numPr>
                <w:ilvl w:val="0"/>
                <w:numId w:val="35"/>
              </w:numPr>
              <w:autoSpaceDE w:val="0"/>
              <w:autoSpaceDN w:val="0"/>
              <w:adjustRightInd w:val="0"/>
              <w:spacing w:after="0" w:line="240" w:lineRule="auto"/>
              <w:rPr>
                <w:rFonts w:asciiTheme="majorBidi" w:hAnsiTheme="majorBidi" w:cstheme="majorBidi"/>
                <w:color w:val="000000"/>
              </w:rPr>
            </w:pPr>
            <w:r w:rsidRPr="00FF6E0E">
              <w:rPr>
                <w:rFonts w:asciiTheme="majorBidi" w:hAnsiTheme="majorBidi" w:cstheme="majorBidi"/>
              </w:rPr>
              <w:t>Para. 9 – suggest to include additional information on the impact of the significant gender inequality on implementation of SDGs</w:t>
            </w:r>
          </w:p>
        </w:tc>
        <w:tc>
          <w:tcPr>
            <w:tcW w:w="5670" w:type="dxa"/>
          </w:tcPr>
          <w:p w14:paraId="3B140B09" w14:textId="611E3094" w:rsidR="005273E4" w:rsidRPr="003D7EAB" w:rsidRDefault="00210D7F" w:rsidP="005273E4">
            <w:pPr>
              <w:autoSpaceDE w:val="0"/>
              <w:autoSpaceDN w:val="0"/>
              <w:adjustRightInd w:val="0"/>
              <w:rPr>
                <w:rFonts w:ascii="Times New Roman" w:hAnsi="Times New Roman" w:cs="Times New Roman"/>
                <w:i/>
                <w:iCs/>
                <w:color w:val="000000"/>
              </w:rPr>
            </w:pPr>
            <w:r w:rsidRPr="003D7EAB">
              <w:rPr>
                <w:rFonts w:ascii="Times New Roman" w:hAnsi="Times New Roman" w:cs="Times New Roman"/>
                <w:i/>
                <w:iCs/>
                <w:color w:val="000000"/>
              </w:rPr>
              <w:t>These aspects have been addressed subsequently in Paras. 28-31 under Outcome 4 on Gender Equality.</w:t>
            </w:r>
            <w:r w:rsidR="00E91399">
              <w:rPr>
                <w:rFonts w:ascii="Times New Roman" w:hAnsi="Times New Roman" w:cs="Times New Roman"/>
                <w:i/>
                <w:iCs/>
                <w:color w:val="000000"/>
              </w:rPr>
              <w:t xml:space="preserve"> </w:t>
            </w:r>
          </w:p>
        </w:tc>
      </w:tr>
      <w:tr w:rsidR="005273E4" w:rsidRPr="00CE18A6" w14:paraId="5EE1B793" w14:textId="77777777" w:rsidTr="00D35999">
        <w:tc>
          <w:tcPr>
            <w:tcW w:w="7645" w:type="dxa"/>
          </w:tcPr>
          <w:p w14:paraId="1DC3C51D" w14:textId="330E1F43" w:rsidR="005273E4" w:rsidRPr="00FF6E0E" w:rsidRDefault="005273E4" w:rsidP="00FF6E0E">
            <w:pPr>
              <w:pStyle w:val="ListParagraph"/>
              <w:numPr>
                <w:ilvl w:val="0"/>
                <w:numId w:val="35"/>
              </w:numPr>
              <w:autoSpaceDE w:val="0"/>
              <w:autoSpaceDN w:val="0"/>
              <w:adjustRightInd w:val="0"/>
              <w:spacing w:after="0" w:line="240" w:lineRule="auto"/>
              <w:rPr>
                <w:rFonts w:asciiTheme="majorBidi" w:hAnsiTheme="majorBidi" w:cstheme="majorBidi"/>
              </w:rPr>
            </w:pPr>
            <w:r w:rsidRPr="00FF6E0E">
              <w:rPr>
                <w:rFonts w:asciiTheme="majorBidi" w:hAnsiTheme="majorBidi" w:cstheme="majorBidi"/>
              </w:rPr>
              <w:t>Para. 21 – suggest to describe in more detail and with specific examples how UNDP will ensure private-sector financing in particular in light of Pakistan´s current fiscal and political conditions. There have also remained significant challenges in relation to the so-called “Independent Power Producers” that have experienced unilateral tariff decreases by the Government of Pakistan as well as other foreign investors that have had numerous difficulties engaging in the area of green transition in Pakistan. How could UNDP further work with the Government of Pakistan and/or other Member States in order to improve the framework conditions for the necessary investments/engagements in Pakistan by the private sector?</w:t>
            </w:r>
          </w:p>
        </w:tc>
        <w:tc>
          <w:tcPr>
            <w:tcW w:w="5670" w:type="dxa"/>
          </w:tcPr>
          <w:p w14:paraId="7A6DBC67" w14:textId="33E293F6" w:rsidR="005273E4" w:rsidRPr="004304E8" w:rsidRDefault="004304E8" w:rsidP="005273E4">
            <w:pPr>
              <w:autoSpaceDE w:val="0"/>
              <w:autoSpaceDN w:val="0"/>
              <w:adjustRightInd w:val="0"/>
              <w:rPr>
                <w:rFonts w:ascii="Times New Roman" w:hAnsi="Times New Roman" w:cs="Times New Roman"/>
                <w:i/>
                <w:iCs/>
                <w:color w:val="000000"/>
                <w:sz w:val="24"/>
                <w:szCs w:val="24"/>
              </w:rPr>
            </w:pPr>
            <w:r w:rsidRPr="004304E8">
              <w:rPr>
                <w:rFonts w:ascii="Times New Roman" w:hAnsi="Times New Roman" w:cs="Times New Roman"/>
                <w:i/>
                <w:iCs/>
                <w:color w:val="000000"/>
              </w:rPr>
              <w:t xml:space="preserve">Please refer to Outcomes 2 and 3 for details on UNDP’s envisioned </w:t>
            </w:r>
            <w:r>
              <w:rPr>
                <w:rFonts w:ascii="Times New Roman" w:hAnsi="Times New Roman" w:cs="Times New Roman"/>
                <w:i/>
                <w:iCs/>
                <w:color w:val="000000"/>
              </w:rPr>
              <w:t xml:space="preserve">Financing for Development portfolio </w:t>
            </w:r>
            <w:r w:rsidRPr="004304E8">
              <w:rPr>
                <w:rFonts w:ascii="Times New Roman" w:hAnsi="Times New Roman" w:cs="Times New Roman"/>
                <w:i/>
                <w:iCs/>
                <w:color w:val="000000"/>
              </w:rPr>
              <w:t xml:space="preserve">approaches </w:t>
            </w:r>
            <w:r>
              <w:rPr>
                <w:rFonts w:ascii="Times New Roman" w:hAnsi="Times New Roman" w:cs="Times New Roman"/>
                <w:i/>
                <w:iCs/>
                <w:color w:val="000000"/>
              </w:rPr>
              <w:t>to</w:t>
            </w:r>
            <w:r w:rsidRPr="004304E8">
              <w:rPr>
                <w:rFonts w:ascii="Times New Roman" w:hAnsi="Times New Roman" w:cs="Times New Roman"/>
                <w:i/>
                <w:iCs/>
                <w:color w:val="000000"/>
              </w:rPr>
              <w:t xml:space="preserve"> leverag</w:t>
            </w:r>
            <w:r>
              <w:rPr>
                <w:rFonts w:ascii="Times New Roman" w:hAnsi="Times New Roman" w:cs="Times New Roman"/>
                <w:i/>
                <w:iCs/>
                <w:color w:val="000000"/>
              </w:rPr>
              <w:t>e</w:t>
            </w:r>
            <w:r w:rsidRPr="004304E8">
              <w:rPr>
                <w:rFonts w:ascii="Times New Roman" w:hAnsi="Times New Roman" w:cs="Times New Roman"/>
                <w:i/>
                <w:iCs/>
                <w:color w:val="000000"/>
              </w:rPr>
              <w:t xml:space="preserve"> green private sector investments</w:t>
            </w:r>
            <w:r>
              <w:rPr>
                <w:rFonts w:ascii="Times New Roman" w:hAnsi="Times New Roman" w:cs="Times New Roman"/>
                <w:i/>
                <w:iCs/>
                <w:color w:val="000000"/>
              </w:rPr>
              <w:t xml:space="preserve"> and performance-based climate financing</w:t>
            </w:r>
            <w:r w:rsidRPr="004304E8">
              <w:rPr>
                <w:rFonts w:ascii="Times New Roman" w:hAnsi="Times New Roman" w:cs="Times New Roman"/>
                <w:i/>
                <w:iCs/>
                <w:color w:val="000000"/>
              </w:rPr>
              <w:t xml:space="preserve"> to achieve the Goals.</w:t>
            </w:r>
          </w:p>
        </w:tc>
      </w:tr>
      <w:tr w:rsidR="004304E8" w:rsidRPr="00CE18A6" w14:paraId="2CD6F7DD" w14:textId="77777777" w:rsidTr="00D35999">
        <w:tc>
          <w:tcPr>
            <w:tcW w:w="7645" w:type="dxa"/>
          </w:tcPr>
          <w:p w14:paraId="37BF4F28" w14:textId="511649A0" w:rsidR="004304E8" w:rsidRPr="00FF6E0E" w:rsidRDefault="004304E8" w:rsidP="00FF6E0E">
            <w:pPr>
              <w:pStyle w:val="ListParagraph"/>
              <w:numPr>
                <w:ilvl w:val="0"/>
                <w:numId w:val="35"/>
              </w:numPr>
              <w:spacing w:after="0" w:line="240" w:lineRule="auto"/>
              <w:rPr>
                <w:rFonts w:asciiTheme="majorBidi" w:hAnsiTheme="majorBidi" w:cstheme="majorBidi"/>
              </w:rPr>
            </w:pPr>
            <w:r w:rsidRPr="00FF6E0E">
              <w:rPr>
                <w:rFonts w:asciiTheme="majorBidi" w:hAnsiTheme="majorBidi" w:cstheme="majorBidi"/>
              </w:rPr>
              <w:t>Para 23 – suggest to to add reflections on how UNDP will specifically work and engage in relation to the infrastructure-investment scheme, China-Pakistan Economic Corridor “CPEC”, and ensure a sustainable and green roll-out of the projects under the scheme with a view to mitigate environmental damage and climate change, not least in the sectors of energy and transportation. </w:t>
            </w:r>
          </w:p>
        </w:tc>
        <w:tc>
          <w:tcPr>
            <w:tcW w:w="5670" w:type="dxa"/>
          </w:tcPr>
          <w:p w14:paraId="414C72A5" w14:textId="736CDFC1" w:rsidR="004304E8" w:rsidRPr="00CE18A6" w:rsidRDefault="004304E8" w:rsidP="004304E8">
            <w:pPr>
              <w:autoSpaceDE w:val="0"/>
              <w:autoSpaceDN w:val="0"/>
              <w:adjustRightInd w:val="0"/>
              <w:rPr>
                <w:rFonts w:ascii="Times New Roman" w:hAnsi="Times New Roman" w:cs="Times New Roman"/>
                <w:color w:val="000000"/>
                <w:sz w:val="24"/>
                <w:szCs w:val="24"/>
              </w:rPr>
            </w:pPr>
            <w:r w:rsidRPr="004304E8">
              <w:rPr>
                <w:rFonts w:ascii="Times New Roman" w:hAnsi="Times New Roman" w:cs="Times New Roman"/>
                <w:i/>
                <w:iCs/>
                <w:color w:val="000000"/>
              </w:rPr>
              <w:t xml:space="preserve">Please refer to Outcomes 2 and 3 for details on UNDP’s envisioned </w:t>
            </w:r>
            <w:r>
              <w:rPr>
                <w:rFonts w:ascii="Times New Roman" w:hAnsi="Times New Roman" w:cs="Times New Roman"/>
                <w:i/>
                <w:iCs/>
                <w:color w:val="000000"/>
              </w:rPr>
              <w:t xml:space="preserve">Financing for Development portfolio </w:t>
            </w:r>
            <w:r w:rsidRPr="004304E8">
              <w:rPr>
                <w:rFonts w:ascii="Times New Roman" w:hAnsi="Times New Roman" w:cs="Times New Roman"/>
                <w:i/>
                <w:iCs/>
                <w:color w:val="000000"/>
              </w:rPr>
              <w:t xml:space="preserve">approaches </w:t>
            </w:r>
            <w:r>
              <w:rPr>
                <w:rFonts w:ascii="Times New Roman" w:hAnsi="Times New Roman" w:cs="Times New Roman"/>
                <w:i/>
                <w:iCs/>
                <w:color w:val="000000"/>
              </w:rPr>
              <w:t>to</w:t>
            </w:r>
            <w:r w:rsidRPr="004304E8">
              <w:rPr>
                <w:rFonts w:ascii="Times New Roman" w:hAnsi="Times New Roman" w:cs="Times New Roman"/>
                <w:i/>
                <w:iCs/>
                <w:color w:val="000000"/>
              </w:rPr>
              <w:t xml:space="preserve"> leverag</w:t>
            </w:r>
            <w:r>
              <w:rPr>
                <w:rFonts w:ascii="Times New Roman" w:hAnsi="Times New Roman" w:cs="Times New Roman"/>
                <w:i/>
                <w:iCs/>
                <w:color w:val="000000"/>
              </w:rPr>
              <w:t>e</w:t>
            </w:r>
            <w:r w:rsidRPr="004304E8">
              <w:rPr>
                <w:rFonts w:ascii="Times New Roman" w:hAnsi="Times New Roman" w:cs="Times New Roman"/>
                <w:i/>
                <w:iCs/>
                <w:color w:val="000000"/>
              </w:rPr>
              <w:t xml:space="preserve"> green private sector investments</w:t>
            </w:r>
            <w:r>
              <w:rPr>
                <w:rFonts w:ascii="Times New Roman" w:hAnsi="Times New Roman" w:cs="Times New Roman"/>
                <w:i/>
                <w:iCs/>
                <w:color w:val="000000"/>
              </w:rPr>
              <w:t xml:space="preserve"> and performance-based climate financing</w:t>
            </w:r>
            <w:r w:rsidRPr="004304E8">
              <w:rPr>
                <w:rFonts w:ascii="Times New Roman" w:hAnsi="Times New Roman" w:cs="Times New Roman"/>
                <w:i/>
                <w:iCs/>
                <w:color w:val="000000"/>
              </w:rPr>
              <w:t xml:space="preserve"> to achieve the Goals.</w:t>
            </w:r>
            <w:r w:rsidR="007334BF">
              <w:rPr>
                <w:rFonts w:ascii="Times New Roman" w:hAnsi="Times New Roman" w:cs="Times New Roman"/>
                <w:i/>
                <w:iCs/>
                <w:color w:val="000000"/>
              </w:rPr>
              <w:t xml:space="preserve"> This covers UNDP’s envisioned efforts to support</w:t>
            </w:r>
            <w:r w:rsidR="00D5544A">
              <w:rPr>
                <w:rFonts w:ascii="Times New Roman" w:hAnsi="Times New Roman" w:cs="Times New Roman"/>
                <w:i/>
                <w:iCs/>
                <w:color w:val="000000"/>
              </w:rPr>
              <w:t xml:space="preserve"> an</w:t>
            </w:r>
            <w:r w:rsidR="007334BF">
              <w:rPr>
                <w:rFonts w:ascii="Times New Roman" w:hAnsi="Times New Roman" w:cs="Times New Roman"/>
                <w:i/>
                <w:iCs/>
                <w:color w:val="000000"/>
              </w:rPr>
              <w:t xml:space="preserve"> </w:t>
            </w:r>
            <w:r w:rsidR="00D5544A">
              <w:rPr>
                <w:rFonts w:ascii="Times New Roman" w:hAnsi="Times New Roman" w:cs="Times New Roman"/>
                <w:i/>
                <w:iCs/>
                <w:color w:val="000000"/>
              </w:rPr>
              <w:t>integrated rights-based and climate-friendly approach to r</w:t>
            </w:r>
            <w:r w:rsidR="007334BF">
              <w:rPr>
                <w:rFonts w:ascii="Times New Roman" w:hAnsi="Times New Roman" w:cs="Times New Roman"/>
                <w:i/>
                <w:iCs/>
                <w:color w:val="000000"/>
              </w:rPr>
              <w:t xml:space="preserve">egional </w:t>
            </w:r>
            <w:r w:rsidR="00D5544A">
              <w:rPr>
                <w:rFonts w:ascii="Times New Roman" w:hAnsi="Times New Roman" w:cs="Times New Roman"/>
                <w:i/>
                <w:iCs/>
                <w:color w:val="000000"/>
              </w:rPr>
              <w:t>c</w:t>
            </w:r>
            <w:r w:rsidR="007334BF">
              <w:rPr>
                <w:rFonts w:ascii="Times New Roman" w:hAnsi="Times New Roman" w:cs="Times New Roman"/>
                <w:i/>
                <w:iCs/>
                <w:color w:val="000000"/>
              </w:rPr>
              <w:t xml:space="preserve">onnectivity and </w:t>
            </w:r>
            <w:r w:rsidR="00D5544A">
              <w:rPr>
                <w:rFonts w:ascii="Times New Roman" w:hAnsi="Times New Roman" w:cs="Times New Roman"/>
                <w:i/>
                <w:iCs/>
                <w:color w:val="000000"/>
              </w:rPr>
              <w:t>r</w:t>
            </w:r>
            <w:r w:rsidR="007334BF">
              <w:rPr>
                <w:rFonts w:ascii="Times New Roman" w:hAnsi="Times New Roman" w:cs="Times New Roman"/>
                <w:i/>
                <w:iCs/>
                <w:color w:val="000000"/>
              </w:rPr>
              <w:t xml:space="preserve">egional </w:t>
            </w:r>
            <w:r w:rsidR="00D5544A">
              <w:rPr>
                <w:rFonts w:ascii="Times New Roman" w:hAnsi="Times New Roman" w:cs="Times New Roman"/>
                <w:i/>
                <w:iCs/>
                <w:color w:val="000000"/>
              </w:rPr>
              <w:t>e</w:t>
            </w:r>
            <w:r w:rsidR="007334BF">
              <w:rPr>
                <w:rFonts w:ascii="Times New Roman" w:hAnsi="Times New Roman" w:cs="Times New Roman"/>
                <w:i/>
                <w:iCs/>
                <w:color w:val="000000"/>
              </w:rPr>
              <w:t>qualization (including Balochistan, AJK and GB)</w:t>
            </w:r>
            <w:r w:rsidR="00D5544A">
              <w:rPr>
                <w:rFonts w:ascii="Times New Roman" w:hAnsi="Times New Roman" w:cs="Times New Roman"/>
                <w:i/>
                <w:iCs/>
                <w:color w:val="000000"/>
              </w:rPr>
              <w:t>.</w:t>
            </w:r>
            <w:r w:rsidR="007334BF">
              <w:rPr>
                <w:rFonts w:ascii="Times New Roman" w:hAnsi="Times New Roman" w:cs="Times New Roman"/>
                <w:i/>
                <w:iCs/>
                <w:color w:val="000000"/>
              </w:rPr>
              <w:t xml:space="preserve"> </w:t>
            </w:r>
          </w:p>
        </w:tc>
      </w:tr>
      <w:tr w:rsidR="004304E8" w:rsidRPr="00CE18A6" w14:paraId="3128016D" w14:textId="77777777" w:rsidTr="00D35999">
        <w:tc>
          <w:tcPr>
            <w:tcW w:w="7645" w:type="dxa"/>
          </w:tcPr>
          <w:p w14:paraId="3CA3D0F1" w14:textId="77777777" w:rsidR="004304E8" w:rsidRPr="00FF6E0E" w:rsidRDefault="004304E8" w:rsidP="00FF6E0E">
            <w:pPr>
              <w:pStyle w:val="ListParagraph"/>
              <w:numPr>
                <w:ilvl w:val="0"/>
                <w:numId w:val="33"/>
              </w:numPr>
              <w:spacing w:after="0" w:line="240" w:lineRule="auto"/>
              <w:rPr>
                <w:rFonts w:asciiTheme="majorBidi" w:hAnsiTheme="majorBidi" w:cstheme="majorBidi"/>
                <w:u w:val="single"/>
              </w:rPr>
            </w:pPr>
            <w:r w:rsidRPr="00FF6E0E">
              <w:rPr>
                <w:rFonts w:asciiTheme="majorBidi" w:hAnsiTheme="majorBidi" w:cstheme="majorBidi"/>
                <w:u w:val="single"/>
              </w:rPr>
              <w:t>General comments:</w:t>
            </w:r>
          </w:p>
          <w:p w14:paraId="73938A02" w14:textId="77777777" w:rsidR="004304E8" w:rsidRPr="00FF6E0E" w:rsidRDefault="004304E8" w:rsidP="00FF6E0E">
            <w:pPr>
              <w:pStyle w:val="ListParagraph"/>
              <w:numPr>
                <w:ilvl w:val="1"/>
                <w:numId w:val="32"/>
              </w:numPr>
              <w:spacing w:after="0" w:line="240" w:lineRule="auto"/>
              <w:ind w:left="648"/>
              <w:rPr>
                <w:rFonts w:asciiTheme="majorBidi" w:hAnsiTheme="majorBidi" w:cstheme="majorBidi"/>
              </w:rPr>
            </w:pPr>
            <w:r w:rsidRPr="00FF6E0E">
              <w:rPr>
                <w:rFonts w:asciiTheme="majorBidi" w:hAnsiTheme="majorBidi" w:cstheme="majorBidi"/>
              </w:rPr>
              <w:t>The expectations in the draft country program for Pakistan seems highly optimistic in particular in relation to economy</w:t>
            </w:r>
          </w:p>
          <w:p w14:paraId="7E227478" w14:textId="77777777" w:rsidR="004304E8" w:rsidRPr="00FF6E0E" w:rsidRDefault="004304E8" w:rsidP="00FF6E0E">
            <w:pPr>
              <w:pStyle w:val="ListParagraph"/>
              <w:numPr>
                <w:ilvl w:val="1"/>
                <w:numId w:val="32"/>
              </w:numPr>
              <w:spacing w:after="0" w:line="240" w:lineRule="auto"/>
              <w:ind w:left="648"/>
              <w:rPr>
                <w:rFonts w:asciiTheme="majorBidi" w:hAnsiTheme="majorBidi" w:cstheme="majorBidi"/>
              </w:rPr>
            </w:pPr>
            <w:r w:rsidRPr="00FF6E0E">
              <w:rPr>
                <w:rFonts w:asciiTheme="majorBidi" w:hAnsiTheme="majorBidi" w:cstheme="majorBidi"/>
              </w:rPr>
              <w:t>There is an unfortunate lack of reflections in relation to security, regional instability and anti-radicalisation</w:t>
            </w:r>
          </w:p>
          <w:p w14:paraId="0ADB28A4" w14:textId="77777777" w:rsidR="004304E8" w:rsidRPr="00FF6E0E" w:rsidRDefault="004304E8" w:rsidP="00FF6E0E">
            <w:pPr>
              <w:pStyle w:val="ListParagraph"/>
              <w:numPr>
                <w:ilvl w:val="1"/>
                <w:numId w:val="32"/>
              </w:numPr>
              <w:spacing w:after="0" w:line="240" w:lineRule="auto"/>
              <w:ind w:left="648"/>
              <w:rPr>
                <w:rFonts w:asciiTheme="majorBidi" w:hAnsiTheme="majorBidi" w:cstheme="majorBidi"/>
              </w:rPr>
            </w:pPr>
            <w:r w:rsidRPr="00FF6E0E">
              <w:rPr>
                <w:rFonts w:asciiTheme="majorBidi" w:hAnsiTheme="majorBidi" w:cstheme="majorBidi"/>
              </w:rPr>
              <w:lastRenderedPageBreak/>
              <w:t>It would also be recommendable to include a section about how UNDP foresees to create enhanced awareness and increased impact by partnering up with (Member State representations/missions of) donors in Pakistan</w:t>
            </w:r>
          </w:p>
          <w:p w14:paraId="14B2D799" w14:textId="77777777" w:rsidR="004304E8" w:rsidRPr="00FF6E0E" w:rsidRDefault="004304E8" w:rsidP="00FF6E0E">
            <w:pPr>
              <w:pStyle w:val="ListParagraph"/>
              <w:numPr>
                <w:ilvl w:val="1"/>
                <w:numId w:val="32"/>
              </w:numPr>
              <w:spacing w:after="0" w:line="240" w:lineRule="auto"/>
              <w:ind w:left="648"/>
              <w:rPr>
                <w:rFonts w:asciiTheme="majorBidi" w:hAnsiTheme="majorBidi" w:cstheme="majorBidi"/>
              </w:rPr>
            </w:pPr>
            <w:r w:rsidRPr="00FF6E0E">
              <w:rPr>
                <w:rFonts w:asciiTheme="majorBidi" w:hAnsiTheme="majorBidi" w:cstheme="majorBidi"/>
              </w:rPr>
              <w:t xml:space="preserve">Further information could also be provided on UNDPs comparative advantage in catalysing financing, systemic market change and market-based solutions (vs charity/ad hoc CSR-initiatives) as well as promoting sustainable development in relation to Pakistan. </w:t>
            </w:r>
          </w:p>
          <w:p w14:paraId="2C05CF04" w14:textId="77777777" w:rsidR="004304E8" w:rsidRPr="00FF6E0E" w:rsidRDefault="004304E8" w:rsidP="00FF6E0E">
            <w:pPr>
              <w:pStyle w:val="ListParagraph"/>
              <w:numPr>
                <w:ilvl w:val="1"/>
                <w:numId w:val="32"/>
              </w:numPr>
              <w:spacing w:after="0" w:line="240" w:lineRule="auto"/>
              <w:ind w:left="648"/>
              <w:rPr>
                <w:rFonts w:asciiTheme="majorBidi" w:hAnsiTheme="majorBidi" w:cstheme="majorBidi"/>
              </w:rPr>
            </w:pPr>
            <w:r w:rsidRPr="00FF6E0E">
              <w:rPr>
                <w:rFonts w:asciiTheme="majorBidi" w:hAnsiTheme="majorBidi" w:cstheme="majorBidi"/>
              </w:rPr>
              <w:t>It remains important to strengthen in-house expertise and knowledge as well as the relevant network of the country UNDP office in Pakistan. It is also important to avoid overlaps with financing institutions. Note that the list/column of major partners in the results matrix, page 9-14, do not seem to include companies, market actors and international finance institutions, incl. e.g. IFC which may also be relevant to consider.</w:t>
            </w:r>
          </w:p>
          <w:p w14:paraId="75E39C66" w14:textId="77777777" w:rsidR="004304E8" w:rsidRPr="00FF6E0E" w:rsidRDefault="004304E8" w:rsidP="00FF6E0E">
            <w:pPr>
              <w:pStyle w:val="ListParagraph"/>
              <w:numPr>
                <w:ilvl w:val="1"/>
                <w:numId w:val="32"/>
              </w:numPr>
              <w:spacing w:after="0" w:line="240" w:lineRule="auto"/>
              <w:ind w:left="648"/>
              <w:rPr>
                <w:rFonts w:asciiTheme="majorBidi" w:hAnsiTheme="majorBidi" w:cstheme="majorBidi"/>
              </w:rPr>
            </w:pPr>
            <w:r w:rsidRPr="00FF6E0E">
              <w:rPr>
                <w:rFonts w:asciiTheme="majorBidi" w:hAnsiTheme="majorBidi" w:cstheme="majorBidi"/>
              </w:rPr>
              <w:t>Furthermore, additional information could be provided on the added value of UNDP engagement on livelihood for refugees and host communities in light of Pakistan´s current status as the third largest refugee-hosting nation in the world.</w:t>
            </w:r>
          </w:p>
          <w:p w14:paraId="33EFB07D" w14:textId="06268181" w:rsidR="004304E8" w:rsidRPr="00FF6E0E" w:rsidRDefault="004304E8" w:rsidP="00FF6E0E">
            <w:pPr>
              <w:pStyle w:val="ListParagraph"/>
              <w:numPr>
                <w:ilvl w:val="1"/>
                <w:numId w:val="32"/>
              </w:numPr>
              <w:spacing w:after="0" w:line="240" w:lineRule="auto"/>
              <w:ind w:left="648"/>
              <w:rPr>
                <w:rFonts w:asciiTheme="majorBidi" w:hAnsiTheme="majorBidi" w:cstheme="majorBidi"/>
              </w:rPr>
            </w:pPr>
            <w:r w:rsidRPr="00FF6E0E">
              <w:rPr>
                <w:rFonts w:asciiTheme="majorBidi" w:hAnsiTheme="majorBidi" w:cstheme="majorBidi"/>
              </w:rPr>
              <w:t>Finally, it is suggested to reflect regional opportunities e.g.</w:t>
            </w:r>
            <w:r w:rsidR="00E87C9D" w:rsidRPr="00FF6E0E">
              <w:rPr>
                <w:rFonts w:asciiTheme="majorBidi" w:hAnsiTheme="majorBidi" w:cstheme="majorBidi"/>
              </w:rPr>
              <w:t>,</w:t>
            </w:r>
            <w:r w:rsidRPr="00FF6E0E">
              <w:rPr>
                <w:rFonts w:asciiTheme="majorBidi" w:hAnsiTheme="majorBidi" w:cstheme="majorBidi"/>
              </w:rPr>
              <w:t xml:space="preserve"> UNDP role in uniting youth across borders in the region.</w:t>
            </w:r>
          </w:p>
        </w:tc>
        <w:tc>
          <w:tcPr>
            <w:tcW w:w="5670" w:type="dxa"/>
          </w:tcPr>
          <w:p w14:paraId="3C969EBD" w14:textId="2F87C1E7" w:rsidR="00AE2DD5" w:rsidRDefault="00E141C0" w:rsidP="004304E8">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lastRenderedPageBreak/>
              <w:t>The comments are well noted</w:t>
            </w:r>
            <w:r w:rsidR="007334BF" w:rsidRPr="007334BF">
              <w:rPr>
                <w:rFonts w:ascii="Times New Roman" w:hAnsi="Times New Roman" w:cs="Times New Roman"/>
                <w:i/>
                <w:iCs/>
                <w:color w:val="000000"/>
              </w:rPr>
              <w:t>.</w:t>
            </w:r>
            <w:r w:rsidR="00AB680E">
              <w:rPr>
                <w:rFonts w:ascii="Times New Roman" w:hAnsi="Times New Roman" w:cs="Times New Roman"/>
                <w:i/>
                <w:iCs/>
                <w:color w:val="000000"/>
              </w:rPr>
              <w:t xml:space="preserve"> </w:t>
            </w:r>
            <w:r w:rsidR="007334BF" w:rsidRPr="007334BF">
              <w:rPr>
                <w:rFonts w:ascii="Times New Roman" w:hAnsi="Times New Roman" w:cs="Times New Roman"/>
                <w:i/>
                <w:iCs/>
                <w:color w:val="000000"/>
              </w:rPr>
              <w:t xml:space="preserve"> The country political, security, financial and economic risks have been outlined in Section III Programme and </w:t>
            </w:r>
            <w:r w:rsidR="00D5544A">
              <w:rPr>
                <w:rFonts w:ascii="Times New Roman" w:hAnsi="Times New Roman" w:cs="Times New Roman"/>
                <w:i/>
                <w:iCs/>
                <w:color w:val="000000"/>
              </w:rPr>
              <w:t>R</w:t>
            </w:r>
            <w:r w:rsidR="007334BF" w:rsidRPr="007334BF">
              <w:rPr>
                <w:rFonts w:ascii="Times New Roman" w:hAnsi="Times New Roman" w:cs="Times New Roman"/>
                <w:i/>
                <w:iCs/>
                <w:color w:val="000000"/>
              </w:rPr>
              <w:t xml:space="preserve">isk </w:t>
            </w:r>
            <w:r w:rsidR="00D5544A">
              <w:rPr>
                <w:rFonts w:ascii="Times New Roman" w:hAnsi="Times New Roman" w:cs="Times New Roman"/>
                <w:i/>
                <w:iCs/>
                <w:color w:val="000000"/>
              </w:rPr>
              <w:t>M</w:t>
            </w:r>
            <w:r w:rsidR="007334BF" w:rsidRPr="007334BF">
              <w:rPr>
                <w:rFonts w:ascii="Times New Roman" w:hAnsi="Times New Roman" w:cs="Times New Roman"/>
                <w:i/>
                <w:iCs/>
                <w:color w:val="000000"/>
              </w:rPr>
              <w:t xml:space="preserve">anagement. </w:t>
            </w:r>
          </w:p>
          <w:p w14:paraId="3AC77E38" w14:textId="77777777" w:rsidR="00AE2DD5" w:rsidRDefault="00AE2DD5" w:rsidP="004304E8">
            <w:pPr>
              <w:autoSpaceDE w:val="0"/>
              <w:autoSpaceDN w:val="0"/>
              <w:adjustRightInd w:val="0"/>
              <w:rPr>
                <w:rFonts w:ascii="Times New Roman" w:hAnsi="Times New Roman" w:cs="Times New Roman"/>
                <w:i/>
                <w:iCs/>
                <w:color w:val="000000"/>
              </w:rPr>
            </w:pPr>
          </w:p>
          <w:p w14:paraId="041B6075" w14:textId="795486E2" w:rsidR="004304E8" w:rsidRDefault="007334BF" w:rsidP="004304E8">
            <w:pPr>
              <w:autoSpaceDE w:val="0"/>
              <w:autoSpaceDN w:val="0"/>
              <w:adjustRightInd w:val="0"/>
              <w:rPr>
                <w:rFonts w:ascii="Times New Roman" w:hAnsi="Times New Roman" w:cs="Times New Roman"/>
                <w:i/>
                <w:iCs/>
                <w:color w:val="000000"/>
              </w:rPr>
            </w:pPr>
            <w:r w:rsidRPr="007334BF">
              <w:rPr>
                <w:rFonts w:ascii="Times New Roman" w:hAnsi="Times New Roman" w:cs="Times New Roman"/>
                <w:i/>
                <w:iCs/>
                <w:color w:val="000000"/>
              </w:rPr>
              <w:t xml:space="preserve">Under Outcomes 1 and 2, UNDP has outlined envisioned initiatives to promote Pakistan-Afghanistan cross-border development and socio-economic resilience activities for host </w:t>
            </w:r>
            <w:r w:rsidRPr="007334BF">
              <w:rPr>
                <w:rFonts w:ascii="Times New Roman" w:hAnsi="Times New Roman" w:cs="Times New Roman"/>
                <w:i/>
                <w:iCs/>
                <w:color w:val="000000"/>
              </w:rPr>
              <w:lastRenderedPageBreak/>
              <w:t>and refugee communities (including women and youth groups) to promote regional stabilization, peace and prosperity.</w:t>
            </w:r>
          </w:p>
          <w:p w14:paraId="0796688C" w14:textId="77777777" w:rsidR="00AE2DD5" w:rsidRDefault="00AE2DD5" w:rsidP="004304E8">
            <w:pPr>
              <w:autoSpaceDE w:val="0"/>
              <w:autoSpaceDN w:val="0"/>
              <w:adjustRightInd w:val="0"/>
              <w:rPr>
                <w:rFonts w:ascii="Times New Roman" w:hAnsi="Times New Roman" w:cs="Times New Roman"/>
                <w:i/>
                <w:iCs/>
                <w:color w:val="000000"/>
              </w:rPr>
            </w:pPr>
          </w:p>
          <w:p w14:paraId="0D5280E8" w14:textId="2C93BE6E" w:rsidR="00AE2DD5" w:rsidRPr="007334BF" w:rsidRDefault="00AE2DD5" w:rsidP="004304E8">
            <w:pPr>
              <w:autoSpaceDE w:val="0"/>
              <w:autoSpaceDN w:val="0"/>
              <w:adjustRightInd w:val="0"/>
              <w:rPr>
                <w:rFonts w:ascii="Times New Roman" w:hAnsi="Times New Roman" w:cs="Times New Roman"/>
                <w:i/>
                <w:iCs/>
                <w:color w:val="000000"/>
                <w:sz w:val="24"/>
                <w:szCs w:val="24"/>
              </w:rPr>
            </w:pPr>
            <w:r w:rsidRPr="00AE2DD5">
              <w:rPr>
                <w:rFonts w:ascii="Times New Roman" w:hAnsi="Times New Roman" w:cs="Times New Roman"/>
                <w:i/>
                <w:iCs/>
                <w:color w:val="000000"/>
              </w:rPr>
              <w:t>International Financial Institutions have been included in the RRF under Outcomes 1 and 2, as suggested</w:t>
            </w:r>
            <w:r w:rsidR="00E41670">
              <w:rPr>
                <w:rFonts w:ascii="Times New Roman" w:hAnsi="Times New Roman" w:cs="Times New Roman"/>
                <w:i/>
                <w:iCs/>
                <w:color w:val="000000"/>
              </w:rPr>
              <w:t>, with due consideration to creating synergies and avoiding overlap.</w:t>
            </w:r>
            <w:r w:rsidR="00BF00B7">
              <w:rPr>
                <w:rFonts w:ascii="Times New Roman" w:hAnsi="Times New Roman" w:cs="Times New Roman"/>
                <w:i/>
                <w:iCs/>
                <w:color w:val="000000"/>
              </w:rPr>
              <w:t xml:space="preserve"> </w:t>
            </w:r>
          </w:p>
        </w:tc>
      </w:tr>
    </w:tbl>
    <w:p w14:paraId="7DE35409" w14:textId="77777777" w:rsidR="007419B3" w:rsidRPr="00531140" w:rsidRDefault="007419B3" w:rsidP="00112415">
      <w:pPr>
        <w:jc w:val="both"/>
        <w:rPr>
          <w:rFonts w:ascii="Times New Roman" w:hAnsi="Times New Roman" w:cs="Times New Roman"/>
          <w:sz w:val="20"/>
          <w:szCs w:val="20"/>
        </w:rPr>
      </w:pPr>
    </w:p>
    <w:sectPr w:rsidR="007419B3" w:rsidRPr="00531140" w:rsidSect="003214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3E88" w14:textId="77777777" w:rsidR="0096637F" w:rsidRDefault="0096637F" w:rsidP="007419B3">
      <w:pPr>
        <w:spacing w:after="0" w:line="240" w:lineRule="auto"/>
      </w:pPr>
      <w:r>
        <w:separator/>
      </w:r>
    </w:p>
  </w:endnote>
  <w:endnote w:type="continuationSeparator" w:id="0">
    <w:p w14:paraId="2BFA82BD" w14:textId="77777777" w:rsidR="0096637F" w:rsidRDefault="0096637F" w:rsidP="007419B3">
      <w:pPr>
        <w:spacing w:after="0" w:line="240" w:lineRule="auto"/>
      </w:pPr>
      <w:r>
        <w:continuationSeparator/>
      </w:r>
    </w:p>
  </w:endnote>
  <w:endnote w:type="continuationNotice" w:id="1">
    <w:p w14:paraId="08B802AF" w14:textId="77777777" w:rsidR="0096637F" w:rsidRDefault="009663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5A4AB" w14:textId="77777777" w:rsidR="0096637F" w:rsidRDefault="0096637F" w:rsidP="007419B3">
      <w:pPr>
        <w:spacing w:after="0" w:line="240" w:lineRule="auto"/>
      </w:pPr>
      <w:r>
        <w:separator/>
      </w:r>
    </w:p>
  </w:footnote>
  <w:footnote w:type="continuationSeparator" w:id="0">
    <w:p w14:paraId="3FDD3C79" w14:textId="77777777" w:rsidR="0096637F" w:rsidRDefault="0096637F" w:rsidP="007419B3">
      <w:pPr>
        <w:spacing w:after="0" w:line="240" w:lineRule="auto"/>
      </w:pPr>
      <w:r>
        <w:continuationSeparator/>
      </w:r>
    </w:p>
  </w:footnote>
  <w:footnote w:type="continuationNotice" w:id="1">
    <w:p w14:paraId="4C75315E" w14:textId="77777777" w:rsidR="0096637F" w:rsidRDefault="009663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900AB8"/>
    <w:multiLevelType w:val="hybridMultilevel"/>
    <w:tmpl w:val="16D7C3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116456"/>
    <w:multiLevelType w:val="hybridMultilevel"/>
    <w:tmpl w:val="C66ABD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4A2029"/>
    <w:multiLevelType w:val="hybridMultilevel"/>
    <w:tmpl w:val="E8708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24AA7"/>
    <w:multiLevelType w:val="hybridMultilevel"/>
    <w:tmpl w:val="54269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BF4351"/>
    <w:multiLevelType w:val="hybridMultilevel"/>
    <w:tmpl w:val="7AE08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146F49"/>
    <w:multiLevelType w:val="hybridMultilevel"/>
    <w:tmpl w:val="37423D54"/>
    <w:lvl w:ilvl="0" w:tplc="8E52456C">
      <w:start w:val="7"/>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3C6F2B"/>
    <w:multiLevelType w:val="hybridMultilevel"/>
    <w:tmpl w:val="B052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C5A68"/>
    <w:multiLevelType w:val="hybridMultilevel"/>
    <w:tmpl w:val="3B42CFA2"/>
    <w:lvl w:ilvl="0" w:tplc="8E52456C">
      <w:start w:val="7"/>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A8064D"/>
    <w:multiLevelType w:val="hybridMultilevel"/>
    <w:tmpl w:val="AB1CF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A13015"/>
    <w:multiLevelType w:val="hybridMultilevel"/>
    <w:tmpl w:val="84C8822E"/>
    <w:lvl w:ilvl="0" w:tplc="D4C0406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EF3B99"/>
    <w:multiLevelType w:val="hybridMultilevel"/>
    <w:tmpl w:val="5A68A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CD039F"/>
    <w:multiLevelType w:val="hybridMultilevel"/>
    <w:tmpl w:val="516C2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334BA"/>
    <w:multiLevelType w:val="hybridMultilevel"/>
    <w:tmpl w:val="DCF669C2"/>
    <w:lvl w:ilvl="0" w:tplc="10000011">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369953D2"/>
    <w:multiLevelType w:val="hybridMultilevel"/>
    <w:tmpl w:val="FB92A496"/>
    <w:lvl w:ilvl="0" w:tplc="FFFFFFFF">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6A6419F"/>
    <w:multiLevelType w:val="hybridMultilevel"/>
    <w:tmpl w:val="1B7CA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E8434D"/>
    <w:multiLevelType w:val="hybridMultilevel"/>
    <w:tmpl w:val="EC12F782"/>
    <w:lvl w:ilvl="0" w:tplc="A8BCDF16">
      <w:start w:val="8"/>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3E603BD7"/>
    <w:multiLevelType w:val="hybridMultilevel"/>
    <w:tmpl w:val="ABF2FE9A"/>
    <w:lvl w:ilvl="0" w:tplc="8E52456C">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8B03BE"/>
    <w:multiLevelType w:val="hybridMultilevel"/>
    <w:tmpl w:val="4F3E5E24"/>
    <w:lvl w:ilvl="0" w:tplc="04090003">
      <w:start w:val="1"/>
      <w:numFmt w:val="bullet"/>
      <w:lvlText w:val="o"/>
      <w:lvlJc w:val="left"/>
      <w:pPr>
        <w:ind w:left="360" w:hanging="360"/>
      </w:pPr>
      <w:rPr>
        <w:rFonts w:ascii="Courier New" w:hAnsi="Courier New" w:cs="Courier New" w:hint="default"/>
      </w:rPr>
    </w:lvl>
    <w:lvl w:ilvl="1" w:tplc="8E52456C">
      <w:start w:val="7"/>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D4750E"/>
    <w:multiLevelType w:val="hybridMultilevel"/>
    <w:tmpl w:val="2E862CD4"/>
    <w:lvl w:ilvl="0" w:tplc="274E2D9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955E5"/>
    <w:multiLevelType w:val="hybridMultilevel"/>
    <w:tmpl w:val="E03E3CFA"/>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20" w15:restartNumberingAfterBreak="0">
    <w:nsid w:val="4C2399F2"/>
    <w:multiLevelType w:val="hybridMultilevel"/>
    <w:tmpl w:val="21854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CF4691C"/>
    <w:multiLevelType w:val="hybridMultilevel"/>
    <w:tmpl w:val="31C6E0B8"/>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4E6301DE"/>
    <w:multiLevelType w:val="hybridMultilevel"/>
    <w:tmpl w:val="7DEC5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405D77"/>
    <w:multiLevelType w:val="hybridMultilevel"/>
    <w:tmpl w:val="F746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B5184"/>
    <w:multiLevelType w:val="hybridMultilevel"/>
    <w:tmpl w:val="87FC5886"/>
    <w:lvl w:ilvl="0" w:tplc="1BE6AA5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3002FDC"/>
    <w:multiLevelType w:val="hybridMultilevel"/>
    <w:tmpl w:val="F558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29712D"/>
    <w:multiLevelType w:val="hybridMultilevel"/>
    <w:tmpl w:val="163675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6838B1"/>
    <w:multiLevelType w:val="hybridMultilevel"/>
    <w:tmpl w:val="FC4C8B26"/>
    <w:lvl w:ilvl="0" w:tplc="815C0DF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3655B"/>
    <w:multiLevelType w:val="hybridMultilevel"/>
    <w:tmpl w:val="803AB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B4880"/>
    <w:multiLevelType w:val="hybridMultilevel"/>
    <w:tmpl w:val="483A5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5C74DC"/>
    <w:multiLevelType w:val="hybridMultilevel"/>
    <w:tmpl w:val="CB203474"/>
    <w:lvl w:ilvl="0" w:tplc="9A2405B2">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841AFE"/>
    <w:multiLevelType w:val="hybridMultilevel"/>
    <w:tmpl w:val="39F86794"/>
    <w:lvl w:ilvl="0" w:tplc="04090001">
      <w:start w:val="1"/>
      <w:numFmt w:val="bullet"/>
      <w:lvlText w:val=""/>
      <w:lvlJc w:val="left"/>
      <w:pPr>
        <w:ind w:left="720" w:hanging="360"/>
      </w:pPr>
      <w:rPr>
        <w:rFonts w:ascii="Symbol" w:hAnsi="Symbol" w:hint="default"/>
        <w:b/>
      </w:rPr>
    </w:lvl>
    <w:lvl w:ilvl="1" w:tplc="2D6277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91680"/>
    <w:multiLevelType w:val="hybridMultilevel"/>
    <w:tmpl w:val="E8A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F3B0A"/>
    <w:multiLevelType w:val="hybridMultilevel"/>
    <w:tmpl w:val="00D2D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A88AE2C">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4"/>
  </w:num>
  <w:num w:numId="3">
    <w:abstractNumId w:val="4"/>
  </w:num>
  <w:num w:numId="4">
    <w:abstractNumId w:val="22"/>
  </w:num>
  <w:num w:numId="5">
    <w:abstractNumId w:val="29"/>
  </w:num>
  <w:num w:numId="6">
    <w:abstractNumId w:val="2"/>
  </w:num>
  <w:num w:numId="7">
    <w:abstractNumId w:val="26"/>
  </w:num>
  <w:num w:numId="8">
    <w:abstractNumId w:val="6"/>
  </w:num>
  <w:num w:numId="9">
    <w:abstractNumId w:val="31"/>
  </w:num>
  <w:num w:numId="10">
    <w:abstractNumId w:val="33"/>
  </w:num>
  <w:num w:numId="11">
    <w:abstractNumId w:val="25"/>
  </w:num>
  <w:num w:numId="12">
    <w:abstractNumId w:val="32"/>
  </w:num>
  <w:num w:numId="13">
    <w:abstractNumId w:val="18"/>
  </w:num>
  <w:num w:numId="14">
    <w:abstractNumId w:val="14"/>
  </w:num>
  <w:num w:numId="15">
    <w:abstractNumId w:val="8"/>
  </w:num>
  <w:num w:numId="16">
    <w:abstractNumId w:val="11"/>
  </w:num>
  <w:num w:numId="17">
    <w:abstractNumId w:val="19"/>
  </w:num>
  <w:num w:numId="18">
    <w:abstractNumId w:val="3"/>
  </w:num>
  <w:num w:numId="19">
    <w:abstractNumId w:val="23"/>
  </w:num>
  <w:num w:numId="20">
    <w:abstractNumId w:val="27"/>
  </w:num>
  <w:num w:numId="21">
    <w:abstractNumId w:val="30"/>
  </w:num>
  <w:num w:numId="22">
    <w:abstractNumId w:val="9"/>
  </w:num>
  <w:num w:numId="23">
    <w:abstractNumId w:val="0"/>
  </w:num>
  <w:num w:numId="24">
    <w:abstractNumId w:val="1"/>
  </w:num>
  <w:num w:numId="25">
    <w:abstractNumId w:val="20"/>
  </w:num>
  <w:num w:numId="26">
    <w:abstractNumId w:val="24"/>
  </w:num>
  <w:num w:numId="27">
    <w:abstractNumId w:val="15"/>
  </w:num>
  <w:num w:numId="28">
    <w:abstractNumId w:val="21"/>
  </w:num>
  <w:num w:numId="29">
    <w:abstractNumId w:val="12"/>
  </w:num>
  <w:num w:numId="30">
    <w:abstractNumId w:val="28"/>
  </w:num>
  <w:num w:numId="31">
    <w:abstractNumId w:val="17"/>
  </w:num>
  <w:num w:numId="32">
    <w:abstractNumId w:val="13"/>
  </w:num>
  <w:num w:numId="33">
    <w:abstractNumId w:val="7"/>
  </w:num>
  <w:num w:numId="34">
    <w:abstractNumId w:val="16"/>
  </w:num>
  <w:num w:numId="3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00"/>
    <w:rsid w:val="000412F9"/>
    <w:rsid w:val="0004777B"/>
    <w:rsid w:val="000A6034"/>
    <w:rsid w:val="000C2095"/>
    <w:rsid w:val="000E1232"/>
    <w:rsid w:val="000F7654"/>
    <w:rsid w:val="001119B6"/>
    <w:rsid w:val="00111FF7"/>
    <w:rsid w:val="00112415"/>
    <w:rsid w:val="00172C8D"/>
    <w:rsid w:val="00182295"/>
    <w:rsid w:val="00182A38"/>
    <w:rsid w:val="0019774A"/>
    <w:rsid w:val="00201EDA"/>
    <w:rsid w:val="0020754B"/>
    <w:rsid w:val="00210D7F"/>
    <w:rsid w:val="00222693"/>
    <w:rsid w:val="0025134F"/>
    <w:rsid w:val="0025170B"/>
    <w:rsid w:val="00272B72"/>
    <w:rsid w:val="00276457"/>
    <w:rsid w:val="00276628"/>
    <w:rsid w:val="00276C9B"/>
    <w:rsid w:val="00290B08"/>
    <w:rsid w:val="0029532A"/>
    <w:rsid w:val="00297027"/>
    <w:rsid w:val="002A112D"/>
    <w:rsid w:val="002A7BC4"/>
    <w:rsid w:val="002C63DF"/>
    <w:rsid w:val="002E5EE6"/>
    <w:rsid w:val="0031218D"/>
    <w:rsid w:val="0032141C"/>
    <w:rsid w:val="00372B3E"/>
    <w:rsid w:val="003935CF"/>
    <w:rsid w:val="003D7EAB"/>
    <w:rsid w:val="003F0013"/>
    <w:rsid w:val="00426BC1"/>
    <w:rsid w:val="004304E8"/>
    <w:rsid w:val="00440A11"/>
    <w:rsid w:val="004509B3"/>
    <w:rsid w:val="004C5C9C"/>
    <w:rsid w:val="004C7B8D"/>
    <w:rsid w:val="004D0176"/>
    <w:rsid w:val="00524BFA"/>
    <w:rsid w:val="005273E4"/>
    <w:rsid w:val="00531140"/>
    <w:rsid w:val="00543643"/>
    <w:rsid w:val="00587D97"/>
    <w:rsid w:val="005949A2"/>
    <w:rsid w:val="005D320B"/>
    <w:rsid w:val="005F7C97"/>
    <w:rsid w:val="00630660"/>
    <w:rsid w:val="00633B0C"/>
    <w:rsid w:val="006703B6"/>
    <w:rsid w:val="00670FBC"/>
    <w:rsid w:val="00676DD3"/>
    <w:rsid w:val="006837DE"/>
    <w:rsid w:val="00684D9F"/>
    <w:rsid w:val="006857A5"/>
    <w:rsid w:val="00686CF2"/>
    <w:rsid w:val="006A4AB7"/>
    <w:rsid w:val="006E3431"/>
    <w:rsid w:val="006E5273"/>
    <w:rsid w:val="007334BF"/>
    <w:rsid w:val="00736AE8"/>
    <w:rsid w:val="007419B3"/>
    <w:rsid w:val="0074259B"/>
    <w:rsid w:val="007520B3"/>
    <w:rsid w:val="00770436"/>
    <w:rsid w:val="007754E1"/>
    <w:rsid w:val="00775B9C"/>
    <w:rsid w:val="00782DFE"/>
    <w:rsid w:val="00787328"/>
    <w:rsid w:val="007F78E3"/>
    <w:rsid w:val="00815EB7"/>
    <w:rsid w:val="00833BAC"/>
    <w:rsid w:val="00875C81"/>
    <w:rsid w:val="00904D46"/>
    <w:rsid w:val="009127BE"/>
    <w:rsid w:val="00932266"/>
    <w:rsid w:val="0096134F"/>
    <w:rsid w:val="0096637F"/>
    <w:rsid w:val="00991A6D"/>
    <w:rsid w:val="009A19B5"/>
    <w:rsid w:val="009B5FA6"/>
    <w:rsid w:val="009E1D09"/>
    <w:rsid w:val="009E7E56"/>
    <w:rsid w:val="009F53C9"/>
    <w:rsid w:val="00A1476C"/>
    <w:rsid w:val="00A524BD"/>
    <w:rsid w:val="00A7363B"/>
    <w:rsid w:val="00A74210"/>
    <w:rsid w:val="00A757C3"/>
    <w:rsid w:val="00A94C58"/>
    <w:rsid w:val="00AB680E"/>
    <w:rsid w:val="00AC30FA"/>
    <w:rsid w:val="00AC31A6"/>
    <w:rsid w:val="00AC6472"/>
    <w:rsid w:val="00AD2C7C"/>
    <w:rsid w:val="00AE2DD5"/>
    <w:rsid w:val="00AF4413"/>
    <w:rsid w:val="00B22E93"/>
    <w:rsid w:val="00B33144"/>
    <w:rsid w:val="00B35F06"/>
    <w:rsid w:val="00B4573E"/>
    <w:rsid w:val="00BA6CFA"/>
    <w:rsid w:val="00BF00B7"/>
    <w:rsid w:val="00C05FA1"/>
    <w:rsid w:val="00C40704"/>
    <w:rsid w:val="00C768EA"/>
    <w:rsid w:val="00C83143"/>
    <w:rsid w:val="00C94768"/>
    <w:rsid w:val="00C97300"/>
    <w:rsid w:val="00CB668B"/>
    <w:rsid w:val="00CE18A6"/>
    <w:rsid w:val="00D10B59"/>
    <w:rsid w:val="00D35999"/>
    <w:rsid w:val="00D476BA"/>
    <w:rsid w:val="00D5544A"/>
    <w:rsid w:val="00D83EB5"/>
    <w:rsid w:val="00DC45E5"/>
    <w:rsid w:val="00DD106F"/>
    <w:rsid w:val="00DD1424"/>
    <w:rsid w:val="00DF029F"/>
    <w:rsid w:val="00E141C0"/>
    <w:rsid w:val="00E15838"/>
    <w:rsid w:val="00E22FB5"/>
    <w:rsid w:val="00E41670"/>
    <w:rsid w:val="00E53F9D"/>
    <w:rsid w:val="00E87C9D"/>
    <w:rsid w:val="00E91399"/>
    <w:rsid w:val="00E93316"/>
    <w:rsid w:val="00EC0F64"/>
    <w:rsid w:val="00EF0FCC"/>
    <w:rsid w:val="00EF34C3"/>
    <w:rsid w:val="00EF38F6"/>
    <w:rsid w:val="00EF4C34"/>
    <w:rsid w:val="00F77CE1"/>
    <w:rsid w:val="00FB7AFE"/>
    <w:rsid w:val="00FC02F1"/>
    <w:rsid w:val="00FD7506"/>
    <w:rsid w:val="00FF285C"/>
    <w:rsid w:val="00FF6E0E"/>
    <w:rsid w:val="0159E6A4"/>
    <w:rsid w:val="0181AEDE"/>
    <w:rsid w:val="12960298"/>
    <w:rsid w:val="17F5151D"/>
    <w:rsid w:val="18CAF904"/>
    <w:rsid w:val="1E1F2EBC"/>
    <w:rsid w:val="1ED016B4"/>
    <w:rsid w:val="24F6B773"/>
    <w:rsid w:val="29DC4984"/>
    <w:rsid w:val="2EA64AB5"/>
    <w:rsid w:val="30BD5B75"/>
    <w:rsid w:val="31F6E024"/>
    <w:rsid w:val="3386F0A7"/>
    <w:rsid w:val="343D2DC5"/>
    <w:rsid w:val="35DC954B"/>
    <w:rsid w:val="377BCAE2"/>
    <w:rsid w:val="4DBFFBA8"/>
    <w:rsid w:val="571B893A"/>
    <w:rsid w:val="58CAE773"/>
    <w:rsid w:val="5F679C94"/>
    <w:rsid w:val="5F84D889"/>
    <w:rsid w:val="5FAF5564"/>
    <w:rsid w:val="650DF7FC"/>
    <w:rsid w:val="67EEED50"/>
    <w:rsid w:val="75B77DDB"/>
    <w:rsid w:val="75F2404D"/>
    <w:rsid w:val="7728055D"/>
    <w:rsid w:val="78D92F9B"/>
    <w:rsid w:val="7C6848FD"/>
    <w:rsid w:val="7EAAD719"/>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DCEB"/>
  <w15:chartTrackingRefBased/>
  <w15:docId w15:val="{BA908DB8-1A7F-4799-9B5F-B1B0A18D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A11"/>
    <w:pPr>
      <w:keepNext/>
      <w:jc w:val="both"/>
      <w:outlineLvl w:val="0"/>
    </w:pPr>
    <w:rPr>
      <w:rFonts w:ascii="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30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24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BFA"/>
    <w:rPr>
      <w:rFonts w:ascii="Segoe UI" w:hAnsi="Segoe UI" w:cs="Segoe UI"/>
      <w:sz w:val="18"/>
      <w:szCs w:val="18"/>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MAIN CONTENT"/>
    <w:basedOn w:val="Normal"/>
    <w:link w:val="ListParagraphChar"/>
    <w:uiPriority w:val="34"/>
    <w:qFormat/>
    <w:rsid w:val="000E1232"/>
    <w:pPr>
      <w:spacing w:after="200" w:line="276" w:lineRule="auto"/>
      <w:ind w:left="720"/>
      <w:contextualSpacing/>
    </w:pPr>
    <w:rPr>
      <w:lang w:val="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basedOn w:val="DefaultParagraphFont"/>
    <w:link w:val="ListParagraph"/>
    <w:uiPriority w:val="34"/>
    <w:qFormat/>
    <w:locked/>
    <w:rsid w:val="000E1232"/>
    <w:rPr>
      <w:lang w:val="en-US"/>
    </w:rPr>
  </w:style>
  <w:style w:type="paragraph" w:styleId="NoSpacing">
    <w:name w:val="No Spacing"/>
    <w:link w:val="NoSpacingChar"/>
    <w:uiPriority w:val="1"/>
    <w:qFormat/>
    <w:rsid w:val="000E1232"/>
    <w:pPr>
      <w:spacing w:after="0" w:line="240" w:lineRule="auto"/>
    </w:pPr>
    <w:rPr>
      <w:lang w:val="en-US"/>
    </w:rPr>
  </w:style>
  <w:style w:type="character" w:customStyle="1" w:styleId="NoSpacingChar">
    <w:name w:val="No Spacing Char"/>
    <w:basedOn w:val="DefaultParagraphFont"/>
    <w:link w:val="NoSpacing"/>
    <w:uiPriority w:val="1"/>
    <w:rsid w:val="000E1232"/>
    <w:rPr>
      <w:lang w:val="en-US"/>
    </w:rPr>
  </w:style>
  <w:style w:type="character" w:styleId="CommentReference">
    <w:name w:val="annotation reference"/>
    <w:basedOn w:val="DefaultParagraphFont"/>
    <w:uiPriority w:val="99"/>
    <w:rsid w:val="007419B3"/>
    <w:rPr>
      <w:sz w:val="18"/>
      <w:szCs w:val="18"/>
    </w:rPr>
  </w:style>
  <w:style w:type="paragraph" w:styleId="CommentText">
    <w:name w:val="annotation text"/>
    <w:basedOn w:val="Normal"/>
    <w:link w:val="CommentTextChar"/>
    <w:rsid w:val="007419B3"/>
    <w:pPr>
      <w:spacing w:after="200" w:line="240" w:lineRule="auto"/>
    </w:pPr>
    <w:rPr>
      <w:sz w:val="24"/>
      <w:szCs w:val="24"/>
      <w:lang w:val="en-GB"/>
    </w:rPr>
  </w:style>
  <w:style w:type="character" w:customStyle="1" w:styleId="CommentTextChar">
    <w:name w:val="Comment Text Char"/>
    <w:basedOn w:val="DefaultParagraphFont"/>
    <w:link w:val="CommentText"/>
    <w:rsid w:val="007419B3"/>
    <w:rPr>
      <w:sz w:val="24"/>
      <w:szCs w:val="24"/>
      <w:lang w:val="en-GB"/>
    </w:rPr>
  </w:style>
  <w:style w:type="paragraph" w:styleId="FootnoteText">
    <w:name w:val="footnote text"/>
    <w:basedOn w:val="Normal"/>
    <w:link w:val="FootnoteTextChar"/>
    <w:uiPriority w:val="99"/>
    <w:semiHidden/>
    <w:unhideWhenUsed/>
    <w:rsid w:val="007419B3"/>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419B3"/>
    <w:rPr>
      <w:sz w:val="20"/>
      <w:szCs w:val="20"/>
      <w:lang w:val="en-US"/>
    </w:rPr>
  </w:style>
  <w:style w:type="character" w:styleId="FootnoteReference">
    <w:name w:val="footnote reference"/>
    <w:basedOn w:val="DefaultParagraphFont"/>
    <w:uiPriority w:val="99"/>
    <w:semiHidden/>
    <w:unhideWhenUsed/>
    <w:rsid w:val="007419B3"/>
    <w:rPr>
      <w:vertAlign w:val="superscript"/>
    </w:rPr>
  </w:style>
  <w:style w:type="paragraph" w:styleId="CommentSubject">
    <w:name w:val="annotation subject"/>
    <w:basedOn w:val="CommentText"/>
    <w:next w:val="CommentText"/>
    <w:link w:val="CommentSubjectChar"/>
    <w:uiPriority w:val="99"/>
    <w:semiHidden/>
    <w:unhideWhenUsed/>
    <w:rsid w:val="007419B3"/>
    <w:rPr>
      <w:b/>
      <w:bCs/>
      <w:sz w:val="20"/>
      <w:szCs w:val="20"/>
      <w:lang w:val="en-US"/>
    </w:rPr>
  </w:style>
  <w:style w:type="character" w:customStyle="1" w:styleId="CommentSubjectChar">
    <w:name w:val="Comment Subject Char"/>
    <w:basedOn w:val="CommentTextChar"/>
    <w:link w:val="CommentSubject"/>
    <w:uiPriority w:val="99"/>
    <w:semiHidden/>
    <w:rsid w:val="007419B3"/>
    <w:rPr>
      <w:b/>
      <w:bCs/>
      <w:sz w:val="20"/>
      <w:szCs w:val="20"/>
      <w:lang w:val="en-US"/>
    </w:rPr>
  </w:style>
  <w:style w:type="table" w:customStyle="1" w:styleId="TableGrid1">
    <w:name w:val="Table Grid1"/>
    <w:basedOn w:val="TableNormal"/>
    <w:next w:val="TableGrid"/>
    <w:uiPriority w:val="59"/>
    <w:rsid w:val="007419B3"/>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419B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419B3"/>
    <w:rPr>
      <w:lang w:val="en-US"/>
    </w:rPr>
  </w:style>
  <w:style w:type="paragraph" w:styleId="Footer">
    <w:name w:val="footer"/>
    <w:basedOn w:val="Normal"/>
    <w:link w:val="FooterChar"/>
    <w:uiPriority w:val="99"/>
    <w:unhideWhenUsed/>
    <w:rsid w:val="007419B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419B3"/>
    <w:rPr>
      <w:lang w:val="en-US"/>
    </w:rPr>
  </w:style>
  <w:style w:type="paragraph" w:styleId="Revision">
    <w:name w:val="Revision"/>
    <w:hidden/>
    <w:uiPriority w:val="99"/>
    <w:semiHidden/>
    <w:rsid w:val="007419B3"/>
    <w:pPr>
      <w:spacing w:after="0" w:line="240" w:lineRule="auto"/>
    </w:pPr>
    <w:rPr>
      <w:lang w:val="en-US"/>
    </w:rPr>
  </w:style>
  <w:style w:type="paragraph" w:customStyle="1" w:styleId="SEQSbodynumbered">
    <w:name w:val="SEQS body numbered"/>
    <w:basedOn w:val="Normal"/>
    <w:autoRedefine/>
    <w:qFormat/>
    <w:rsid w:val="007419B3"/>
    <w:pPr>
      <w:framePr w:hSpace="180" w:wrap="around" w:vAnchor="text" w:hAnchor="text" w:xAlign="right" w:y="1"/>
      <w:spacing w:before="20" w:after="60" w:line="240" w:lineRule="auto"/>
      <w:ind w:left="337" w:hanging="337"/>
      <w:suppressOverlap/>
    </w:pPr>
    <w:rPr>
      <w:b/>
      <w:bCs/>
      <w:sz w:val="18"/>
      <w:szCs w:val="18"/>
      <w:lang w:val="en-US" w:eastAsia="ja-JP"/>
    </w:rPr>
  </w:style>
  <w:style w:type="character" w:styleId="Hyperlink">
    <w:name w:val="Hyperlink"/>
    <w:basedOn w:val="DefaultParagraphFont"/>
    <w:uiPriority w:val="99"/>
    <w:unhideWhenUsed/>
    <w:rsid w:val="00543643"/>
    <w:rPr>
      <w:color w:val="0563C1" w:themeColor="hyperlink"/>
      <w:u w:val="single"/>
    </w:rPr>
  </w:style>
  <w:style w:type="character" w:styleId="UnresolvedMention">
    <w:name w:val="Unresolved Mention"/>
    <w:basedOn w:val="DefaultParagraphFont"/>
    <w:uiPriority w:val="99"/>
    <w:semiHidden/>
    <w:unhideWhenUsed/>
    <w:rsid w:val="00543643"/>
    <w:rPr>
      <w:color w:val="605E5C"/>
      <w:shd w:val="clear" w:color="auto" w:fill="E1DFDD"/>
    </w:rPr>
  </w:style>
  <w:style w:type="character" w:customStyle="1" w:styleId="Heading1Char">
    <w:name w:val="Heading 1 Char"/>
    <w:basedOn w:val="DefaultParagraphFont"/>
    <w:link w:val="Heading1"/>
    <w:uiPriority w:val="9"/>
    <w:rsid w:val="00440A11"/>
    <w:rPr>
      <w:rFonts w:ascii="Times New Roman" w:hAnsi="Times New Roman" w:cs="Times New Roman"/>
      <w:b/>
      <w:bCs/>
      <w:sz w:val="24"/>
      <w:szCs w:val="24"/>
      <w:u w:val="single"/>
      <w:lang w:val="en-US"/>
    </w:rPr>
  </w:style>
  <w:style w:type="paragraph" w:styleId="Title">
    <w:name w:val="Title"/>
    <w:basedOn w:val="Normal"/>
    <w:next w:val="Normal"/>
    <w:link w:val="TitleChar"/>
    <w:uiPriority w:val="10"/>
    <w:qFormat/>
    <w:rsid w:val="00112415"/>
    <w:pPr>
      <w:spacing w:line="240" w:lineRule="auto"/>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112415"/>
    <w:rPr>
      <w:rFonts w:ascii="Times New Roman" w:hAnsi="Times New Roman" w:cs="Times New Roman"/>
      <w:b/>
      <w:sz w:val="24"/>
      <w:szCs w:val="24"/>
    </w:rPr>
  </w:style>
  <w:style w:type="paragraph" w:styleId="Subtitle">
    <w:name w:val="Subtitle"/>
    <w:basedOn w:val="Normal"/>
    <w:next w:val="Normal"/>
    <w:link w:val="SubtitleChar"/>
    <w:uiPriority w:val="11"/>
    <w:qFormat/>
    <w:rsid w:val="00112415"/>
    <w:pPr>
      <w:spacing w:line="240" w:lineRule="auto"/>
      <w:jc w:val="center"/>
    </w:pPr>
    <w:rPr>
      <w:rFonts w:ascii="Times New Roman" w:hAnsi="Times New Roman" w:cs="Times New Roman"/>
      <w:i/>
      <w:sz w:val="24"/>
      <w:szCs w:val="24"/>
    </w:rPr>
  </w:style>
  <w:style w:type="character" w:customStyle="1" w:styleId="SubtitleChar">
    <w:name w:val="Subtitle Char"/>
    <w:basedOn w:val="DefaultParagraphFont"/>
    <w:link w:val="Subtitle"/>
    <w:uiPriority w:val="11"/>
    <w:rsid w:val="00112415"/>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338">
      <w:bodyDiv w:val="1"/>
      <w:marLeft w:val="0"/>
      <w:marRight w:val="0"/>
      <w:marTop w:val="0"/>
      <w:marBottom w:val="0"/>
      <w:divBdr>
        <w:top w:val="none" w:sz="0" w:space="0" w:color="auto"/>
        <w:left w:val="none" w:sz="0" w:space="0" w:color="auto"/>
        <w:bottom w:val="none" w:sz="0" w:space="0" w:color="auto"/>
        <w:right w:val="none" w:sz="0" w:space="0" w:color="auto"/>
      </w:divBdr>
    </w:div>
    <w:div w:id="479544711">
      <w:bodyDiv w:val="1"/>
      <w:marLeft w:val="0"/>
      <w:marRight w:val="0"/>
      <w:marTop w:val="0"/>
      <w:marBottom w:val="0"/>
      <w:divBdr>
        <w:top w:val="none" w:sz="0" w:space="0" w:color="auto"/>
        <w:left w:val="none" w:sz="0" w:space="0" w:color="auto"/>
        <w:bottom w:val="none" w:sz="0" w:space="0" w:color="auto"/>
        <w:right w:val="none" w:sz="0" w:space="0" w:color="auto"/>
      </w:divBdr>
    </w:div>
    <w:div w:id="1278020945">
      <w:bodyDiv w:val="1"/>
      <w:marLeft w:val="0"/>
      <w:marRight w:val="0"/>
      <w:marTop w:val="0"/>
      <w:marBottom w:val="0"/>
      <w:divBdr>
        <w:top w:val="none" w:sz="0" w:space="0" w:color="auto"/>
        <w:left w:val="none" w:sz="0" w:space="0" w:color="auto"/>
        <w:bottom w:val="none" w:sz="0" w:space="0" w:color="auto"/>
        <w:right w:val="none" w:sz="0" w:space="0" w:color="auto"/>
      </w:divBdr>
    </w:div>
    <w:div w:id="19197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avi.org/covax-vaccine-roll-out/pakista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603B9B4CF8F94D968A6BC4CB756A82" ma:contentTypeVersion="13" ma:contentTypeDescription="Create a new document." ma:contentTypeScope="" ma:versionID="ea0ccc70050e9ef1eb53405aadc747ac">
  <xsd:schema xmlns:xsd="http://www.w3.org/2001/XMLSchema" xmlns:xs="http://www.w3.org/2001/XMLSchema" xmlns:p="http://schemas.microsoft.com/office/2006/metadata/properties" xmlns:ns3="a9ee9948-a7ad-476a-9629-e93fa837a940" xmlns:ns4="9e2d1b96-9cdc-41d7-86a5-ea396aeae7ef" targetNamespace="http://schemas.microsoft.com/office/2006/metadata/properties" ma:root="true" ma:fieldsID="f34935ad342c13eff250acb617f3de6f" ns3:_="" ns4:_="">
    <xsd:import namespace="a9ee9948-a7ad-476a-9629-e93fa837a940"/>
    <xsd:import namespace="9e2d1b96-9cdc-41d7-86a5-ea396aeae7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e9948-a7ad-476a-9629-e93fa837a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d1b96-9cdc-41d7-86a5-ea396aeae7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973EC-6F41-403C-81CF-13E041CC34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017E14-96EE-4C4D-B3D7-18AC78E09059}">
  <ds:schemaRefs>
    <ds:schemaRef ds:uri="http://schemas.microsoft.com/sharepoint/v3/contenttype/forms"/>
  </ds:schemaRefs>
</ds:datastoreItem>
</file>

<file path=customXml/itemProps3.xml><?xml version="1.0" encoding="utf-8"?>
<ds:datastoreItem xmlns:ds="http://schemas.openxmlformats.org/officeDocument/2006/customXml" ds:itemID="{4FBF77B8-5809-4267-A88A-D93B90312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e9948-a7ad-476a-9629-e93fa837a940"/>
    <ds:schemaRef ds:uri="9e2d1b96-9cdc-41d7-86a5-ea396aeae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Mishra</dc:creator>
  <cp:keywords/>
  <dc:description/>
  <cp:lastModifiedBy>Svetlana Iazykova</cp:lastModifiedBy>
  <cp:revision>4</cp:revision>
  <dcterms:created xsi:type="dcterms:W3CDTF">2022-07-18T18:35:00Z</dcterms:created>
  <dcterms:modified xsi:type="dcterms:W3CDTF">2022-07-18T18:36:00Z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0x010100E8603B9B4CF8F94D968A6BC4CB756A82</vt:lpwstr>
  </property>
</Properties>
</file>