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48E6" w14:textId="0958ABC5" w:rsidR="009E108D" w:rsidRPr="00696CE4" w:rsidRDefault="009E108D" w:rsidP="0097501C">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PERU </w:t>
      </w:r>
      <w:r w:rsidRPr="00696CE4">
        <w:rPr>
          <w:rFonts w:ascii="Calibri" w:eastAsia="Calibri" w:hAnsi="Calibri" w:cs="Times New Roman"/>
          <w:b/>
          <w:sz w:val="24"/>
          <w:szCs w:val="24"/>
        </w:rPr>
        <w:t>(2022-2026)</w:t>
      </w:r>
    </w:p>
    <w:p w14:paraId="1DB7610B" w14:textId="77777777" w:rsidR="009E108D" w:rsidRPr="00A457DA" w:rsidRDefault="009E108D" w:rsidP="009E108D">
      <w:pPr>
        <w:spacing w:line="240" w:lineRule="auto"/>
        <w:jc w:val="center"/>
        <w:rPr>
          <w:rFonts w:cs="Times New Roman"/>
          <w:i/>
          <w:sz w:val="24"/>
          <w:szCs w:val="24"/>
        </w:rPr>
      </w:pPr>
      <w:r>
        <w:rPr>
          <w:rFonts w:cs="Times New Roman"/>
          <w:i/>
          <w:sz w:val="24"/>
          <w:szCs w:val="24"/>
        </w:rPr>
        <w:t xml:space="preserve">First regular </w:t>
      </w:r>
      <w:r w:rsidRPr="00A457DA">
        <w:rPr>
          <w:rFonts w:cs="Times New Roman"/>
          <w:i/>
          <w:sz w:val="24"/>
          <w:szCs w:val="24"/>
        </w:rPr>
        <w:t>session 202</w:t>
      </w:r>
      <w:r>
        <w:rPr>
          <w:rFonts w:cs="Times New Roman"/>
          <w:i/>
          <w:sz w:val="24"/>
          <w:szCs w:val="24"/>
        </w:rPr>
        <w:t>2</w:t>
      </w:r>
    </w:p>
    <w:tbl>
      <w:tblPr>
        <w:tblStyle w:val="TableGrid"/>
        <w:tblW w:w="14434" w:type="dxa"/>
        <w:tblLook w:val="04A0" w:firstRow="1" w:lastRow="0" w:firstColumn="1" w:lastColumn="0" w:noHBand="0" w:noVBand="1"/>
      </w:tblPr>
      <w:tblGrid>
        <w:gridCol w:w="7736"/>
        <w:gridCol w:w="6698"/>
      </w:tblGrid>
      <w:tr w:rsidR="00A51CEA" w:rsidRPr="005323D5" w14:paraId="218C0B4A" w14:textId="64057246" w:rsidTr="005D6E20">
        <w:trPr>
          <w:trHeight w:val="476"/>
        </w:trPr>
        <w:tc>
          <w:tcPr>
            <w:tcW w:w="7736" w:type="dxa"/>
            <w:vAlign w:val="center"/>
          </w:tcPr>
          <w:p w14:paraId="4E86B9A0" w14:textId="43451A66" w:rsidR="00A51CEA" w:rsidRPr="00A457DA" w:rsidRDefault="00A51CEA"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9E108D">
              <w:rPr>
                <w:rFonts w:cs="Times New Roman"/>
                <w:b/>
                <w:sz w:val="24"/>
                <w:szCs w:val="24"/>
              </w:rPr>
              <w:t>the United States of America</w:t>
            </w:r>
          </w:p>
        </w:tc>
        <w:tc>
          <w:tcPr>
            <w:tcW w:w="6698" w:type="dxa"/>
            <w:vAlign w:val="center"/>
          </w:tcPr>
          <w:p w14:paraId="3FFDDA12" w14:textId="5A859948" w:rsidR="00A51CEA" w:rsidRPr="00534E03" w:rsidRDefault="00A51CEA" w:rsidP="00A457DA">
            <w:pPr>
              <w:jc w:val="center"/>
              <w:rPr>
                <w:rFonts w:cs="Times New Roman"/>
                <w:b/>
                <w:sz w:val="24"/>
                <w:szCs w:val="24"/>
              </w:rPr>
            </w:pPr>
            <w:r>
              <w:rPr>
                <w:rFonts w:cs="Times New Roman"/>
                <w:b/>
                <w:sz w:val="24"/>
                <w:szCs w:val="24"/>
              </w:rPr>
              <w:t xml:space="preserve">CO </w:t>
            </w:r>
            <w:r w:rsidR="009E108D">
              <w:rPr>
                <w:rFonts w:cs="Times New Roman"/>
                <w:b/>
                <w:sz w:val="24"/>
                <w:szCs w:val="24"/>
              </w:rPr>
              <w:t>c</w:t>
            </w:r>
            <w:r>
              <w:rPr>
                <w:rFonts w:cs="Times New Roman"/>
                <w:b/>
                <w:sz w:val="24"/>
                <w:szCs w:val="24"/>
              </w:rPr>
              <w:t>omments</w:t>
            </w:r>
          </w:p>
        </w:tc>
      </w:tr>
      <w:tr w:rsidR="00A51CEA" w:rsidRPr="005323D5" w14:paraId="59FFD639" w14:textId="08A3BAEF" w:rsidTr="005D6E20">
        <w:trPr>
          <w:trHeight w:val="476"/>
        </w:trPr>
        <w:tc>
          <w:tcPr>
            <w:tcW w:w="7736" w:type="dxa"/>
            <w:vAlign w:val="center"/>
          </w:tcPr>
          <w:p w14:paraId="106DA92D" w14:textId="1508BE98" w:rsidR="00A51CEA" w:rsidRPr="00534E03" w:rsidRDefault="00A51CEA" w:rsidP="00642EAA">
            <w:pPr>
              <w:numPr>
                <w:ilvl w:val="0"/>
                <w:numId w:val="12"/>
              </w:numPr>
              <w:rPr>
                <w:rFonts w:cs="Times New Roman"/>
                <w:sz w:val="24"/>
                <w:szCs w:val="24"/>
              </w:rPr>
            </w:pPr>
            <w:r>
              <w:t>We welcome and encourage UNDP to prioritize its work on promoting indigenous people’s agency, including prioritizing prevention of crimes against environmental defenders and the negative impact of illegal activities.</w:t>
            </w:r>
          </w:p>
        </w:tc>
        <w:tc>
          <w:tcPr>
            <w:tcW w:w="6698" w:type="dxa"/>
          </w:tcPr>
          <w:p w14:paraId="0C4726DD" w14:textId="05A77CC9" w:rsidR="00A51CEA" w:rsidRDefault="009A0763" w:rsidP="00642EAA">
            <w:pPr>
              <w:numPr>
                <w:ilvl w:val="0"/>
                <w:numId w:val="12"/>
              </w:numPr>
            </w:pPr>
            <w:r>
              <w:t>UNDP Peru thanks the United States for this comment and encouragement and ensure</w:t>
            </w:r>
            <w:r w:rsidR="00680156">
              <w:t>s</w:t>
            </w:r>
            <w:r>
              <w:t xml:space="preserve"> it </w:t>
            </w:r>
            <w:r w:rsidR="00342FA9">
              <w:t>will be</w:t>
            </w:r>
            <w:r>
              <w:t xml:space="preserve"> taken into consideration in the implementation of all work with indigenous peoples.</w:t>
            </w:r>
          </w:p>
        </w:tc>
      </w:tr>
      <w:tr w:rsidR="00A51CEA" w:rsidRPr="005323D5" w14:paraId="1F829039" w14:textId="20AA9D11" w:rsidTr="005D6E20">
        <w:trPr>
          <w:trHeight w:val="476"/>
        </w:trPr>
        <w:tc>
          <w:tcPr>
            <w:tcW w:w="7736" w:type="dxa"/>
            <w:vAlign w:val="center"/>
          </w:tcPr>
          <w:p w14:paraId="7B1CEB7A" w14:textId="11072942" w:rsidR="00A51CEA" w:rsidRPr="00A457DA" w:rsidRDefault="00A51CEA" w:rsidP="00642EAA">
            <w:pPr>
              <w:numPr>
                <w:ilvl w:val="0"/>
                <w:numId w:val="12"/>
              </w:numPr>
              <w:rPr>
                <w:rFonts w:cs="Times New Roman"/>
                <w:sz w:val="24"/>
                <w:szCs w:val="24"/>
              </w:rPr>
            </w:pPr>
            <w:r>
              <w:t>We welcome UNDP’s Green commodities component to incorporate work to strengthen government capacity to address new requirements for food exports, including reduced cadmium levels, pesticide residues, zero deforestation, ban on importation of harmful pesticides, etc.</w:t>
            </w:r>
          </w:p>
        </w:tc>
        <w:tc>
          <w:tcPr>
            <w:tcW w:w="6698" w:type="dxa"/>
          </w:tcPr>
          <w:p w14:paraId="4C58522B" w14:textId="5A6A4501" w:rsidR="00A51CEA" w:rsidRDefault="00342FA9" w:rsidP="00642EAA">
            <w:pPr>
              <w:numPr>
                <w:ilvl w:val="0"/>
                <w:numId w:val="12"/>
              </w:numPr>
            </w:pPr>
            <w:r>
              <w:t xml:space="preserve">UNDP Peru thanks </w:t>
            </w:r>
            <w:r w:rsidR="00230CEF">
              <w:t xml:space="preserve">the United States for this comment and </w:t>
            </w:r>
            <w:r w:rsidR="00015371">
              <w:t xml:space="preserve">will ensure these considerations </w:t>
            </w:r>
            <w:r w:rsidR="002966DC">
              <w:t>during</w:t>
            </w:r>
            <w:r w:rsidR="00015371">
              <w:t xml:space="preserve"> implementation.</w:t>
            </w:r>
          </w:p>
        </w:tc>
      </w:tr>
      <w:tr w:rsidR="005D6E20" w:rsidRPr="00241ED1" w14:paraId="2B1CCE6E" w14:textId="77777777" w:rsidTr="005D6E20">
        <w:trPr>
          <w:trHeight w:val="476"/>
        </w:trPr>
        <w:tc>
          <w:tcPr>
            <w:tcW w:w="7736" w:type="dxa"/>
            <w:vAlign w:val="center"/>
          </w:tcPr>
          <w:p w14:paraId="37F414EB" w14:textId="7C07FA9B" w:rsidR="005D6E20" w:rsidRPr="00F379E9" w:rsidRDefault="005D6E20" w:rsidP="0097501C">
            <w:pPr>
              <w:jc w:val="center"/>
              <w:rPr>
                <w:rFonts w:cs="Times New Roman"/>
                <w:b/>
                <w:sz w:val="24"/>
                <w:szCs w:val="24"/>
                <w:lang w:val="en-US"/>
              </w:rPr>
            </w:pPr>
            <w:r w:rsidRPr="00F379E9">
              <w:rPr>
                <w:rFonts w:cs="Times New Roman"/>
                <w:b/>
                <w:sz w:val="24"/>
                <w:szCs w:val="24"/>
                <w:lang w:val="en-US"/>
              </w:rPr>
              <w:t xml:space="preserve">Comments by </w:t>
            </w:r>
            <w:r>
              <w:rPr>
                <w:rFonts w:cs="Times New Roman"/>
                <w:b/>
                <w:sz w:val="24"/>
                <w:szCs w:val="24"/>
                <w:lang w:val="en-US"/>
              </w:rPr>
              <w:t>Spain</w:t>
            </w:r>
          </w:p>
        </w:tc>
        <w:tc>
          <w:tcPr>
            <w:tcW w:w="6698" w:type="dxa"/>
            <w:vAlign w:val="center"/>
          </w:tcPr>
          <w:p w14:paraId="29D352D0" w14:textId="5925FCDA" w:rsidR="005D6E20" w:rsidRPr="00F379E9" w:rsidRDefault="005D6E20" w:rsidP="0097501C">
            <w:pPr>
              <w:jc w:val="center"/>
              <w:rPr>
                <w:rFonts w:cs="Times New Roman"/>
                <w:b/>
                <w:sz w:val="24"/>
                <w:szCs w:val="24"/>
                <w:lang w:val="en-US"/>
              </w:rPr>
            </w:pPr>
            <w:r>
              <w:rPr>
                <w:rFonts w:cs="Times New Roman"/>
                <w:b/>
                <w:sz w:val="24"/>
                <w:szCs w:val="24"/>
                <w:lang w:val="en-US"/>
              </w:rPr>
              <w:t>CO comments</w:t>
            </w:r>
          </w:p>
        </w:tc>
      </w:tr>
      <w:tr w:rsidR="005D6E20" w:rsidRPr="00F379E9" w14:paraId="4ACAADFA" w14:textId="77777777" w:rsidTr="005D6E20">
        <w:trPr>
          <w:trHeight w:val="476"/>
        </w:trPr>
        <w:tc>
          <w:tcPr>
            <w:tcW w:w="7736" w:type="dxa"/>
          </w:tcPr>
          <w:p w14:paraId="0B2815C6" w14:textId="77777777" w:rsidR="005D6E20" w:rsidRPr="002D4799" w:rsidRDefault="005D6E20" w:rsidP="0097501C">
            <w:pPr>
              <w:pStyle w:val="ListParagraph"/>
              <w:numPr>
                <w:ilvl w:val="0"/>
                <w:numId w:val="12"/>
              </w:numPr>
              <w:rPr>
                <w:rFonts w:cs="Times New Roman"/>
                <w:lang w:val="en-US"/>
              </w:rPr>
            </w:pPr>
            <w:r w:rsidRPr="002D4799">
              <w:rPr>
                <w:rFonts w:cs="Times New Roman"/>
                <w:lang w:val="en-US"/>
              </w:rPr>
              <w:t>RECOMMENDATION. Insert mention of Spain's support in the part of the document where other donors are mentioned. It does not appear as a partner in any part of the document despite mentioning other cooperation. Spain has supported UNDP in 2020 in a project with the National Jury of Elections and currently there is a grant awarded for the years 2022 and 2023 for an approximate amount of 500,000 to finance an intervention called Innovation for citizen political participation: beyond the recovery of COVID-19, that aims to promote political participation and the effective exercise of citizenship, through the use of digital media, with emphasis on women, indigenous people and youth.</w:t>
            </w:r>
          </w:p>
        </w:tc>
        <w:tc>
          <w:tcPr>
            <w:tcW w:w="6698" w:type="dxa"/>
          </w:tcPr>
          <w:p w14:paraId="1BD80F2B" w14:textId="77777777" w:rsidR="005D6E20" w:rsidRPr="002D4799" w:rsidRDefault="005D6E20" w:rsidP="0097501C">
            <w:pPr>
              <w:pStyle w:val="ListParagraph"/>
              <w:numPr>
                <w:ilvl w:val="0"/>
                <w:numId w:val="12"/>
              </w:numPr>
              <w:rPr>
                <w:rFonts w:cs="Times New Roman"/>
                <w:lang w:val="en-US"/>
              </w:rPr>
            </w:pPr>
            <w:r w:rsidRPr="002D4799">
              <w:rPr>
                <w:rFonts w:cs="Times New Roman"/>
                <w:lang w:val="en-US"/>
              </w:rPr>
              <w:t>With due thanks for both this comment and the support received from Spain, adjustments have been made accordingly.</w:t>
            </w:r>
          </w:p>
        </w:tc>
      </w:tr>
      <w:tr w:rsidR="005D6E20" w:rsidRPr="004465BA" w14:paraId="69D85FC9" w14:textId="77777777" w:rsidTr="005D6E20">
        <w:trPr>
          <w:trHeight w:val="476"/>
        </w:trPr>
        <w:tc>
          <w:tcPr>
            <w:tcW w:w="7736" w:type="dxa"/>
          </w:tcPr>
          <w:p w14:paraId="5C8122FD" w14:textId="77777777" w:rsidR="005D6E20" w:rsidRPr="002D4799" w:rsidRDefault="005D6E20" w:rsidP="0097501C">
            <w:pPr>
              <w:pStyle w:val="ListParagraph"/>
              <w:numPr>
                <w:ilvl w:val="0"/>
                <w:numId w:val="12"/>
              </w:numPr>
              <w:rPr>
                <w:rFonts w:cs="Times New Roman"/>
                <w:lang w:val="en-US"/>
              </w:rPr>
            </w:pPr>
            <w:r w:rsidRPr="002D4799">
              <w:rPr>
                <w:rFonts w:cs="Times New Roman"/>
                <w:lang w:val="en-US"/>
              </w:rPr>
              <w:t xml:space="preserve">GENERAL COMMENT. Due to the narrative (where there is little reference to rights, legal obligations of duty bearers and particularly  to needs and services) and to the structure of priorities and their specific content as well as the invisibilization of some population groups in situations of vulnerability such as the LGTBI population, a more explicit structuring of the human rights-based approach would have been desirable. </w:t>
            </w:r>
          </w:p>
        </w:tc>
        <w:tc>
          <w:tcPr>
            <w:tcW w:w="6698" w:type="dxa"/>
          </w:tcPr>
          <w:p w14:paraId="61283593" w14:textId="77777777" w:rsidR="005D6E20" w:rsidRPr="002D4799" w:rsidRDefault="005D6E20" w:rsidP="0097501C">
            <w:pPr>
              <w:pStyle w:val="ListParagraph"/>
              <w:numPr>
                <w:ilvl w:val="0"/>
                <w:numId w:val="12"/>
              </w:numPr>
              <w:rPr>
                <w:rFonts w:cs="Times New Roman"/>
                <w:lang w:val="en-US"/>
              </w:rPr>
            </w:pPr>
            <w:r w:rsidRPr="002D4799">
              <w:rPr>
                <w:rFonts w:cs="Times New Roman"/>
                <w:lang w:val="en-US"/>
              </w:rPr>
              <w:t>Many thanks Spain for this comment. In response, UNDP emphasizes 2 points:</w:t>
            </w:r>
          </w:p>
          <w:p w14:paraId="5E9C374B" w14:textId="77777777" w:rsidR="005D6E20" w:rsidRPr="002D4799" w:rsidRDefault="005D6E20" w:rsidP="0097501C">
            <w:pPr>
              <w:pStyle w:val="ListParagraph"/>
              <w:numPr>
                <w:ilvl w:val="0"/>
                <w:numId w:val="12"/>
              </w:numPr>
              <w:rPr>
                <w:rFonts w:cs="Times New Roman"/>
                <w:lang w:val="en-US"/>
              </w:rPr>
            </w:pPr>
            <w:r w:rsidRPr="002D4799">
              <w:rPr>
                <w:rFonts w:cs="Times New Roman"/>
                <w:lang w:val="en-US"/>
              </w:rPr>
              <w:t>1. The Country Programme Document considers a cross-cutting human rights approach, as included in the integrated approach considered by the United Nations Sustainable Development Cooperation Framework 2022-26. This will ensure that the specific needs of prioritized vulnerable populations</w:t>
            </w:r>
            <w:r w:rsidRPr="002D4799">
              <w:rPr>
                <w:rFonts w:cs="Times New Roman"/>
                <w:lang w:val="en-GB"/>
              </w:rPr>
              <w:t xml:space="preserve">, along with </w:t>
            </w:r>
            <w:r w:rsidRPr="002D4799">
              <w:rPr>
                <w:rFonts w:cs="Times New Roman"/>
                <w:lang w:val="en-GB"/>
              </w:rPr>
              <w:lastRenderedPageBreak/>
              <w:t>the obligations of duty bearers</w:t>
            </w:r>
            <w:r w:rsidRPr="002D4799">
              <w:rPr>
                <w:rFonts w:cs="Times New Roman"/>
                <w:lang w:val="en-US"/>
              </w:rPr>
              <w:t xml:space="preserve"> will be analyzed and ensured throughout implementation.</w:t>
            </w:r>
          </w:p>
          <w:p w14:paraId="2A0231DB" w14:textId="73FD2C3B" w:rsidR="005D6E20" w:rsidRPr="002D4799" w:rsidRDefault="005D6E20" w:rsidP="0097501C">
            <w:pPr>
              <w:pStyle w:val="ListParagraph"/>
              <w:numPr>
                <w:ilvl w:val="0"/>
                <w:numId w:val="12"/>
              </w:numPr>
              <w:rPr>
                <w:rFonts w:cs="Times New Roman"/>
                <w:lang w:val="en-US"/>
              </w:rPr>
            </w:pPr>
            <w:r w:rsidRPr="002D4799">
              <w:rPr>
                <w:rFonts w:cs="Times New Roman"/>
                <w:lang w:val="en-US"/>
              </w:rPr>
              <w:t xml:space="preserve">2. The </w:t>
            </w:r>
            <w:r w:rsidR="00DB5AD4" w:rsidRPr="00DB5AD4">
              <w:rPr>
                <w:rFonts w:cs="Times New Roman"/>
                <w:lang w:val="en-US"/>
              </w:rPr>
              <w:t>LGBTQI+</w:t>
            </w:r>
            <w:r w:rsidRPr="002D4799">
              <w:rPr>
                <w:rFonts w:cs="Times New Roman"/>
                <w:lang w:val="en-US"/>
              </w:rPr>
              <w:t xml:space="preserve"> population is without doubt a vulnerable population of utmost importance, and therefore indirectly considered throughout the CPD under the cross-cutting human rights and Leave No One Behind approaches (and in particular in outcomes related to social protection, gender-based violence and governance). There is no direct mention of the </w:t>
            </w:r>
            <w:r w:rsidR="00DB5AD4" w:rsidRPr="00DB5AD4">
              <w:rPr>
                <w:rFonts w:cs="Times New Roman"/>
                <w:lang w:val="en-US"/>
              </w:rPr>
              <w:t>LGBTQI+</w:t>
            </w:r>
            <w:r w:rsidRPr="002D4799">
              <w:rPr>
                <w:rFonts w:cs="Times New Roman"/>
                <w:lang w:val="en-US"/>
              </w:rPr>
              <w:t xml:space="preserve"> population given that currently, in Peru, other agencies from the United Nations System have a more direct mandate for this work (UNHCHR, UNFPA, UNAIDS, among others). It is worth mentioning that if opportunities arise for more direct work, UNDP will, without doubt, consider the </w:t>
            </w:r>
            <w:r w:rsidR="00DB5AD4" w:rsidRPr="00DB5AD4">
              <w:rPr>
                <w:rFonts w:cs="Times New Roman"/>
                <w:lang w:val="en-US"/>
              </w:rPr>
              <w:t>LGBTQI+</w:t>
            </w:r>
            <w:r w:rsidRPr="002D4799">
              <w:rPr>
                <w:rFonts w:cs="Times New Roman"/>
                <w:lang w:val="en-US"/>
              </w:rPr>
              <w:t xml:space="preserve"> population to continue ensuring no one is left behind.</w:t>
            </w:r>
          </w:p>
          <w:p w14:paraId="313F70D5" w14:textId="77777777" w:rsidR="005D6E20" w:rsidRPr="002D4799" w:rsidRDefault="005D6E20" w:rsidP="0097501C">
            <w:pPr>
              <w:jc w:val="both"/>
              <w:rPr>
                <w:rFonts w:cs="Times New Roman"/>
                <w:lang w:val="en-US"/>
              </w:rPr>
            </w:pPr>
          </w:p>
        </w:tc>
      </w:tr>
    </w:tbl>
    <w:p w14:paraId="70823533" w14:textId="1698CDA6" w:rsidR="001567CA" w:rsidRDefault="00534E03" w:rsidP="00A457DA">
      <w:pPr>
        <w:spacing w:after="0" w:line="240" w:lineRule="auto"/>
        <w:jc w:val="center"/>
        <w:rPr>
          <w:rFonts w:cs="Times New Roman"/>
          <w:sz w:val="24"/>
          <w:szCs w:val="24"/>
        </w:rPr>
      </w:pPr>
      <w:r>
        <w:rPr>
          <w:rFonts w:cs="Times New Roman"/>
          <w:sz w:val="24"/>
          <w:szCs w:val="24"/>
        </w:rPr>
        <w:lastRenderedPageBreak/>
        <w:t>_______</w:t>
      </w:r>
    </w:p>
    <w:p w14:paraId="7F162102" w14:textId="7B1C5B9B" w:rsidR="006561B8" w:rsidRDefault="006561B8" w:rsidP="006561B8">
      <w:pPr>
        <w:spacing w:after="0" w:line="240" w:lineRule="auto"/>
        <w:rPr>
          <w:rFonts w:cs="Times New Roman"/>
          <w:sz w:val="24"/>
          <w:szCs w:val="24"/>
        </w:rPr>
      </w:pPr>
    </w:p>
    <w:sectPr w:rsidR="006561B8"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9A6E" w14:textId="77777777" w:rsidR="008A63F0" w:rsidRDefault="008A63F0" w:rsidP="0053576A">
      <w:pPr>
        <w:spacing w:after="0" w:line="240" w:lineRule="auto"/>
      </w:pPr>
      <w:r>
        <w:separator/>
      </w:r>
    </w:p>
  </w:endnote>
  <w:endnote w:type="continuationSeparator" w:id="0">
    <w:p w14:paraId="06A9CC4C" w14:textId="77777777" w:rsidR="008A63F0" w:rsidRDefault="008A63F0"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B3BE" w14:textId="77777777" w:rsidR="008A63F0" w:rsidRDefault="008A63F0" w:rsidP="0053576A">
      <w:pPr>
        <w:spacing w:after="0" w:line="240" w:lineRule="auto"/>
      </w:pPr>
      <w:r>
        <w:separator/>
      </w:r>
    </w:p>
  </w:footnote>
  <w:footnote w:type="continuationSeparator" w:id="0">
    <w:p w14:paraId="28780D09" w14:textId="77777777" w:rsidR="008A63F0" w:rsidRDefault="008A63F0"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83980"/>
    <w:multiLevelType w:val="multilevel"/>
    <w:tmpl w:val="27E2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C69"/>
    <w:multiLevelType w:val="multilevel"/>
    <w:tmpl w:val="21E6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E211E"/>
    <w:multiLevelType w:val="multilevel"/>
    <w:tmpl w:val="8CDA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0F82"/>
    <w:multiLevelType w:val="multilevel"/>
    <w:tmpl w:val="58BE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A4D34"/>
    <w:multiLevelType w:val="multilevel"/>
    <w:tmpl w:val="F10E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1"/>
  </w:num>
  <w:num w:numId="4">
    <w:abstractNumId w:val="9"/>
  </w:num>
  <w:num w:numId="5">
    <w:abstractNumId w:val="5"/>
  </w:num>
  <w:num w:numId="6">
    <w:abstractNumId w:val="7"/>
  </w:num>
  <w:num w:numId="7">
    <w:abstractNumId w:val="6"/>
  </w:num>
  <w:num w:numId="8">
    <w:abstractNumId w:val="0"/>
  </w:num>
  <w:num w:numId="9">
    <w:abstractNumId w:val="12"/>
  </w:num>
  <w:num w:numId="10">
    <w:abstractNumId w:val="3"/>
  </w:num>
  <w:num w:numId="11">
    <w:abstractNumId w:val="14"/>
  </w:num>
  <w:num w:numId="12">
    <w:abstractNumId w:val="13"/>
  </w:num>
  <w:num w:numId="13">
    <w:abstractNumId w:val="16"/>
  </w:num>
  <w:num w:numId="14">
    <w:abstractNumId w:val="4"/>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15371"/>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60791"/>
    <w:rsid w:val="000756B5"/>
    <w:rsid w:val="000768F7"/>
    <w:rsid w:val="00081427"/>
    <w:rsid w:val="000829C1"/>
    <w:rsid w:val="00084180"/>
    <w:rsid w:val="00084CC6"/>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0CEF"/>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66DC"/>
    <w:rsid w:val="0029774F"/>
    <w:rsid w:val="002A09D2"/>
    <w:rsid w:val="002A3FBB"/>
    <w:rsid w:val="002A428F"/>
    <w:rsid w:val="002A4EBE"/>
    <w:rsid w:val="002A769E"/>
    <w:rsid w:val="002B2BD0"/>
    <w:rsid w:val="002B3287"/>
    <w:rsid w:val="002B3941"/>
    <w:rsid w:val="002B7079"/>
    <w:rsid w:val="002C0E63"/>
    <w:rsid w:val="002C1C86"/>
    <w:rsid w:val="002C6948"/>
    <w:rsid w:val="002D4799"/>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2FA9"/>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6636"/>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3D55"/>
    <w:rsid w:val="005D425B"/>
    <w:rsid w:val="005D6E20"/>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2EAA"/>
    <w:rsid w:val="00644CA7"/>
    <w:rsid w:val="00644FBD"/>
    <w:rsid w:val="00646F8E"/>
    <w:rsid w:val="006505B8"/>
    <w:rsid w:val="00650B9D"/>
    <w:rsid w:val="0065107F"/>
    <w:rsid w:val="00651822"/>
    <w:rsid w:val="00652962"/>
    <w:rsid w:val="006561B8"/>
    <w:rsid w:val="00662466"/>
    <w:rsid w:val="00663AD3"/>
    <w:rsid w:val="00665492"/>
    <w:rsid w:val="00666B74"/>
    <w:rsid w:val="00670617"/>
    <w:rsid w:val="00670880"/>
    <w:rsid w:val="00670A1D"/>
    <w:rsid w:val="00672A76"/>
    <w:rsid w:val="006777FC"/>
    <w:rsid w:val="00677865"/>
    <w:rsid w:val="00680156"/>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A63F0"/>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26D80"/>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0763"/>
    <w:rsid w:val="009A1984"/>
    <w:rsid w:val="009A396B"/>
    <w:rsid w:val="009A67A7"/>
    <w:rsid w:val="009A6B8F"/>
    <w:rsid w:val="009A6EF3"/>
    <w:rsid w:val="009B0180"/>
    <w:rsid w:val="009B66ED"/>
    <w:rsid w:val="009C1FDA"/>
    <w:rsid w:val="009C40A4"/>
    <w:rsid w:val="009C5093"/>
    <w:rsid w:val="009C543A"/>
    <w:rsid w:val="009E108D"/>
    <w:rsid w:val="009E16E3"/>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0820"/>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51CE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444"/>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5AD4"/>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3265"/>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1FA8"/>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339"/>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3</cp:revision>
  <cp:lastPrinted>2019-10-23T14:31:00Z</cp:lastPrinted>
  <dcterms:created xsi:type="dcterms:W3CDTF">2021-12-03T23:11:00Z</dcterms:created>
  <dcterms:modified xsi:type="dcterms:W3CDTF">2021-12-07T19:21:00Z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1665d9ee-429a-4d5f-97cc-cfb56e044a6e_Enabled">
    <vt:lpwstr>true</vt:lpwstr>
  </property>
  <property fmtid="{D5CDD505-2E9C-101B-9397-08002B2CF9AE}" pid="10" name="MSIP_Label_1665d9ee-429a-4d5f-97cc-cfb56e044a6e_SetDate">
    <vt:lpwstr>2021-11-25T12:59:04Z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0bc561e0-167c-4b76-8fe4-c1c2dd5c78fd</vt:lpwstr>
  </property>
  <property fmtid="{D5CDD505-2E9C-101B-9397-08002B2CF9AE}" pid="15" name="MSIP_Label_1665d9ee-429a-4d5f-97cc-cfb56e044a6e_ContentBits">
    <vt:lpwstr>0</vt:lpwstr>
  </property>
</Properties>
</file>