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470" w14:textId="5029A77E" w:rsidR="00785474" w:rsidRPr="00D51FBD" w:rsidRDefault="00F0264E" w:rsidP="00A56348">
      <w:pPr>
        <w:rPr>
          <w:b/>
          <w:sz w:val="24"/>
          <w:szCs w:val="24"/>
        </w:rPr>
      </w:pPr>
      <w:r w:rsidRPr="00D51FBD">
        <w:rPr>
          <w:b/>
          <w:bCs/>
          <w:sz w:val="24"/>
          <w:szCs w:val="24"/>
        </w:rPr>
        <w:t>ANNEX</w:t>
      </w:r>
      <w:r w:rsidRPr="00D51FBD">
        <w:rPr>
          <w:bCs/>
          <w:sz w:val="24"/>
          <w:szCs w:val="24"/>
        </w:rPr>
        <w:t xml:space="preserve">. </w:t>
      </w:r>
      <w:r w:rsidR="00257154" w:rsidRPr="00D51FBD">
        <w:rPr>
          <w:b/>
          <w:bCs/>
          <w:sz w:val="24"/>
          <w:szCs w:val="24"/>
        </w:rPr>
        <w:t>FULLY COSTED</w:t>
      </w:r>
      <w:r w:rsidR="00785474" w:rsidRPr="00D51FBD">
        <w:rPr>
          <w:b/>
          <w:sz w:val="24"/>
          <w:szCs w:val="24"/>
        </w:rPr>
        <w:t xml:space="preserve"> EVALUATION PLAN </w:t>
      </w:r>
      <w:r w:rsidR="009A1984" w:rsidRPr="00D51FBD">
        <w:rPr>
          <w:b/>
          <w:sz w:val="24"/>
          <w:szCs w:val="24"/>
        </w:rPr>
        <w:t>Haiti 2023 - 2027</w:t>
      </w:r>
    </w:p>
    <w:p w14:paraId="53D7CEBD" w14:textId="19230AF8" w:rsidR="001D13EB" w:rsidRPr="00D51FBD" w:rsidRDefault="001D13EB" w:rsidP="00A56348">
      <w:pPr>
        <w:rPr>
          <w:b/>
          <w:sz w:val="16"/>
          <w:szCs w:val="16"/>
        </w:rPr>
      </w:pPr>
    </w:p>
    <w:p w14:paraId="419978EC" w14:textId="39EC8EC5" w:rsidR="00E14F03" w:rsidRPr="00D51FBD" w:rsidRDefault="00E14F03" w:rsidP="001628F4">
      <w:pPr>
        <w:spacing w:before="60" w:after="60"/>
        <w:jc w:val="both"/>
      </w:pPr>
      <w:r w:rsidRPr="00D51FBD">
        <w:t>UNDP's comprehensive</w:t>
      </w:r>
      <w:r w:rsidR="00491157" w:rsidRPr="00D51FBD">
        <w:t xml:space="preserve"> </w:t>
      </w:r>
      <w:r w:rsidRPr="00D51FBD">
        <w:t>evaluation plan for the 2023-2027 Country Program</w:t>
      </w:r>
      <w:r w:rsidR="00491157" w:rsidRPr="00D51FBD">
        <w:t>me</w:t>
      </w:r>
      <w:r w:rsidRPr="00D51FBD">
        <w:t xml:space="preserve"> will ensure </w:t>
      </w:r>
      <w:r w:rsidR="00491157" w:rsidRPr="00D51FBD">
        <w:t xml:space="preserve">systematic </w:t>
      </w:r>
      <w:r w:rsidRPr="00D51FBD">
        <w:t>and independent evaluations of projects</w:t>
      </w:r>
      <w:r w:rsidR="00491157" w:rsidRPr="00D51FBD">
        <w:t xml:space="preserve"> and areas of work, results achieved, </w:t>
      </w:r>
      <w:r w:rsidRPr="00D51FBD">
        <w:t xml:space="preserve">relevance, effectiveness, efficiency, impact and sustainability, in line with the UNDP evaluation policy. It projects 15 </w:t>
      </w:r>
      <w:r w:rsidR="00491157" w:rsidRPr="00D51FBD">
        <w:t xml:space="preserve">evaluations </w:t>
      </w:r>
      <w:r w:rsidRPr="00D51FBD">
        <w:t>over the entire cycle. Inclusive stakeholder participation in the Program</w:t>
      </w:r>
      <w:r w:rsidR="00491157" w:rsidRPr="00D51FBD">
        <w:t>me</w:t>
      </w:r>
      <w:r w:rsidRPr="00D51FBD">
        <w:t xml:space="preserve"> will be sought </w:t>
      </w:r>
      <w:r w:rsidR="00491157" w:rsidRPr="00D51FBD">
        <w:t xml:space="preserve">as well as that of </w:t>
      </w:r>
      <w:r w:rsidRPr="00D51FBD">
        <w:t>all development actors involved in the public, private and civil society sectors, including primary beneficiaries for each intervention. Findings and recommendations from all evaluations will be used to inform the adaptation and design of projects and program</w:t>
      </w:r>
      <w:r w:rsidR="00CC1B7E" w:rsidRPr="00D51FBD">
        <w:t>mes</w:t>
      </w:r>
      <w:r w:rsidRPr="00D51FBD">
        <w:t>, inform policies, ensure accountability to stakeholders, and showcase UNDP's added value to support building partnerships and resource mobilization. The evaluations will also inform UNDP's contribution to the United Nations Sustainable Development Cooperation Framework (UNSDC</w:t>
      </w:r>
      <w:r w:rsidR="001628F4" w:rsidRPr="00D51FBD">
        <w:t>F</w:t>
      </w:r>
      <w:r w:rsidRPr="00D51FBD">
        <w:t>) and therefore to national priorities and the achievement of the Sustainable Development Goals (SDGs).</w:t>
      </w:r>
      <w:r w:rsidR="00CC1B7E" w:rsidRPr="00D51FBD">
        <w:t xml:space="preserve"> </w:t>
      </w:r>
    </w:p>
    <w:p w14:paraId="1A920FEF" w14:textId="228FB2F2" w:rsidR="00CF1AA2" w:rsidRPr="00D51FBD" w:rsidRDefault="00CF1AA2" w:rsidP="001628F4">
      <w:pPr>
        <w:spacing w:before="60" w:after="60"/>
        <w:jc w:val="both"/>
      </w:pPr>
    </w:p>
    <w:p w14:paraId="3CD984D7" w14:textId="0E3850A0" w:rsidR="00CF1AA2" w:rsidRPr="00D51FBD" w:rsidRDefault="001628F4" w:rsidP="00D52B71">
      <w:pPr>
        <w:spacing w:before="60" w:after="60"/>
        <w:jc w:val="both"/>
      </w:pPr>
      <w:r w:rsidRPr="00D51FBD">
        <w:t>At the programmatic level, the Country Office aligns its Evaluation plan with the new Program</w:t>
      </w:r>
      <w:r w:rsidR="00CC1B7E" w:rsidRPr="00D51FBD">
        <w:t>me</w:t>
      </w:r>
      <w:r w:rsidRPr="00D51FBD">
        <w:t xml:space="preserve"> approach reflected in the </w:t>
      </w:r>
      <w:r w:rsidR="00D13FE0" w:rsidRPr="00D51FBD">
        <w:t>transformational theory of change called for in the previous Independent Country Programme Evaluation</w:t>
      </w:r>
      <w:r w:rsidR="00566877" w:rsidRPr="00D51FBD">
        <w:t xml:space="preserve"> </w:t>
      </w:r>
      <w:r w:rsidRPr="00D51FBD">
        <w:t>and ensures that its added value is well represented in the different scheduled assessments. Thus, in addition to the evaluation of the United Nations Cooperation Framework for Sustainable Development, a mid-term evaluation of the Country Program</w:t>
      </w:r>
      <w:r w:rsidR="00566877" w:rsidRPr="00D51FBD">
        <w:t>me</w:t>
      </w:r>
      <w:r w:rsidRPr="00D51FBD">
        <w:t xml:space="preserve"> is planned between 2024 and 2025, with a focus on gender and </w:t>
      </w:r>
      <w:r w:rsidR="00566877" w:rsidRPr="00D51FBD">
        <w:t>t</w:t>
      </w:r>
      <w:r w:rsidR="0099422C" w:rsidRPr="00D51FBD">
        <w:t>he most vulnerable at risk of being left behind (LNOB)</w:t>
      </w:r>
      <w:r w:rsidRPr="00D51FBD">
        <w:t>, to assess progress and adjust the program and its alignment with national priorities if necessary</w:t>
      </w:r>
      <w:r w:rsidR="0099422C" w:rsidRPr="00D51FBD">
        <w:t xml:space="preserve">, The intention is that an </w:t>
      </w:r>
      <w:r w:rsidRPr="00D51FBD">
        <w:t xml:space="preserve">Independent Country Program Evaluation (IPCE) </w:t>
      </w:r>
      <w:r w:rsidR="0099422C" w:rsidRPr="00D51FBD">
        <w:t xml:space="preserve">take place in </w:t>
      </w:r>
      <w:r w:rsidRPr="00D51FBD">
        <w:t>2026</w:t>
      </w:r>
      <w:r w:rsidR="0099422C" w:rsidRPr="00D51FBD">
        <w:t xml:space="preserve">. </w:t>
      </w:r>
      <w:r w:rsidR="00CF1AA2" w:rsidRPr="00D51FBD">
        <w:t xml:space="preserve">In terms of results and </w:t>
      </w:r>
      <w:r w:rsidR="0099422C" w:rsidRPr="00D51FBD">
        <w:t>thematic focus</w:t>
      </w:r>
      <w:r w:rsidR="00CF1AA2" w:rsidRPr="00D51FBD">
        <w:t xml:space="preserve">, 12 project evaluations are planned, including 4 relating to the Global Environment Fund, 2 portfolio evaluations respectively on democratic governance and economic governance. UNDP will ensure compliance with the commitments made in the project documents signed with the government and </w:t>
      </w:r>
      <w:r w:rsidR="0099422C" w:rsidRPr="00D51FBD">
        <w:t>its</w:t>
      </w:r>
      <w:r w:rsidR="00CF1AA2" w:rsidRPr="00D51FBD">
        <w:t xml:space="preserve"> technical and financial partners. As </w:t>
      </w:r>
      <w:r w:rsidR="0099422C" w:rsidRPr="00D51FBD">
        <w:t xml:space="preserve">the pipeline materializes, UNDP </w:t>
      </w:r>
      <w:r w:rsidR="00CF1AA2" w:rsidRPr="00D51FBD">
        <w:t>will update its evaluation plan accordingly, with an in-depth annual review.</w:t>
      </w:r>
    </w:p>
    <w:p w14:paraId="2440D471" w14:textId="77777777" w:rsidR="00785474" w:rsidRPr="00D51FBD" w:rsidRDefault="00785474" w:rsidP="00A56348">
      <w:pPr>
        <w:rPr>
          <w:sz w:val="16"/>
          <w:szCs w:val="16"/>
        </w:rPr>
      </w:pPr>
    </w:p>
    <w:tbl>
      <w:tblPr>
        <w:tblpPr w:leftFromText="180" w:rightFromText="180" w:vertAnchor="text" w:horzAnchor="margin" w:tblpXSpec="center" w:tblpY="143"/>
        <w:tblW w:w="5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1890"/>
        <w:gridCol w:w="2060"/>
        <w:gridCol w:w="1701"/>
        <w:gridCol w:w="1445"/>
        <w:gridCol w:w="1521"/>
        <w:gridCol w:w="1380"/>
        <w:gridCol w:w="1084"/>
        <w:gridCol w:w="1288"/>
      </w:tblGrid>
      <w:tr w:rsidR="00D51FBD" w:rsidRPr="00D51FBD" w14:paraId="2440D47C" w14:textId="77777777" w:rsidTr="00E21AA9">
        <w:trPr>
          <w:cantSplit/>
          <w:trHeight w:val="1163"/>
          <w:tblHeader/>
        </w:trPr>
        <w:tc>
          <w:tcPr>
            <w:tcW w:w="939" w:type="pct"/>
            <w:shd w:val="clear" w:color="auto" w:fill="DBE5F1" w:themeFill="accent1" w:themeFillTint="33"/>
            <w:vAlign w:val="center"/>
          </w:tcPr>
          <w:p w14:paraId="602218A3" w14:textId="77777777" w:rsidR="00582EEB" w:rsidRPr="00D51FBD" w:rsidRDefault="00582EEB" w:rsidP="00582EEB">
            <w:pPr>
              <w:jc w:val="center"/>
              <w:rPr>
                <w:b/>
                <w:bCs/>
              </w:rPr>
            </w:pPr>
            <w:r w:rsidRPr="00D51FBD">
              <w:rPr>
                <w:b/>
                <w:bCs/>
              </w:rPr>
              <w:t>UNSDCF </w:t>
            </w:r>
          </w:p>
          <w:p w14:paraId="17182199" w14:textId="0CD01C2A" w:rsidR="00582EEB" w:rsidRPr="00D51FBD" w:rsidRDefault="00582EEB" w:rsidP="00582EEB">
            <w:pPr>
              <w:jc w:val="center"/>
              <w:rPr>
                <w:b/>
                <w:bCs/>
              </w:rPr>
            </w:pPr>
            <w:r w:rsidRPr="00D51FBD">
              <w:rPr>
                <w:b/>
                <w:bCs/>
              </w:rPr>
              <w:t>Outcom</w:t>
            </w:r>
            <w:r w:rsidR="002E5846" w:rsidRPr="00D51FBD">
              <w:rPr>
                <w:b/>
                <w:bCs/>
              </w:rPr>
              <w:t>e</w:t>
            </w:r>
          </w:p>
          <w:p w14:paraId="2440D473" w14:textId="1329B587" w:rsidR="00582EEB" w:rsidRPr="00D51FBD" w:rsidRDefault="00582EEB" w:rsidP="009D7760">
            <w:pPr>
              <w:jc w:val="center"/>
              <w:rPr>
                <w:b/>
                <w:bCs/>
              </w:rPr>
            </w:pPr>
          </w:p>
        </w:tc>
        <w:tc>
          <w:tcPr>
            <w:tcW w:w="620" w:type="pct"/>
            <w:shd w:val="clear" w:color="auto" w:fill="DBE5F1" w:themeFill="accent1" w:themeFillTint="33"/>
            <w:vAlign w:val="center"/>
          </w:tcPr>
          <w:p w14:paraId="2440D474" w14:textId="3011FC28" w:rsidR="00C05321" w:rsidRPr="00D51FBD" w:rsidRDefault="00C05321" w:rsidP="00A76D2C">
            <w:pPr>
              <w:jc w:val="center"/>
              <w:rPr>
                <w:b/>
                <w:bCs/>
              </w:rPr>
            </w:pPr>
            <w:r w:rsidRPr="00D51FBD">
              <w:rPr>
                <w:b/>
                <w:bCs/>
              </w:rPr>
              <w:t>UNDP Strategic Plan Outcome</w:t>
            </w:r>
          </w:p>
        </w:tc>
        <w:tc>
          <w:tcPr>
            <w:tcW w:w="676" w:type="pct"/>
            <w:shd w:val="clear" w:color="auto" w:fill="DBE5F1" w:themeFill="accent1" w:themeFillTint="33"/>
            <w:vAlign w:val="center"/>
          </w:tcPr>
          <w:p w14:paraId="2440D475" w14:textId="2C5A646E" w:rsidR="002E5846" w:rsidRPr="00D51FBD" w:rsidRDefault="002E5846" w:rsidP="009D7760">
            <w:pPr>
              <w:jc w:val="center"/>
              <w:rPr>
                <w:b/>
                <w:bCs/>
              </w:rPr>
            </w:pPr>
            <w:r w:rsidRPr="00D51FBD">
              <w:rPr>
                <w:b/>
                <w:bCs/>
              </w:rPr>
              <w:t>Evaluation Title</w:t>
            </w:r>
          </w:p>
        </w:tc>
        <w:tc>
          <w:tcPr>
            <w:tcW w:w="558" w:type="pct"/>
            <w:shd w:val="clear" w:color="auto" w:fill="DBE5F1" w:themeFill="accent1" w:themeFillTint="33"/>
            <w:vAlign w:val="center"/>
          </w:tcPr>
          <w:p w14:paraId="2440D476" w14:textId="39FB70C7" w:rsidR="006947BF" w:rsidRPr="00D51FBD" w:rsidDel="00BA628C" w:rsidRDefault="006947BF" w:rsidP="009D7760">
            <w:pPr>
              <w:jc w:val="center"/>
              <w:rPr>
                <w:b/>
                <w:bCs/>
              </w:rPr>
            </w:pPr>
            <w:r w:rsidRPr="00D51FBD">
              <w:rPr>
                <w:b/>
                <w:bCs/>
              </w:rPr>
              <w:t xml:space="preserve">Partners (Joint evaluations) </w:t>
            </w:r>
          </w:p>
        </w:tc>
        <w:tc>
          <w:tcPr>
            <w:tcW w:w="474" w:type="pct"/>
            <w:shd w:val="clear" w:color="auto" w:fill="DBE5F1" w:themeFill="accent1" w:themeFillTint="33"/>
            <w:vAlign w:val="center"/>
          </w:tcPr>
          <w:p w14:paraId="2440D477" w14:textId="0A4079CE" w:rsidR="006A2C82" w:rsidRPr="00D51FBD" w:rsidRDefault="006A2C82" w:rsidP="009D7760">
            <w:pPr>
              <w:jc w:val="center"/>
              <w:rPr>
                <w:b/>
                <w:bCs/>
              </w:rPr>
            </w:pPr>
            <w:r w:rsidRPr="00D51FBD">
              <w:rPr>
                <w:b/>
                <w:bCs/>
              </w:rPr>
              <w:t>Evaluation commissioned by (if not UNDP)</w:t>
            </w:r>
          </w:p>
        </w:tc>
        <w:tc>
          <w:tcPr>
            <w:tcW w:w="499" w:type="pct"/>
            <w:shd w:val="clear" w:color="auto" w:fill="DBE5F1" w:themeFill="accent1" w:themeFillTint="33"/>
            <w:vAlign w:val="center"/>
          </w:tcPr>
          <w:p w14:paraId="2440D478" w14:textId="49F10C80" w:rsidR="004075AA" w:rsidRPr="00D51FBD" w:rsidRDefault="004075AA" w:rsidP="0006044F">
            <w:pPr>
              <w:jc w:val="center"/>
              <w:rPr>
                <w:b/>
                <w:bCs/>
              </w:rPr>
            </w:pPr>
            <w:r w:rsidRPr="00D51FBD">
              <w:rPr>
                <w:b/>
                <w:bCs/>
              </w:rPr>
              <w:t>Type of evaluation</w:t>
            </w:r>
          </w:p>
        </w:tc>
        <w:tc>
          <w:tcPr>
            <w:tcW w:w="453" w:type="pct"/>
            <w:shd w:val="clear" w:color="auto" w:fill="DBE5F1" w:themeFill="accent1" w:themeFillTint="33"/>
            <w:vAlign w:val="center"/>
          </w:tcPr>
          <w:p w14:paraId="2440D479" w14:textId="75DA74AB" w:rsidR="009A4CD9" w:rsidRPr="00D51FBD" w:rsidRDefault="009A4CD9" w:rsidP="0006044F">
            <w:pPr>
              <w:jc w:val="center"/>
              <w:rPr>
                <w:b/>
                <w:bCs/>
              </w:rPr>
            </w:pPr>
            <w:r w:rsidRPr="00D51FBD">
              <w:rPr>
                <w:b/>
                <w:bCs/>
              </w:rPr>
              <w:t>Planned Evaluation Completion Dat</w:t>
            </w:r>
            <w:r w:rsidR="00A853B9" w:rsidRPr="00D51FBD">
              <w:rPr>
                <w:b/>
                <w:bCs/>
              </w:rPr>
              <w:t>e</w:t>
            </w:r>
          </w:p>
        </w:tc>
        <w:tc>
          <w:tcPr>
            <w:tcW w:w="356" w:type="pct"/>
            <w:shd w:val="clear" w:color="auto" w:fill="DBE5F1" w:themeFill="accent1" w:themeFillTint="33"/>
            <w:vAlign w:val="center"/>
          </w:tcPr>
          <w:p w14:paraId="2440D47A" w14:textId="57F9E263" w:rsidR="00A853B9" w:rsidRPr="00D51FBD" w:rsidRDefault="00A853B9" w:rsidP="0006044F">
            <w:pPr>
              <w:jc w:val="center"/>
              <w:rPr>
                <w:b/>
                <w:bCs/>
                <w:strike/>
              </w:rPr>
            </w:pPr>
            <w:r w:rsidRPr="00D51FBD">
              <w:rPr>
                <w:b/>
                <w:bCs/>
              </w:rPr>
              <w:t>Estimated Cost</w:t>
            </w:r>
          </w:p>
        </w:tc>
        <w:tc>
          <w:tcPr>
            <w:tcW w:w="423" w:type="pct"/>
            <w:shd w:val="clear" w:color="auto" w:fill="DBE5F1" w:themeFill="accent1" w:themeFillTint="33"/>
            <w:vAlign w:val="center"/>
          </w:tcPr>
          <w:p w14:paraId="2440D47B" w14:textId="568D6F9B" w:rsidR="00B961B7" w:rsidRPr="00D51FBD" w:rsidRDefault="007A0CA5" w:rsidP="009D7760">
            <w:pPr>
              <w:jc w:val="center"/>
              <w:rPr>
                <w:b/>
                <w:bCs/>
              </w:rPr>
            </w:pPr>
            <w:r w:rsidRPr="00D51FBD">
              <w:rPr>
                <w:b/>
                <w:bCs/>
              </w:rPr>
              <w:t>Provisional Source of Fundin</w:t>
            </w:r>
            <w:r w:rsidR="005127AF" w:rsidRPr="00D51FBD">
              <w:rPr>
                <w:b/>
                <w:bCs/>
              </w:rPr>
              <w:t>g</w:t>
            </w:r>
            <w:r w:rsidRPr="00D51FBD">
              <w:rPr>
                <w:b/>
                <w:bCs/>
              </w:rPr>
              <w:t xml:space="preserve"> </w:t>
            </w:r>
            <w:r w:rsidR="004933AD" w:rsidRPr="00D51FBD">
              <w:rPr>
                <w:b/>
                <w:bCs/>
              </w:rPr>
              <w:t xml:space="preserve"> </w:t>
            </w:r>
          </w:p>
        </w:tc>
      </w:tr>
      <w:tr w:rsidR="00D51FBD" w:rsidRPr="00D51FBD" w14:paraId="2957059F" w14:textId="77777777" w:rsidTr="002E5247">
        <w:trPr>
          <w:trHeight w:val="1610"/>
        </w:trPr>
        <w:tc>
          <w:tcPr>
            <w:tcW w:w="939" w:type="pct"/>
          </w:tcPr>
          <w:p w14:paraId="1812722C" w14:textId="77777777" w:rsidR="00165FAE" w:rsidRPr="00D51FBD" w:rsidRDefault="00165FAE" w:rsidP="00165FAE">
            <w:pPr>
              <w:spacing w:after="120"/>
              <w:rPr>
                <w:rStyle w:val="Hyperlink"/>
                <w:color w:val="auto"/>
              </w:rPr>
            </w:pPr>
            <w:r w:rsidRPr="00D51FBD">
              <w:rPr>
                <w:rStyle w:val="Hyperlink"/>
                <w:color w:val="auto"/>
              </w:rPr>
              <w:t>Equal, legitimate and accountable institutions guarantee the rule of law, good governance and respect for human rights</w:t>
            </w:r>
          </w:p>
          <w:p w14:paraId="0F79CF0B" w14:textId="16DD2148" w:rsidR="00AD6A98" w:rsidRPr="00D51FBD" w:rsidRDefault="00AD6A98" w:rsidP="004E1AB8">
            <w:pPr>
              <w:spacing w:after="120"/>
              <w:rPr>
                <w:rStyle w:val="Hyperlink"/>
                <w:color w:val="auto"/>
              </w:rPr>
            </w:pPr>
          </w:p>
        </w:tc>
        <w:tc>
          <w:tcPr>
            <w:tcW w:w="620" w:type="pct"/>
          </w:tcPr>
          <w:p w14:paraId="4F08892D" w14:textId="766406FC" w:rsidR="006C36BA" w:rsidRPr="00D51FBD" w:rsidRDefault="006C36BA" w:rsidP="004E1AB8">
            <w:pPr>
              <w:spacing w:after="120"/>
              <w:rPr>
                <w:rStyle w:val="Hyperlink"/>
                <w:color w:val="auto"/>
              </w:rPr>
            </w:pPr>
            <w:r w:rsidRPr="00D51FBD">
              <w:rPr>
                <w:rStyle w:val="Hyperlink"/>
                <w:color w:val="auto"/>
              </w:rPr>
              <w:t xml:space="preserve">Outcome </w:t>
            </w:r>
            <w:r w:rsidR="009672CD" w:rsidRPr="00D51FBD">
              <w:rPr>
                <w:rStyle w:val="Hyperlink"/>
                <w:color w:val="auto"/>
              </w:rPr>
              <w:t>1 :</w:t>
            </w:r>
            <w:r w:rsidRPr="00D51FBD">
              <w:rPr>
                <w:rStyle w:val="Hyperlink"/>
                <w:color w:val="auto"/>
              </w:rPr>
              <w:t xml:space="preserve"> Structural transformation accelerated, particularly green, inclusive and digital transitions</w:t>
            </w:r>
            <w:r w:rsidRPr="00D51FBD">
              <w:t>;</w:t>
            </w:r>
          </w:p>
        </w:tc>
        <w:tc>
          <w:tcPr>
            <w:tcW w:w="676" w:type="pct"/>
          </w:tcPr>
          <w:p w14:paraId="15835552" w14:textId="45A5B577" w:rsidR="009470A3" w:rsidRPr="00D51FBD" w:rsidRDefault="004A5E46" w:rsidP="004E1AB8">
            <w:pPr>
              <w:spacing w:after="120"/>
              <w:rPr>
                <w:rStyle w:val="Hyperlink"/>
                <w:color w:val="auto"/>
              </w:rPr>
            </w:pPr>
            <w:r w:rsidRPr="00D51FBD">
              <w:t xml:space="preserve">Final evaluation of the project : </w:t>
            </w:r>
            <w:hyperlink r:id="rId12" w:tooltip="Go to Evaluation detail" w:history="1">
              <w:r w:rsidR="00C7131D" w:rsidRPr="00D51FBD">
                <w:rPr>
                  <w:rStyle w:val="Hyperlink"/>
                  <w:color w:val="auto"/>
                </w:rPr>
                <w:t>« </w:t>
              </w:r>
              <w:proofErr w:type="spellStart"/>
              <w:r w:rsidR="009470A3" w:rsidRPr="00D51FBD">
                <w:rPr>
                  <w:rStyle w:val="Hyperlink"/>
                  <w:color w:val="auto"/>
                </w:rPr>
                <w:t>Appui</w:t>
              </w:r>
              <w:proofErr w:type="spellEnd"/>
              <w:r w:rsidR="009470A3" w:rsidRPr="00D51FBD">
                <w:rPr>
                  <w:rStyle w:val="Hyperlink"/>
                  <w:color w:val="auto"/>
                </w:rPr>
                <w:t xml:space="preserve"> à la </w:t>
              </w:r>
              <w:proofErr w:type="spellStart"/>
              <w:r w:rsidR="009470A3" w:rsidRPr="00D51FBD">
                <w:rPr>
                  <w:rStyle w:val="Hyperlink"/>
                  <w:color w:val="auto"/>
                </w:rPr>
                <w:t>Gouvernance</w:t>
              </w:r>
              <w:proofErr w:type="spellEnd"/>
              <w:r w:rsidR="009470A3" w:rsidRPr="00D51FBD">
                <w:rPr>
                  <w:rStyle w:val="Hyperlink"/>
                  <w:color w:val="auto"/>
                </w:rPr>
                <w:t xml:space="preserve"> Locale et au </w:t>
              </w:r>
              <w:proofErr w:type="spellStart"/>
              <w:r w:rsidR="009470A3" w:rsidRPr="00D51FBD">
                <w:rPr>
                  <w:rStyle w:val="Hyperlink"/>
                  <w:color w:val="auto"/>
                </w:rPr>
                <w:t>Développement</w:t>
              </w:r>
              <w:proofErr w:type="spellEnd"/>
              <w:r w:rsidR="009470A3" w:rsidRPr="00D51FBD">
                <w:rPr>
                  <w:rStyle w:val="Hyperlink"/>
                  <w:color w:val="auto"/>
                </w:rPr>
                <w:t xml:space="preserve"> Territorial</w:t>
              </w:r>
            </w:hyperlink>
            <w:r w:rsidR="00C7131D" w:rsidRPr="00D51FBD">
              <w:rPr>
                <w:rStyle w:val="Hyperlink"/>
                <w:color w:val="auto"/>
              </w:rPr>
              <w:t> »</w:t>
            </w:r>
          </w:p>
        </w:tc>
        <w:tc>
          <w:tcPr>
            <w:tcW w:w="558" w:type="pct"/>
          </w:tcPr>
          <w:p w14:paraId="6A6CF9B0" w14:textId="6B45F512" w:rsidR="009470A3" w:rsidRPr="00D51FBD" w:rsidRDefault="009470A3" w:rsidP="004E1AB8">
            <w:pPr>
              <w:spacing w:after="120"/>
              <w:rPr>
                <w:rStyle w:val="Hyperlink"/>
                <w:color w:val="auto"/>
              </w:rPr>
            </w:pPr>
            <w:r w:rsidRPr="00D51FBD">
              <w:rPr>
                <w:rStyle w:val="Hyperlink"/>
                <w:color w:val="auto"/>
              </w:rPr>
              <w:t>MICT, MPCE, OMRH, MCFDF</w:t>
            </w:r>
          </w:p>
        </w:tc>
        <w:tc>
          <w:tcPr>
            <w:tcW w:w="474" w:type="pct"/>
          </w:tcPr>
          <w:p w14:paraId="71B3B90A" w14:textId="6C3AA724" w:rsidR="00152955" w:rsidRPr="00D51FBD" w:rsidRDefault="00152955" w:rsidP="004E1AB8">
            <w:pPr>
              <w:spacing w:after="120"/>
              <w:rPr>
                <w:rStyle w:val="Hyperlink"/>
                <w:color w:val="auto"/>
              </w:rPr>
            </w:pPr>
            <w:r w:rsidRPr="00D51FBD">
              <w:rPr>
                <w:rStyle w:val="Hyperlink"/>
                <w:color w:val="auto"/>
              </w:rPr>
              <w:t xml:space="preserve">UNDP CO </w:t>
            </w:r>
          </w:p>
        </w:tc>
        <w:tc>
          <w:tcPr>
            <w:tcW w:w="499" w:type="pct"/>
          </w:tcPr>
          <w:p w14:paraId="16CEA840" w14:textId="156CA0C1" w:rsidR="009B455A" w:rsidRPr="00D51FBD" w:rsidRDefault="000D140A" w:rsidP="004E1AB8">
            <w:pPr>
              <w:spacing w:after="120"/>
              <w:rPr>
                <w:rStyle w:val="Hyperlink"/>
                <w:color w:val="auto"/>
              </w:rPr>
            </w:pPr>
            <w:r w:rsidRPr="00D51FBD">
              <w:rPr>
                <w:rStyle w:val="Hyperlink"/>
                <w:color w:val="auto"/>
              </w:rPr>
              <w:t>Project</w:t>
            </w:r>
          </w:p>
        </w:tc>
        <w:tc>
          <w:tcPr>
            <w:tcW w:w="453" w:type="pct"/>
          </w:tcPr>
          <w:p w14:paraId="11195D38" w14:textId="2B20EEEC" w:rsidR="009470A3" w:rsidRPr="00D51FBD" w:rsidRDefault="00DD330B" w:rsidP="004E1AB8">
            <w:pPr>
              <w:spacing w:after="120"/>
              <w:rPr>
                <w:rStyle w:val="Hyperlink"/>
                <w:color w:val="auto"/>
              </w:rPr>
            </w:pPr>
            <w:r w:rsidRPr="00D51FBD">
              <w:rPr>
                <w:rStyle w:val="Hyperlink"/>
                <w:color w:val="auto"/>
              </w:rPr>
              <w:t>April</w:t>
            </w:r>
            <w:r w:rsidR="002B2BA5" w:rsidRPr="00D51FBD">
              <w:rPr>
                <w:rStyle w:val="Hyperlink"/>
                <w:color w:val="auto"/>
              </w:rPr>
              <w:t xml:space="preserve"> </w:t>
            </w:r>
            <w:r w:rsidR="009470A3" w:rsidRPr="00D51FBD">
              <w:rPr>
                <w:rStyle w:val="Hyperlink"/>
                <w:color w:val="auto"/>
              </w:rPr>
              <w:t>2023</w:t>
            </w:r>
          </w:p>
        </w:tc>
        <w:tc>
          <w:tcPr>
            <w:tcW w:w="356" w:type="pct"/>
          </w:tcPr>
          <w:p w14:paraId="1519E924" w14:textId="0C8E8C47" w:rsidR="009470A3" w:rsidRPr="00D51FBD" w:rsidRDefault="009470A3" w:rsidP="004E1AB8">
            <w:pPr>
              <w:spacing w:after="120"/>
              <w:rPr>
                <w:rStyle w:val="Hyperlink"/>
                <w:color w:val="auto"/>
              </w:rPr>
            </w:pPr>
            <w:r w:rsidRPr="00D51FBD">
              <w:rPr>
                <w:rStyle w:val="Hyperlink"/>
                <w:color w:val="auto"/>
              </w:rPr>
              <w:t>$30</w:t>
            </w:r>
            <w:r w:rsidR="00923D1E" w:rsidRPr="00D51FBD">
              <w:rPr>
                <w:rStyle w:val="Hyperlink"/>
                <w:color w:val="auto"/>
              </w:rPr>
              <w:t>,</w:t>
            </w:r>
            <w:r w:rsidRPr="00D51FBD">
              <w:rPr>
                <w:rStyle w:val="Hyperlink"/>
                <w:color w:val="auto"/>
              </w:rPr>
              <w:t>000</w:t>
            </w:r>
          </w:p>
        </w:tc>
        <w:tc>
          <w:tcPr>
            <w:tcW w:w="423" w:type="pct"/>
          </w:tcPr>
          <w:p w14:paraId="1E11BB9C" w14:textId="31AF603F" w:rsidR="009470A3" w:rsidRPr="00D51FBD" w:rsidRDefault="00197BF2" w:rsidP="004E1AB8">
            <w:pPr>
              <w:spacing w:after="120"/>
              <w:rPr>
                <w:rStyle w:val="CommentReference"/>
                <w:sz w:val="20"/>
                <w:szCs w:val="20"/>
                <w:lang w:eastAsia="uk-UA"/>
              </w:rPr>
            </w:pPr>
            <w:r w:rsidRPr="00D51FBD">
              <w:rPr>
                <w:rStyle w:val="CommentReference"/>
                <w:sz w:val="20"/>
                <w:szCs w:val="20"/>
                <w:lang w:eastAsia="uk-UA"/>
              </w:rPr>
              <w:t>Project budget</w:t>
            </w:r>
          </w:p>
        </w:tc>
      </w:tr>
      <w:tr w:rsidR="00D51FBD" w:rsidRPr="00D51FBD" w14:paraId="46C6E891" w14:textId="77777777" w:rsidTr="00160F07">
        <w:trPr>
          <w:trHeight w:val="60"/>
        </w:trPr>
        <w:tc>
          <w:tcPr>
            <w:tcW w:w="939" w:type="pct"/>
          </w:tcPr>
          <w:p w14:paraId="04A82E05" w14:textId="77777777" w:rsidR="00AD6A98" w:rsidRPr="00D51FBD" w:rsidRDefault="00AD6A98" w:rsidP="004E1AB8">
            <w:pPr>
              <w:spacing w:after="120"/>
              <w:rPr>
                <w:rStyle w:val="Hyperlink"/>
                <w:color w:val="auto"/>
              </w:rPr>
            </w:pPr>
            <w:r w:rsidRPr="00D51FBD">
              <w:rPr>
                <w:rStyle w:val="Hyperlink"/>
                <w:color w:val="auto"/>
              </w:rPr>
              <w:t>Equal, legitimate and accountable institutions guarantee the rule of law, good governance and respect for human rights</w:t>
            </w:r>
          </w:p>
          <w:p w14:paraId="64796D8F" w14:textId="0A74566D" w:rsidR="00AD6A98" w:rsidRPr="00D51FBD" w:rsidRDefault="00AD6A98" w:rsidP="004E1AB8">
            <w:pPr>
              <w:spacing w:after="120"/>
              <w:rPr>
                <w:rStyle w:val="Hyperlink"/>
                <w:color w:val="auto"/>
              </w:rPr>
            </w:pPr>
          </w:p>
        </w:tc>
        <w:tc>
          <w:tcPr>
            <w:tcW w:w="620" w:type="pct"/>
          </w:tcPr>
          <w:p w14:paraId="216CE955" w14:textId="727869DC" w:rsidR="006C36BA" w:rsidRPr="00D51FBD" w:rsidRDefault="006C36BA" w:rsidP="004E1AB8">
            <w:pPr>
              <w:spacing w:after="120"/>
              <w:rPr>
                <w:rStyle w:val="Hyperlink"/>
                <w:color w:val="auto"/>
              </w:rPr>
            </w:pPr>
            <w:r w:rsidRPr="00D51FBD">
              <w:rPr>
                <w:rStyle w:val="Hyperlink"/>
                <w:color w:val="auto"/>
              </w:rPr>
              <w:t xml:space="preserve">Outcome 1: Structural transformation accelerated, particularly green, </w:t>
            </w:r>
            <w:r w:rsidRPr="00D51FBD">
              <w:rPr>
                <w:rStyle w:val="Hyperlink"/>
                <w:color w:val="auto"/>
              </w:rPr>
              <w:lastRenderedPageBreak/>
              <w:t>inclusive and digital transitions</w:t>
            </w:r>
          </w:p>
        </w:tc>
        <w:tc>
          <w:tcPr>
            <w:tcW w:w="676" w:type="pct"/>
          </w:tcPr>
          <w:p w14:paraId="6A40284F" w14:textId="261B5252" w:rsidR="00152955" w:rsidRPr="00D51FBD" w:rsidRDefault="00AF567D" w:rsidP="004E1AB8">
            <w:pPr>
              <w:spacing w:after="120"/>
            </w:pPr>
            <w:r w:rsidRPr="00D51FBD">
              <w:rPr>
                <w:rStyle w:val="Hyperlink"/>
                <w:color w:val="auto"/>
              </w:rPr>
              <w:lastRenderedPageBreak/>
              <w:t>Evaluation</w:t>
            </w:r>
            <w:r w:rsidR="000D140A" w:rsidRPr="00D51FBD">
              <w:rPr>
                <w:rStyle w:val="Hyperlink"/>
                <w:color w:val="auto"/>
              </w:rPr>
              <w:t xml:space="preserve"> </w:t>
            </w:r>
            <w:r w:rsidR="006617A7" w:rsidRPr="00D51FBD">
              <w:rPr>
                <w:rStyle w:val="Hyperlink"/>
                <w:color w:val="auto"/>
              </w:rPr>
              <w:t>finale du</w:t>
            </w:r>
            <w:r w:rsidR="00517ED9" w:rsidRPr="00D51FBD">
              <w:rPr>
                <w:rStyle w:val="Hyperlink"/>
                <w:color w:val="auto"/>
              </w:rPr>
              <w:t xml:space="preserve"> Programme conjoint Etat de droit</w:t>
            </w:r>
            <w:r w:rsidR="00517ED9" w:rsidRPr="00D51FBD">
              <w:t xml:space="preserve"> </w:t>
            </w:r>
          </w:p>
        </w:tc>
        <w:tc>
          <w:tcPr>
            <w:tcW w:w="558" w:type="pct"/>
          </w:tcPr>
          <w:p w14:paraId="19AB6348" w14:textId="77777777" w:rsidR="004A5E46" w:rsidRPr="00D51FBD" w:rsidRDefault="004A5E46" w:rsidP="004E1AB8">
            <w:pPr>
              <w:spacing w:after="120"/>
              <w:rPr>
                <w:rStyle w:val="Hyperlink"/>
                <w:color w:val="auto"/>
              </w:rPr>
            </w:pPr>
            <w:r w:rsidRPr="00D51FBD">
              <w:rPr>
                <w:rStyle w:val="Hyperlink"/>
                <w:color w:val="auto"/>
              </w:rPr>
              <w:t>Crisis Bureau</w:t>
            </w:r>
            <w:r w:rsidRPr="00D51FBD">
              <w:rPr>
                <w:rStyle w:val="Hyperlink"/>
                <w:color w:val="auto"/>
              </w:rPr>
              <w:br/>
            </w:r>
          </w:p>
          <w:p w14:paraId="3A575503" w14:textId="1BC618A0" w:rsidR="0033028E" w:rsidRPr="00D51FBD" w:rsidRDefault="00517ED9" w:rsidP="004E1AB8">
            <w:pPr>
              <w:spacing w:after="120"/>
              <w:rPr>
                <w:rStyle w:val="Hyperlink"/>
                <w:color w:val="auto"/>
              </w:rPr>
            </w:pPr>
            <w:r w:rsidRPr="00D51FBD">
              <w:rPr>
                <w:rStyle w:val="Hyperlink"/>
                <w:color w:val="auto"/>
              </w:rPr>
              <w:t>BINUH</w:t>
            </w:r>
          </w:p>
        </w:tc>
        <w:tc>
          <w:tcPr>
            <w:tcW w:w="474" w:type="pct"/>
          </w:tcPr>
          <w:p w14:paraId="436526A9" w14:textId="3F7E5B10" w:rsidR="00152955" w:rsidRPr="00D51FBD" w:rsidRDefault="00152955" w:rsidP="004E1AB8">
            <w:pPr>
              <w:spacing w:after="120"/>
              <w:rPr>
                <w:rStyle w:val="Hyperlink"/>
                <w:strike/>
                <w:color w:val="auto"/>
              </w:rPr>
            </w:pPr>
            <w:r w:rsidRPr="00D51FBD">
              <w:rPr>
                <w:rStyle w:val="Hyperlink"/>
                <w:color w:val="auto"/>
              </w:rPr>
              <w:t>UNDP CO Haiti</w:t>
            </w:r>
          </w:p>
        </w:tc>
        <w:tc>
          <w:tcPr>
            <w:tcW w:w="499" w:type="pct"/>
          </w:tcPr>
          <w:p w14:paraId="1A8901AE" w14:textId="7D32A664" w:rsidR="000D140A" w:rsidRPr="00D51FBD" w:rsidRDefault="000D140A" w:rsidP="004E1AB8">
            <w:pPr>
              <w:spacing w:after="120"/>
              <w:rPr>
                <w:rStyle w:val="Hyperlink"/>
                <w:color w:val="auto"/>
              </w:rPr>
            </w:pPr>
            <w:r w:rsidRPr="00D51FBD">
              <w:rPr>
                <w:rStyle w:val="Hyperlink"/>
                <w:color w:val="auto"/>
              </w:rPr>
              <w:t>Project</w:t>
            </w:r>
          </w:p>
        </w:tc>
        <w:tc>
          <w:tcPr>
            <w:tcW w:w="453" w:type="pct"/>
          </w:tcPr>
          <w:p w14:paraId="1512335A" w14:textId="7258AE52" w:rsidR="0033028E" w:rsidRPr="00D51FBD" w:rsidRDefault="00890155" w:rsidP="004E1AB8">
            <w:pPr>
              <w:spacing w:after="120"/>
              <w:rPr>
                <w:rStyle w:val="Hyperlink"/>
                <w:color w:val="auto"/>
              </w:rPr>
            </w:pPr>
            <w:r w:rsidRPr="00D51FBD">
              <w:rPr>
                <w:rStyle w:val="Hyperlink"/>
                <w:color w:val="auto"/>
              </w:rPr>
              <w:t xml:space="preserve">June </w:t>
            </w:r>
            <w:r w:rsidR="00517ED9" w:rsidRPr="00D51FBD">
              <w:rPr>
                <w:rStyle w:val="Hyperlink"/>
                <w:color w:val="auto"/>
              </w:rPr>
              <w:t>2023</w:t>
            </w:r>
          </w:p>
        </w:tc>
        <w:tc>
          <w:tcPr>
            <w:tcW w:w="356" w:type="pct"/>
          </w:tcPr>
          <w:p w14:paraId="7648AD94" w14:textId="2A3E589D" w:rsidR="0033028E" w:rsidRPr="00D51FBD" w:rsidRDefault="00BC0A5E" w:rsidP="004E1AB8">
            <w:pPr>
              <w:spacing w:after="120"/>
              <w:rPr>
                <w:rStyle w:val="Hyperlink"/>
                <w:color w:val="auto"/>
              </w:rPr>
            </w:pPr>
            <w:r w:rsidRPr="00D51FBD">
              <w:rPr>
                <w:rStyle w:val="Hyperlink"/>
                <w:color w:val="auto"/>
              </w:rPr>
              <w:t>$30</w:t>
            </w:r>
            <w:r w:rsidR="00923D1E" w:rsidRPr="00D51FBD">
              <w:rPr>
                <w:rStyle w:val="Hyperlink"/>
                <w:color w:val="auto"/>
              </w:rPr>
              <w:t>,</w:t>
            </w:r>
            <w:r w:rsidRPr="00D51FBD">
              <w:rPr>
                <w:rStyle w:val="Hyperlink"/>
                <w:color w:val="auto"/>
              </w:rPr>
              <w:t>000</w:t>
            </w:r>
          </w:p>
        </w:tc>
        <w:tc>
          <w:tcPr>
            <w:tcW w:w="423" w:type="pct"/>
          </w:tcPr>
          <w:p w14:paraId="2629333A" w14:textId="77777777" w:rsidR="00197BF2" w:rsidRPr="00D51FBD" w:rsidRDefault="00197BF2" w:rsidP="004E1AB8">
            <w:pPr>
              <w:spacing w:after="120"/>
              <w:rPr>
                <w:rStyle w:val="CommentReference"/>
                <w:sz w:val="20"/>
                <w:szCs w:val="20"/>
                <w:lang w:eastAsia="uk-UA"/>
              </w:rPr>
            </w:pPr>
            <w:r w:rsidRPr="00D51FBD">
              <w:rPr>
                <w:rStyle w:val="CommentReference"/>
                <w:sz w:val="20"/>
                <w:szCs w:val="20"/>
                <w:lang w:eastAsia="uk-UA"/>
              </w:rPr>
              <w:t>Project budget</w:t>
            </w:r>
          </w:p>
          <w:p w14:paraId="5D37F535" w14:textId="34DA4685" w:rsidR="0033028E" w:rsidRPr="00D51FBD" w:rsidRDefault="0033028E" w:rsidP="004E1AB8">
            <w:pPr>
              <w:spacing w:after="120"/>
              <w:rPr>
                <w:rStyle w:val="CommentReference"/>
                <w:sz w:val="20"/>
                <w:szCs w:val="20"/>
                <w:lang w:eastAsia="uk-UA"/>
              </w:rPr>
            </w:pPr>
          </w:p>
        </w:tc>
      </w:tr>
      <w:tr w:rsidR="00D51FBD" w:rsidRPr="00D51FBD" w14:paraId="4A95F00C" w14:textId="77777777" w:rsidTr="002E5247">
        <w:trPr>
          <w:trHeight w:val="2627"/>
        </w:trPr>
        <w:tc>
          <w:tcPr>
            <w:tcW w:w="939" w:type="pct"/>
          </w:tcPr>
          <w:p w14:paraId="7F7F209F" w14:textId="7B7733E9" w:rsidR="0076288A" w:rsidRPr="00D51FBD" w:rsidRDefault="00160F07" w:rsidP="004E1AB8">
            <w:pPr>
              <w:spacing w:after="120"/>
              <w:rPr>
                <w:rStyle w:val="Hyperlink"/>
                <w:color w:val="auto"/>
              </w:rPr>
            </w:pPr>
            <w:r w:rsidRPr="00D51FBD">
              <w:rPr>
                <w:rStyle w:val="Hyperlink"/>
                <w:color w:val="auto"/>
              </w:rPr>
              <w:t>S</w:t>
            </w:r>
            <w:r w:rsidR="0076288A" w:rsidRPr="00D51FBD">
              <w:rPr>
                <w:rStyle w:val="Hyperlink"/>
                <w:color w:val="auto"/>
              </w:rPr>
              <w:t>tate authorities, local communities and other relevant national actors have the information, financial mechanisms and gender-sensitive normative frameworks to pilot and coordinate public policies and multidimensional risk management to support territorial governance and environmental management</w:t>
            </w:r>
          </w:p>
        </w:tc>
        <w:tc>
          <w:tcPr>
            <w:tcW w:w="620" w:type="pct"/>
          </w:tcPr>
          <w:p w14:paraId="4B137550" w14:textId="33080EF9" w:rsidR="00175715" w:rsidRPr="00D51FBD" w:rsidRDefault="00175715" w:rsidP="004E1AB8">
            <w:pPr>
              <w:spacing w:after="120"/>
              <w:rPr>
                <w:rStyle w:val="Hyperlink"/>
                <w:color w:val="auto"/>
              </w:rPr>
            </w:pPr>
            <w:r w:rsidRPr="00D51FBD">
              <w:rPr>
                <w:rStyle w:val="Hyperlink"/>
                <w:color w:val="auto"/>
              </w:rPr>
              <w:t>Outcome 1: Structural transformation accelerated, particularly green, inclusive and digital transitions</w:t>
            </w:r>
          </w:p>
        </w:tc>
        <w:tc>
          <w:tcPr>
            <w:tcW w:w="676" w:type="pct"/>
          </w:tcPr>
          <w:p w14:paraId="44885A26" w14:textId="63304969" w:rsidR="0033028E" w:rsidRPr="00D51FBD" w:rsidRDefault="004A5E46" w:rsidP="004E1AB8">
            <w:pPr>
              <w:spacing w:after="120"/>
              <w:rPr>
                <w:rStyle w:val="Hyperlink"/>
                <w:color w:val="auto"/>
              </w:rPr>
            </w:pPr>
            <w:r w:rsidRPr="00D51FBD">
              <w:t xml:space="preserve">Final </w:t>
            </w:r>
            <w:r w:rsidR="006617A7" w:rsidRPr="00D51FBD">
              <w:t xml:space="preserve">project </w:t>
            </w:r>
            <w:proofErr w:type="spellStart"/>
            <w:r w:rsidR="006617A7" w:rsidRPr="00D51FBD">
              <w:t>evalation</w:t>
            </w:r>
            <w:proofErr w:type="spellEnd"/>
            <w:r w:rsidR="006617A7" w:rsidRPr="00D51FBD">
              <w:t xml:space="preserve"> for « </w:t>
            </w:r>
            <w:hyperlink r:id="rId13" w:tooltip="Go to Evaluation detail" w:history="1">
              <w:r w:rsidR="0033028E" w:rsidRPr="00D51FBD">
                <w:rPr>
                  <w:rStyle w:val="Hyperlink"/>
                  <w:color w:val="auto"/>
                </w:rPr>
                <w:t xml:space="preserve"> </w:t>
              </w:r>
              <w:proofErr w:type="spellStart"/>
              <w:r w:rsidR="0033028E" w:rsidRPr="00D51FBD">
                <w:rPr>
                  <w:rStyle w:val="Hyperlink"/>
                  <w:color w:val="auto"/>
                </w:rPr>
                <w:t>Renforcement</w:t>
              </w:r>
              <w:proofErr w:type="spellEnd"/>
              <w:r w:rsidR="0033028E" w:rsidRPr="00D51FBD">
                <w:rPr>
                  <w:rStyle w:val="Hyperlink"/>
                  <w:color w:val="auto"/>
                </w:rPr>
                <w:t xml:space="preserve"> de la Gestion des </w:t>
              </w:r>
              <w:proofErr w:type="spellStart"/>
              <w:r w:rsidR="0033028E" w:rsidRPr="00D51FBD">
                <w:rPr>
                  <w:rStyle w:val="Hyperlink"/>
                  <w:color w:val="auto"/>
                </w:rPr>
                <w:t>déchets</w:t>
              </w:r>
              <w:proofErr w:type="spellEnd"/>
            </w:hyperlink>
            <w:r w:rsidR="006617A7" w:rsidRPr="00D51FBD">
              <w:rPr>
                <w:rStyle w:val="Hyperlink"/>
                <w:color w:val="auto"/>
              </w:rPr>
              <w:t> »</w:t>
            </w:r>
          </w:p>
        </w:tc>
        <w:tc>
          <w:tcPr>
            <w:tcW w:w="558" w:type="pct"/>
          </w:tcPr>
          <w:p w14:paraId="3DF746B6" w14:textId="6506E08B" w:rsidR="0033028E" w:rsidRPr="00D51FBD" w:rsidRDefault="0033028E" w:rsidP="004E1AB8">
            <w:pPr>
              <w:spacing w:after="120"/>
              <w:rPr>
                <w:rStyle w:val="Hyperlink"/>
                <w:color w:val="auto"/>
              </w:rPr>
            </w:pPr>
            <w:r w:rsidRPr="00D51FBD">
              <w:rPr>
                <w:rStyle w:val="Hyperlink"/>
                <w:color w:val="auto"/>
              </w:rPr>
              <w:t xml:space="preserve">MDE, SNGRS, </w:t>
            </w:r>
            <w:proofErr w:type="spellStart"/>
            <w:r w:rsidRPr="00D51FBD">
              <w:rPr>
                <w:rStyle w:val="Hyperlink"/>
                <w:color w:val="auto"/>
              </w:rPr>
              <w:t>Mairie</w:t>
            </w:r>
            <w:proofErr w:type="spellEnd"/>
            <w:r w:rsidRPr="00D51FBD">
              <w:rPr>
                <w:rStyle w:val="Hyperlink"/>
                <w:color w:val="auto"/>
              </w:rPr>
              <w:t xml:space="preserve"> de </w:t>
            </w:r>
            <w:proofErr w:type="spellStart"/>
            <w:r w:rsidRPr="00D51FBD">
              <w:rPr>
                <w:rStyle w:val="Hyperlink"/>
                <w:color w:val="auto"/>
              </w:rPr>
              <w:t>Jérémie</w:t>
            </w:r>
            <w:proofErr w:type="spellEnd"/>
            <w:r w:rsidRPr="00D51FBD">
              <w:rPr>
                <w:rStyle w:val="Hyperlink"/>
                <w:color w:val="auto"/>
              </w:rPr>
              <w:t xml:space="preserve">, </w:t>
            </w:r>
            <w:proofErr w:type="spellStart"/>
            <w:r w:rsidRPr="00D51FBD">
              <w:rPr>
                <w:rStyle w:val="Hyperlink"/>
                <w:color w:val="auto"/>
              </w:rPr>
              <w:t>Mairie</w:t>
            </w:r>
            <w:proofErr w:type="spellEnd"/>
            <w:r w:rsidRPr="00D51FBD">
              <w:rPr>
                <w:rStyle w:val="Hyperlink"/>
                <w:color w:val="auto"/>
              </w:rPr>
              <w:t xml:space="preserve"> de Ouanaminthe, Ambassade du </w:t>
            </w:r>
            <w:proofErr w:type="spellStart"/>
            <w:r w:rsidRPr="00D51FBD">
              <w:rPr>
                <w:rStyle w:val="Hyperlink"/>
                <w:color w:val="auto"/>
              </w:rPr>
              <w:t>Japon</w:t>
            </w:r>
            <w:proofErr w:type="spellEnd"/>
            <w:r w:rsidRPr="00D51FBD">
              <w:rPr>
                <w:rStyle w:val="Hyperlink"/>
                <w:color w:val="auto"/>
              </w:rPr>
              <w:t>,</w:t>
            </w:r>
          </w:p>
        </w:tc>
        <w:tc>
          <w:tcPr>
            <w:tcW w:w="474" w:type="pct"/>
          </w:tcPr>
          <w:p w14:paraId="526084F7" w14:textId="2EA1E74C" w:rsidR="00152955" w:rsidRPr="00D51FBD" w:rsidRDefault="00152955" w:rsidP="004E1AB8">
            <w:pPr>
              <w:spacing w:after="120"/>
              <w:rPr>
                <w:rStyle w:val="Hyperlink"/>
                <w:strike/>
                <w:color w:val="auto"/>
              </w:rPr>
            </w:pPr>
            <w:r w:rsidRPr="00D51FBD">
              <w:rPr>
                <w:rStyle w:val="Hyperlink"/>
                <w:color w:val="auto"/>
              </w:rPr>
              <w:t>UNDP CO Haiti</w:t>
            </w:r>
          </w:p>
        </w:tc>
        <w:tc>
          <w:tcPr>
            <w:tcW w:w="499" w:type="pct"/>
          </w:tcPr>
          <w:p w14:paraId="31BD3AF4" w14:textId="2E9E5D8A" w:rsidR="00152955" w:rsidRPr="00D51FBD" w:rsidRDefault="00152955" w:rsidP="004E1AB8">
            <w:pPr>
              <w:spacing w:after="120"/>
              <w:rPr>
                <w:rStyle w:val="Hyperlink"/>
                <w:color w:val="auto"/>
              </w:rPr>
            </w:pPr>
          </w:p>
          <w:p w14:paraId="5BD9D132" w14:textId="78AED198" w:rsidR="00152955" w:rsidRPr="00D51FBD" w:rsidRDefault="00AD7BDD" w:rsidP="004E1AB8">
            <w:pPr>
              <w:spacing w:after="120"/>
              <w:rPr>
                <w:rStyle w:val="Hyperlink"/>
                <w:color w:val="auto"/>
              </w:rPr>
            </w:pPr>
            <w:r w:rsidRPr="00D51FBD">
              <w:rPr>
                <w:rStyle w:val="Hyperlink"/>
                <w:color w:val="auto"/>
              </w:rPr>
              <w:t xml:space="preserve">Project </w:t>
            </w:r>
          </w:p>
        </w:tc>
        <w:tc>
          <w:tcPr>
            <w:tcW w:w="453" w:type="pct"/>
          </w:tcPr>
          <w:p w14:paraId="4E3B405B" w14:textId="758DA602" w:rsidR="0033028E" w:rsidRPr="00D51FBD" w:rsidRDefault="007774A6" w:rsidP="004E1AB8">
            <w:pPr>
              <w:spacing w:after="120"/>
              <w:rPr>
                <w:rStyle w:val="Hyperlink"/>
                <w:color w:val="auto"/>
              </w:rPr>
            </w:pPr>
            <w:r w:rsidRPr="00D51FBD">
              <w:rPr>
                <w:rStyle w:val="Hyperlink"/>
                <w:color w:val="auto"/>
              </w:rPr>
              <w:t xml:space="preserve">July </w:t>
            </w:r>
            <w:r w:rsidR="0033028E" w:rsidRPr="00D51FBD">
              <w:rPr>
                <w:rStyle w:val="Hyperlink"/>
                <w:color w:val="auto"/>
              </w:rPr>
              <w:t>2023</w:t>
            </w:r>
          </w:p>
        </w:tc>
        <w:tc>
          <w:tcPr>
            <w:tcW w:w="356" w:type="pct"/>
          </w:tcPr>
          <w:p w14:paraId="5220D10D" w14:textId="0C77364D" w:rsidR="0033028E" w:rsidRPr="00D51FBD" w:rsidRDefault="0033028E" w:rsidP="004E1AB8">
            <w:pPr>
              <w:spacing w:after="120"/>
              <w:rPr>
                <w:rStyle w:val="Hyperlink"/>
                <w:color w:val="auto"/>
              </w:rPr>
            </w:pPr>
            <w:r w:rsidRPr="00D51FBD">
              <w:rPr>
                <w:rStyle w:val="Hyperlink"/>
                <w:color w:val="auto"/>
              </w:rPr>
              <w:t>$30</w:t>
            </w:r>
            <w:r w:rsidR="00923D1E" w:rsidRPr="00D51FBD">
              <w:rPr>
                <w:rStyle w:val="Hyperlink"/>
                <w:color w:val="auto"/>
              </w:rPr>
              <w:t>,</w:t>
            </w:r>
            <w:r w:rsidRPr="00D51FBD">
              <w:rPr>
                <w:rStyle w:val="Hyperlink"/>
                <w:color w:val="auto"/>
              </w:rPr>
              <w:t>000</w:t>
            </w:r>
          </w:p>
        </w:tc>
        <w:tc>
          <w:tcPr>
            <w:tcW w:w="423" w:type="pct"/>
          </w:tcPr>
          <w:p w14:paraId="07ACA08A" w14:textId="77777777" w:rsidR="00197BF2" w:rsidRPr="00D51FBD" w:rsidRDefault="00197BF2" w:rsidP="004E1AB8">
            <w:pPr>
              <w:spacing w:after="120"/>
              <w:rPr>
                <w:rStyle w:val="CommentReference"/>
                <w:sz w:val="20"/>
                <w:szCs w:val="20"/>
                <w:lang w:eastAsia="uk-UA"/>
              </w:rPr>
            </w:pPr>
            <w:r w:rsidRPr="00D51FBD">
              <w:rPr>
                <w:rStyle w:val="CommentReference"/>
                <w:sz w:val="20"/>
                <w:szCs w:val="20"/>
                <w:lang w:eastAsia="uk-UA"/>
              </w:rPr>
              <w:t>Project budget</w:t>
            </w:r>
          </w:p>
          <w:p w14:paraId="5000D270" w14:textId="2326B44E" w:rsidR="0033028E" w:rsidRPr="00D51FBD" w:rsidRDefault="0033028E" w:rsidP="004E1AB8">
            <w:pPr>
              <w:spacing w:after="120"/>
              <w:rPr>
                <w:rStyle w:val="CommentReference"/>
                <w:sz w:val="20"/>
                <w:szCs w:val="20"/>
                <w:lang w:eastAsia="uk-UA"/>
              </w:rPr>
            </w:pPr>
          </w:p>
        </w:tc>
      </w:tr>
      <w:tr w:rsidR="00D51FBD" w:rsidRPr="00D51FBD" w14:paraId="4BF521D0" w14:textId="77777777" w:rsidTr="00160F07">
        <w:trPr>
          <w:trHeight w:val="60"/>
        </w:trPr>
        <w:tc>
          <w:tcPr>
            <w:tcW w:w="939" w:type="pct"/>
          </w:tcPr>
          <w:p w14:paraId="2F09616F" w14:textId="77777777" w:rsidR="0025046C" w:rsidRPr="00D51FBD" w:rsidRDefault="0025046C" w:rsidP="004E1AB8">
            <w:pPr>
              <w:spacing w:after="120"/>
              <w:rPr>
                <w:rStyle w:val="Hyperlink"/>
                <w:color w:val="auto"/>
              </w:rPr>
            </w:pPr>
            <w:r w:rsidRPr="00D51FBD">
              <w:rPr>
                <w:rStyle w:val="Hyperlink"/>
                <w:color w:val="auto"/>
              </w:rPr>
              <w:t>A new fair inclusive economic model, vector of growth and sustainability, favorable to the rapid creation of decent jobs for young people and women, capable of substantially reducing poverty and inequalities</w:t>
            </w:r>
          </w:p>
          <w:p w14:paraId="67D1C1B2" w14:textId="59939965" w:rsidR="0025046C" w:rsidRPr="00D51FBD" w:rsidRDefault="0025046C" w:rsidP="004E1AB8">
            <w:pPr>
              <w:spacing w:after="120"/>
              <w:rPr>
                <w:rStyle w:val="Hyperlink"/>
                <w:color w:val="auto"/>
              </w:rPr>
            </w:pPr>
          </w:p>
        </w:tc>
        <w:tc>
          <w:tcPr>
            <w:tcW w:w="620" w:type="pct"/>
          </w:tcPr>
          <w:p w14:paraId="7500C0DF" w14:textId="12A47A19" w:rsidR="00FE09BD" w:rsidRPr="00D51FBD" w:rsidRDefault="00FE09BD" w:rsidP="004E1AB8">
            <w:pPr>
              <w:spacing w:after="120"/>
              <w:rPr>
                <w:rStyle w:val="Hyperlink"/>
                <w:color w:val="auto"/>
              </w:rPr>
            </w:pPr>
            <w:r w:rsidRPr="00D51FBD">
              <w:rPr>
                <w:rStyle w:val="Hyperlink"/>
                <w:color w:val="auto"/>
              </w:rPr>
              <w:t>Outcome 2: No one left behind, centering on equitable access to opportunities and a rights-based approach to human agency and human development</w:t>
            </w:r>
          </w:p>
        </w:tc>
        <w:tc>
          <w:tcPr>
            <w:tcW w:w="676" w:type="pct"/>
          </w:tcPr>
          <w:p w14:paraId="38F42AD7" w14:textId="067ED66E" w:rsidR="0033028E" w:rsidRPr="00D51FBD" w:rsidRDefault="007774A6" w:rsidP="004E1AB8">
            <w:pPr>
              <w:spacing w:after="120"/>
              <w:rPr>
                <w:rStyle w:val="Hyperlink"/>
                <w:color w:val="auto"/>
              </w:rPr>
            </w:pPr>
            <w:r w:rsidRPr="00D51FBD">
              <w:t xml:space="preserve">Final project evaluation </w:t>
            </w:r>
            <w:hyperlink r:id="rId14" w:tooltip="Go to Evaluation detail" w:history="1">
              <w:r w:rsidRPr="00D51FBD">
                <w:rPr>
                  <w:rStyle w:val="Hyperlink"/>
                  <w:color w:val="auto"/>
                </w:rPr>
                <w:t>« </w:t>
              </w:r>
              <w:r w:rsidR="0033028E" w:rsidRPr="00D51FBD">
                <w:rPr>
                  <w:rStyle w:val="Hyperlink"/>
                  <w:color w:val="auto"/>
                </w:rPr>
                <w:t>Economic Empowerment in Haiti</w:t>
              </w:r>
            </w:hyperlink>
            <w:r w:rsidRPr="00D51FBD">
              <w:rPr>
                <w:rStyle w:val="Hyperlink"/>
                <w:color w:val="auto"/>
              </w:rPr>
              <w:t> »</w:t>
            </w:r>
          </w:p>
        </w:tc>
        <w:tc>
          <w:tcPr>
            <w:tcW w:w="558" w:type="pct"/>
          </w:tcPr>
          <w:p w14:paraId="0A1C4F74" w14:textId="1C426B97" w:rsidR="0033028E" w:rsidRPr="00D51FBD" w:rsidRDefault="0033028E" w:rsidP="004E1AB8">
            <w:pPr>
              <w:spacing w:after="120"/>
              <w:rPr>
                <w:rStyle w:val="Hyperlink"/>
                <w:color w:val="auto"/>
              </w:rPr>
            </w:pPr>
            <w:r w:rsidRPr="00D51FBD">
              <w:rPr>
                <w:rStyle w:val="Hyperlink"/>
                <w:color w:val="auto"/>
              </w:rPr>
              <w:t>KOICA</w:t>
            </w:r>
          </w:p>
        </w:tc>
        <w:tc>
          <w:tcPr>
            <w:tcW w:w="474" w:type="pct"/>
          </w:tcPr>
          <w:p w14:paraId="7B20C458" w14:textId="0BD974FF" w:rsidR="00152955" w:rsidRPr="00D51FBD" w:rsidRDefault="00152955" w:rsidP="004E1AB8">
            <w:pPr>
              <w:spacing w:after="120"/>
              <w:rPr>
                <w:rStyle w:val="Hyperlink"/>
                <w:strike/>
                <w:color w:val="auto"/>
              </w:rPr>
            </w:pPr>
            <w:r w:rsidRPr="00D51FBD">
              <w:rPr>
                <w:rStyle w:val="Hyperlink"/>
                <w:color w:val="auto"/>
              </w:rPr>
              <w:t>UNDP CO Haiti</w:t>
            </w:r>
          </w:p>
        </w:tc>
        <w:tc>
          <w:tcPr>
            <w:tcW w:w="499" w:type="pct"/>
          </w:tcPr>
          <w:p w14:paraId="33194E71" w14:textId="3E1117E9" w:rsidR="00152955" w:rsidRPr="00D51FBD" w:rsidRDefault="00AD7BDD" w:rsidP="004E1AB8">
            <w:pPr>
              <w:spacing w:after="120"/>
              <w:rPr>
                <w:rStyle w:val="Hyperlink"/>
                <w:color w:val="auto"/>
              </w:rPr>
            </w:pPr>
            <w:r w:rsidRPr="00D51FBD">
              <w:rPr>
                <w:rStyle w:val="Hyperlink"/>
                <w:color w:val="auto"/>
              </w:rPr>
              <w:t xml:space="preserve">Project </w:t>
            </w:r>
          </w:p>
        </w:tc>
        <w:tc>
          <w:tcPr>
            <w:tcW w:w="453" w:type="pct"/>
          </w:tcPr>
          <w:p w14:paraId="6CE3233C" w14:textId="7888D039" w:rsidR="0033028E" w:rsidRPr="00D51FBD" w:rsidRDefault="00992BD0" w:rsidP="004E1AB8">
            <w:pPr>
              <w:spacing w:after="120"/>
              <w:rPr>
                <w:rStyle w:val="Hyperlink"/>
                <w:color w:val="auto"/>
              </w:rPr>
            </w:pPr>
            <w:r w:rsidRPr="00D51FBD">
              <w:rPr>
                <w:rStyle w:val="Hyperlink"/>
                <w:color w:val="auto"/>
              </w:rPr>
              <w:t>September</w:t>
            </w:r>
            <w:r w:rsidR="00152955" w:rsidRPr="00D51FBD">
              <w:rPr>
                <w:rStyle w:val="Hyperlink"/>
                <w:color w:val="auto"/>
              </w:rPr>
              <w:t xml:space="preserve"> </w:t>
            </w:r>
            <w:r w:rsidR="0033028E" w:rsidRPr="00D51FBD">
              <w:rPr>
                <w:rStyle w:val="Hyperlink"/>
                <w:color w:val="auto"/>
              </w:rPr>
              <w:t>2023</w:t>
            </w:r>
          </w:p>
        </w:tc>
        <w:tc>
          <w:tcPr>
            <w:tcW w:w="356" w:type="pct"/>
          </w:tcPr>
          <w:p w14:paraId="60CB9AFF" w14:textId="5BAFDE41" w:rsidR="0033028E" w:rsidRPr="00D51FBD" w:rsidRDefault="00D74E50" w:rsidP="004E1AB8">
            <w:pPr>
              <w:spacing w:after="120"/>
              <w:rPr>
                <w:rStyle w:val="Hyperlink"/>
                <w:color w:val="auto"/>
              </w:rPr>
            </w:pPr>
            <w:r w:rsidRPr="00D51FBD">
              <w:rPr>
                <w:rStyle w:val="Hyperlink"/>
                <w:color w:val="auto"/>
              </w:rPr>
              <w:t>$</w:t>
            </w:r>
            <w:r w:rsidR="0033028E" w:rsidRPr="00D51FBD">
              <w:rPr>
                <w:rStyle w:val="Hyperlink"/>
                <w:color w:val="auto"/>
              </w:rPr>
              <w:t>15</w:t>
            </w:r>
            <w:r w:rsidR="00923D1E" w:rsidRPr="00D51FBD">
              <w:rPr>
                <w:rStyle w:val="Hyperlink"/>
                <w:color w:val="auto"/>
              </w:rPr>
              <w:t>,</w:t>
            </w:r>
            <w:r w:rsidR="0033028E" w:rsidRPr="00D51FBD">
              <w:rPr>
                <w:rStyle w:val="Hyperlink"/>
                <w:color w:val="auto"/>
              </w:rPr>
              <w:t>000</w:t>
            </w:r>
          </w:p>
        </w:tc>
        <w:tc>
          <w:tcPr>
            <w:tcW w:w="423" w:type="pct"/>
          </w:tcPr>
          <w:p w14:paraId="7E061F8B" w14:textId="29C60994" w:rsidR="0033028E" w:rsidRPr="00D51FBD" w:rsidRDefault="00197BF2" w:rsidP="004E1AB8">
            <w:pPr>
              <w:spacing w:after="120"/>
              <w:rPr>
                <w:rStyle w:val="CommentReference"/>
                <w:sz w:val="20"/>
                <w:szCs w:val="20"/>
                <w:lang w:eastAsia="uk-UA"/>
              </w:rPr>
            </w:pPr>
            <w:r w:rsidRPr="00D51FBD">
              <w:rPr>
                <w:rStyle w:val="CommentReference"/>
                <w:sz w:val="20"/>
                <w:szCs w:val="20"/>
                <w:lang w:eastAsia="uk-UA"/>
              </w:rPr>
              <w:t>Project budget</w:t>
            </w:r>
          </w:p>
        </w:tc>
      </w:tr>
      <w:tr w:rsidR="00D51FBD" w:rsidRPr="00D51FBD" w14:paraId="726E5831" w14:textId="77777777" w:rsidTr="00160F07">
        <w:trPr>
          <w:trHeight w:val="60"/>
        </w:trPr>
        <w:tc>
          <w:tcPr>
            <w:tcW w:w="939" w:type="pct"/>
          </w:tcPr>
          <w:p w14:paraId="1D215FB9" w14:textId="77777777" w:rsidR="007A1E1E" w:rsidRPr="00D51FBD" w:rsidRDefault="007A1E1E" w:rsidP="004E1AB8">
            <w:pPr>
              <w:spacing w:after="120"/>
              <w:rPr>
                <w:rStyle w:val="Hyperlink"/>
                <w:color w:val="auto"/>
              </w:rPr>
            </w:pPr>
            <w:r w:rsidRPr="00D51FBD">
              <w:rPr>
                <w:rStyle w:val="Hyperlink"/>
                <w:color w:val="auto"/>
              </w:rPr>
              <w:t>A new fair inclusive economic model, vector of growth and sustainability, favorable to the rapid creation of decent jobs for young people and women, capable of substantially reducing poverty and inequalities</w:t>
            </w:r>
          </w:p>
          <w:p w14:paraId="739EF546" w14:textId="10736019" w:rsidR="007A1E1E" w:rsidRPr="00D51FBD" w:rsidRDefault="007A1E1E" w:rsidP="004E1AB8">
            <w:pPr>
              <w:spacing w:after="120"/>
              <w:rPr>
                <w:rStyle w:val="Hyperlink"/>
                <w:color w:val="auto"/>
              </w:rPr>
            </w:pPr>
          </w:p>
        </w:tc>
        <w:tc>
          <w:tcPr>
            <w:tcW w:w="620" w:type="pct"/>
          </w:tcPr>
          <w:p w14:paraId="34347917" w14:textId="1C3F22B9" w:rsidR="00FE09BD" w:rsidRPr="00D51FBD" w:rsidRDefault="00FE09BD" w:rsidP="004E1AB8">
            <w:pPr>
              <w:spacing w:after="120"/>
              <w:rPr>
                <w:rStyle w:val="Hyperlink"/>
                <w:color w:val="auto"/>
              </w:rPr>
            </w:pPr>
            <w:r w:rsidRPr="00D51FBD">
              <w:rPr>
                <w:rStyle w:val="Hyperlink"/>
                <w:color w:val="auto"/>
              </w:rPr>
              <w:t>Outcome 2: No one left behind, centering on equitable access to opportunities and a rights-based approach to human agency and human development</w:t>
            </w:r>
          </w:p>
        </w:tc>
        <w:tc>
          <w:tcPr>
            <w:tcW w:w="676" w:type="pct"/>
          </w:tcPr>
          <w:p w14:paraId="5C16282B" w14:textId="452F3601" w:rsidR="0033028E" w:rsidRPr="00D51FBD" w:rsidRDefault="007774A6" w:rsidP="004E1AB8">
            <w:pPr>
              <w:spacing w:after="120"/>
              <w:rPr>
                <w:rStyle w:val="Hyperlink"/>
                <w:color w:val="auto"/>
              </w:rPr>
            </w:pPr>
            <w:r w:rsidRPr="00D51FBD">
              <w:rPr>
                <w:rStyle w:val="Hyperlink"/>
                <w:color w:val="auto"/>
              </w:rPr>
              <w:t xml:space="preserve">Final project evaluation </w:t>
            </w:r>
            <w:r w:rsidR="0033028E" w:rsidRPr="00D51FBD">
              <w:rPr>
                <w:rStyle w:val="Hyperlink"/>
                <w:color w:val="auto"/>
              </w:rPr>
              <w:t>« </w:t>
            </w:r>
            <w:proofErr w:type="spellStart"/>
            <w:r w:rsidR="0033028E" w:rsidRPr="00D51FBD">
              <w:rPr>
                <w:rStyle w:val="Hyperlink"/>
                <w:color w:val="auto"/>
              </w:rPr>
              <w:t>Projet</w:t>
            </w:r>
            <w:proofErr w:type="spellEnd"/>
            <w:r w:rsidR="0033028E" w:rsidRPr="00D51FBD">
              <w:rPr>
                <w:rStyle w:val="Hyperlink"/>
                <w:color w:val="auto"/>
              </w:rPr>
              <w:t xml:space="preserve"> de </w:t>
            </w:r>
            <w:proofErr w:type="spellStart"/>
            <w:r w:rsidR="0033028E" w:rsidRPr="00D51FBD">
              <w:rPr>
                <w:rStyle w:val="Hyperlink"/>
                <w:color w:val="auto"/>
              </w:rPr>
              <w:t>relèvement</w:t>
            </w:r>
            <w:proofErr w:type="spellEnd"/>
            <w:r w:rsidR="0033028E" w:rsidRPr="00D51FBD">
              <w:rPr>
                <w:rStyle w:val="Hyperlink"/>
                <w:color w:val="auto"/>
              </w:rPr>
              <w:t xml:space="preserve"> Post-Matthew – </w:t>
            </w:r>
            <w:proofErr w:type="spellStart"/>
            <w:r w:rsidR="0033028E" w:rsidRPr="00D51FBD">
              <w:rPr>
                <w:rStyle w:val="Hyperlink"/>
                <w:color w:val="auto"/>
              </w:rPr>
              <w:t>Lahaie</w:t>
            </w:r>
            <w:proofErr w:type="spellEnd"/>
            <w:r w:rsidR="0033028E" w:rsidRPr="00D51FBD">
              <w:rPr>
                <w:rStyle w:val="Hyperlink"/>
                <w:color w:val="auto"/>
              </w:rPr>
              <w:t> »</w:t>
            </w:r>
          </w:p>
        </w:tc>
        <w:tc>
          <w:tcPr>
            <w:tcW w:w="558" w:type="pct"/>
          </w:tcPr>
          <w:p w14:paraId="590FD808" w14:textId="4DD952CE" w:rsidR="0033028E" w:rsidRPr="00D51FBD" w:rsidRDefault="0033028E" w:rsidP="004E1AB8">
            <w:pPr>
              <w:spacing w:after="120"/>
              <w:rPr>
                <w:rStyle w:val="Hyperlink"/>
                <w:color w:val="auto"/>
              </w:rPr>
            </w:pPr>
            <w:r w:rsidRPr="00D51FBD">
              <w:rPr>
                <w:rStyle w:val="Hyperlink"/>
                <w:color w:val="auto"/>
              </w:rPr>
              <w:t>KOICA, UCLBP</w:t>
            </w:r>
          </w:p>
        </w:tc>
        <w:tc>
          <w:tcPr>
            <w:tcW w:w="474" w:type="pct"/>
          </w:tcPr>
          <w:p w14:paraId="4FDF7FA6" w14:textId="45A96454" w:rsidR="0033028E" w:rsidRPr="00D51FBD" w:rsidRDefault="0033028E" w:rsidP="004E1AB8">
            <w:pPr>
              <w:spacing w:after="120"/>
              <w:rPr>
                <w:rStyle w:val="Hyperlink"/>
                <w:color w:val="auto"/>
              </w:rPr>
            </w:pPr>
            <w:r w:rsidRPr="00D51FBD">
              <w:rPr>
                <w:rStyle w:val="Hyperlink"/>
                <w:color w:val="auto"/>
              </w:rPr>
              <w:t xml:space="preserve">PNUD Haiti </w:t>
            </w:r>
          </w:p>
        </w:tc>
        <w:tc>
          <w:tcPr>
            <w:tcW w:w="499" w:type="pct"/>
          </w:tcPr>
          <w:p w14:paraId="4C30EDDA" w14:textId="2806B64B" w:rsidR="00992BD0" w:rsidRPr="00D51FBD" w:rsidRDefault="00017065" w:rsidP="004E1AB8">
            <w:pPr>
              <w:spacing w:after="120"/>
              <w:rPr>
                <w:rStyle w:val="Hyperlink"/>
                <w:color w:val="auto"/>
              </w:rPr>
            </w:pPr>
            <w:r w:rsidRPr="00D51FBD">
              <w:rPr>
                <w:rStyle w:val="Hyperlink"/>
                <w:color w:val="auto"/>
              </w:rPr>
              <w:t>Project</w:t>
            </w:r>
          </w:p>
        </w:tc>
        <w:tc>
          <w:tcPr>
            <w:tcW w:w="453" w:type="pct"/>
          </w:tcPr>
          <w:p w14:paraId="0C21A947" w14:textId="232312CB" w:rsidR="0033028E" w:rsidRPr="00D51FBD" w:rsidRDefault="00017065" w:rsidP="004E1AB8">
            <w:pPr>
              <w:spacing w:after="120"/>
              <w:rPr>
                <w:rStyle w:val="Hyperlink"/>
                <w:color w:val="auto"/>
              </w:rPr>
            </w:pPr>
            <w:r w:rsidRPr="00D51FBD">
              <w:rPr>
                <w:rStyle w:val="Hyperlink"/>
                <w:color w:val="auto"/>
              </w:rPr>
              <w:t xml:space="preserve">August </w:t>
            </w:r>
            <w:r w:rsidR="0033028E" w:rsidRPr="00D51FBD">
              <w:rPr>
                <w:rStyle w:val="Hyperlink"/>
                <w:color w:val="auto"/>
              </w:rPr>
              <w:t>2024</w:t>
            </w:r>
          </w:p>
        </w:tc>
        <w:tc>
          <w:tcPr>
            <w:tcW w:w="356" w:type="pct"/>
          </w:tcPr>
          <w:p w14:paraId="0267BD8C" w14:textId="04EE501E" w:rsidR="0033028E" w:rsidRPr="00D51FBD" w:rsidRDefault="00D74E50" w:rsidP="004E1AB8">
            <w:pPr>
              <w:spacing w:after="120"/>
              <w:rPr>
                <w:rStyle w:val="Hyperlink"/>
                <w:color w:val="auto"/>
              </w:rPr>
            </w:pPr>
            <w:r w:rsidRPr="00D51FBD">
              <w:rPr>
                <w:rStyle w:val="Hyperlink"/>
                <w:color w:val="auto"/>
              </w:rPr>
              <w:t>$</w:t>
            </w:r>
            <w:r w:rsidR="0033028E" w:rsidRPr="00D51FBD">
              <w:rPr>
                <w:rStyle w:val="Hyperlink"/>
                <w:color w:val="auto"/>
              </w:rPr>
              <w:t>30</w:t>
            </w:r>
            <w:r w:rsidR="00923D1E" w:rsidRPr="00D51FBD">
              <w:rPr>
                <w:rStyle w:val="Hyperlink"/>
                <w:color w:val="auto"/>
              </w:rPr>
              <w:t>,</w:t>
            </w:r>
            <w:r w:rsidR="0033028E" w:rsidRPr="00D51FBD">
              <w:rPr>
                <w:rStyle w:val="Hyperlink"/>
                <w:color w:val="auto"/>
              </w:rPr>
              <w:t>000</w:t>
            </w:r>
          </w:p>
        </w:tc>
        <w:tc>
          <w:tcPr>
            <w:tcW w:w="423" w:type="pct"/>
          </w:tcPr>
          <w:p w14:paraId="4D6AE3E1" w14:textId="77777777" w:rsidR="00792DC2" w:rsidRPr="00D51FBD" w:rsidRDefault="00197BF2" w:rsidP="004E1AB8">
            <w:pPr>
              <w:spacing w:after="120"/>
              <w:rPr>
                <w:rStyle w:val="CommentReference"/>
                <w:sz w:val="20"/>
                <w:szCs w:val="20"/>
                <w:lang w:eastAsia="uk-UA"/>
              </w:rPr>
            </w:pPr>
            <w:r w:rsidRPr="00D51FBD">
              <w:rPr>
                <w:rStyle w:val="CommentReference"/>
                <w:sz w:val="20"/>
                <w:szCs w:val="20"/>
                <w:lang w:eastAsia="uk-UA"/>
              </w:rPr>
              <w:t>Project budget</w:t>
            </w:r>
          </w:p>
          <w:p w14:paraId="176A673A" w14:textId="77777777" w:rsidR="00792DC2" w:rsidRPr="00D51FBD" w:rsidRDefault="00792DC2" w:rsidP="004E1AB8">
            <w:pPr>
              <w:spacing w:after="120"/>
              <w:rPr>
                <w:rStyle w:val="CommentReference"/>
                <w:sz w:val="20"/>
                <w:szCs w:val="20"/>
                <w:lang w:eastAsia="uk-UA"/>
              </w:rPr>
            </w:pPr>
          </w:p>
          <w:p w14:paraId="60DF528A" w14:textId="653F5D03" w:rsidR="0033028E" w:rsidRPr="00D51FBD" w:rsidRDefault="0033028E" w:rsidP="004E1AB8">
            <w:pPr>
              <w:spacing w:after="120"/>
              <w:rPr>
                <w:rStyle w:val="CommentReference"/>
                <w:sz w:val="20"/>
                <w:szCs w:val="20"/>
                <w:lang w:eastAsia="uk-UA"/>
              </w:rPr>
            </w:pPr>
          </w:p>
        </w:tc>
      </w:tr>
      <w:tr w:rsidR="00D51FBD" w:rsidRPr="00D51FBD" w14:paraId="6972C27B" w14:textId="77777777" w:rsidTr="00160F07">
        <w:trPr>
          <w:trHeight w:val="60"/>
        </w:trPr>
        <w:tc>
          <w:tcPr>
            <w:tcW w:w="939" w:type="pct"/>
          </w:tcPr>
          <w:p w14:paraId="70AD5BEE" w14:textId="0754AEF1" w:rsidR="00A5760D" w:rsidRPr="00D51FBD" w:rsidRDefault="00A5760D" w:rsidP="004E1AB8">
            <w:pPr>
              <w:spacing w:after="120"/>
              <w:rPr>
                <w:rStyle w:val="Hyperlink"/>
                <w:color w:val="auto"/>
              </w:rPr>
            </w:pPr>
            <w:r w:rsidRPr="00D51FBD">
              <w:rPr>
                <w:rStyle w:val="Hyperlink"/>
                <w:color w:val="auto"/>
              </w:rPr>
              <w:t xml:space="preserve">State authorities, local communities and other relevant national actors have the information, financial mechanisms and gender-sensitive normative frameworks to pilot and coordinate public </w:t>
            </w:r>
            <w:r w:rsidRPr="00D51FBD">
              <w:rPr>
                <w:rStyle w:val="Hyperlink"/>
                <w:color w:val="auto"/>
              </w:rPr>
              <w:lastRenderedPageBreak/>
              <w:t>policies and multidimensional risk management to support territorial governance and environmental management</w:t>
            </w:r>
          </w:p>
        </w:tc>
        <w:tc>
          <w:tcPr>
            <w:tcW w:w="620" w:type="pct"/>
          </w:tcPr>
          <w:p w14:paraId="45ACA881" w14:textId="092E75EB" w:rsidR="00FE09BD" w:rsidRPr="00D51FBD" w:rsidRDefault="00685B81" w:rsidP="004E1AB8">
            <w:pPr>
              <w:spacing w:after="120"/>
              <w:rPr>
                <w:rStyle w:val="Hyperlink"/>
                <w:color w:val="auto"/>
              </w:rPr>
            </w:pPr>
            <w:r w:rsidRPr="00D51FBD">
              <w:rPr>
                <w:rStyle w:val="Hyperlink"/>
                <w:color w:val="auto"/>
              </w:rPr>
              <w:lastRenderedPageBreak/>
              <w:t>Outcome 3: Resilience built to respond to systemic uncertainty and risk.</w:t>
            </w:r>
          </w:p>
        </w:tc>
        <w:tc>
          <w:tcPr>
            <w:tcW w:w="676" w:type="pct"/>
          </w:tcPr>
          <w:p w14:paraId="1F2D6636" w14:textId="470BC424" w:rsidR="0033028E" w:rsidRPr="00D51FBD" w:rsidRDefault="007774A6" w:rsidP="004E1AB8">
            <w:pPr>
              <w:spacing w:after="120"/>
              <w:rPr>
                <w:rStyle w:val="Hyperlink"/>
                <w:color w:val="auto"/>
              </w:rPr>
            </w:pPr>
            <w:r w:rsidRPr="00D51FBD">
              <w:rPr>
                <w:rStyle w:val="Hyperlink"/>
                <w:color w:val="auto"/>
              </w:rPr>
              <w:t xml:space="preserve">Mid-term evaluation for the project </w:t>
            </w:r>
            <w:r w:rsidR="0033028E" w:rsidRPr="00D51FBD">
              <w:rPr>
                <w:rStyle w:val="Hyperlink"/>
                <w:color w:val="auto"/>
              </w:rPr>
              <w:t>« </w:t>
            </w:r>
            <w:proofErr w:type="spellStart"/>
            <w:r w:rsidR="0033028E" w:rsidRPr="00D51FBD">
              <w:rPr>
                <w:rStyle w:val="Hyperlink"/>
                <w:color w:val="auto"/>
              </w:rPr>
              <w:t>Renforcement</w:t>
            </w:r>
            <w:proofErr w:type="spellEnd"/>
            <w:r w:rsidR="0033028E" w:rsidRPr="00D51FBD">
              <w:rPr>
                <w:rStyle w:val="Hyperlink"/>
                <w:color w:val="auto"/>
              </w:rPr>
              <w:t xml:space="preserve"> des institutions </w:t>
            </w:r>
            <w:proofErr w:type="spellStart"/>
            <w:r w:rsidR="0033028E" w:rsidRPr="00D51FBD">
              <w:rPr>
                <w:rStyle w:val="Hyperlink"/>
                <w:color w:val="auto"/>
              </w:rPr>
              <w:t>nationales</w:t>
            </w:r>
            <w:proofErr w:type="spellEnd"/>
            <w:r w:rsidR="0033028E" w:rsidRPr="00D51FBD">
              <w:rPr>
                <w:rStyle w:val="Hyperlink"/>
                <w:color w:val="auto"/>
              </w:rPr>
              <w:t xml:space="preserve"> </w:t>
            </w:r>
            <w:proofErr w:type="spellStart"/>
            <w:r w:rsidR="0033028E" w:rsidRPr="00D51FBD">
              <w:rPr>
                <w:rStyle w:val="Hyperlink"/>
                <w:color w:val="auto"/>
              </w:rPr>
              <w:t>en</w:t>
            </w:r>
            <w:proofErr w:type="spellEnd"/>
            <w:r w:rsidR="0033028E" w:rsidRPr="00D51FBD">
              <w:rPr>
                <w:rStyle w:val="Hyperlink"/>
                <w:color w:val="auto"/>
              </w:rPr>
              <w:t xml:space="preserve"> </w:t>
            </w:r>
            <w:proofErr w:type="spellStart"/>
            <w:r w:rsidR="0033028E" w:rsidRPr="00D51FBD">
              <w:rPr>
                <w:rStyle w:val="Hyperlink"/>
                <w:color w:val="auto"/>
              </w:rPr>
              <w:t>Haïti</w:t>
            </w:r>
            <w:proofErr w:type="spellEnd"/>
            <w:r w:rsidR="0033028E" w:rsidRPr="00D51FBD">
              <w:rPr>
                <w:rStyle w:val="Hyperlink"/>
                <w:color w:val="auto"/>
              </w:rPr>
              <w:t xml:space="preserve"> pour </w:t>
            </w:r>
            <w:proofErr w:type="spellStart"/>
            <w:r w:rsidR="0033028E" w:rsidRPr="00D51FBD">
              <w:rPr>
                <w:rStyle w:val="Hyperlink"/>
                <w:color w:val="auto"/>
              </w:rPr>
              <w:t>répondre</w:t>
            </w:r>
            <w:proofErr w:type="spellEnd"/>
            <w:r w:rsidR="0033028E" w:rsidRPr="00D51FBD">
              <w:rPr>
                <w:rStyle w:val="Hyperlink"/>
                <w:color w:val="auto"/>
              </w:rPr>
              <w:t xml:space="preserve"> aux exigences de transparence de </w:t>
            </w:r>
            <w:proofErr w:type="spellStart"/>
            <w:r w:rsidR="0033028E" w:rsidRPr="00D51FBD">
              <w:rPr>
                <w:rStyle w:val="Hyperlink"/>
                <w:color w:val="auto"/>
              </w:rPr>
              <w:lastRenderedPageBreak/>
              <w:t>l'Accord</w:t>
            </w:r>
            <w:proofErr w:type="spellEnd"/>
            <w:r w:rsidR="0033028E" w:rsidRPr="00D51FBD">
              <w:rPr>
                <w:rStyle w:val="Hyperlink"/>
                <w:color w:val="auto"/>
              </w:rPr>
              <w:t xml:space="preserve"> de Paris/ CBIT »</w:t>
            </w:r>
          </w:p>
          <w:p w14:paraId="0BC93E33" w14:textId="6BA11EF4" w:rsidR="0033028E" w:rsidRPr="00D51FBD" w:rsidRDefault="0033028E" w:rsidP="004E1AB8">
            <w:pPr>
              <w:spacing w:after="120"/>
              <w:rPr>
                <w:rStyle w:val="Hyperlink"/>
                <w:color w:val="auto"/>
              </w:rPr>
            </w:pPr>
          </w:p>
        </w:tc>
        <w:tc>
          <w:tcPr>
            <w:tcW w:w="558" w:type="pct"/>
          </w:tcPr>
          <w:p w14:paraId="4263DC21" w14:textId="1EC7068F" w:rsidR="0033028E" w:rsidRPr="00D51FBD" w:rsidRDefault="0033028E" w:rsidP="004E1AB8">
            <w:pPr>
              <w:spacing w:after="120"/>
              <w:rPr>
                <w:rStyle w:val="Hyperlink"/>
                <w:color w:val="auto"/>
              </w:rPr>
            </w:pPr>
            <w:r w:rsidRPr="00D51FBD">
              <w:rPr>
                <w:rStyle w:val="Hyperlink"/>
                <w:color w:val="auto"/>
              </w:rPr>
              <w:lastRenderedPageBreak/>
              <w:t xml:space="preserve">MDE </w:t>
            </w:r>
          </w:p>
        </w:tc>
        <w:tc>
          <w:tcPr>
            <w:tcW w:w="474" w:type="pct"/>
          </w:tcPr>
          <w:p w14:paraId="0C00C146" w14:textId="71F533C3" w:rsidR="0033028E" w:rsidRPr="00D51FBD" w:rsidRDefault="0033028E" w:rsidP="004E1AB8">
            <w:pPr>
              <w:spacing w:after="120"/>
              <w:rPr>
                <w:rStyle w:val="Hyperlink"/>
                <w:color w:val="auto"/>
              </w:rPr>
            </w:pPr>
            <w:r w:rsidRPr="00D51FBD">
              <w:t>PNUD / GEF</w:t>
            </w:r>
          </w:p>
        </w:tc>
        <w:tc>
          <w:tcPr>
            <w:tcW w:w="499" w:type="pct"/>
          </w:tcPr>
          <w:p w14:paraId="14034165" w14:textId="2134997B" w:rsidR="00017065" w:rsidRPr="00D51FBD" w:rsidRDefault="00017065" w:rsidP="004E1AB8">
            <w:pPr>
              <w:spacing w:after="120"/>
              <w:rPr>
                <w:rStyle w:val="Hyperlink"/>
                <w:strike/>
                <w:color w:val="auto"/>
              </w:rPr>
            </w:pPr>
            <w:r w:rsidRPr="00D51FBD">
              <w:rPr>
                <w:rStyle w:val="Hyperlink"/>
                <w:color w:val="auto"/>
              </w:rPr>
              <w:t>Project</w:t>
            </w:r>
          </w:p>
        </w:tc>
        <w:tc>
          <w:tcPr>
            <w:tcW w:w="453" w:type="pct"/>
          </w:tcPr>
          <w:p w14:paraId="5BF0848D" w14:textId="4DCED457" w:rsidR="0033028E" w:rsidRPr="00D51FBD" w:rsidRDefault="0033028E" w:rsidP="004E1AB8">
            <w:pPr>
              <w:spacing w:after="120"/>
              <w:rPr>
                <w:rStyle w:val="Hyperlink"/>
                <w:color w:val="auto"/>
              </w:rPr>
            </w:pPr>
            <w:r w:rsidRPr="00D51FBD">
              <w:rPr>
                <w:rStyle w:val="Hyperlink"/>
                <w:color w:val="auto"/>
              </w:rPr>
              <w:t>2024</w:t>
            </w:r>
          </w:p>
        </w:tc>
        <w:tc>
          <w:tcPr>
            <w:tcW w:w="356" w:type="pct"/>
          </w:tcPr>
          <w:p w14:paraId="3519EC4A" w14:textId="4584339D" w:rsidR="0033028E" w:rsidRPr="00D51FBD" w:rsidRDefault="00D74E50" w:rsidP="004E1AB8">
            <w:pPr>
              <w:spacing w:after="120"/>
              <w:rPr>
                <w:rStyle w:val="Hyperlink"/>
                <w:color w:val="auto"/>
              </w:rPr>
            </w:pPr>
            <w:r w:rsidRPr="00D51FBD">
              <w:rPr>
                <w:rStyle w:val="Hyperlink"/>
                <w:color w:val="auto"/>
              </w:rPr>
              <w:t>$</w:t>
            </w:r>
            <w:r w:rsidR="0033028E" w:rsidRPr="00D51FBD">
              <w:rPr>
                <w:rStyle w:val="Hyperlink"/>
                <w:color w:val="auto"/>
              </w:rPr>
              <w:t>25</w:t>
            </w:r>
            <w:r w:rsidR="00923D1E" w:rsidRPr="00D51FBD">
              <w:rPr>
                <w:rStyle w:val="Hyperlink"/>
                <w:color w:val="auto"/>
              </w:rPr>
              <w:t>,</w:t>
            </w:r>
            <w:r w:rsidR="0033028E" w:rsidRPr="00D51FBD">
              <w:rPr>
                <w:rStyle w:val="Hyperlink"/>
                <w:color w:val="auto"/>
              </w:rPr>
              <w:t>000</w:t>
            </w:r>
          </w:p>
        </w:tc>
        <w:tc>
          <w:tcPr>
            <w:tcW w:w="423" w:type="pct"/>
          </w:tcPr>
          <w:p w14:paraId="187CFB5B" w14:textId="77777777" w:rsidR="00792DC2" w:rsidRPr="00D51FBD" w:rsidRDefault="00792DC2" w:rsidP="004E1AB8">
            <w:pPr>
              <w:spacing w:after="120"/>
              <w:rPr>
                <w:rStyle w:val="CommentReference"/>
                <w:sz w:val="20"/>
                <w:szCs w:val="20"/>
                <w:lang w:eastAsia="uk-UA"/>
              </w:rPr>
            </w:pPr>
            <w:r w:rsidRPr="00D51FBD">
              <w:rPr>
                <w:rStyle w:val="CommentReference"/>
                <w:sz w:val="20"/>
                <w:szCs w:val="20"/>
                <w:lang w:eastAsia="uk-UA"/>
              </w:rPr>
              <w:t>Project budget</w:t>
            </w:r>
          </w:p>
          <w:p w14:paraId="3E8AAF45" w14:textId="11B05D65" w:rsidR="0033028E" w:rsidRPr="00D51FBD" w:rsidRDefault="0033028E" w:rsidP="004E1AB8">
            <w:pPr>
              <w:spacing w:after="120"/>
              <w:rPr>
                <w:rStyle w:val="CommentReference"/>
                <w:sz w:val="20"/>
                <w:szCs w:val="20"/>
                <w:lang w:eastAsia="uk-UA"/>
              </w:rPr>
            </w:pPr>
          </w:p>
        </w:tc>
      </w:tr>
      <w:tr w:rsidR="00D51FBD" w:rsidRPr="00D51FBD" w14:paraId="2825AB97" w14:textId="77777777" w:rsidTr="00160F07">
        <w:trPr>
          <w:trHeight w:val="60"/>
        </w:trPr>
        <w:tc>
          <w:tcPr>
            <w:tcW w:w="939" w:type="pct"/>
          </w:tcPr>
          <w:p w14:paraId="0CC08AB5" w14:textId="77777777" w:rsidR="007A1E1E" w:rsidRPr="00D51FBD" w:rsidRDefault="007A1E1E" w:rsidP="004E1AB8">
            <w:pPr>
              <w:spacing w:after="120"/>
              <w:rPr>
                <w:rStyle w:val="Hyperlink"/>
                <w:color w:val="auto"/>
              </w:rPr>
            </w:pPr>
            <w:r w:rsidRPr="00D51FBD">
              <w:rPr>
                <w:rStyle w:val="Hyperlink"/>
                <w:color w:val="auto"/>
              </w:rPr>
              <w:t>Equal, legitimate and accountable institutions guarantee the rule of law, good governance and respect for human rights</w:t>
            </w:r>
          </w:p>
          <w:p w14:paraId="7E87080F" w14:textId="554AD319" w:rsidR="007A1E1E" w:rsidRPr="00D51FBD" w:rsidRDefault="007A1E1E" w:rsidP="004E1AB8">
            <w:pPr>
              <w:spacing w:after="120"/>
              <w:rPr>
                <w:rStyle w:val="Hyperlink"/>
                <w:color w:val="auto"/>
              </w:rPr>
            </w:pPr>
          </w:p>
        </w:tc>
        <w:tc>
          <w:tcPr>
            <w:tcW w:w="620" w:type="pct"/>
          </w:tcPr>
          <w:p w14:paraId="1D4D1512" w14:textId="28E27DBB" w:rsidR="007A1E1E" w:rsidRPr="00D51FBD" w:rsidRDefault="007A1E1E" w:rsidP="004E1AB8">
            <w:pPr>
              <w:spacing w:after="120"/>
              <w:rPr>
                <w:rStyle w:val="Hyperlink"/>
                <w:color w:val="auto"/>
              </w:rPr>
            </w:pPr>
            <w:r w:rsidRPr="00D51FBD">
              <w:rPr>
                <w:rStyle w:val="Hyperlink"/>
                <w:color w:val="auto"/>
              </w:rPr>
              <w:t>Outcome 1: Structural transformation accelerated, particularly green, inclusive and digital transitions</w:t>
            </w:r>
          </w:p>
        </w:tc>
        <w:tc>
          <w:tcPr>
            <w:tcW w:w="676" w:type="pct"/>
          </w:tcPr>
          <w:p w14:paraId="14FC230A" w14:textId="4879A015" w:rsidR="0033028E" w:rsidRPr="00D51FBD" w:rsidRDefault="003F1DD4" w:rsidP="004E1AB8">
            <w:pPr>
              <w:spacing w:after="120"/>
              <w:rPr>
                <w:rStyle w:val="Hyperlink"/>
                <w:color w:val="auto"/>
              </w:rPr>
            </w:pPr>
            <w:r w:rsidRPr="00D51FBD">
              <w:rPr>
                <w:rStyle w:val="Hyperlink"/>
                <w:color w:val="auto"/>
              </w:rPr>
              <w:t>Mid-term evaluation of UNDP’s contribution to the governance and rule of law</w:t>
            </w:r>
            <w:r w:rsidR="0033028E" w:rsidRPr="00D51FBD">
              <w:rPr>
                <w:rStyle w:val="Hyperlink"/>
                <w:color w:val="auto"/>
              </w:rPr>
              <w:t xml:space="preserve"> </w:t>
            </w:r>
          </w:p>
          <w:p w14:paraId="312E237D" w14:textId="77777777" w:rsidR="0033028E" w:rsidRPr="00D51FBD" w:rsidRDefault="0033028E" w:rsidP="004E1AB8">
            <w:pPr>
              <w:spacing w:after="120"/>
              <w:rPr>
                <w:rStyle w:val="Hyperlink"/>
                <w:color w:val="auto"/>
              </w:rPr>
            </w:pPr>
          </w:p>
        </w:tc>
        <w:tc>
          <w:tcPr>
            <w:tcW w:w="558" w:type="pct"/>
          </w:tcPr>
          <w:p w14:paraId="521444FB" w14:textId="6FEE1527" w:rsidR="0033028E" w:rsidRPr="00D51FBD" w:rsidRDefault="003F1DD4" w:rsidP="004E1AB8">
            <w:pPr>
              <w:spacing w:after="120"/>
              <w:rPr>
                <w:rStyle w:val="Hyperlink"/>
                <w:color w:val="auto"/>
              </w:rPr>
            </w:pPr>
            <w:r w:rsidRPr="00D51FBD">
              <w:rPr>
                <w:rStyle w:val="Hyperlink"/>
                <w:color w:val="auto"/>
              </w:rPr>
              <w:t xml:space="preserve">UNCT (to be confirmed upon approval of the UNSDCF </w:t>
            </w:r>
            <w:r w:rsidR="00586192" w:rsidRPr="00D51FBD">
              <w:rPr>
                <w:rStyle w:val="Hyperlink"/>
                <w:color w:val="auto"/>
              </w:rPr>
              <w:t xml:space="preserve">M&amp;E Plan) </w:t>
            </w:r>
          </w:p>
        </w:tc>
        <w:tc>
          <w:tcPr>
            <w:tcW w:w="474" w:type="pct"/>
          </w:tcPr>
          <w:p w14:paraId="6EA73177" w14:textId="397CFF0F" w:rsidR="0033028E" w:rsidRPr="00D51FBD" w:rsidRDefault="00586192" w:rsidP="004E1AB8">
            <w:pPr>
              <w:spacing w:after="120"/>
              <w:rPr>
                <w:rStyle w:val="Hyperlink"/>
                <w:color w:val="auto"/>
              </w:rPr>
            </w:pPr>
            <w:r w:rsidRPr="00D51FBD">
              <w:rPr>
                <w:rStyle w:val="Hyperlink"/>
                <w:color w:val="auto"/>
              </w:rPr>
              <w:t>UNDP/RCO</w:t>
            </w:r>
          </w:p>
        </w:tc>
        <w:tc>
          <w:tcPr>
            <w:tcW w:w="499" w:type="pct"/>
          </w:tcPr>
          <w:p w14:paraId="1F218BBB" w14:textId="54D696F7" w:rsidR="007A1E1E" w:rsidRPr="00D51FBD" w:rsidRDefault="007919DE" w:rsidP="004E1AB8">
            <w:pPr>
              <w:spacing w:after="120"/>
              <w:rPr>
                <w:rStyle w:val="Hyperlink"/>
                <w:color w:val="auto"/>
              </w:rPr>
            </w:pPr>
            <w:r w:rsidRPr="00D51FBD">
              <w:rPr>
                <w:rStyle w:val="Hyperlink"/>
                <w:color w:val="auto"/>
              </w:rPr>
              <w:t>Portfolio review</w:t>
            </w:r>
          </w:p>
        </w:tc>
        <w:tc>
          <w:tcPr>
            <w:tcW w:w="453" w:type="pct"/>
          </w:tcPr>
          <w:p w14:paraId="64FA552E" w14:textId="58233E55" w:rsidR="0033028E" w:rsidRPr="00D51FBD" w:rsidRDefault="0033028E" w:rsidP="004E1AB8">
            <w:pPr>
              <w:spacing w:after="120"/>
              <w:rPr>
                <w:rStyle w:val="Hyperlink"/>
                <w:color w:val="auto"/>
              </w:rPr>
            </w:pPr>
            <w:r w:rsidRPr="00D51FBD">
              <w:rPr>
                <w:rStyle w:val="Hyperlink"/>
                <w:color w:val="auto"/>
              </w:rPr>
              <w:t>2025</w:t>
            </w:r>
          </w:p>
        </w:tc>
        <w:tc>
          <w:tcPr>
            <w:tcW w:w="356" w:type="pct"/>
          </w:tcPr>
          <w:p w14:paraId="72A2B427" w14:textId="3F5C6B25" w:rsidR="0033028E" w:rsidRPr="00D51FBD" w:rsidRDefault="0033028E" w:rsidP="004E1AB8">
            <w:pPr>
              <w:spacing w:after="120"/>
              <w:rPr>
                <w:rStyle w:val="Hyperlink"/>
                <w:color w:val="auto"/>
              </w:rPr>
            </w:pPr>
            <w:r w:rsidRPr="00D51FBD">
              <w:rPr>
                <w:rStyle w:val="Hyperlink"/>
                <w:color w:val="auto"/>
              </w:rPr>
              <w:t>$40,000</w:t>
            </w:r>
          </w:p>
        </w:tc>
        <w:tc>
          <w:tcPr>
            <w:tcW w:w="423" w:type="pct"/>
          </w:tcPr>
          <w:p w14:paraId="66E63254" w14:textId="778694E5" w:rsidR="001A4C5C" w:rsidRPr="00D51FBD" w:rsidRDefault="001A4C5C" w:rsidP="004E1AB8">
            <w:pPr>
              <w:spacing w:after="120"/>
              <w:rPr>
                <w:rStyle w:val="CommentReference"/>
                <w:strike/>
                <w:sz w:val="20"/>
                <w:szCs w:val="20"/>
                <w:lang w:eastAsia="uk-UA"/>
              </w:rPr>
            </w:pPr>
            <w:r w:rsidRPr="00D51FBD">
              <w:rPr>
                <w:rStyle w:val="Hyperlink"/>
                <w:color w:val="auto"/>
              </w:rPr>
              <w:t xml:space="preserve">Portfolio Budget </w:t>
            </w:r>
          </w:p>
        </w:tc>
      </w:tr>
      <w:tr w:rsidR="00D51FBD" w:rsidRPr="00D51FBD" w14:paraId="146DAF23" w14:textId="77777777" w:rsidTr="002D5041">
        <w:trPr>
          <w:trHeight w:val="800"/>
        </w:trPr>
        <w:tc>
          <w:tcPr>
            <w:tcW w:w="939" w:type="pct"/>
          </w:tcPr>
          <w:p w14:paraId="60277A67" w14:textId="77777777" w:rsidR="002D5041" w:rsidRPr="00D51FBD" w:rsidRDefault="002D5041" w:rsidP="002D5041">
            <w:pPr>
              <w:spacing w:after="120"/>
              <w:rPr>
                <w:rStyle w:val="Hyperlink"/>
                <w:color w:val="auto"/>
              </w:rPr>
            </w:pPr>
            <w:r w:rsidRPr="00D51FBD">
              <w:rPr>
                <w:rStyle w:val="Hyperlink"/>
                <w:color w:val="auto"/>
              </w:rPr>
              <w:t>A new fair inclusive economic model, vector of growth and sustainability, favorable to the rapid creation of decent jobs for young people and women, capable of substantially reducing poverty and inequalities</w:t>
            </w:r>
          </w:p>
          <w:p w14:paraId="37E7C1A1" w14:textId="7119D1FF" w:rsidR="002D5041" w:rsidRPr="00D51FBD" w:rsidRDefault="002D5041" w:rsidP="002D5041">
            <w:pPr>
              <w:spacing w:after="120"/>
              <w:rPr>
                <w:rStyle w:val="Hyperlink"/>
                <w:color w:val="auto"/>
              </w:rPr>
            </w:pPr>
          </w:p>
        </w:tc>
        <w:tc>
          <w:tcPr>
            <w:tcW w:w="620" w:type="pct"/>
          </w:tcPr>
          <w:p w14:paraId="50FC1B73" w14:textId="068A206D" w:rsidR="002D5041" w:rsidRPr="00D51FBD" w:rsidRDefault="002D5041" w:rsidP="002D5041">
            <w:pPr>
              <w:spacing w:after="120"/>
              <w:rPr>
                <w:rStyle w:val="Hyperlink"/>
                <w:color w:val="auto"/>
              </w:rPr>
            </w:pPr>
            <w:r w:rsidRPr="00D51FBD">
              <w:rPr>
                <w:rStyle w:val="Hyperlink"/>
                <w:color w:val="auto"/>
              </w:rPr>
              <w:t>Outcome 2: No one left behind, centering on equitable access to opportunities and a rights-based approach to human agency and human development</w:t>
            </w:r>
          </w:p>
        </w:tc>
        <w:tc>
          <w:tcPr>
            <w:tcW w:w="676" w:type="pct"/>
          </w:tcPr>
          <w:p w14:paraId="72B5DC12" w14:textId="441BA277" w:rsidR="002D5041" w:rsidRPr="00D51FBD" w:rsidRDefault="002D5041" w:rsidP="002D5041">
            <w:pPr>
              <w:spacing w:after="120"/>
              <w:rPr>
                <w:rStyle w:val="Hyperlink"/>
                <w:color w:val="auto"/>
              </w:rPr>
            </w:pPr>
            <w:r w:rsidRPr="00D51FBD">
              <w:rPr>
                <w:rStyle w:val="Hyperlink"/>
                <w:color w:val="auto"/>
              </w:rPr>
              <w:t>Mid-term evaluation of UNDP’s contribution to economic governance</w:t>
            </w:r>
          </w:p>
        </w:tc>
        <w:tc>
          <w:tcPr>
            <w:tcW w:w="558" w:type="pct"/>
          </w:tcPr>
          <w:p w14:paraId="45C8A1D0" w14:textId="340EB493" w:rsidR="002D5041" w:rsidRPr="00D51FBD" w:rsidRDefault="002D5041" w:rsidP="002D5041">
            <w:pPr>
              <w:spacing w:after="120"/>
              <w:rPr>
                <w:rStyle w:val="Hyperlink"/>
                <w:color w:val="auto"/>
              </w:rPr>
            </w:pPr>
            <w:r w:rsidRPr="00D51FBD">
              <w:rPr>
                <w:rStyle w:val="Hyperlink"/>
                <w:color w:val="auto"/>
              </w:rPr>
              <w:t xml:space="preserve">UNCT (to be confirmed upon approval of the UNSDCF M&amp;E Plan) </w:t>
            </w:r>
          </w:p>
        </w:tc>
        <w:tc>
          <w:tcPr>
            <w:tcW w:w="474" w:type="pct"/>
          </w:tcPr>
          <w:p w14:paraId="3CF48B65" w14:textId="4B3CCADB" w:rsidR="002D5041" w:rsidRPr="00D51FBD" w:rsidRDefault="002D5041" w:rsidP="002D5041">
            <w:pPr>
              <w:spacing w:after="120"/>
              <w:rPr>
                <w:rStyle w:val="Hyperlink"/>
                <w:color w:val="auto"/>
              </w:rPr>
            </w:pPr>
            <w:r w:rsidRPr="00D51FBD">
              <w:rPr>
                <w:rStyle w:val="Hyperlink"/>
                <w:color w:val="auto"/>
              </w:rPr>
              <w:t>UNDP/RCO</w:t>
            </w:r>
          </w:p>
        </w:tc>
        <w:tc>
          <w:tcPr>
            <w:tcW w:w="499" w:type="pct"/>
          </w:tcPr>
          <w:p w14:paraId="0C946B93" w14:textId="63837A1C" w:rsidR="002D5041" w:rsidRPr="00D51FBD" w:rsidRDefault="002D5041" w:rsidP="002D5041">
            <w:pPr>
              <w:spacing w:after="120"/>
              <w:rPr>
                <w:rStyle w:val="Hyperlink"/>
                <w:color w:val="auto"/>
              </w:rPr>
            </w:pPr>
            <w:r w:rsidRPr="00D51FBD">
              <w:rPr>
                <w:rStyle w:val="Hyperlink"/>
                <w:color w:val="auto"/>
              </w:rPr>
              <w:t>Portfolio review</w:t>
            </w:r>
          </w:p>
        </w:tc>
        <w:tc>
          <w:tcPr>
            <w:tcW w:w="453" w:type="pct"/>
          </w:tcPr>
          <w:p w14:paraId="34EF9DA0" w14:textId="2DCEC5D8" w:rsidR="002D5041" w:rsidRPr="00D51FBD" w:rsidRDefault="002D5041" w:rsidP="002D5041">
            <w:pPr>
              <w:spacing w:after="120"/>
              <w:rPr>
                <w:rStyle w:val="Hyperlink"/>
                <w:color w:val="auto"/>
              </w:rPr>
            </w:pPr>
            <w:r w:rsidRPr="00D51FBD">
              <w:rPr>
                <w:rStyle w:val="Hyperlink"/>
                <w:color w:val="auto"/>
              </w:rPr>
              <w:t>2025</w:t>
            </w:r>
          </w:p>
        </w:tc>
        <w:tc>
          <w:tcPr>
            <w:tcW w:w="356" w:type="pct"/>
          </w:tcPr>
          <w:p w14:paraId="677ED7F1" w14:textId="478AF7F0" w:rsidR="002D5041" w:rsidRPr="00D51FBD" w:rsidRDefault="002D5041" w:rsidP="002D5041">
            <w:pPr>
              <w:spacing w:after="120"/>
              <w:rPr>
                <w:rStyle w:val="Hyperlink"/>
                <w:color w:val="auto"/>
              </w:rPr>
            </w:pPr>
            <w:r w:rsidRPr="00D51FBD">
              <w:rPr>
                <w:rStyle w:val="Hyperlink"/>
                <w:color w:val="auto"/>
              </w:rPr>
              <w:t>$25,000</w:t>
            </w:r>
          </w:p>
        </w:tc>
        <w:tc>
          <w:tcPr>
            <w:tcW w:w="423" w:type="pct"/>
          </w:tcPr>
          <w:p w14:paraId="082F2A12" w14:textId="2116AAE5" w:rsidR="002D5041" w:rsidRPr="00D51FBD" w:rsidRDefault="002D5041" w:rsidP="002D5041">
            <w:pPr>
              <w:spacing w:after="120"/>
              <w:rPr>
                <w:rStyle w:val="CommentReference"/>
                <w:sz w:val="20"/>
                <w:szCs w:val="20"/>
                <w:lang w:eastAsia="uk-UA"/>
              </w:rPr>
            </w:pPr>
            <w:r w:rsidRPr="00D51FBD">
              <w:rPr>
                <w:rStyle w:val="Hyperlink"/>
                <w:color w:val="auto"/>
              </w:rPr>
              <w:t>Portfolio Budget</w:t>
            </w:r>
          </w:p>
        </w:tc>
      </w:tr>
      <w:tr w:rsidR="00D51FBD" w:rsidRPr="00D51FBD" w14:paraId="11CB9507" w14:textId="77777777" w:rsidTr="00160F07">
        <w:trPr>
          <w:trHeight w:val="60"/>
        </w:trPr>
        <w:tc>
          <w:tcPr>
            <w:tcW w:w="939" w:type="pct"/>
          </w:tcPr>
          <w:p w14:paraId="5FE9E201" w14:textId="088456E2" w:rsidR="00A5760D" w:rsidRPr="00D51FBD" w:rsidRDefault="00A5760D" w:rsidP="004E1AB8">
            <w:pPr>
              <w:spacing w:after="120"/>
              <w:rPr>
                <w:rStyle w:val="Hyperlink"/>
                <w:color w:val="auto"/>
              </w:rPr>
            </w:pPr>
            <w:r w:rsidRPr="00D51FBD">
              <w:rPr>
                <w:rStyle w:val="Hyperlink"/>
                <w:color w:val="auto"/>
              </w:rPr>
              <w:t>State authorities, local communities and other relevant national actors have the information, financial mechanisms and gender-sensitive normative frameworks to pilot and coordinate public policies and multidimensional risk management to support territorial governance and environmental management</w:t>
            </w:r>
          </w:p>
        </w:tc>
        <w:tc>
          <w:tcPr>
            <w:tcW w:w="620" w:type="pct"/>
          </w:tcPr>
          <w:p w14:paraId="2A903507" w14:textId="02F22C68" w:rsidR="00D31783" w:rsidRPr="00D51FBD" w:rsidRDefault="00D31783" w:rsidP="004E1AB8">
            <w:pPr>
              <w:spacing w:after="120"/>
              <w:rPr>
                <w:rStyle w:val="Hyperlink"/>
                <w:color w:val="auto"/>
              </w:rPr>
            </w:pPr>
            <w:r w:rsidRPr="00D51FBD">
              <w:rPr>
                <w:rStyle w:val="Hyperlink"/>
                <w:color w:val="auto"/>
              </w:rPr>
              <w:t>Outcome 3: Resilience built to respond to systemic uncertainty and risk.</w:t>
            </w:r>
          </w:p>
        </w:tc>
        <w:tc>
          <w:tcPr>
            <w:tcW w:w="676" w:type="pct"/>
          </w:tcPr>
          <w:p w14:paraId="10CEC521" w14:textId="77777777" w:rsidR="0033028E" w:rsidRPr="00D51FBD" w:rsidRDefault="002D5041" w:rsidP="004E1AB8">
            <w:pPr>
              <w:spacing w:after="120"/>
              <w:rPr>
                <w:rStyle w:val="Hyperlink"/>
                <w:color w:val="auto"/>
              </w:rPr>
            </w:pPr>
            <w:r w:rsidRPr="00D51FBD">
              <w:rPr>
                <w:rStyle w:val="Hyperlink"/>
                <w:color w:val="auto"/>
              </w:rPr>
              <w:t xml:space="preserve">Mid-term evaluation of </w:t>
            </w:r>
            <w:r w:rsidR="005127AF" w:rsidRPr="00D51FBD">
              <w:rPr>
                <w:rStyle w:val="Hyperlink"/>
                <w:color w:val="auto"/>
              </w:rPr>
              <w:t>project « </w:t>
            </w:r>
            <w:bookmarkStart w:id="0" w:name="_Hlk502310307"/>
            <w:r w:rsidR="005127AF" w:rsidRPr="00D51FBD">
              <w:rPr>
                <w:rStyle w:val="Hyperlink"/>
                <w:color w:val="auto"/>
              </w:rPr>
              <w:t>G</w:t>
            </w:r>
            <w:r w:rsidR="0033028E" w:rsidRPr="00D51FBD">
              <w:rPr>
                <w:rStyle w:val="Hyperlink"/>
                <w:color w:val="auto"/>
              </w:rPr>
              <w:t xml:space="preserve">estion durable de la production de </w:t>
            </w:r>
            <w:proofErr w:type="spellStart"/>
            <w:r w:rsidR="0033028E" w:rsidRPr="00D51FBD">
              <w:rPr>
                <w:rStyle w:val="Hyperlink"/>
                <w:color w:val="auto"/>
              </w:rPr>
              <w:t>bois</w:t>
            </w:r>
            <w:proofErr w:type="spellEnd"/>
            <w:r w:rsidR="0033028E" w:rsidRPr="00D51FBD">
              <w:rPr>
                <w:rStyle w:val="Hyperlink"/>
                <w:color w:val="auto"/>
              </w:rPr>
              <w:t xml:space="preserve"> pour la </w:t>
            </w:r>
            <w:proofErr w:type="spellStart"/>
            <w:r w:rsidR="0033028E" w:rsidRPr="00D51FBD">
              <w:rPr>
                <w:rStyle w:val="Hyperlink"/>
                <w:color w:val="auto"/>
              </w:rPr>
              <w:t>biodiversité</w:t>
            </w:r>
            <w:proofErr w:type="spellEnd"/>
            <w:r w:rsidR="0033028E" w:rsidRPr="00D51FBD">
              <w:rPr>
                <w:rStyle w:val="Hyperlink"/>
                <w:color w:val="auto"/>
              </w:rPr>
              <w:t xml:space="preserve"> et la conservation </w:t>
            </w:r>
            <w:bookmarkEnd w:id="0"/>
            <w:r w:rsidR="0033028E" w:rsidRPr="00D51FBD">
              <w:rPr>
                <w:rStyle w:val="Hyperlink"/>
                <w:color w:val="auto"/>
              </w:rPr>
              <w:t xml:space="preserve">/ </w:t>
            </w:r>
            <w:proofErr w:type="spellStart"/>
            <w:r w:rsidR="0033028E" w:rsidRPr="00D51FBD">
              <w:rPr>
                <w:rStyle w:val="Hyperlink"/>
                <w:color w:val="auto"/>
              </w:rPr>
              <w:t>Paysage</w:t>
            </w:r>
            <w:proofErr w:type="spellEnd"/>
            <w:r w:rsidR="0033028E" w:rsidRPr="00D51FBD">
              <w:rPr>
                <w:rStyle w:val="Hyperlink"/>
                <w:color w:val="auto"/>
              </w:rPr>
              <w:t xml:space="preserve"> </w:t>
            </w:r>
            <w:proofErr w:type="spellStart"/>
            <w:r w:rsidR="0033028E" w:rsidRPr="00D51FBD">
              <w:rPr>
                <w:rStyle w:val="Hyperlink"/>
                <w:color w:val="auto"/>
              </w:rPr>
              <w:t>productif</w:t>
            </w:r>
            <w:proofErr w:type="spellEnd"/>
            <w:r w:rsidR="005127AF" w:rsidRPr="00D51FBD">
              <w:rPr>
                <w:rStyle w:val="Hyperlink"/>
                <w:color w:val="auto"/>
              </w:rPr>
              <w:t> »</w:t>
            </w:r>
            <w:r w:rsidR="0033028E" w:rsidRPr="00D51FBD">
              <w:rPr>
                <w:rStyle w:val="Hyperlink"/>
                <w:color w:val="auto"/>
              </w:rPr>
              <w:t xml:space="preserve"> </w:t>
            </w:r>
          </w:p>
          <w:p w14:paraId="794F2043" w14:textId="61BE00F1" w:rsidR="00271765" w:rsidRPr="00D51FBD" w:rsidRDefault="00271765" w:rsidP="004E1AB8">
            <w:pPr>
              <w:spacing w:after="120"/>
              <w:rPr>
                <w:rStyle w:val="Hyperlink"/>
                <w:color w:val="auto"/>
              </w:rPr>
            </w:pPr>
          </w:p>
        </w:tc>
        <w:tc>
          <w:tcPr>
            <w:tcW w:w="558" w:type="pct"/>
          </w:tcPr>
          <w:p w14:paraId="6B95988F" w14:textId="449FF5E4" w:rsidR="0033028E" w:rsidRPr="00D51FBD" w:rsidRDefault="0033028E" w:rsidP="004E1AB8">
            <w:pPr>
              <w:spacing w:after="120"/>
              <w:rPr>
                <w:rStyle w:val="Hyperlink"/>
                <w:color w:val="auto"/>
              </w:rPr>
            </w:pPr>
            <w:r w:rsidRPr="00D51FBD">
              <w:rPr>
                <w:rStyle w:val="Hyperlink"/>
                <w:color w:val="auto"/>
              </w:rPr>
              <w:t>MDE</w:t>
            </w:r>
          </w:p>
        </w:tc>
        <w:tc>
          <w:tcPr>
            <w:tcW w:w="474" w:type="pct"/>
          </w:tcPr>
          <w:p w14:paraId="650A8747" w14:textId="1D222365" w:rsidR="0033028E" w:rsidRPr="00D51FBD" w:rsidRDefault="005127AF" w:rsidP="004E1AB8">
            <w:pPr>
              <w:spacing w:after="120"/>
              <w:rPr>
                <w:rStyle w:val="Hyperlink"/>
                <w:color w:val="auto"/>
              </w:rPr>
            </w:pPr>
            <w:r w:rsidRPr="00D51FBD">
              <w:t>UNDP</w:t>
            </w:r>
            <w:r w:rsidR="0033028E" w:rsidRPr="00D51FBD">
              <w:t xml:space="preserve"> / GEF</w:t>
            </w:r>
          </w:p>
        </w:tc>
        <w:tc>
          <w:tcPr>
            <w:tcW w:w="499" w:type="pct"/>
          </w:tcPr>
          <w:p w14:paraId="5FF4AD32" w14:textId="3E7ADC99" w:rsidR="001A4C5C" w:rsidRPr="00D51FBD" w:rsidRDefault="001A4C5C" w:rsidP="004E1AB8">
            <w:pPr>
              <w:spacing w:after="120"/>
              <w:rPr>
                <w:rStyle w:val="Hyperlink"/>
                <w:color w:val="auto"/>
              </w:rPr>
            </w:pPr>
            <w:r w:rsidRPr="00D51FBD">
              <w:rPr>
                <w:rStyle w:val="Hyperlink"/>
                <w:color w:val="auto"/>
              </w:rPr>
              <w:t xml:space="preserve">Project </w:t>
            </w:r>
          </w:p>
        </w:tc>
        <w:tc>
          <w:tcPr>
            <w:tcW w:w="453" w:type="pct"/>
          </w:tcPr>
          <w:p w14:paraId="065CC833" w14:textId="44DD2794" w:rsidR="0033028E" w:rsidRPr="00D51FBD" w:rsidRDefault="00271765" w:rsidP="004E1AB8">
            <w:pPr>
              <w:spacing w:after="120"/>
              <w:rPr>
                <w:rStyle w:val="Hyperlink"/>
                <w:color w:val="auto"/>
              </w:rPr>
            </w:pPr>
            <w:r w:rsidRPr="00D51FBD">
              <w:rPr>
                <w:rStyle w:val="Hyperlink"/>
                <w:color w:val="auto"/>
              </w:rPr>
              <w:t>June 2025</w:t>
            </w:r>
          </w:p>
          <w:p w14:paraId="2E7A8718" w14:textId="77777777" w:rsidR="00271765" w:rsidRPr="00D51FBD" w:rsidRDefault="00271765" w:rsidP="004E1AB8">
            <w:pPr>
              <w:spacing w:after="120"/>
              <w:rPr>
                <w:rStyle w:val="Hyperlink"/>
                <w:color w:val="auto"/>
              </w:rPr>
            </w:pPr>
          </w:p>
          <w:p w14:paraId="0D6B0E2F" w14:textId="77777777" w:rsidR="00271765" w:rsidRPr="00D51FBD" w:rsidRDefault="00271765" w:rsidP="004E1AB8">
            <w:pPr>
              <w:spacing w:after="120"/>
              <w:rPr>
                <w:rStyle w:val="Hyperlink"/>
                <w:color w:val="auto"/>
              </w:rPr>
            </w:pPr>
          </w:p>
          <w:p w14:paraId="6763EEAC" w14:textId="77777777" w:rsidR="00271765" w:rsidRPr="00D51FBD" w:rsidRDefault="00271765" w:rsidP="004E1AB8">
            <w:pPr>
              <w:spacing w:after="120"/>
              <w:rPr>
                <w:rStyle w:val="Hyperlink"/>
                <w:color w:val="auto"/>
              </w:rPr>
            </w:pPr>
          </w:p>
          <w:p w14:paraId="3D62F96A" w14:textId="77777777" w:rsidR="00271765" w:rsidRPr="00D51FBD" w:rsidRDefault="00271765" w:rsidP="004E1AB8">
            <w:pPr>
              <w:spacing w:after="120"/>
              <w:rPr>
                <w:rStyle w:val="Hyperlink"/>
                <w:color w:val="auto"/>
              </w:rPr>
            </w:pPr>
          </w:p>
          <w:p w14:paraId="48A5416A" w14:textId="1745747C" w:rsidR="00271765" w:rsidRPr="00D51FBD" w:rsidRDefault="00271765" w:rsidP="004E1AB8">
            <w:pPr>
              <w:spacing w:after="120"/>
              <w:rPr>
                <w:rStyle w:val="Hyperlink"/>
                <w:color w:val="auto"/>
              </w:rPr>
            </w:pPr>
          </w:p>
        </w:tc>
        <w:tc>
          <w:tcPr>
            <w:tcW w:w="356" w:type="pct"/>
          </w:tcPr>
          <w:p w14:paraId="06CB48B7" w14:textId="5E2A7053" w:rsidR="0033028E" w:rsidRPr="00D51FBD" w:rsidRDefault="0033028E" w:rsidP="004E1AB8">
            <w:pPr>
              <w:spacing w:after="120"/>
              <w:rPr>
                <w:rStyle w:val="Hyperlink"/>
                <w:color w:val="auto"/>
              </w:rPr>
            </w:pPr>
            <w:r w:rsidRPr="00D51FBD">
              <w:rPr>
                <w:rStyle w:val="Hyperlink"/>
                <w:color w:val="auto"/>
              </w:rPr>
              <w:t>$20,000</w:t>
            </w:r>
          </w:p>
        </w:tc>
        <w:tc>
          <w:tcPr>
            <w:tcW w:w="423" w:type="pct"/>
          </w:tcPr>
          <w:p w14:paraId="6C56275A" w14:textId="77777777" w:rsidR="00792DC2" w:rsidRPr="00D51FBD" w:rsidRDefault="00792DC2" w:rsidP="004E1AB8">
            <w:pPr>
              <w:spacing w:after="120"/>
              <w:rPr>
                <w:rStyle w:val="CommentReference"/>
                <w:sz w:val="20"/>
                <w:szCs w:val="20"/>
                <w:lang w:eastAsia="uk-UA"/>
              </w:rPr>
            </w:pPr>
            <w:r w:rsidRPr="00D51FBD">
              <w:rPr>
                <w:rStyle w:val="CommentReference"/>
                <w:sz w:val="20"/>
                <w:szCs w:val="20"/>
                <w:lang w:eastAsia="uk-UA"/>
              </w:rPr>
              <w:t>Project budget</w:t>
            </w:r>
          </w:p>
          <w:p w14:paraId="3FB159B7" w14:textId="587D9382" w:rsidR="0033028E" w:rsidRPr="00D51FBD" w:rsidRDefault="0033028E" w:rsidP="004E1AB8">
            <w:pPr>
              <w:spacing w:after="120"/>
              <w:rPr>
                <w:rStyle w:val="CommentReference"/>
                <w:sz w:val="20"/>
                <w:szCs w:val="20"/>
                <w:lang w:eastAsia="uk-UA"/>
              </w:rPr>
            </w:pPr>
          </w:p>
        </w:tc>
      </w:tr>
      <w:tr w:rsidR="00D51FBD" w:rsidRPr="00D51FBD" w14:paraId="54B89304" w14:textId="77777777" w:rsidTr="00160F07">
        <w:trPr>
          <w:trHeight w:val="60"/>
        </w:trPr>
        <w:tc>
          <w:tcPr>
            <w:tcW w:w="939" w:type="pct"/>
          </w:tcPr>
          <w:p w14:paraId="58FE5B0C" w14:textId="51A2059D" w:rsidR="00A5760D" w:rsidRPr="00D51FBD" w:rsidRDefault="00A5760D" w:rsidP="004E1AB8">
            <w:pPr>
              <w:spacing w:after="120"/>
            </w:pPr>
            <w:r w:rsidRPr="00D51FBD">
              <w:rPr>
                <w:rStyle w:val="Hyperlink"/>
                <w:color w:val="auto"/>
              </w:rPr>
              <w:t xml:space="preserve">State authorities, local communities and other relevant national actors have the information, financial mechanisms and gender-sensitive normative frameworks to pilot and coordinate public </w:t>
            </w:r>
            <w:r w:rsidRPr="00D51FBD">
              <w:rPr>
                <w:rStyle w:val="Hyperlink"/>
                <w:color w:val="auto"/>
              </w:rPr>
              <w:lastRenderedPageBreak/>
              <w:t>policies and multidimensional risk management to support territorial governance and environmental management</w:t>
            </w:r>
          </w:p>
        </w:tc>
        <w:tc>
          <w:tcPr>
            <w:tcW w:w="620" w:type="pct"/>
          </w:tcPr>
          <w:p w14:paraId="30F7B520" w14:textId="3AD864C1" w:rsidR="00D31783" w:rsidRPr="00D51FBD" w:rsidRDefault="00D31783" w:rsidP="004E1AB8">
            <w:pPr>
              <w:spacing w:after="120"/>
            </w:pPr>
            <w:r w:rsidRPr="00D51FBD">
              <w:rPr>
                <w:rStyle w:val="Hyperlink"/>
                <w:color w:val="auto"/>
              </w:rPr>
              <w:lastRenderedPageBreak/>
              <w:t>Outcome 3: Resilience built to respond to systemic uncertainty and risk.</w:t>
            </w:r>
          </w:p>
        </w:tc>
        <w:tc>
          <w:tcPr>
            <w:tcW w:w="676" w:type="pct"/>
          </w:tcPr>
          <w:p w14:paraId="29EC5755" w14:textId="5D3732A8" w:rsidR="00271765" w:rsidRPr="00D51FBD" w:rsidRDefault="005127AF" w:rsidP="004E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D51FBD">
              <w:rPr>
                <w:rStyle w:val="Hyperlink"/>
                <w:color w:val="auto"/>
              </w:rPr>
              <w:t>Mid-term evaluation of project « </w:t>
            </w:r>
            <w:proofErr w:type="spellStart"/>
            <w:r w:rsidR="0033028E" w:rsidRPr="00D51FBD">
              <w:t>Renforcement</w:t>
            </w:r>
            <w:proofErr w:type="spellEnd"/>
            <w:r w:rsidR="0033028E" w:rsidRPr="00D51FBD">
              <w:t xml:space="preserve"> de la </w:t>
            </w:r>
            <w:proofErr w:type="spellStart"/>
            <w:r w:rsidR="0033028E" w:rsidRPr="00D51FBD">
              <w:t>résilience</w:t>
            </w:r>
            <w:proofErr w:type="spellEnd"/>
            <w:r w:rsidR="0033028E" w:rsidRPr="00D51FBD">
              <w:t xml:space="preserve"> </w:t>
            </w:r>
            <w:proofErr w:type="spellStart"/>
            <w:r w:rsidR="0033028E" w:rsidRPr="00D51FBD">
              <w:t>climatique</w:t>
            </w:r>
            <w:proofErr w:type="spellEnd"/>
            <w:r w:rsidR="0033028E" w:rsidRPr="00D51FBD">
              <w:t xml:space="preserve"> du </w:t>
            </w:r>
            <w:proofErr w:type="spellStart"/>
            <w:r w:rsidR="0033028E" w:rsidRPr="00D51FBD">
              <w:t>secteur</w:t>
            </w:r>
            <w:proofErr w:type="spellEnd"/>
            <w:r w:rsidR="0033028E" w:rsidRPr="00D51FBD">
              <w:t xml:space="preserve"> de </w:t>
            </w:r>
            <w:proofErr w:type="spellStart"/>
            <w:r w:rsidR="0033028E" w:rsidRPr="00D51FBD">
              <w:t>l'eau</w:t>
            </w:r>
            <w:proofErr w:type="spellEnd"/>
            <w:r w:rsidR="0033028E" w:rsidRPr="00D51FBD">
              <w:t xml:space="preserve"> </w:t>
            </w:r>
            <w:r w:rsidR="0033028E" w:rsidRPr="00D51FBD">
              <w:lastRenderedPageBreak/>
              <w:t xml:space="preserve">potable dans le Sud </w:t>
            </w:r>
            <w:proofErr w:type="spellStart"/>
            <w:r w:rsidR="0033028E" w:rsidRPr="00D51FBD">
              <w:t>d'Haïti</w:t>
            </w:r>
            <w:proofErr w:type="spellEnd"/>
            <w:r w:rsidRPr="00D51FBD">
              <w:t> »</w:t>
            </w:r>
          </w:p>
        </w:tc>
        <w:tc>
          <w:tcPr>
            <w:tcW w:w="558" w:type="pct"/>
          </w:tcPr>
          <w:p w14:paraId="6ADF0F06" w14:textId="0B5E0C89" w:rsidR="0033028E" w:rsidRPr="00D51FBD" w:rsidRDefault="0033028E" w:rsidP="004E1AB8">
            <w:pPr>
              <w:spacing w:after="120"/>
            </w:pPr>
            <w:r w:rsidRPr="00D51FBD">
              <w:lastRenderedPageBreak/>
              <w:t>MDE</w:t>
            </w:r>
          </w:p>
        </w:tc>
        <w:tc>
          <w:tcPr>
            <w:tcW w:w="474" w:type="pct"/>
          </w:tcPr>
          <w:p w14:paraId="0A504D66" w14:textId="24CE94AC" w:rsidR="0033028E" w:rsidRPr="00D51FBD" w:rsidRDefault="005127AF" w:rsidP="004E1AB8">
            <w:pPr>
              <w:spacing w:after="120"/>
            </w:pPr>
            <w:r w:rsidRPr="00D51FBD">
              <w:t>UNDP</w:t>
            </w:r>
            <w:r w:rsidR="0033028E" w:rsidRPr="00D51FBD">
              <w:t xml:space="preserve"> / GEF</w:t>
            </w:r>
          </w:p>
        </w:tc>
        <w:tc>
          <w:tcPr>
            <w:tcW w:w="499" w:type="pct"/>
          </w:tcPr>
          <w:p w14:paraId="45B5EB0A" w14:textId="6E8366A1" w:rsidR="006D40EE" w:rsidRPr="00D51FBD" w:rsidRDefault="006D40EE" w:rsidP="004E1AB8">
            <w:pPr>
              <w:spacing w:after="120"/>
            </w:pPr>
            <w:r w:rsidRPr="00D51FBD">
              <w:t xml:space="preserve">Project </w:t>
            </w:r>
          </w:p>
        </w:tc>
        <w:tc>
          <w:tcPr>
            <w:tcW w:w="453" w:type="pct"/>
          </w:tcPr>
          <w:p w14:paraId="255C8114" w14:textId="5E926567" w:rsidR="0033028E" w:rsidRPr="00D51FBD" w:rsidRDefault="00271765" w:rsidP="004E1AB8">
            <w:pPr>
              <w:spacing w:after="120"/>
              <w:rPr>
                <w:rStyle w:val="Hyperlink"/>
                <w:color w:val="auto"/>
              </w:rPr>
            </w:pPr>
            <w:r w:rsidRPr="00D51FBD">
              <w:rPr>
                <w:rStyle w:val="Hyperlink"/>
                <w:color w:val="auto"/>
              </w:rPr>
              <w:t>October 2024</w:t>
            </w:r>
          </w:p>
          <w:p w14:paraId="265204BD" w14:textId="77777777" w:rsidR="00271765" w:rsidRPr="00D51FBD" w:rsidRDefault="00271765" w:rsidP="004E1AB8">
            <w:pPr>
              <w:spacing w:after="120"/>
              <w:rPr>
                <w:rStyle w:val="Hyperlink"/>
                <w:color w:val="auto"/>
              </w:rPr>
            </w:pPr>
          </w:p>
          <w:p w14:paraId="18C7A802" w14:textId="77777777" w:rsidR="00271765" w:rsidRPr="00D51FBD" w:rsidRDefault="00271765" w:rsidP="004E1AB8">
            <w:pPr>
              <w:spacing w:after="120"/>
              <w:rPr>
                <w:rStyle w:val="Hyperlink"/>
                <w:color w:val="auto"/>
              </w:rPr>
            </w:pPr>
          </w:p>
          <w:p w14:paraId="118FB972" w14:textId="77777777" w:rsidR="00271765" w:rsidRPr="00D51FBD" w:rsidRDefault="00271765" w:rsidP="004E1AB8">
            <w:pPr>
              <w:spacing w:after="120"/>
              <w:rPr>
                <w:rStyle w:val="Hyperlink"/>
                <w:color w:val="auto"/>
              </w:rPr>
            </w:pPr>
          </w:p>
          <w:p w14:paraId="4BADF60E" w14:textId="77777777" w:rsidR="00271765" w:rsidRPr="00D51FBD" w:rsidRDefault="00271765" w:rsidP="004E1AB8">
            <w:pPr>
              <w:spacing w:after="120"/>
              <w:rPr>
                <w:rStyle w:val="Hyperlink"/>
                <w:color w:val="auto"/>
              </w:rPr>
            </w:pPr>
          </w:p>
          <w:p w14:paraId="696EA985" w14:textId="77777777" w:rsidR="00271765" w:rsidRPr="00D51FBD" w:rsidRDefault="00271765" w:rsidP="004E1AB8">
            <w:pPr>
              <w:spacing w:after="120"/>
              <w:rPr>
                <w:rStyle w:val="Hyperlink"/>
                <w:color w:val="auto"/>
              </w:rPr>
            </w:pPr>
          </w:p>
          <w:p w14:paraId="6F06C62E" w14:textId="630C6837" w:rsidR="00271765" w:rsidRPr="00D51FBD" w:rsidRDefault="00271765" w:rsidP="004E1AB8">
            <w:pPr>
              <w:spacing w:after="120"/>
            </w:pPr>
          </w:p>
        </w:tc>
        <w:tc>
          <w:tcPr>
            <w:tcW w:w="356" w:type="pct"/>
          </w:tcPr>
          <w:p w14:paraId="71EDD3F6" w14:textId="5D6FE687" w:rsidR="0033028E" w:rsidRPr="00D51FBD" w:rsidRDefault="0033028E" w:rsidP="004E1AB8">
            <w:pPr>
              <w:spacing w:after="120"/>
            </w:pPr>
            <w:r w:rsidRPr="00D51FBD">
              <w:rPr>
                <w:rStyle w:val="Hyperlink"/>
                <w:color w:val="auto"/>
              </w:rPr>
              <w:lastRenderedPageBreak/>
              <w:t>$25,000</w:t>
            </w:r>
          </w:p>
        </w:tc>
        <w:tc>
          <w:tcPr>
            <w:tcW w:w="423" w:type="pct"/>
          </w:tcPr>
          <w:p w14:paraId="0493B6D4" w14:textId="77777777" w:rsidR="00792DC2" w:rsidRPr="00D51FBD" w:rsidRDefault="00792DC2" w:rsidP="004E1AB8">
            <w:pPr>
              <w:spacing w:after="120"/>
              <w:rPr>
                <w:rStyle w:val="CommentReference"/>
                <w:sz w:val="20"/>
                <w:szCs w:val="20"/>
                <w:lang w:eastAsia="uk-UA"/>
              </w:rPr>
            </w:pPr>
            <w:r w:rsidRPr="00D51FBD">
              <w:rPr>
                <w:rStyle w:val="CommentReference"/>
                <w:sz w:val="20"/>
                <w:szCs w:val="20"/>
                <w:lang w:eastAsia="uk-UA"/>
              </w:rPr>
              <w:t>Project budget</w:t>
            </w:r>
          </w:p>
          <w:p w14:paraId="4BE96AF2" w14:textId="4BE0A61D" w:rsidR="0033028E" w:rsidRPr="00D51FBD" w:rsidRDefault="0033028E" w:rsidP="004E1AB8">
            <w:pPr>
              <w:spacing w:after="120"/>
              <w:rPr>
                <w:rStyle w:val="CommentReference"/>
                <w:sz w:val="20"/>
                <w:szCs w:val="20"/>
                <w:lang w:eastAsia="uk-UA"/>
              </w:rPr>
            </w:pPr>
          </w:p>
        </w:tc>
      </w:tr>
      <w:tr w:rsidR="000A6C56" w:rsidRPr="00D51FBD" w14:paraId="5040E44C" w14:textId="77777777" w:rsidTr="00160F07">
        <w:trPr>
          <w:trHeight w:val="60"/>
        </w:trPr>
        <w:tc>
          <w:tcPr>
            <w:tcW w:w="939" w:type="pct"/>
          </w:tcPr>
          <w:p w14:paraId="1FF87FA9" w14:textId="131BDC22" w:rsidR="000A6C56" w:rsidRPr="00D51FBD" w:rsidRDefault="000A6C56" w:rsidP="000A6C56">
            <w:pPr>
              <w:spacing w:after="120"/>
              <w:rPr>
                <w:rStyle w:val="Hyperlink"/>
                <w:color w:val="auto"/>
              </w:rPr>
            </w:pPr>
            <w:r w:rsidRPr="00D51FBD">
              <w:rPr>
                <w:rStyle w:val="Hyperlink"/>
                <w:color w:val="auto"/>
              </w:rPr>
              <w:t>State authorities, local communities and other relevant national actors have the information, financial mechanisms and gender-sensitive normative frameworks to pilot and coordinate public policies and multidimensional risk management to support territorial governance and environmental management</w:t>
            </w:r>
          </w:p>
        </w:tc>
        <w:tc>
          <w:tcPr>
            <w:tcW w:w="620" w:type="pct"/>
          </w:tcPr>
          <w:p w14:paraId="1B4649F1" w14:textId="0D7C2AB0" w:rsidR="000A6C56" w:rsidRPr="00D51FBD" w:rsidRDefault="000A6C56" w:rsidP="000A6C56">
            <w:pPr>
              <w:spacing w:after="120"/>
              <w:rPr>
                <w:rStyle w:val="Hyperlink"/>
                <w:color w:val="auto"/>
              </w:rPr>
            </w:pPr>
            <w:r w:rsidRPr="00D51FBD">
              <w:rPr>
                <w:rStyle w:val="Hyperlink"/>
                <w:color w:val="auto"/>
              </w:rPr>
              <w:t>Outcome 3: Resilience built to respond to systemic uncertainty and risk</w:t>
            </w:r>
          </w:p>
        </w:tc>
        <w:tc>
          <w:tcPr>
            <w:tcW w:w="676" w:type="pct"/>
          </w:tcPr>
          <w:p w14:paraId="63C88F2C" w14:textId="3B265EB0" w:rsidR="000A6C56" w:rsidRPr="00D51FBD" w:rsidRDefault="000A6C56" w:rsidP="000A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fr-FR"/>
              </w:rPr>
            </w:pPr>
            <w:r w:rsidRPr="00D51FBD">
              <w:rPr>
                <w:rStyle w:val="Hyperlink"/>
                <w:color w:val="auto"/>
                <w:lang w:val="fr-FR"/>
              </w:rPr>
              <w:t xml:space="preserve">Final </w:t>
            </w:r>
            <w:proofErr w:type="spellStart"/>
            <w:r w:rsidRPr="00D51FBD">
              <w:rPr>
                <w:rStyle w:val="Hyperlink"/>
                <w:color w:val="auto"/>
                <w:lang w:val="fr-FR"/>
              </w:rPr>
              <w:t>evaluation</w:t>
            </w:r>
            <w:proofErr w:type="spellEnd"/>
            <w:r w:rsidRPr="00D51FBD">
              <w:rPr>
                <w:rStyle w:val="Hyperlink"/>
                <w:color w:val="auto"/>
                <w:lang w:val="fr-FR"/>
              </w:rPr>
              <w:t xml:space="preserve"> of </w:t>
            </w:r>
            <w:proofErr w:type="spellStart"/>
            <w:r w:rsidRPr="00D51FBD">
              <w:rPr>
                <w:rStyle w:val="Hyperlink"/>
                <w:color w:val="auto"/>
                <w:lang w:val="fr-FR"/>
              </w:rPr>
              <w:t>project</w:t>
            </w:r>
            <w:proofErr w:type="spellEnd"/>
            <w:r w:rsidRPr="00D51FBD">
              <w:rPr>
                <w:rStyle w:val="Hyperlink"/>
                <w:color w:val="auto"/>
                <w:lang w:val="fr-FR"/>
              </w:rPr>
              <w:t> </w:t>
            </w:r>
            <w:r w:rsidR="00D51FBD" w:rsidRPr="00D51FBD">
              <w:rPr>
                <w:rStyle w:val="Hyperlink"/>
                <w:color w:val="auto"/>
                <w:lang w:val="fr-FR"/>
              </w:rPr>
              <w:t>“</w:t>
            </w:r>
            <w:r w:rsidRPr="00D51FBD">
              <w:rPr>
                <w:lang w:val="fr-FR"/>
              </w:rPr>
              <w:t>Renforcement de la résilience climatique du secteur de l'eau potable dans le Sud d'Haïti »</w:t>
            </w:r>
          </w:p>
          <w:p w14:paraId="728F6A54" w14:textId="700067B0" w:rsidR="000A6C56" w:rsidRPr="00D51FBD" w:rsidRDefault="000A6C56" w:rsidP="000A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Hyperlink"/>
                <w:color w:val="auto"/>
                <w:lang w:val="fr-FR"/>
              </w:rPr>
            </w:pPr>
          </w:p>
        </w:tc>
        <w:tc>
          <w:tcPr>
            <w:tcW w:w="558" w:type="pct"/>
          </w:tcPr>
          <w:p w14:paraId="02EF192C" w14:textId="089BD7AE" w:rsidR="000A6C56" w:rsidRPr="00D51FBD" w:rsidRDefault="000A6C56" w:rsidP="000A6C56">
            <w:pPr>
              <w:spacing w:after="120"/>
            </w:pPr>
            <w:r w:rsidRPr="00D51FBD">
              <w:t>MDE</w:t>
            </w:r>
          </w:p>
        </w:tc>
        <w:tc>
          <w:tcPr>
            <w:tcW w:w="474" w:type="pct"/>
          </w:tcPr>
          <w:p w14:paraId="29A55BD1" w14:textId="5DADE116" w:rsidR="000A6C56" w:rsidRPr="00D51FBD" w:rsidRDefault="000A6C56" w:rsidP="000A6C56">
            <w:pPr>
              <w:spacing w:after="120"/>
            </w:pPr>
            <w:r w:rsidRPr="00D51FBD">
              <w:t>UNDP / GEF</w:t>
            </w:r>
          </w:p>
        </w:tc>
        <w:tc>
          <w:tcPr>
            <w:tcW w:w="499" w:type="pct"/>
          </w:tcPr>
          <w:p w14:paraId="47C0288F" w14:textId="72A0EFA4" w:rsidR="000A6C56" w:rsidRPr="00D51FBD" w:rsidRDefault="000A6C56" w:rsidP="000A6C56">
            <w:pPr>
              <w:spacing w:after="120"/>
            </w:pPr>
            <w:r w:rsidRPr="00D51FBD">
              <w:t xml:space="preserve">Project </w:t>
            </w:r>
          </w:p>
        </w:tc>
        <w:tc>
          <w:tcPr>
            <w:tcW w:w="453" w:type="pct"/>
          </w:tcPr>
          <w:p w14:paraId="31E0D94E" w14:textId="73B6161B" w:rsidR="000A6C56" w:rsidRPr="00D51FBD" w:rsidRDefault="000A6C56" w:rsidP="000A6C56">
            <w:pPr>
              <w:spacing w:after="120"/>
              <w:rPr>
                <w:rStyle w:val="Hyperlink"/>
                <w:color w:val="auto"/>
              </w:rPr>
            </w:pPr>
            <w:r w:rsidRPr="00D51FBD">
              <w:rPr>
                <w:rStyle w:val="Hyperlink"/>
                <w:color w:val="auto"/>
              </w:rPr>
              <w:t>September 2027</w:t>
            </w:r>
          </w:p>
        </w:tc>
        <w:tc>
          <w:tcPr>
            <w:tcW w:w="356" w:type="pct"/>
          </w:tcPr>
          <w:p w14:paraId="19FD59A2" w14:textId="0B5FA74E" w:rsidR="000A6C56" w:rsidRPr="00D51FBD" w:rsidRDefault="000A6C56" w:rsidP="000A6C56">
            <w:pPr>
              <w:spacing w:after="120"/>
              <w:rPr>
                <w:rStyle w:val="Hyperlink"/>
                <w:color w:val="auto"/>
              </w:rPr>
            </w:pPr>
            <w:r w:rsidRPr="00D51FBD">
              <w:rPr>
                <w:rStyle w:val="Hyperlink"/>
                <w:color w:val="auto"/>
              </w:rPr>
              <w:t>$25,000</w:t>
            </w:r>
          </w:p>
        </w:tc>
        <w:tc>
          <w:tcPr>
            <w:tcW w:w="423" w:type="pct"/>
          </w:tcPr>
          <w:p w14:paraId="27645C97" w14:textId="77777777" w:rsidR="000A6C56" w:rsidRPr="00D51FBD" w:rsidRDefault="000A6C56" w:rsidP="000A6C56">
            <w:pPr>
              <w:spacing w:after="120"/>
              <w:rPr>
                <w:rStyle w:val="CommentReference"/>
                <w:sz w:val="20"/>
                <w:szCs w:val="20"/>
                <w:lang w:eastAsia="uk-UA"/>
              </w:rPr>
            </w:pPr>
          </w:p>
        </w:tc>
      </w:tr>
      <w:tr w:rsidR="00D51FBD" w:rsidRPr="00D51FBD" w14:paraId="1CF75A9F" w14:textId="77777777" w:rsidTr="00160F07">
        <w:trPr>
          <w:trHeight w:val="60"/>
        </w:trPr>
        <w:tc>
          <w:tcPr>
            <w:tcW w:w="939" w:type="pct"/>
          </w:tcPr>
          <w:p w14:paraId="5017ABFF" w14:textId="5DEEA76E" w:rsidR="000A6C56" w:rsidRPr="00D51FBD" w:rsidRDefault="000A6C56" w:rsidP="000A6C56">
            <w:pPr>
              <w:spacing w:after="120"/>
            </w:pPr>
            <w:r w:rsidRPr="00D51FBD">
              <w:rPr>
                <w:rStyle w:val="Hyperlink"/>
                <w:color w:val="auto"/>
              </w:rPr>
              <w:t>State authorities, local communities and other relevant national actors have the information, financial mechanisms and gender-sensitive normative frameworks to pilot and coordinate public policies and multidimensional risk management to support territorial governance and environmental management</w:t>
            </w:r>
          </w:p>
        </w:tc>
        <w:tc>
          <w:tcPr>
            <w:tcW w:w="620" w:type="pct"/>
          </w:tcPr>
          <w:p w14:paraId="372E3C11" w14:textId="689D3659" w:rsidR="000A6C56" w:rsidRPr="00D51FBD" w:rsidRDefault="000A6C56" w:rsidP="000A6C56">
            <w:pPr>
              <w:spacing w:after="120"/>
            </w:pPr>
            <w:r w:rsidRPr="00D51FBD">
              <w:rPr>
                <w:rStyle w:val="Hyperlink"/>
                <w:color w:val="auto"/>
              </w:rPr>
              <w:t>Outcome 3: Resilience built to respond to systemic uncertainty and risk.</w:t>
            </w:r>
          </w:p>
        </w:tc>
        <w:tc>
          <w:tcPr>
            <w:tcW w:w="676" w:type="pct"/>
          </w:tcPr>
          <w:p w14:paraId="739EA841" w14:textId="4B2343BA" w:rsidR="000A6C56" w:rsidRPr="00D51FBD" w:rsidRDefault="000A6C56" w:rsidP="000A6C56">
            <w:pPr>
              <w:spacing w:after="120"/>
            </w:pPr>
            <w:r w:rsidRPr="00D51FBD">
              <w:rPr>
                <w:rStyle w:val="Hyperlink"/>
                <w:color w:val="auto"/>
              </w:rPr>
              <w:t xml:space="preserve">Mid-term evaluation of project </w:t>
            </w:r>
            <w:r w:rsidRPr="00D51FBD">
              <w:t xml:space="preserve">« </w:t>
            </w:r>
            <w:proofErr w:type="spellStart"/>
            <w:r w:rsidRPr="00D51FBD">
              <w:t>Améliorer</w:t>
            </w:r>
            <w:proofErr w:type="spellEnd"/>
            <w:r w:rsidRPr="00D51FBD">
              <w:t xml:space="preserve"> le flux des services </w:t>
            </w:r>
            <w:proofErr w:type="spellStart"/>
            <w:r w:rsidRPr="00D51FBD">
              <w:t>écosystémiques</w:t>
            </w:r>
            <w:proofErr w:type="spellEnd"/>
            <w:r w:rsidRPr="00D51FBD">
              <w:t xml:space="preserve"> dans les </w:t>
            </w:r>
            <w:proofErr w:type="spellStart"/>
            <w:r w:rsidRPr="00D51FBD">
              <w:t>bassins</w:t>
            </w:r>
            <w:proofErr w:type="spellEnd"/>
            <w:r w:rsidRPr="00D51FBD">
              <w:t xml:space="preserve"> versants </w:t>
            </w:r>
            <w:proofErr w:type="spellStart"/>
            <w:r w:rsidRPr="00D51FBD">
              <w:t>biologiquement</w:t>
            </w:r>
            <w:proofErr w:type="spellEnd"/>
            <w:r w:rsidRPr="00D51FBD">
              <w:t xml:space="preserve"> riches de la </w:t>
            </w:r>
            <w:proofErr w:type="spellStart"/>
            <w:r w:rsidRPr="00D51FBD">
              <w:t>région</w:t>
            </w:r>
            <w:proofErr w:type="spellEnd"/>
            <w:r w:rsidRPr="00D51FBD">
              <w:t xml:space="preserve"> Sud </w:t>
            </w:r>
            <w:proofErr w:type="spellStart"/>
            <w:r w:rsidRPr="00D51FBD">
              <w:t>d'Haïti</w:t>
            </w:r>
            <w:proofErr w:type="spellEnd"/>
            <w:r w:rsidRPr="00D51FBD">
              <w:t xml:space="preserve"> (« </w:t>
            </w:r>
            <w:proofErr w:type="spellStart"/>
            <w:r w:rsidRPr="00D51FBD">
              <w:t>Biodiversité</w:t>
            </w:r>
            <w:proofErr w:type="spellEnd"/>
            <w:r w:rsidRPr="00D51FBD">
              <w:t xml:space="preserve"> Sud »)</w:t>
            </w:r>
          </w:p>
          <w:p w14:paraId="03C31745" w14:textId="77777777" w:rsidR="000A6C56" w:rsidRPr="00D51FBD" w:rsidRDefault="000A6C56" w:rsidP="000A6C56">
            <w:pPr>
              <w:spacing w:after="120"/>
            </w:pPr>
          </w:p>
        </w:tc>
        <w:tc>
          <w:tcPr>
            <w:tcW w:w="558" w:type="pct"/>
          </w:tcPr>
          <w:p w14:paraId="6E60634B" w14:textId="2161BB42" w:rsidR="000A6C56" w:rsidRPr="00D51FBD" w:rsidRDefault="000A6C56" w:rsidP="000A6C56">
            <w:pPr>
              <w:spacing w:after="120"/>
            </w:pPr>
            <w:r w:rsidRPr="00D51FBD">
              <w:t>MDE</w:t>
            </w:r>
          </w:p>
        </w:tc>
        <w:tc>
          <w:tcPr>
            <w:tcW w:w="474" w:type="pct"/>
          </w:tcPr>
          <w:p w14:paraId="02CE1B0D" w14:textId="2C993A75" w:rsidR="000A6C56" w:rsidRPr="00D51FBD" w:rsidRDefault="000A6C56" w:rsidP="000A6C56">
            <w:pPr>
              <w:spacing w:after="120"/>
            </w:pPr>
            <w:r w:rsidRPr="00D51FBD">
              <w:t>UNDP / GEF</w:t>
            </w:r>
          </w:p>
        </w:tc>
        <w:tc>
          <w:tcPr>
            <w:tcW w:w="499" w:type="pct"/>
          </w:tcPr>
          <w:p w14:paraId="37F07D4B" w14:textId="6134EC9F" w:rsidR="000A6C56" w:rsidRPr="00D51FBD" w:rsidRDefault="000A6C56" w:rsidP="000A6C56">
            <w:pPr>
              <w:spacing w:after="120"/>
            </w:pPr>
            <w:r w:rsidRPr="00D51FBD">
              <w:t xml:space="preserve">Project </w:t>
            </w:r>
          </w:p>
        </w:tc>
        <w:tc>
          <w:tcPr>
            <w:tcW w:w="453" w:type="pct"/>
          </w:tcPr>
          <w:p w14:paraId="22F73DBE" w14:textId="32995C0B" w:rsidR="000A6C56" w:rsidRPr="00D51FBD" w:rsidRDefault="000A6C56" w:rsidP="000A6C56">
            <w:pPr>
              <w:spacing w:after="120"/>
            </w:pPr>
            <w:r w:rsidRPr="00D51FBD">
              <w:t>September 2025</w:t>
            </w:r>
          </w:p>
          <w:p w14:paraId="2003693D" w14:textId="72E95BAB" w:rsidR="000A6C56" w:rsidRPr="00D51FBD" w:rsidRDefault="000A6C56" w:rsidP="000A6C56">
            <w:pPr>
              <w:spacing w:after="120"/>
            </w:pPr>
          </w:p>
        </w:tc>
        <w:tc>
          <w:tcPr>
            <w:tcW w:w="356" w:type="pct"/>
          </w:tcPr>
          <w:p w14:paraId="3DE8FC1D" w14:textId="063578E2" w:rsidR="000A6C56" w:rsidRPr="00D51FBD" w:rsidRDefault="000A6C56" w:rsidP="000A6C56">
            <w:pPr>
              <w:spacing w:after="120"/>
            </w:pPr>
            <w:r w:rsidRPr="00D51FBD">
              <w:rPr>
                <w:rStyle w:val="Hyperlink"/>
                <w:color w:val="auto"/>
              </w:rPr>
              <w:t>$25,000</w:t>
            </w:r>
          </w:p>
        </w:tc>
        <w:tc>
          <w:tcPr>
            <w:tcW w:w="423" w:type="pct"/>
          </w:tcPr>
          <w:p w14:paraId="71D0C35F" w14:textId="77777777" w:rsidR="000A6C56" w:rsidRPr="00D51FBD" w:rsidRDefault="000A6C56" w:rsidP="000A6C56">
            <w:pPr>
              <w:spacing w:after="120"/>
              <w:rPr>
                <w:rStyle w:val="CommentReference"/>
                <w:sz w:val="20"/>
                <w:szCs w:val="20"/>
                <w:lang w:eastAsia="uk-UA"/>
              </w:rPr>
            </w:pPr>
            <w:r w:rsidRPr="00D51FBD">
              <w:rPr>
                <w:rStyle w:val="CommentReference"/>
                <w:sz w:val="20"/>
                <w:szCs w:val="20"/>
                <w:lang w:eastAsia="uk-UA"/>
              </w:rPr>
              <w:t>Project budget</w:t>
            </w:r>
          </w:p>
          <w:p w14:paraId="2E1CABCB" w14:textId="47FB89A9" w:rsidR="000A6C56" w:rsidRPr="00D51FBD" w:rsidRDefault="000A6C56" w:rsidP="000A6C56">
            <w:pPr>
              <w:spacing w:after="120"/>
              <w:rPr>
                <w:rStyle w:val="CommentReference"/>
                <w:sz w:val="20"/>
                <w:szCs w:val="20"/>
                <w:lang w:eastAsia="uk-UA"/>
              </w:rPr>
            </w:pPr>
          </w:p>
        </w:tc>
      </w:tr>
      <w:tr w:rsidR="00D51FBD" w:rsidRPr="00D51FBD" w14:paraId="745893A9" w14:textId="77777777" w:rsidTr="00160F07">
        <w:trPr>
          <w:trHeight w:val="60"/>
        </w:trPr>
        <w:tc>
          <w:tcPr>
            <w:tcW w:w="939" w:type="pct"/>
          </w:tcPr>
          <w:p w14:paraId="15703451" w14:textId="17DCFFF3" w:rsidR="000A6C56" w:rsidRPr="00D51FBD" w:rsidRDefault="000A6C56" w:rsidP="000A6C56">
            <w:pPr>
              <w:spacing w:after="120"/>
              <w:rPr>
                <w:rStyle w:val="Hyperlink"/>
                <w:color w:val="auto"/>
              </w:rPr>
            </w:pPr>
            <w:r w:rsidRPr="00D51FBD">
              <w:rPr>
                <w:rStyle w:val="Hyperlink"/>
                <w:color w:val="auto"/>
              </w:rPr>
              <w:t>All outcomes of the United Nations Development Cooperation Framework (UNSDCF)</w:t>
            </w:r>
          </w:p>
          <w:p w14:paraId="6AE917F7" w14:textId="5A4C36D5" w:rsidR="000A6C56" w:rsidRPr="00D51FBD" w:rsidRDefault="000A6C56" w:rsidP="000A6C56">
            <w:pPr>
              <w:spacing w:after="120"/>
            </w:pPr>
          </w:p>
        </w:tc>
        <w:tc>
          <w:tcPr>
            <w:tcW w:w="620" w:type="pct"/>
          </w:tcPr>
          <w:p w14:paraId="0B494D1A" w14:textId="5F698D0D" w:rsidR="000A6C56" w:rsidRPr="00D51FBD" w:rsidRDefault="000A6C56" w:rsidP="000A6C56">
            <w:pPr>
              <w:spacing w:after="120"/>
            </w:pPr>
            <w:r w:rsidRPr="00D51FBD">
              <w:rPr>
                <w:rStyle w:val="Hyperlink"/>
                <w:color w:val="auto"/>
              </w:rPr>
              <w:t>All outcomes</w:t>
            </w:r>
          </w:p>
        </w:tc>
        <w:tc>
          <w:tcPr>
            <w:tcW w:w="676" w:type="pct"/>
          </w:tcPr>
          <w:p w14:paraId="59601C41" w14:textId="27A27E7F" w:rsidR="000A6C56" w:rsidRPr="00D51FBD" w:rsidRDefault="000A6C56" w:rsidP="000A6C56">
            <w:pPr>
              <w:spacing w:after="120"/>
              <w:rPr>
                <w:rStyle w:val="Hyperlink"/>
                <w:color w:val="auto"/>
              </w:rPr>
            </w:pPr>
            <w:r w:rsidRPr="00D51FBD">
              <w:rPr>
                <w:rStyle w:val="Hyperlink"/>
                <w:color w:val="auto"/>
              </w:rPr>
              <w:t>Evaluation à mi-</w:t>
            </w:r>
            <w:proofErr w:type="spellStart"/>
            <w:r w:rsidRPr="00D51FBD">
              <w:rPr>
                <w:rStyle w:val="Hyperlink"/>
                <w:color w:val="auto"/>
              </w:rPr>
              <w:t>parcours</w:t>
            </w:r>
            <w:proofErr w:type="spellEnd"/>
            <w:r w:rsidRPr="00D51FBD">
              <w:rPr>
                <w:rStyle w:val="Hyperlink"/>
                <w:color w:val="auto"/>
              </w:rPr>
              <w:t xml:space="preserve"> du Programme Pays  </w:t>
            </w:r>
          </w:p>
          <w:p w14:paraId="161FA75A" w14:textId="209EA534" w:rsidR="000A6C56" w:rsidRPr="00D51FBD" w:rsidRDefault="000A6C56" w:rsidP="000A6C56">
            <w:pPr>
              <w:spacing w:after="120"/>
            </w:pPr>
            <w:r w:rsidRPr="00D51FBD">
              <w:rPr>
                <w:rStyle w:val="Hyperlink"/>
                <w:color w:val="auto"/>
              </w:rPr>
              <w:t>2023-2027</w:t>
            </w:r>
          </w:p>
        </w:tc>
        <w:tc>
          <w:tcPr>
            <w:tcW w:w="558" w:type="pct"/>
          </w:tcPr>
          <w:p w14:paraId="5763F76B" w14:textId="54E16827" w:rsidR="000A6C56" w:rsidRPr="00D51FBD" w:rsidRDefault="000A6C56" w:rsidP="000A6C56">
            <w:pPr>
              <w:spacing w:after="120"/>
            </w:pPr>
            <w:r w:rsidRPr="00D51FBD">
              <w:rPr>
                <w:rStyle w:val="Hyperlink"/>
                <w:color w:val="auto"/>
              </w:rPr>
              <w:t>UNDP</w:t>
            </w:r>
          </w:p>
        </w:tc>
        <w:tc>
          <w:tcPr>
            <w:tcW w:w="474" w:type="pct"/>
          </w:tcPr>
          <w:p w14:paraId="3117A7E7" w14:textId="10712222" w:rsidR="000A6C56" w:rsidRPr="00D51FBD" w:rsidRDefault="000A6C56" w:rsidP="000A6C56">
            <w:pPr>
              <w:spacing w:after="120"/>
            </w:pPr>
            <w:r w:rsidRPr="00D51FBD">
              <w:t>UNDP CO Haiti</w:t>
            </w:r>
          </w:p>
        </w:tc>
        <w:tc>
          <w:tcPr>
            <w:tcW w:w="499" w:type="pct"/>
          </w:tcPr>
          <w:p w14:paraId="73910F33" w14:textId="7EFDB9C7" w:rsidR="000A6C56" w:rsidRPr="00D51FBD" w:rsidRDefault="000A6C56" w:rsidP="000A6C56">
            <w:pPr>
              <w:spacing w:after="120"/>
            </w:pPr>
            <w:r w:rsidRPr="00D51FBD">
              <w:rPr>
                <w:rStyle w:val="Hyperlink"/>
                <w:color w:val="auto"/>
              </w:rPr>
              <w:t>CPD</w:t>
            </w:r>
          </w:p>
        </w:tc>
        <w:tc>
          <w:tcPr>
            <w:tcW w:w="453" w:type="pct"/>
          </w:tcPr>
          <w:p w14:paraId="1F00FFE8" w14:textId="3116AE21" w:rsidR="000A6C56" w:rsidRPr="00D51FBD" w:rsidRDefault="000A6C56" w:rsidP="000A6C56">
            <w:pPr>
              <w:spacing w:after="120"/>
            </w:pPr>
            <w:r w:rsidRPr="00D51FBD">
              <w:rPr>
                <w:rStyle w:val="Hyperlink"/>
                <w:color w:val="auto"/>
              </w:rPr>
              <w:t>June 2025</w:t>
            </w:r>
          </w:p>
        </w:tc>
        <w:tc>
          <w:tcPr>
            <w:tcW w:w="356" w:type="pct"/>
          </w:tcPr>
          <w:p w14:paraId="04661BCF" w14:textId="15882253" w:rsidR="000A6C56" w:rsidRPr="00D51FBD" w:rsidRDefault="000A6C56" w:rsidP="000A6C56">
            <w:pPr>
              <w:spacing w:after="120"/>
              <w:rPr>
                <w:rStyle w:val="Hyperlink"/>
                <w:color w:val="auto"/>
              </w:rPr>
            </w:pPr>
            <w:r w:rsidRPr="00D51FBD">
              <w:rPr>
                <w:rStyle w:val="Hyperlink"/>
                <w:color w:val="auto"/>
              </w:rPr>
              <w:t>$40,000</w:t>
            </w:r>
          </w:p>
        </w:tc>
        <w:tc>
          <w:tcPr>
            <w:tcW w:w="423" w:type="pct"/>
          </w:tcPr>
          <w:p w14:paraId="166394C3" w14:textId="58B0FA4D" w:rsidR="000A6C56" w:rsidRPr="00D51FBD" w:rsidRDefault="000A6C56" w:rsidP="000A6C56">
            <w:pPr>
              <w:spacing w:after="120"/>
              <w:rPr>
                <w:rStyle w:val="CommentReference"/>
                <w:sz w:val="20"/>
                <w:szCs w:val="20"/>
                <w:lang w:eastAsia="uk-UA"/>
              </w:rPr>
            </w:pPr>
            <w:r w:rsidRPr="00D51FBD">
              <w:rPr>
                <w:rStyle w:val="CommentReference"/>
                <w:sz w:val="20"/>
                <w:szCs w:val="20"/>
                <w:lang w:eastAsia="uk-UA"/>
              </w:rPr>
              <w:t xml:space="preserve">Country Office : </w:t>
            </w:r>
          </w:p>
          <w:p w14:paraId="229987F8" w14:textId="573E9193" w:rsidR="000A6C56" w:rsidRPr="00D51FBD" w:rsidRDefault="000A6C56" w:rsidP="000A6C56">
            <w:pPr>
              <w:spacing w:after="120"/>
              <w:rPr>
                <w:rStyle w:val="CommentReference"/>
                <w:sz w:val="20"/>
                <w:szCs w:val="20"/>
                <w:lang w:eastAsia="uk-UA"/>
              </w:rPr>
            </w:pPr>
            <w:r w:rsidRPr="00D51FBD">
              <w:rPr>
                <w:rStyle w:val="CommentReference"/>
                <w:sz w:val="20"/>
                <w:szCs w:val="20"/>
                <w:lang w:eastAsia="uk-UA"/>
              </w:rPr>
              <w:t xml:space="preserve">M&amp;E Budget  </w:t>
            </w:r>
          </w:p>
          <w:p w14:paraId="1B630534" w14:textId="187F3644" w:rsidR="000A6C56" w:rsidRPr="00D51FBD" w:rsidRDefault="000A6C56" w:rsidP="000A6C56">
            <w:pPr>
              <w:spacing w:after="120"/>
              <w:rPr>
                <w:rStyle w:val="CommentReference"/>
                <w:sz w:val="20"/>
                <w:szCs w:val="20"/>
                <w:lang w:eastAsia="uk-UA"/>
              </w:rPr>
            </w:pPr>
          </w:p>
          <w:p w14:paraId="5C459456" w14:textId="5C3043AD" w:rsidR="000A6C56" w:rsidRPr="00D51FBD" w:rsidRDefault="000A6C56" w:rsidP="000A6C56">
            <w:pPr>
              <w:spacing w:after="120"/>
              <w:rPr>
                <w:rStyle w:val="CommentReference"/>
                <w:sz w:val="20"/>
                <w:szCs w:val="20"/>
                <w:lang w:eastAsia="uk-UA"/>
              </w:rPr>
            </w:pPr>
            <w:r w:rsidRPr="00D51FBD">
              <w:rPr>
                <w:rStyle w:val="CommentReference"/>
                <w:sz w:val="20"/>
                <w:szCs w:val="20"/>
                <w:lang w:eastAsia="uk-UA"/>
              </w:rPr>
              <w:t>Projects Budgets</w:t>
            </w:r>
          </w:p>
        </w:tc>
      </w:tr>
    </w:tbl>
    <w:p w14:paraId="2440D49F" w14:textId="77777777" w:rsidR="00B961B7" w:rsidRPr="00D51FBD" w:rsidRDefault="00B961B7" w:rsidP="00A56348">
      <w:pPr>
        <w:rPr>
          <w:sz w:val="18"/>
          <w:szCs w:val="18"/>
        </w:rPr>
      </w:pPr>
    </w:p>
    <w:p w14:paraId="2440D4A0" w14:textId="77777777" w:rsidR="00125010" w:rsidRPr="00D51FBD" w:rsidRDefault="00125010" w:rsidP="00125010">
      <w:pPr>
        <w:rPr>
          <w:sz w:val="16"/>
          <w:szCs w:val="16"/>
        </w:rPr>
      </w:pPr>
    </w:p>
    <w:p w14:paraId="2440D4A1" w14:textId="77777777" w:rsidR="002F7339" w:rsidRPr="00D51FBD" w:rsidRDefault="002F7339" w:rsidP="00125010">
      <w:pPr>
        <w:rPr>
          <w:sz w:val="16"/>
          <w:szCs w:val="16"/>
        </w:rPr>
      </w:pPr>
    </w:p>
    <w:sectPr w:rsidR="002F7339" w:rsidRPr="00D51FBD" w:rsidSect="008C7FF1">
      <w:headerReference w:type="even" r:id="rId15"/>
      <w:footerReference w:type="default" r:id="rId1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D510" w14:textId="77777777" w:rsidR="00343990" w:rsidRDefault="00343990" w:rsidP="00441061">
      <w:r>
        <w:separator/>
      </w:r>
    </w:p>
  </w:endnote>
  <w:endnote w:type="continuationSeparator" w:id="0">
    <w:p w14:paraId="57B6339D" w14:textId="77777777" w:rsidR="00343990" w:rsidRDefault="00343990" w:rsidP="00441061">
      <w:r>
        <w:continuationSeparator/>
      </w:r>
    </w:p>
  </w:endnote>
  <w:endnote w:type="continuationNotice" w:id="1">
    <w:p w14:paraId="4C79ECA0" w14:textId="77777777" w:rsidR="00343990" w:rsidRDefault="00343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086005"/>
      <w:docPartObj>
        <w:docPartGallery w:val="Page Numbers (Bottom of Page)"/>
        <w:docPartUnique/>
      </w:docPartObj>
    </w:sdtPr>
    <w:sdtEndPr>
      <w:rPr>
        <w:noProof/>
      </w:rPr>
    </w:sdtEndPr>
    <w:sdtContent>
      <w:p w14:paraId="4091C869" w14:textId="3B2D3C9C" w:rsidR="00E21AA9" w:rsidRDefault="00E21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BC799" w14:textId="77777777" w:rsidR="00E21AA9" w:rsidRDefault="00E2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5D3D" w14:textId="77777777" w:rsidR="00343990" w:rsidRDefault="00343990" w:rsidP="00441061">
      <w:r>
        <w:separator/>
      </w:r>
    </w:p>
  </w:footnote>
  <w:footnote w:type="continuationSeparator" w:id="0">
    <w:p w14:paraId="37FD4B2C" w14:textId="77777777" w:rsidR="00343990" w:rsidRDefault="00343990" w:rsidP="00441061">
      <w:r>
        <w:continuationSeparator/>
      </w:r>
    </w:p>
  </w:footnote>
  <w:footnote w:type="continuationNotice" w:id="1">
    <w:p w14:paraId="405DFEFC" w14:textId="77777777" w:rsidR="00343990" w:rsidRDefault="00343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8240"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77777777"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8F047D"/>
    <w:multiLevelType w:val="hybridMultilevel"/>
    <w:tmpl w:val="03FE8A74"/>
    <w:lvl w:ilvl="0" w:tplc="6876E8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5"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7"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0"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3"/>
  </w:num>
  <w:num w:numId="3">
    <w:abstractNumId w:val="27"/>
  </w:num>
  <w:num w:numId="4">
    <w:abstractNumId w:val="38"/>
  </w:num>
  <w:num w:numId="5">
    <w:abstractNumId w:val="28"/>
  </w:num>
  <w:num w:numId="6">
    <w:abstractNumId w:val="0"/>
  </w:num>
  <w:num w:numId="7">
    <w:abstractNumId w:val="16"/>
  </w:num>
  <w:num w:numId="8">
    <w:abstractNumId w:val="34"/>
  </w:num>
  <w:num w:numId="9">
    <w:abstractNumId w:val="46"/>
  </w:num>
  <w:num w:numId="10">
    <w:abstractNumId w:val="37"/>
  </w:num>
  <w:num w:numId="11">
    <w:abstractNumId w:val="45"/>
  </w:num>
  <w:num w:numId="12">
    <w:abstractNumId w:val="23"/>
  </w:num>
  <w:num w:numId="13">
    <w:abstractNumId w:val="7"/>
  </w:num>
  <w:num w:numId="14">
    <w:abstractNumId w:val="15"/>
  </w:num>
  <w:num w:numId="15">
    <w:abstractNumId w:val="41"/>
  </w:num>
  <w:num w:numId="16">
    <w:abstractNumId w:val="10"/>
  </w:num>
  <w:num w:numId="17">
    <w:abstractNumId w:val="13"/>
  </w:num>
  <w:num w:numId="18">
    <w:abstractNumId w:val="18"/>
  </w:num>
  <w:num w:numId="19">
    <w:abstractNumId w:val="44"/>
  </w:num>
  <w:num w:numId="20">
    <w:abstractNumId w:val="9"/>
  </w:num>
  <w:num w:numId="21">
    <w:abstractNumId w:val="8"/>
  </w:num>
  <w:num w:numId="22">
    <w:abstractNumId w:val="42"/>
  </w:num>
  <w:num w:numId="23">
    <w:abstractNumId w:val="14"/>
  </w:num>
  <w:num w:numId="24">
    <w:abstractNumId w:val="3"/>
  </w:num>
  <w:num w:numId="25">
    <w:abstractNumId w:val="39"/>
  </w:num>
  <w:num w:numId="26">
    <w:abstractNumId w:val="36"/>
  </w:num>
  <w:num w:numId="27">
    <w:abstractNumId w:val="31"/>
  </w:num>
  <w:num w:numId="28">
    <w:abstractNumId w:val="1"/>
  </w:num>
  <w:num w:numId="29">
    <w:abstractNumId w:val="24"/>
  </w:num>
  <w:num w:numId="30">
    <w:abstractNumId w:val="30"/>
  </w:num>
  <w:num w:numId="31">
    <w:abstractNumId w:val="12"/>
  </w:num>
  <w:num w:numId="32">
    <w:abstractNumId w:val="4"/>
  </w:num>
  <w:num w:numId="33">
    <w:abstractNumId w:val="22"/>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9"/>
  </w:num>
  <w:num w:numId="38">
    <w:abstractNumId w:val="11"/>
  </w:num>
  <w:num w:numId="39">
    <w:abstractNumId w:val="2"/>
  </w:num>
  <w:num w:numId="40">
    <w:abstractNumId w:val="20"/>
  </w:num>
  <w:num w:numId="41">
    <w:abstractNumId w:val="5"/>
  </w:num>
  <w:num w:numId="42">
    <w:abstractNumId w:val="17"/>
  </w:num>
  <w:num w:numId="43">
    <w:abstractNumId w:val="40"/>
  </w:num>
  <w:num w:numId="44">
    <w:abstractNumId w:val="35"/>
  </w:num>
  <w:num w:numId="45">
    <w:abstractNumId w:val="25"/>
  </w:num>
  <w:num w:numId="46">
    <w:abstractNumId w:val="43"/>
  </w:num>
  <w:num w:numId="4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rQUAQD05oCwAAAA="/>
  </w:docVars>
  <w:rsids>
    <w:rsidRoot w:val="00D9153B"/>
    <w:rsid w:val="0000067C"/>
    <w:rsid w:val="000010B5"/>
    <w:rsid w:val="0000176D"/>
    <w:rsid w:val="000027D2"/>
    <w:rsid w:val="0000312F"/>
    <w:rsid w:val="000034C6"/>
    <w:rsid w:val="00003E8B"/>
    <w:rsid w:val="00005E26"/>
    <w:rsid w:val="00006E2B"/>
    <w:rsid w:val="00006E59"/>
    <w:rsid w:val="0001309E"/>
    <w:rsid w:val="000153EB"/>
    <w:rsid w:val="00015FDE"/>
    <w:rsid w:val="00016217"/>
    <w:rsid w:val="00016861"/>
    <w:rsid w:val="00017065"/>
    <w:rsid w:val="00017D05"/>
    <w:rsid w:val="000200CF"/>
    <w:rsid w:val="000205F1"/>
    <w:rsid w:val="00022047"/>
    <w:rsid w:val="00023AEE"/>
    <w:rsid w:val="000274B9"/>
    <w:rsid w:val="0002758B"/>
    <w:rsid w:val="000276A0"/>
    <w:rsid w:val="0003257C"/>
    <w:rsid w:val="00032BFB"/>
    <w:rsid w:val="000330DB"/>
    <w:rsid w:val="0003429F"/>
    <w:rsid w:val="0003562A"/>
    <w:rsid w:val="00036095"/>
    <w:rsid w:val="000367E0"/>
    <w:rsid w:val="00036AF4"/>
    <w:rsid w:val="00041C10"/>
    <w:rsid w:val="00043804"/>
    <w:rsid w:val="000441A1"/>
    <w:rsid w:val="00050869"/>
    <w:rsid w:val="00051E3C"/>
    <w:rsid w:val="00053508"/>
    <w:rsid w:val="00053A3E"/>
    <w:rsid w:val="00055596"/>
    <w:rsid w:val="00056014"/>
    <w:rsid w:val="000561C1"/>
    <w:rsid w:val="00056204"/>
    <w:rsid w:val="000570D1"/>
    <w:rsid w:val="000571A9"/>
    <w:rsid w:val="00057A60"/>
    <w:rsid w:val="00060290"/>
    <w:rsid w:val="0006044F"/>
    <w:rsid w:val="00060DDB"/>
    <w:rsid w:val="00060FDB"/>
    <w:rsid w:val="000611AB"/>
    <w:rsid w:val="00063E24"/>
    <w:rsid w:val="00067E04"/>
    <w:rsid w:val="00070D83"/>
    <w:rsid w:val="00072229"/>
    <w:rsid w:val="000728F8"/>
    <w:rsid w:val="00073CF1"/>
    <w:rsid w:val="00074BD0"/>
    <w:rsid w:val="00074D9A"/>
    <w:rsid w:val="00074DB9"/>
    <w:rsid w:val="000753C4"/>
    <w:rsid w:val="000756D2"/>
    <w:rsid w:val="00075DF0"/>
    <w:rsid w:val="000762CA"/>
    <w:rsid w:val="000803A4"/>
    <w:rsid w:val="000806E3"/>
    <w:rsid w:val="000809E3"/>
    <w:rsid w:val="0008339E"/>
    <w:rsid w:val="00090AD1"/>
    <w:rsid w:val="00090F4F"/>
    <w:rsid w:val="00091476"/>
    <w:rsid w:val="00091984"/>
    <w:rsid w:val="00092879"/>
    <w:rsid w:val="00094306"/>
    <w:rsid w:val="00094E87"/>
    <w:rsid w:val="00097FB2"/>
    <w:rsid w:val="000A151D"/>
    <w:rsid w:val="000A24C5"/>
    <w:rsid w:val="000A30A1"/>
    <w:rsid w:val="000A3A38"/>
    <w:rsid w:val="000A3F7F"/>
    <w:rsid w:val="000A47FD"/>
    <w:rsid w:val="000A4C1A"/>
    <w:rsid w:val="000A4C52"/>
    <w:rsid w:val="000A56AA"/>
    <w:rsid w:val="000A651F"/>
    <w:rsid w:val="000A6C56"/>
    <w:rsid w:val="000A7192"/>
    <w:rsid w:val="000B0228"/>
    <w:rsid w:val="000B2E16"/>
    <w:rsid w:val="000B3A13"/>
    <w:rsid w:val="000B4BB2"/>
    <w:rsid w:val="000B6379"/>
    <w:rsid w:val="000C0844"/>
    <w:rsid w:val="000C334A"/>
    <w:rsid w:val="000C4E54"/>
    <w:rsid w:val="000C76B0"/>
    <w:rsid w:val="000C7BBE"/>
    <w:rsid w:val="000D140A"/>
    <w:rsid w:val="000D2475"/>
    <w:rsid w:val="000D2F32"/>
    <w:rsid w:val="000D442C"/>
    <w:rsid w:val="000D4DC4"/>
    <w:rsid w:val="000E535B"/>
    <w:rsid w:val="000E55D6"/>
    <w:rsid w:val="000E612D"/>
    <w:rsid w:val="000E6AB1"/>
    <w:rsid w:val="000E745A"/>
    <w:rsid w:val="000E7E9E"/>
    <w:rsid w:val="000F0044"/>
    <w:rsid w:val="000F0EFD"/>
    <w:rsid w:val="000F5541"/>
    <w:rsid w:val="000F699F"/>
    <w:rsid w:val="000F703B"/>
    <w:rsid w:val="000F72ED"/>
    <w:rsid w:val="000F7A4C"/>
    <w:rsid w:val="00100619"/>
    <w:rsid w:val="00102F0B"/>
    <w:rsid w:val="00103698"/>
    <w:rsid w:val="00106EF8"/>
    <w:rsid w:val="001079CD"/>
    <w:rsid w:val="001101A2"/>
    <w:rsid w:val="00111489"/>
    <w:rsid w:val="00111792"/>
    <w:rsid w:val="00111797"/>
    <w:rsid w:val="00111B19"/>
    <w:rsid w:val="00114A64"/>
    <w:rsid w:val="00115F59"/>
    <w:rsid w:val="00116C1A"/>
    <w:rsid w:val="00121554"/>
    <w:rsid w:val="00121F3E"/>
    <w:rsid w:val="0012229E"/>
    <w:rsid w:val="00123849"/>
    <w:rsid w:val="00123A5E"/>
    <w:rsid w:val="00125010"/>
    <w:rsid w:val="001251C8"/>
    <w:rsid w:val="00125266"/>
    <w:rsid w:val="00125B82"/>
    <w:rsid w:val="00126AE7"/>
    <w:rsid w:val="001305E6"/>
    <w:rsid w:val="001315CD"/>
    <w:rsid w:val="0013239A"/>
    <w:rsid w:val="00132D93"/>
    <w:rsid w:val="001334D3"/>
    <w:rsid w:val="001370E6"/>
    <w:rsid w:val="0013761A"/>
    <w:rsid w:val="0014423A"/>
    <w:rsid w:val="00144481"/>
    <w:rsid w:val="00144F98"/>
    <w:rsid w:val="00146118"/>
    <w:rsid w:val="00147042"/>
    <w:rsid w:val="001471A7"/>
    <w:rsid w:val="001506F6"/>
    <w:rsid w:val="001508E6"/>
    <w:rsid w:val="00151264"/>
    <w:rsid w:val="00152955"/>
    <w:rsid w:val="00154032"/>
    <w:rsid w:val="001547D3"/>
    <w:rsid w:val="001559BD"/>
    <w:rsid w:val="00157F09"/>
    <w:rsid w:val="00157F79"/>
    <w:rsid w:val="00160F07"/>
    <w:rsid w:val="001628F4"/>
    <w:rsid w:val="00163E84"/>
    <w:rsid w:val="00165A12"/>
    <w:rsid w:val="00165FAE"/>
    <w:rsid w:val="001668AA"/>
    <w:rsid w:val="001675B1"/>
    <w:rsid w:val="0016789D"/>
    <w:rsid w:val="00167C87"/>
    <w:rsid w:val="00171F01"/>
    <w:rsid w:val="0017266D"/>
    <w:rsid w:val="00172EE3"/>
    <w:rsid w:val="00174B23"/>
    <w:rsid w:val="00174F19"/>
    <w:rsid w:val="00175715"/>
    <w:rsid w:val="00175EE0"/>
    <w:rsid w:val="00177E7E"/>
    <w:rsid w:val="00180BB5"/>
    <w:rsid w:val="00181104"/>
    <w:rsid w:val="0018356F"/>
    <w:rsid w:val="0018487C"/>
    <w:rsid w:val="00184ED6"/>
    <w:rsid w:val="00187383"/>
    <w:rsid w:val="001874A7"/>
    <w:rsid w:val="001876C5"/>
    <w:rsid w:val="00187D68"/>
    <w:rsid w:val="00190155"/>
    <w:rsid w:val="001906B5"/>
    <w:rsid w:val="001913A7"/>
    <w:rsid w:val="00192198"/>
    <w:rsid w:val="00194163"/>
    <w:rsid w:val="00194359"/>
    <w:rsid w:val="00194FEB"/>
    <w:rsid w:val="001970A4"/>
    <w:rsid w:val="00197AD1"/>
    <w:rsid w:val="00197BF2"/>
    <w:rsid w:val="001A17DA"/>
    <w:rsid w:val="001A4C5C"/>
    <w:rsid w:val="001A67AA"/>
    <w:rsid w:val="001B0020"/>
    <w:rsid w:val="001B0DA5"/>
    <w:rsid w:val="001B3F87"/>
    <w:rsid w:val="001B4026"/>
    <w:rsid w:val="001B566A"/>
    <w:rsid w:val="001B598C"/>
    <w:rsid w:val="001B5D79"/>
    <w:rsid w:val="001B6419"/>
    <w:rsid w:val="001B76A6"/>
    <w:rsid w:val="001C07F8"/>
    <w:rsid w:val="001C1147"/>
    <w:rsid w:val="001C2D7D"/>
    <w:rsid w:val="001C2F59"/>
    <w:rsid w:val="001C6C08"/>
    <w:rsid w:val="001D0646"/>
    <w:rsid w:val="001D13EB"/>
    <w:rsid w:val="001D1B55"/>
    <w:rsid w:val="001D2056"/>
    <w:rsid w:val="001D220F"/>
    <w:rsid w:val="001D42D1"/>
    <w:rsid w:val="001D547F"/>
    <w:rsid w:val="001D5F99"/>
    <w:rsid w:val="001D64E5"/>
    <w:rsid w:val="001D6EB8"/>
    <w:rsid w:val="001E05EC"/>
    <w:rsid w:val="001E2165"/>
    <w:rsid w:val="001E4809"/>
    <w:rsid w:val="001E4F4F"/>
    <w:rsid w:val="001F27F4"/>
    <w:rsid w:val="001F3DC0"/>
    <w:rsid w:val="001F4C5A"/>
    <w:rsid w:val="001F4EA9"/>
    <w:rsid w:val="001F4F73"/>
    <w:rsid w:val="001F6425"/>
    <w:rsid w:val="001F6772"/>
    <w:rsid w:val="001F68F3"/>
    <w:rsid w:val="001F7421"/>
    <w:rsid w:val="00200195"/>
    <w:rsid w:val="00200B5F"/>
    <w:rsid w:val="00201EEF"/>
    <w:rsid w:val="00202476"/>
    <w:rsid w:val="00202B58"/>
    <w:rsid w:val="002047C8"/>
    <w:rsid w:val="002052B3"/>
    <w:rsid w:val="00205453"/>
    <w:rsid w:val="002058F9"/>
    <w:rsid w:val="0020650A"/>
    <w:rsid w:val="00207F32"/>
    <w:rsid w:val="00212B1F"/>
    <w:rsid w:val="00212DFC"/>
    <w:rsid w:val="00213340"/>
    <w:rsid w:val="00213D7C"/>
    <w:rsid w:val="00214513"/>
    <w:rsid w:val="002155B7"/>
    <w:rsid w:val="00216307"/>
    <w:rsid w:val="0021766A"/>
    <w:rsid w:val="002202F1"/>
    <w:rsid w:val="00220C88"/>
    <w:rsid w:val="00220DF0"/>
    <w:rsid w:val="002225D3"/>
    <w:rsid w:val="00222A35"/>
    <w:rsid w:val="0022301D"/>
    <w:rsid w:val="002236F0"/>
    <w:rsid w:val="00224B2C"/>
    <w:rsid w:val="00226F3A"/>
    <w:rsid w:val="002272E2"/>
    <w:rsid w:val="00227E55"/>
    <w:rsid w:val="00232AA0"/>
    <w:rsid w:val="00234CDF"/>
    <w:rsid w:val="00236B91"/>
    <w:rsid w:val="00236BF6"/>
    <w:rsid w:val="00237DDB"/>
    <w:rsid w:val="002424C0"/>
    <w:rsid w:val="00242617"/>
    <w:rsid w:val="00242CAA"/>
    <w:rsid w:val="0024503B"/>
    <w:rsid w:val="0024573D"/>
    <w:rsid w:val="00245D74"/>
    <w:rsid w:val="00246D03"/>
    <w:rsid w:val="00246DDF"/>
    <w:rsid w:val="002503EE"/>
    <w:rsid w:val="0025046C"/>
    <w:rsid w:val="00257154"/>
    <w:rsid w:val="002573CC"/>
    <w:rsid w:val="00260FAA"/>
    <w:rsid w:val="00261E23"/>
    <w:rsid w:val="00262338"/>
    <w:rsid w:val="00263694"/>
    <w:rsid w:val="00263938"/>
    <w:rsid w:val="002646D7"/>
    <w:rsid w:val="00264990"/>
    <w:rsid w:val="002671D7"/>
    <w:rsid w:val="00271765"/>
    <w:rsid w:val="0027259C"/>
    <w:rsid w:val="00273543"/>
    <w:rsid w:val="00274C82"/>
    <w:rsid w:val="0027654D"/>
    <w:rsid w:val="002810DF"/>
    <w:rsid w:val="002812AB"/>
    <w:rsid w:val="002816D8"/>
    <w:rsid w:val="00281F8F"/>
    <w:rsid w:val="00282A8C"/>
    <w:rsid w:val="00282ADD"/>
    <w:rsid w:val="002854EE"/>
    <w:rsid w:val="0028565C"/>
    <w:rsid w:val="002875DE"/>
    <w:rsid w:val="00287E07"/>
    <w:rsid w:val="00290EB3"/>
    <w:rsid w:val="00292846"/>
    <w:rsid w:val="00292A90"/>
    <w:rsid w:val="00296B4F"/>
    <w:rsid w:val="002971D6"/>
    <w:rsid w:val="002A2F08"/>
    <w:rsid w:val="002A3641"/>
    <w:rsid w:val="002A495F"/>
    <w:rsid w:val="002A4CE1"/>
    <w:rsid w:val="002A706F"/>
    <w:rsid w:val="002A70EA"/>
    <w:rsid w:val="002A7363"/>
    <w:rsid w:val="002A7B4B"/>
    <w:rsid w:val="002A7F43"/>
    <w:rsid w:val="002B2283"/>
    <w:rsid w:val="002B2BA5"/>
    <w:rsid w:val="002B358C"/>
    <w:rsid w:val="002B365E"/>
    <w:rsid w:val="002B3E6C"/>
    <w:rsid w:val="002B489A"/>
    <w:rsid w:val="002B6341"/>
    <w:rsid w:val="002B681B"/>
    <w:rsid w:val="002C031A"/>
    <w:rsid w:val="002C0526"/>
    <w:rsid w:val="002C27A8"/>
    <w:rsid w:val="002C333E"/>
    <w:rsid w:val="002C36C8"/>
    <w:rsid w:val="002C51A0"/>
    <w:rsid w:val="002C57E0"/>
    <w:rsid w:val="002C7971"/>
    <w:rsid w:val="002D0584"/>
    <w:rsid w:val="002D2E2A"/>
    <w:rsid w:val="002D4274"/>
    <w:rsid w:val="002D4F19"/>
    <w:rsid w:val="002D5041"/>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18A"/>
    <w:rsid w:val="002E5247"/>
    <w:rsid w:val="002E5846"/>
    <w:rsid w:val="002E5B3C"/>
    <w:rsid w:val="002E5DBE"/>
    <w:rsid w:val="002E7A79"/>
    <w:rsid w:val="002F1D9E"/>
    <w:rsid w:val="002F2C6E"/>
    <w:rsid w:val="002F3C88"/>
    <w:rsid w:val="002F4067"/>
    <w:rsid w:val="002F47EB"/>
    <w:rsid w:val="002F7339"/>
    <w:rsid w:val="002F7461"/>
    <w:rsid w:val="003025E2"/>
    <w:rsid w:val="00303CB0"/>
    <w:rsid w:val="00306D24"/>
    <w:rsid w:val="00307712"/>
    <w:rsid w:val="0031404A"/>
    <w:rsid w:val="00314B7C"/>
    <w:rsid w:val="00314E49"/>
    <w:rsid w:val="00315445"/>
    <w:rsid w:val="00317183"/>
    <w:rsid w:val="003204AE"/>
    <w:rsid w:val="003208EF"/>
    <w:rsid w:val="00323D35"/>
    <w:rsid w:val="00324846"/>
    <w:rsid w:val="00324ABD"/>
    <w:rsid w:val="00324D9B"/>
    <w:rsid w:val="003272A6"/>
    <w:rsid w:val="003273CB"/>
    <w:rsid w:val="0033028E"/>
    <w:rsid w:val="0033125E"/>
    <w:rsid w:val="00331483"/>
    <w:rsid w:val="00332ED2"/>
    <w:rsid w:val="0033325E"/>
    <w:rsid w:val="00335C99"/>
    <w:rsid w:val="00336913"/>
    <w:rsid w:val="0033718C"/>
    <w:rsid w:val="00337407"/>
    <w:rsid w:val="00337BB8"/>
    <w:rsid w:val="00340E02"/>
    <w:rsid w:val="00341F33"/>
    <w:rsid w:val="00342E94"/>
    <w:rsid w:val="00343990"/>
    <w:rsid w:val="00343E6E"/>
    <w:rsid w:val="00343E9A"/>
    <w:rsid w:val="003450C8"/>
    <w:rsid w:val="00345BA7"/>
    <w:rsid w:val="0034619E"/>
    <w:rsid w:val="00346E97"/>
    <w:rsid w:val="0034782B"/>
    <w:rsid w:val="00351E5C"/>
    <w:rsid w:val="00351F5A"/>
    <w:rsid w:val="003538F7"/>
    <w:rsid w:val="0035580F"/>
    <w:rsid w:val="00357792"/>
    <w:rsid w:val="00357CB4"/>
    <w:rsid w:val="003604EE"/>
    <w:rsid w:val="0036286B"/>
    <w:rsid w:val="00363371"/>
    <w:rsid w:val="00364989"/>
    <w:rsid w:val="003664C0"/>
    <w:rsid w:val="00366769"/>
    <w:rsid w:val="00367A28"/>
    <w:rsid w:val="00367E04"/>
    <w:rsid w:val="003761F2"/>
    <w:rsid w:val="00376A05"/>
    <w:rsid w:val="003774FE"/>
    <w:rsid w:val="0038160B"/>
    <w:rsid w:val="00390E30"/>
    <w:rsid w:val="00392823"/>
    <w:rsid w:val="003938AC"/>
    <w:rsid w:val="00393ABE"/>
    <w:rsid w:val="0039458D"/>
    <w:rsid w:val="00394D61"/>
    <w:rsid w:val="00395201"/>
    <w:rsid w:val="003A05FC"/>
    <w:rsid w:val="003A1F5A"/>
    <w:rsid w:val="003A20C4"/>
    <w:rsid w:val="003A2ECE"/>
    <w:rsid w:val="003A3709"/>
    <w:rsid w:val="003A3A47"/>
    <w:rsid w:val="003A4252"/>
    <w:rsid w:val="003A539A"/>
    <w:rsid w:val="003A5BE9"/>
    <w:rsid w:val="003A62A4"/>
    <w:rsid w:val="003A7476"/>
    <w:rsid w:val="003A7D86"/>
    <w:rsid w:val="003B0AA1"/>
    <w:rsid w:val="003B2056"/>
    <w:rsid w:val="003B243D"/>
    <w:rsid w:val="003B304F"/>
    <w:rsid w:val="003B5D18"/>
    <w:rsid w:val="003B795D"/>
    <w:rsid w:val="003C26A6"/>
    <w:rsid w:val="003C26C1"/>
    <w:rsid w:val="003C5C11"/>
    <w:rsid w:val="003C6A5A"/>
    <w:rsid w:val="003C6AAD"/>
    <w:rsid w:val="003C76E4"/>
    <w:rsid w:val="003D1D4D"/>
    <w:rsid w:val="003D2D68"/>
    <w:rsid w:val="003D3682"/>
    <w:rsid w:val="003D37DD"/>
    <w:rsid w:val="003D45DF"/>
    <w:rsid w:val="003D47C6"/>
    <w:rsid w:val="003D7E38"/>
    <w:rsid w:val="003D7EAC"/>
    <w:rsid w:val="003E1AFA"/>
    <w:rsid w:val="003E375F"/>
    <w:rsid w:val="003E379A"/>
    <w:rsid w:val="003E520F"/>
    <w:rsid w:val="003E52B0"/>
    <w:rsid w:val="003E64DC"/>
    <w:rsid w:val="003E7A43"/>
    <w:rsid w:val="003F0B58"/>
    <w:rsid w:val="003F0D40"/>
    <w:rsid w:val="003F1DD4"/>
    <w:rsid w:val="003F2236"/>
    <w:rsid w:val="003F27B7"/>
    <w:rsid w:val="003F4051"/>
    <w:rsid w:val="003F5812"/>
    <w:rsid w:val="003F625A"/>
    <w:rsid w:val="003F6AA4"/>
    <w:rsid w:val="003F6EA1"/>
    <w:rsid w:val="00400E4A"/>
    <w:rsid w:val="004028E7"/>
    <w:rsid w:val="00402E9A"/>
    <w:rsid w:val="00403FA8"/>
    <w:rsid w:val="00404040"/>
    <w:rsid w:val="00404213"/>
    <w:rsid w:val="004048AC"/>
    <w:rsid w:val="00404B8E"/>
    <w:rsid w:val="004068C2"/>
    <w:rsid w:val="00406E61"/>
    <w:rsid w:val="00407572"/>
    <w:rsid w:val="004075AA"/>
    <w:rsid w:val="00407DD6"/>
    <w:rsid w:val="00412559"/>
    <w:rsid w:val="004145F0"/>
    <w:rsid w:val="00415E7F"/>
    <w:rsid w:val="00420288"/>
    <w:rsid w:val="00421C78"/>
    <w:rsid w:val="004224CE"/>
    <w:rsid w:val="00423707"/>
    <w:rsid w:val="00423D5E"/>
    <w:rsid w:val="00424A78"/>
    <w:rsid w:val="004254DB"/>
    <w:rsid w:val="00427EEA"/>
    <w:rsid w:val="00431836"/>
    <w:rsid w:val="004321E6"/>
    <w:rsid w:val="0043278E"/>
    <w:rsid w:val="004332A4"/>
    <w:rsid w:val="004360AC"/>
    <w:rsid w:val="00436B83"/>
    <w:rsid w:val="0044013A"/>
    <w:rsid w:val="00441061"/>
    <w:rsid w:val="0044560C"/>
    <w:rsid w:val="004501C9"/>
    <w:rsid w:val="00450C70"/>
    <w:rsid w:val="00453344"/>
    <w:rsid w:val="00454E76"/>
    <w:rsid w:val="004561B5"/>
    <w:rsid w:val="00457080"/>
    <w:rsid w:val="00460891"/>
    <w:rsid w:val="00463DC0"/>
    <w:rsid w:val="00464FB2"/>
    <w:rsid w:val="00466179"/>
    <w:rsid w:val="004662A8"/>
    <w:rsid w:val="00466CDC"/>
    <w:rsid w:val="0046745E"/>
    <w:rsid w:val="004725ED"/>
    <w:rsid w:val="004736BE"/>
    <w:rsid w:val="00474DC1"/>
    <w:rsid w:val="0047556D"/>
    <w:rsid w:val="00475789"/>
    <w:rsid w:val="00476170"/>
    <w:rsid w:val="004801D4"/>
    <w:rsid w:val="00480284"/>
    <w:rsid w:val="004820B0"/>
    <w:rsid w:val="00482117"/>
    <w:rsid w:val="00482E2F"/>
    <w:rsid w:val="00484009"/>
    <w:rsid w:val="00484A0C"/>
    <w:rsid w:val="00484BE0"/>
    <w:rsid w:val="004859B4"/>
    <w:rsid w:val="00486ACD"/>
    <w:rsid w:val="00490B8D"/>
    <w:rsid w:val="00491157"/>
    <w:rsid w:val="004916C5"/>
    <w:rsid w:val="0049255A"/>
    <w:rsid w:val="00492C65"/>
    <w:rsid w:val="004933AD"/>
    <w:rsid w:val="0049403F"/>
    <w:rsid w:val="00494323"/>
    <w:rsid w:val="00494349"/>
    <w:rsid w:val="00494485"/>
    <w:rsid w:val="0049682B"/>
    <w:rsid w:val="0049762B"/>
    <w:rsid w:val="004A0F27"/>
    <w:rsid w:val="004A0F37"/>
    <w:rsid w:val="004A0F68"/>
    <w:rsid w:val="004A3608"/>
    <w:rsid w:val="004A4FBD"/>
    <w:rsid w:val="004A5E46"/>
    <w:rsid w:val="004A6D38"/>
    <w:rsid w:val="004A7118"/>
    <w:rsid w:val="004A76FF"/>
    <w:rsid w:val="004A7810"/>
    <w:rsid w:val="004A7E93"/>
    <w:rsid w:val="004B021E"/>
    <w:rsid w:val="004B3CFB"/>
    <w:rsid w:val="004B5D6B"/>
    <w:rsid w:val="004B76F8"/>
    <w:rsid w:val="004C1FA6"/>
    <w:rsid w:val="004C2869"/>
    <w:rsid w:val="004C5CFD"/>
    <w:rsid w:val="004D12C0"/>
    <w:rsid w:val="004D18EA"/>
    <w:rsid w:val="004D2B29"/>
    <w:rsid w:val="004D3713"/>
    <w:rsid w:val="004D3A1F"/>
    <w:rsid w:val="004D6254"/>
    <w:rsid w:val="004D70FD"/>
    <w:rsid w:val="004D7E99"/>
    <w:rsid w:val="004E00CE"/>
    <w:rsid w:val="004E1AB8"/>
    <w:rsid w:val="004E2BDB"/>
    <w:rsid w:val="004E307B"/>
    <w:rsid w:val="004E4484"/>
    <w:rsid w:val="004E45C8"/>
    <w:rsid w:val="004E6879"/>
    <w:rsid w:val="004E6E5C"/>
    <w:rsid w:val="004F0966"/>
    <w:rsid w:val="004F50AF"/>
    <w:rsid w:val="004F5A3D"/>
    <w:rsid w:val="004F67B4"/>
    <w:rsid w:val="004F681D"/>
    <w:rsid w:val="004F6E14"/>
    <w:rsid w:val="00501460"/>
    <w:rsid w:val="0050228C"/>
    <w:rsid w:val="00502857"/>
    <w:rsid w:val="005044A9"/>
    <w:rsid w:val="00504F68"/>
    <w:rsid w:val="005054DC"/>
    <w:rsid w:val="00505994"/>
    <w:rsid w:val="00505FD4"/>
    <w:rsid w:val="005062F0"/>
    <w:rsid w:val="00506BFD"/>
    <w:rsid w:val="00506E25"/>
    <w:rsid w:val="0051132C"/>
    <w:rsid w:val="005119D0"/>
    <w:rsid w:val="00511CF6"/>
    <w:rsid w:val="0051257D"/>
    <w:rsid w:val="005127AF"/>
    <w:rsid w:val="00513483"/>
    <w:rsid w:val="00514A55"/>
    <w:rsid w:val="00514EF5"/>
    <w:rsid w:val="0051782D"/>
    <w:rsid w:val="00517D47"/>
    <w:rsid w:val="00517ED9"/>
    <w:rsid w:val="0052087E"/>
    <w:rsid w:val="0052315E"/>
    <w:rsid w:val="00523B73"/>
    <w:rsid w:val="00530ED3"/>
    <w:rsid w:val="00533D2D"/>
    <w:rsid w:val="0053438E"/>
    <w:rsid w:val="005343E5"/>
    <w:rsid w:val="005346B7"/>
    <w:rsid w:val="005355EE"/>
    <w:rsid w:val="00535B16"/>
    <w:rsid w:val="005366D0"/>
    <w:rsid w:val="00537E27"/>
    <w:rsid w:val="00537F13"/>
    <w:rsid w:val="00540B4D"/>
    <w:rsid w:val="00540FFA"/>
    <w:rsid w:val="00542930"/>
    <w:rsid w:val="005435B3"/>
    <w:rsid w:val="00545568"/>
    <w:rsid w:val="00550849"/>
    <w:rsid w:val="00550866"/>
    <w:rsid w:val="0055487D"/>
    <w:rsid w:val="00554BF3"/>
    <w:rsid w:val="0055655F"/>
    <w:rsid w:val="0055657D"/>
    <w:rsid w:val="0055672F"/>
    <w:rsid w:val="005576DD"/>
    <w:rsid w:val="005579B9"/>
    <w:rsid w:val="00560D0D"/>
    <w:rsid w:val="005632F1"/>
    <w:rsid w:val="005644AD"/>
    <w:rsid w:val="00565FB1"/>
    <w:rsid w:val="005662FB"/>
    <w:rsid w:val="00566877"/>
    <w:rsid w:val="00567781"/>
    <w:rsid w:val="00567ECC"/>
    <w:rsid w:val="0057019C"/>
    <w:rsid w:val="005713B1"/>
    <w:rsid w:val="0057363E"/>
    <w:rsid w:val="00574F1A"/>
    <w:rsid w:val="0057624B"/>
    <w:rsid w:val="0057644D"/>
    <w:rsid w:val="0057649A"/>
    <w:rsid w:val="00582EEB"/>
    <w:rsid w:val="00583090"/>
    <w:rsid w:val="005835F4"/>
    <w:rsid w:val="00583EFE"/>
    <w:rsid w:val="00584076"/>
    <w:rsid w:val="005841A3"/>
    <w:rsid w:val="00586192"/>
    <w:rsid w:val="00586D9A"/>
    <w:rsid w:val="00590EAE"/>
    <w:rsid w:val="0059112A"/>
    <w:rsid w:val="0059116B"/>
    <w:rsid w:val="00591B65"/>
    <w:rsid w:val="00592A14"/>
    <w:rsid w:val="00593216"/>
    <w:rsid w:val="00593938"/>
    <w:rsid w:val="00594BC3"/>
    <w:rsid w:val="00596CA7"/>
    <w:rsid w:val="00596DC8"/>
    <w:rsid w:val="00596E16"/>
    <w:rsid w:val="00597A78"/>
    <w:rsid w:val="00597DC7"/>
    <w:rsid w:val="005A0DB3"/>
    <w:rsid w:val="005A16A3"/>
    <w:rsid w:val="005A1C48"/>
    <w:rsid w:val="005A253A"/>
    <w:rsid w:val="005A2AD8"/>
    <w:rsid w:val="005A2E81"/>
    <w:rsid w:val="005A3152"/>
    <w:rsid w:val="005A40AF"/>
    <w:rsid w:val="005A64BF"/>
    <w:rsid w:val="005B0565"/>
    <w:rsid w:val="005B0721"/>
    <w:rsid w:val="005B0A0F"/>
    <w:rsid w:val="005B15DD"/>
    <w:rsid w:val="005B4421"/>
    <w:rsid w:val="005B513F"/>
    <w:rsid w:val="005B7483"/>
    <w:rsid w:val="005B7929"/>
    <w:rsid w:val="005C0643"/>
    <w:rsid w:val="005C0BBD"/>
    <w:rsid w:val="005C23AF"/>
    <w:rsid w:val="005C25D1"/>
    <w:rsid w:val="005C35A9"/>
    <w:rsid w:val="005C37E7"/>
    <w:rsid w:val="005C464B"/>
    <w:rsid w:val="005C487C"/>
    <w:rsid w:val="005C4E5F"/>
    <w:rsid w:val="005C74A0"/>
    <w:rsid w:val="005D052C"/>
    <w:rsid w:val="005D16FE"/>
    <w:rsid w:val="005D20E3"/>
    <w:rsid w:val="005D3818"/>
    <w:rsid w:val="005D4084"/>
    <w:rsid w:val="005D4777"/>
    <w:rsid w:val="005D4C2B"/>
    <w:rsid w:val="005D5784"/>
    <w:rsid w:val="005E06F2"/>
    <w:rsid w:val="005E082F"/>
    <w:rsid w:val="005E22CD"/>
    <w:rsid w:val="005E6B93"/>
    <w:rsid w:val="005E7953"/>
    <w:rsid w:val="005E7E82"/>
    <w:rsid w:val="005F2C42"/>
    <w:rsid w:val="005F3893"/>
    <w:rsid w:val="005F6BAB"/>
    <w:rsid w:val="005F6C28"/>
    <w:rsid w:val="005F7AB6"/>
    <w:rsid w:val="005F7E3C"/>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917"/>
    <w:rsid w:val="0062789F"/>
    <w:rsid w:val="006301BE"/>
    <w:rsid w:val="0063096E"/>
    <w:rsid w:val="00632DB2"/>
    <w:rsid w:val="00633349"/>
    <w:rsid w:val="00633D61"/>
    <w:rsid w:val="0063402B"/>
    <w:rsid w:val="00636570"/>
    <w:rsid w:val="00637859"/>
    <w:rsid w:val="00637901"/>
    <w:rsid w:val="00637E1B"/>
    <w:rsid w:val="006402DF"/>
    <w:rsid w:val="0064164B"/>
    <w:rsid w:val="0064416A"/>
    <w:rsid w:val="00644468"/>
    <w:rsid w:val="00644E4E"/>
    <w:rsid w:val="00645F5E"/>
    <w:rsid w:val="00647B1E"/>
    <w:rsid w:val="00647C55"/>
    <w:rsid w:val="0065008B"/>
    <w:rsid w:val="00650A83"/>
    <w:rsid w:val="00651F05"/>
    <w:rsid w:val="00653721"/>
    <w:rsid w:val="00653A3B"/>
    <w:rsid w:val="00653FD9"/>
    <w:rsid w:val="006543A2"/>
    <w:rsid w:val="00654D42"/>
    <w:rsid w:val="00656328"/>
    <w:rsid w:val="00660279"/>
    <w:rsid w:val="00660A94"/>
    <w:rsid w:val="006617A7"/>
    <w:rsid w:val="006622B9"/>
    <w:rsid w:val="00662E1E"/>
    <w:rsid w:val="0066371E"/>
    <w:rsid w:val="0066455B"/>
    <w:rsid w:val="00670BC4"/>
    <w:rsid w:val="006718ED"/>
    <w:rsid w:val="006724AD"/>
    <w:rsid w:val="00672BAB"/>
    <w:rsid w:val="0067314A"/>
    <w:rsid w:val="00673D1E"/>
    <w:rsid w:val="0067557E"/>
    <w:rsid w:val="00675E9D"/>
    <w:rsid w:val="00676B49"/>
    <w:rsid w:val="006779CF"/>
    <w:rsid w:val="00677A8F"/>
    <w:rsid w:val="00677D63"/>
    <w:rsid w:val="00677F8A"/>
    <w:rsid w:val="006821E3"/>
    <w:rsid w:val="00683AD6"/>
    <w:rsid w:val="006842AE"/>
    <w:rsid w:val="00685B81"/>
    <w:rsid w:val="006871AC"/>
    <w:rsid w:val="006875BA"/>
    <w:rsid w:val="00687836"/>
    <w:rsid w:val="0069097D"/>
    <w:rsid w:val="00693FEA"/>
    <w:rsid w:val="006947BF"/>
    <w:rsid w:val="00694C68"/>
    <w:rsid w:val="006953CB"/>
    <w:rsid w:val="006A2C82"/>
    <w:rsid w:val="006A3C5B"/>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2AB9"/>
    <w:rsid w:val="006C36BA"/>
    <w:rsid w:val="006C4008"/>
    <w:rsid w:val="006C4E2C"/>
    <w:rsid w:val="006C5931"/>
    <w:rsid w:val="006C73EF"/>
    <w:rsid w:val="006D1723"/>
    <w:rsid w:val="006D17CF"/>
    <w:rsid w:val="006D1A25"/>
    <w:rsid w:val="006D3668"/>
    <w:rsid w:val="006D40EE"/>
    <w:rsid w:val="006D5D3F"/>
    <w:rsid w:val="006D60ED"/>
    <w:rsid w:val="006D767E"/>
    <w:rsid w:val="006E1166"/>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7C5"/>
    <w:rsid w:val="00704FB5"/>
    <w:rsid w:val="00706B71"/>
    <w:rsid w:val="00707C4F"/>
    <w:rsid w:val="0071022A"/>
    <w:rsid w:val="0071277A"/>
    <w:rsid w:val="00712EE5"/>
    <w:rsid w:val="00713493"/>
    <w:rsid w:val="00713494"/>
    <w:rsid w:val="00713EA7"/>
    <w:rsid w:val="00714031"/>
    <w:rsid w:val="00714447"/>
    <w:rsid w:val="0071466E"/>
    <w:rsid w:val="00714A6C"/>
    <w:rsid w:val="00714CD3"/>
    <w:rsid w:val="0071582C"/>
    <w:rsid w:val="00716174"/>
    <w:rsid w:val="0071669E"/>
    <w:rsid w:val="007203D8"/>
    <w:rsid w:val="007206A8"/>
    <w:rsid w:val="0072116D"/>
    <w:rsid w:val="0072226F"/>
    <w:rsid w:val="00725B78"/>
    <w:rsid w:val="00727082"/>
    <w:rsid w:val="0073233C"/>
    <w:rsid w:val="007329E6"/>
    <w:rsid w:val="00732D0C"/>
    <w:rsid w:val="0073318D"/>
    <w:rsid w:val="00733D95"/>
    <w:rsid w:val="00733EAD"/>
    <w:rsid w:val="00734F54"/>
    <w:rsid w:val="00736D93"/>
    <w:rsid w:val="00737C04"/>
    <w:rsid w:val="00737F64"/>
    <w:rsid w:val="007422C9"/>
    <w:rsid w:val="007429EB"/>
    <w:rsid w:val="00744110"/>
    <w:rsid w:val="00744595"/>
    <w:rsid w:val="0074695A"/>
    <w:rsid w:val="00747A52"/>
    <w:rsid w:val="00750F1E"/>
    <w:rsid w:val="00751C12"/>
    <w:rsid w:val="0075262E"/>
    <w:rsid w:val="00752691"/>
    <w:rsid w:val="007528F2"/>
    <w:rsid w:val="0075673B"/>
    <w:rsid w:val="007575C4"/>
    <w:rsid w:val="00757D63"/>
    <w:rsid w:val="0076288A"/>
    <w:rsid w:val="00762A1B"/>
    <w:rsid w:val="00762D6D"/>
    <w:rsid w:val="00763700"/>
    <w:rsid w:val="0076427C"/>
    <w:rsid w:val="00765217"/>
    <w:rsid w:val="007659AA"/>
    <w:rsid w:val="00766334"/>
    <w:rsid w:val="0077266C"/>
    <w:rsid w:val="00772802"/>
    <w:rsid w:val="00772BCF"/>
    <w:rsid w:val="00772DD5"/>
    <w:rsid w:val="00775066"/>
    <w:rsid w:val="00776406"/>
    <w:rsid w:val="007774A6"/>
    <w:rsid w:val="0078005A"/>
    <w:rsid w:val="00781B6F"/>
    <w:rsid w:val="00781F9C"/>
    <w:rsid w:val="007820ED"/>
    <w:rsid w:val="00782DFD"/>
    <w:rsid w:val="00783420"/>
    <w:rsid w:val="00784424"/>
    <w:rsid w:val="00785474"/>
    <w:rsid w:val="0078772C"/>
    <w:rsid w:val="00787B99"/>
    <w:rsid w:val="007907C8"/>
    <w:rsid w:val="007919DE"/>
    <w:rsid w:val="007925B6"/>
    <w:rsid w:val="00792DC2"/>
    <w:rsid w:val="007934F5"/>
    <w:rsid w:val="0079421C"/>
    <w:rsid w:val="0079526D"/>
    <w:rsid w:val="00795A2C"/>
    <w:rsid w:val="00797309"/>
    <w:rsid w:val="00797390"/>
    <w:rsid w:val="007A05B6"/>
    <w:rsid w:val="007A0CA5"/>
    <w:rsid w:val="007A1211"/>
    <w:rsid w:val="007A1C0A"/>
    <w:rsid w:val="007A1C59"/>
    <w:rsid w:val="007A1E1E"/>
    <w:rsid w:val="007A4397"/>
    <w:rsid w:val="007A5B41"/>
    <w:rsid w:val="007B3A76"/>
    <w:rsid w:val="007B5792"/>
    <w:rsid w:val="007C2934"/>
    <w:rsid w:val="007C31E2"/>
    <w:rsid w:val="007C5CE1"/>
    <w:rsid w:val="007C68B4"/>
    <w:rsid w:val="007C6F85"/>
    <w:rsid w:val="007D0569"/>
    <w:rsid w:val="007D16B1"/>
    <w:rsid w:val="007D19E4"/>
    <w:rsid w:val="007D2001"/>
    <w:rsid w:val="007D7400"/>
    <w:rsid w:val="007D7761"/>
    <w:rsid w:val="007D79FF"/>
    <w:rsid w:val="007E02A7"/>
    <w:rsid w:val="007E2860"/>
    <w:rsid w:val="007E468A"/>
    <w:rsid w:val="007E51A5"/>
    <w:rsid w:val="007E5629"/>
    <w:rsid w:val="007E6D40"/>
    <w:rsid w:val="007E766C"/>
    <w:rsid w:val="007E7F4C"/>
    <w:rsid w:val="007F0350"/>
    <w:rsid w:val="007F2EC6"/>
    <w:rsid w:val="007F3018"/>
    <w:rsid w:val="007F6517"/>
    <w:rsid w:val="007F6862"/>
    <w:rsid w:val="008013FC"/>
    <w:rsid w:val="00801C64"/>
    <w:rsid w:val="00805DDC"/>
    <w:rsid w:val="008060C3"/>
    <w:rsid w:val="008063A1"/>
    <w:rsid w:val="00807F00"/>
    <w:rsid w:val="00812095"/>
    <w:rsid w:val="008134BD"/>
    <w:rsid w:val="0081384B"/>
    <w:rsid w:val="008139A5"/>
    <w:rsid w:val="00814656"/>
    <w:rsid w:val="00815232"/>
    <w:rsid w:val="00820E45"/>
    <w:rsid w:val="00821E2C"/>
    <w:rsid w:val="00822835"/>
    <w:rsid w:val="008235AF"/>
    <w:rsid w:val="008237D1"/>
    <w:rsid w:val="0082459B"/>
    <w:rsid w:val="00826758"/>
    <w:rsid w:val="008313D1"/>
    <w:rsid w:val="00833261"/>
    <w:rsid w:val="008353E0"/>
    <w:rsid w:val="008365F0"/>
    <w:rsid w:val="00837E68"/>
    <w:rsid w:val="00841534"/>
    <w:rsid w:val="008462F1"/>
    <w:rsid w:val="00846930"/>
    <w:rsid w:val="00850FDE"/>
    <w:rsid w:val="00852876"/>
    <w:rsid w:val="0085314C"/>
    <w:rsid w:val="008543F5"/>
    <w:rsid w:val="00854D4C"/>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1F13"/>
    <w:rsid w:val="00876985"/>
    <w:rsid w:val="008771AF"/>
    <w:rsid w:val="00880811"/>
    <w:rsid w:val="008808E6"/>
    <w:rsid w:val="00883780"/>
    <w:rsid w:val="00883B99"/>
    <w:rsid w:val="00885066"/>
    <w:rsid w:val="00885F85"/>
    <w:rsid w:val="0088665E"/>
    <w:rsid w:val="00887F48"/>
    <w:rsid w:val="00890155"/>
    <w:rsid w:val="008923C8"/>
    <w:rsid w:val="008924B5"/>
    <w:rsid w:val="00893260"/>
    <w:rsid w:val="008932A8"/>
    <w:rsid w:val="00893756"/>
    <w:rsid w:val="00893B10"/>
    <w:rsid w:val="00894A9E"/>
    <w:rsid w:val="008950F6"/>
    <w:rsid w:val="00896815"/>
    <w:rsid w:val="00897D03"/>
    <w:rsid w:val="008A0744"/>
    <w:rsid w:val="008A0A6E"/>
    <w:rsid w:val="008A0D0F"/>
    <w:rsid w:val="008A2FB3"/>
    <w:rsid w:val="008A398B"/>
    <w:rsid w:val="008A40EE"/>
    <w:rsid w:val="008A5601"/>
    <w:rsid w:val="008A59AD"/>
    <w:rsid w:val="008B0EEB"/>
    <w:rsid w:val="008B431D"/>
    <w:rsid w:val="008B51FD"/>
    <w:rsid w:val="008B6269"/>
    <w:rsid w:val="008B6766"/>
    <w:rsid w:val="008B70F5"/>
    <w:rsid w:val="008B7186"/>
    <w:rsid w:val="008B7192"/>
    <w:rsid w:val="008C1939"/>
    <w:rsid w:val="008C30C7"/>
    <w:rsid w:val="008C3396"/>
    <w:rsid w:val="008C3836"/>
    <w:rsid w:val="008C621C"/>
    <w:rsid w:val="008C697C"/>
    <w:rsid w:val="008C7448"/>
    <w:rsid w:val="008C75ED"/>
    <w:rsid w:val="008C7649"/>
    <w:rsid w:val="008C7FF1"/>
    <w:rsid w:val="008D4CF1"/>
    <w:rsid w:val="008E03B0"/>
    <w:rsid w:val="008E0991"/>
    <w:rsid w:val="008E338E"/>
    <w:rsid w:val="008E57FE"/>
    <w:rsid w:val="008F1818"/>
    <w:rsid w:val="008F2665"/>
    <w:rsid w:val="008F507E"/>
    <w:rsid w:val="008F5251"/>
    <w:rsid w:val="008F6376"/>
    <w:rsid w:val="00900CC2"/>
    <w:rsid w:val="00901770"/>
    <w:rsid w:val="009019FB"/>
    <w:rsid w:val="00902AA5"/>
    <w:rsid w:val="009052B7"/>
    <w:rsid w:val="00905B05"/>
    <w:rsid w:val="0090753C"/>
    <w:rsid w:val="0090759D"/>
    <w:rsid w:val="0091156F"/>
    <w:rsid w:val="00911B66"/>
    <w:rsid w:val="00912A7E"/>
    <w:rsid w:val="0091326E"/>
    <w:rsid w:val="00915330"/>
    <w:rsid w:val="00916E69"/>
    <w:rsid w:val="00917525"/>
    <w:rsid w:val="0091777D"/>
    <w:rsid w:val="00917C39"/>
    <w:rsid w:val="0092057D"/>
    <w:rsid w:val="0092113B"/>
    <w:rsid w:val="009218DE"/>
    <w:rsid w:val="00922D00"/>
    <w:rsid w:val="009233CC"/>
    <w:rsid w:val="00923D1E"/>
    <w:rsid w:val="00923F17"/>
    <w:rsid w:val="009266DA"/>
    <w:rsid w:val="00927F35"/>
    <w:rsid w:val="00930DE8"/>
    <w:rsid w:val="009318DD"/>
    <w:rsid w:val="009352C3"/>
    <w:rsid w:val="00935413"/>
    <w:rsid w:val="00935F5D"/>
    <w:rsid w:val="0093669F"/>
    <w:rsid w:val="009368E0"/>
    <w:rsid w:val="00937FC8"/>
    <w:rsid w:val="0094260B"/>
    <w:rsid w:val="00942661"/>
    <w:rsid w:val="00945307"/>
    <w:rsid w:val="0094558D"/>
    <w:rsid w:val="0094697C"/>
    <w:rsid w:val="00946FCE"/>
    <w:rsid w:val="009470A3"/>
    <w:rsid w:val="009515BC"/>
    <w:rsid w:val="0095349A"/>
    <w:rsid w:val="00953B5B"/>
    <w:rsid w:val="00953ED0"/>
    <w:rsid w:val="0095492E"/>
    <w:rsid w:val="00955F7D"/>
    <w:rsid w:val="0096242F"/>
    <w:rsid w:val="00962E3B"/>
    <w:rsid w:val="00962FF5"/>
    <w:rsid w:val="00963885"/>
    <w:rsid w:val="00963BEE"/>
    <w:rsid w:val="00964A4E"/>
    <w:rsid w:val="00965B02"/>
    <w:rsid w:val="00965C07"/>
    <w:rsid w:val="00965D2D"/>
    <w:rsid w:val="009672CD"/>
    <w:rsid w:val="00970A16"/>
    <w:rsid w:val="00971847"/>
    <w:rsid w:val="00972934"/>
    <w:rsid w:val="00972964"/>
    <w:rsid w:val="0097762F"/>
    <w:rsid w:val="00977C0A"/>
    <w:rsid w:val="009816B8"/>
    <w:rsid w:val="00983B45"/>
    <w:rsid w:val="00983B5C"/>
    <w:rsid w:val="0098766F"/>
    <w:rsid w:val="00992BD0"/>
    <w:rsid w:val="00993912"/>
    <w:rsid w:val="00994050"/>
    <w:rsid w:val="0099422C"/>
    <w:rsid w:val="009962CF"/>
    <w:rsid w:val="009969D6"/>
    <w:rsid w:val="009A1984"/>
    <w:rsid w:val="009A4543"/>
    <w:rsid w:val="009A4CD9"/>
    <w:rsid w:val="009A5DB1"/>
    <w:rsid w:val="009A7C5A"/>
    <w:rsid w:val="009A7E51"/>
    <w:rsid w:val="009B0DA7"/>
    <w:rsid w:val="009B21B9"/>
    <w:rsid w:val="009B2FAD"/>
    <w:rsid w:val="009B455A"/>
    <w:rsid w:val="009B4CD0"/>
    <w:rsid w:val="009B4DA7"/>
    <w:rsid w:val="009C21C6"/>
    <w:rsid w:val="009C383B"/>
    <w:rsid w:val="009C3A80"/>
    <w:rsid w:val="009C41EC"/>
    <w:rsid w:val="009C5238"/>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E5222"/>
    <w:rsid w:val="009E7843"/>
    <w:rsid w:val="009F04C3"/>
    <w:rsid w:val="009F0760"/>
    <w:rsid w:val="009F224D"/>
    <w:rsid w:val="009F3B29"/>
    <w:rsid w:val="009F4860"/>
    <w:rsid w:val="00A00057"/>
    <w:rsid w:val="00A00485"/>
    <w:rsid w:val="00A00772"/>
    <w:rsid w:val="00A01A5F"/>
    <w:rsid w:val="00A025AC"/>
    <w:rsid w:val="00A02C96"/>
    <w:rsid w:val="00A02E65"/>
    <w:rsid w:val="00A0340A"/>
    <w:rsid w:val="00A0440C"/>
    <w:rsid w:val="00A047AE"/>
    <w:rsid w:val="00A04C82"/>
    <w:rsid w:val="00A05144"/>
    <w:rsid w:val="00A0585F"/>
    <w:rsid w:val="00A0694A"/>
    <w:rsid w:val="00A077AC"/>
    <w:rsid w:val="00A07A33"/>
    <w:rsid w:val="00A07D49"/>
    <w:rsid w:val="00A10A30"/>
    <w:rsid w:val="00A1137C"/>
    <w:rsid w:val="00A113D7"/>
    <w:rsid w:val="00A11F0F"/>
    <w:rsid w:val="00A16126"/>
    <w:rsid w:val="00A165DB"/>
    <w:rsid w:val="00A20043"/>
    <w:rsid w:val="00A2083D"/>
    <w:rsid w:val="00A21C6C"/>
    <w:rsid w:val="00A2365A"/>
    <w:rsid w:val="00A24133"/>
    <w:rsid w:val="00A24B81"/>
    <w:rsid w:val="00A261AC"/>
    <w:rsid w:val="00A262BF"/>
    <w:rsid w:val="00A26A1A"/>
    <w:rsid w:val="00A27809"/>
    <w:rsid w:val="00A30533"/>
    <w:rsid w:val="00A317B0"/>
    <w:rsid w:val="00A31BF6"/>
    <w:rsid w:val="00A32BC2"/>
    <w:rsid w:val="00A34591"/>
    <w:rsid w:val="00A34E44"/>
    <w:rsid w:val="00A35B8F"/>
    <w:rsid w:val="00A3640F"/>
    <w:rsid w:val="00A370BA"/>
    <w:rsid w:val="00A37ECF"/>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60D"/>
    <w:rsid w:val="00A57D39"/>
    <w:rsid w:val="00A61825"/>
    <w:rsid w:val="00A6316B"/>
    <w:rsid w:val="00A6427B"/>
    <w:rsid w:val="00A65316"/>
    <w:rsid w:val="00A674FF"/>
    <w:rsid w:val="00A70F69"/>
    <w:rsid w:val="00A72611"/>
    <w:rsid w:val="00A73ABB"/>
    <w:rsid w:val="00A73D0B"/>
    <w:rsid w:val="00A73FB5"/>
    <w:rsid w:val="00A751A1"/>
    <w:rsid w:val="00A76D2C"/>
    <w:rsid w:val="00A77746"/>
    <w:rsid w:val="00A806AA"/>
    <w:rsid w:val="00A83BF6"/>
    <w:rsid w:val="00A84BAC"/>
    <w:rsid w:val="00A853B9"/>
    <w:rsid w:val="00A867E7"/>
    <w:rsid w:val="00A86D97"/>
    <w:rsid w:val="00A87B4F"/>
    <w:rsid w:val="00A87F17"/>
    <w:rsid w:val="00A87F31"/>
    <w:rsid w:val="00A90D27"/>
    <w:rsid w:val="00A9103B"/>
    <w:rsid w:val="00A91284"/>
    <w:rsid w:val="00A918A7"/>
    <w:rsid w:val="00A91D37"/>
    <w:rsid w:val="00A92871"/>
    <w:rsid w:val="00A955EB"/>
    <w:rsid w:val="00A9591E"/>
    <w:rsid w:val="00AA110A"/>
    <w:rsid w:val="00AA1F49"/>
    <w:rsid w:val="00AA3A2E"/>
    <w:rsid w:val="00AA4099"/>
    <w:rsid w:val="00AA4D5A"/>
    <w:rsid w:val="00AA6913"/>
    <w:rsid w:val="00AB2190"/>
    <w:rsid w:val="00AB39EB"/>
    <w:rsid w:val="00AB3F27"/>
    <w:rsid w:val="00AB3FD9"/>
    <w:rsid w:val="00AB4DC8"/>
    <w:rsid w:val="00AB7DE7"/>
    <w:rsid w:val="00AC01D4"/>
    <w:rsid w:val="00AC03AB"/>
    <w:rsid w:val="00AC044F"/>
    <w:rsid w:val="00AC0650"/>
    <w:rsid w:val="00AC1BE7"/>
    <w:rsid w:val="00AC275F"/>
    <w:rsid w:val="00AC3EE4"/>
    <w:rsid w:val="00AC50A4"/>
    <w:rsid w:val="00AC5A95"/>
    <w:rsid w:val="00AC6074"/>
    <w:rsid w:val="00AC6471"/>
    <w:rsid w:val="00AC6865"/>
    <w:rsid w:val="00AD1751"/>
    <w:rsid w:val="00AD2B6E"/>
    <w:rsid w:val="00AD340D"/>
    <w:rsid w:val="00AD3443"/>
    <w:rsid w:val="00AD3E9B"/>
    <w:rsid w:val="00AD4B3C"/>
    <w:rsid w:val="00AD66C0"/>
    <w:rsid w:val="00AD68A5"/>
    <w:rsid w:val="00AD6A98"/>
    <w:rsid w:val="00AD712B"/>
    <w:rsid w:val="00AD7BDD"/>
    <w:rsid w:val="00AE185D"/>
    <w:rsid w:val="00AE1BFE"/>
    <w:rsid w:val="00AE22F5"/>
    <w:rsid w:val="00AE3842"/>
    <w:rsid w:val="00AE3D83"/>
    <w:rsid w:val="00AE4374"/>
    <w:rsid w:val="00AE466A"/>
    <w:rsid w:val="00AE47E9"/>
    <w:rsid w:val="00AE485C"/>
    <w:rsid w:val="00AE608E"/>
    <w:rsid w:val="00AE7D4F"/>
    <w:rsid w:val="00AE7EEA"/>
    <w:rsid w:val="00AE7FE4"/>
    <w:rsid w:val="00AF0117"/>
    <w:rsid w:val="00AF03E2"/>
    <w:rsid w:val="00AF1621"/>
    <w:rsid w:val="00AF17D3"/>
    <w:rsid w:val="00AF1D77"/>
    <w:rsid w:val="00AF1E50"/>
    <w:rsid w:val="00AF38BA"/>
    <w:rsid w:val="00AF4455"/>
    <w:rsid w:val="00AF4F67"/>
    <w:rsid w:val="00AF567D"/>
    <w:rsid w:val="00AF5811"/>
    <w:rsid w:val="00AF6509"/>
    <w:rsid w:val="00B00BBE"/>
    <w:rsid w:val="00B0456E"/>
    <w:rsid w:val="00B06A05"/>
    <w:rsid w:val="00B06BF6"/>
    <w:rsid w:val="00B06F7F"/>
    <w:rsid w:val="00B100F0"/>
    <w:rsid w:val="00B136D7"/>
    <w:rsid w:val="00B13E57"/>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27F8F"/>
    <w:rsid w:val="00B307CA"/>
    <w:rsid w:val="00B30FD0"/>
    <w:rsid w:val="00B3420D"/>
    <w:rsid w:val="00B34F48"/>
    <w:rsid w:val="00B45DF2"/>
    <w:rsid w:val="00B51BA0"/>
    <w:rsid w:val="00B535BD"/>
    <w:rsid w:val="00B53701"/>
    <w:rsid w:val="00B5509D"/>
    <w:rsid w:val="00B551F6"/>
    <w:rsid w:val="00B56A26"/>
    <w:rsid w:val="00B573E6"/>
    <w:rsid w:val="00B60ED7"/>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8080B"/>
    <w:rsid w:val="00B811EF"/>
    <w:rsid w:val="00B81568"/>
    <w:rsid w:val="00B8310D"/>
    <w:rsid w:val="00B831B9"/>
    <w:rsid w:val="00B86EF1"/>
    <w:rsid w:val="00B90674"/>
    <w:rsid w:val="00B91F77"/>
    <w:rsid w:val="00B91FFF"/>
    <w:rsid w:val="00B934E3"/>
    <w:rsid w:val="00B94323"/>
    <w:rsid w:val="00B94444"/>
    <w:rsid w:val="00B9566B"/>
    <w:rsid w:val="00B95F92"/>
    <w:rsid w:val="00B961B7"/>
    <w:rsid w:val="00B963D4"/>
    <w:rsid w:val="00B9772B"/>
    <w:rsid w:val="00BA1A32"/>
    <w:rsid w:val="00BA2DEF"/>
    <w:rsid w:val="00BA35F2"/>
    <w:rsid w:val="00BA42FB"/>
    <w:rsid w:val="00BA4768"/>
    <w:rsid w:val="00BA4861"/>
    <w:rsid w:val="00BA4A92"/>
    <w:rsid w:val="00BA516F"/>
    <w:rsid w:val="00BA628C"/>
    <w:rsid w:val="00BA7059"/>
    <w:rsid w:val="00BB0051"/>
    <w:rsid w:val="00BB02C6"/>
    <w:rsid w:val="00BB1082"/>
    <w:rsid w:val="00BB1C9D"/>
    <w:rsid w:val="00BB2127"/>
    <w:rsid w:val="00BB3805"/>
    <w:rsid w:val="00BB4589"/>
    <w:rsid w:val="00BB52A5"/>
    <w:rsid w:val="00BB5893"/>
    <w:rsid w:val="00BB6740"/>
    <w:rsid w:val="00BB7EA1"/>
    <w:rsid w:val="00BB7F81"/>
    <w:rsid w:val="00BC0674"/>
    <w:rsid w:val="00BC0A5E"/>
    <w:rsid w:val="00BC269B"/>
    <w:rsid w:val="00BC27D2"/>
    <w:rsid w:val="00BC299D"/>
    <w:rsid w:val="00BC54BA"/>
    <w:rsid w:val="00BC6D0F"/>
    <w:rsid w:val="00BD35E1"/>
    <w:rsid w:val="00BD3A56"/>
    <w:rsid w:val="00BD54FC"/>
    <w:rsid w:val="00BD63C3"/>
    <w:rsid w:val="00BD67CE"/>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BF7DA8"/>
    <w:rsid w:val="00C01083"/>
    <w:rsid w:val="00C0480F"/>
    <w:rsid w:val="00C04C9A"/>
    <w:rsid w:val="00C05321"/>
    <w:rsid w:val="00C1043C"/>
    <w:rsid w:val="00C10D90"/>
    <w:rsid w:val="00C12A51"/>
    <w:rsid w:val="00C12C65"/>
    <w:rsid w:val="00C12CD1"/>
    <w:rsid w:val="00C1591E"/>
    <w:rsid w:val="00C173EE"/>
    <w:rsid w:val="00C17402"/>
    <w:rsid w:val="00C20D36"/>
    <w:rsid w:val="00C21038"/>
    <w:rsid w:val="00C2286B"/>
    <w:rsid w:val="00C2396B"/>
    <w:rsid w:val="00C25873"/>
    <w:rsid w:val="00C26865"/>
    <w:rsid w:val="00C2785F"/>
    <w:rsid w:val="00C30BA6"/>
    <w:rsid w:val="00C31467"/>
    <w:rsid w:val="00C31A4B"/>
    <w:rsid w:val="00C33F0C"/>
    <w:rsid w:val="00C34CCB"/>
    <w:rsid w:val="00C34D57"/>
    <w:rsid w:val="00C35515"/>
    <w:rsid w:val="00C35807"/>
    <w:rsid w:val="00C35A4B"/>
    <w:rsid w:val="00C365A0"/>
    <w:rsid w:val="00C36696"/>
    <w:rsid w:val="00C36720"/>
    <w:rsid w:val="00C36777"/>
    <w:rsid w:val="00C37518"/>
    <w:rsid w:val="00C37F00"/>
    <w:rsid w:val="00C4009D"/>
    <w:rsid w:val="00C40BC1"/>
    <w:rsid w:val="00C421C9"/>
    <w:rsid w:val="00C42A3A"/>
    <w:rsid w:val="00C437C6"/>
    <w:rsid w:val="00C4517F"/>
    <w:rsid w:val="00C45232"/>
    <w:rsid w:val="00C46E94"/>
    <w:rsid w:val="00C4713F"/>
    <w:rsid w:val="00C51509"/>
    <w:rsid w:val="00C51FE1"/>
    <w:rsid w:val="00C52097"/>
    <w:rsid w:val="00C52BA5"/>
    <w:rsid w:val="00C52F47"/>
    <w:rsid w:val="00C53323"/>
    <w:rsid w:val="00C5374D"/>
    <w:rsid w:val="00C54D8C"/>
    <w:rsid w:val="00C57493"/>
    <w:rsid w:val="00C605E6"/>
    <w:rsid w:val="00C64D07"/>
    <w:rsid w:val="00C66CEF"/>
    <w:rsid w:val="00C670FE"/>
    <w:rsid w:val="00C70CB8"/>
    <w:rsid w:val="00C71087"/>
    <w:rsid w:val="00C7131D"/>
    <w:rsid w:val="00C71858"/>
    <w:rsid w:val="00C71E3C"/>
    <w:rsid w:val="00C73C17"/>
    <w:rsid w:val="00C75492"/>
    <w:rsid w:val="00C77C78"/>
    <w:rsid w:val="00C8146C"/>
    <w:rsid w:val="00C8231E"/>
    <w:rsid w:val="00C846DD"/>
    <w:rsid w:val="00C85CA6"/>
    <w:rsid w:val="00C873DA"/>
    <w:rsid w:val="00C90A7F"/>
    <w:rsid w:val="00C9147E"/>
    <w:rsid w:val="00C925ED"/>
    <w:rsid w:val="00C9339F"/>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5F7E"/>
    <w:rsid w:val="00CB6768"/>
    <w:rsid w:val="00CB768F"/>
    <w:rsid w:val="00CC0848"/>
    <w:rsid w:val="00CC17DB"/>
    <w:rsid w:val="00CC1B7E"/>
    <w:rsid w:val="00CC2F01"/>
    <w:rsid w:val="00CC586C"/>
    <w:rsid w:val="00CC629B"/>
    <w:rsid w:val="00CC6453"/>
    <w:rsid w:val="00CD2D8A"/>
    <w:rsid w:val="00CD31EA"/>
    <w:rsid w:val="00CD4B6F"/>
    <w:rsid w:val="00CD692F"/>
    <w:rsid w:val="00CE0392"/>
    <w:rsid w:val="00CE2303"/>
    <w:rsid w:val="00CE5481"/>
    <w:rsid w:val="00CE5866"/>
    <w:rsid w:val="00CE5C5B"/>
    <w:rsid w:val="00CF003F"/>
    <w:rsid w:val="00CF0045"/>
    <w:rsid w:val="00CF1AA2"/>
    <w:rsid w:val="00CF59BF"/>
    <w:rsid w:val="00CF7194"/>
    <w:rsid w:val="00CF74AE"/>
    <w:rsid w:val="00CF7C90"/>
    <w:rsid w:val="00CF7EA0"/>
    <w:rsid w:val="00D00600"/>
    <w:rsid w:val="00D00A29"/>
    <w:rsid w:val="00D00DE6"/>
    <w:rsid w:val="00D02612"/>
    <w:rsid w:val="00D0329F"/>
    <w:rsid w:val="00D04372"/>
    <w:rsid w:val="00D04AD9"/>
    <w:rsid w:val="00D04F9C"/>
    <w:rsid w:val="00D05DB1"/>
    <w:rsid w:val="00D06299"/>
    <w:rsid w:val="00D073D8"/>
    <w:rsid w:val="00D1045D"/>
    <w:rsid w:val="00D133AA"/>
    <w:rsid w:val="00D13B0B"/>
    <w:rsid w:val="00D13CCF"/>
    <w:rsid w:val="00D13FE0"/>
    <w:rsid w:val="00D14CF7"/>
    <w:rsid w:val="00D1576E"/>
    <w:rsid w:val="00D15BBC"/>
    <w:rsid w:val="00D15E67"/>
    <w:rsid w:val="00D20ABB"/>
    <w:rsid w:val="00D23021"/>
    <w:rsid w:val="00D24AEE"/>
    <w:rsid w:val="00D25315"/>
    <w:rsid w:val="00D26A33"/>
    <w:rsid w:val="00D3073E"/>
    <w:rsid w:val="00D313E3"/>
    <w:rsid w:val="00D31676"/>
    <w:rsid w:val="00D316C8"/>
    <w:rsid w:val="00D31783"/>
    <w:rsid w:val="00D32877"/>
    <w:rsid w:val="00D337D5"/>
    <w:rsid w:val="00D33FB9"/>
    <w:rsid w:val="00D34817"/>
    <w:rsid w:val="00D365BB"/>
    <w:rsid w:val="00D37781"/>
    <w:rsid w:val="00D3795A"/>
    <w:rsid w:val="00D37AB5"/>
    <w:rsid w:val="00D40C74"/>
    <w:rsid w:val="00D43282"/>
    <w:rsid w:val="00D43EA4"/>
    <w:rsid w:val="00D44508"/>
    <w:rsid w:val="00D468D3"/>
    <w:rsid w:val="00D47810"/>
    <w:rsid w:val="00D5128E"/>
    <w:rsid w:val="00D51FBD"/>
    <w:rsid w:val="00D52B71"/>
    <w:rsid w:val="00D52FD0"/>
    <w:rsid w:val="00D53C4C"/>
    <w:rsid w:val="00D54385"/>
    <w:rsid w:val="00D606D9"/>
    <w:rsid w:val="00D6259C"/>
    <w:rsid w:val="00D63B91"/>
    <w:rsid w:val="00D64A4A"/>
    <w:rsid w:val="00D6679C"/>
    <w:rsid w:val="00D669E4"/>
    <w:rsid w:val="00D703B3"/>
    <w:rsid w:val="00D72F5D"/>
    <w:rsid w:val="00D7364E"/>
    <w:rsid w:val="00D7370C"/>
    <w:rsid w:val="00D73EE6"/>
    <w:rsid w:val="00D742D2"/>
    <w:rsid w:val="00D744DC"/>
    <w:rsid w:val="00D74556"/>
    <w:rsid w:val="00D74E50"/>
    <w:rsid w:val="00D75CF7"/>
    <w:rsid w:val="00D75F59"/>
    <w:rsid w:val="00D776C3"/>
    <w:rsid w:val="00D7783F"/>
    <w:rsid w:val="00D80153"/>
    <w:rsid w:val="00D814BC"/>
    <w:rsid w:val="00D81AC7"/>
    <w:rsid w:val="00D83E45"/>
    <w:rsid w:val="00D842CD"/>
    <w:rsid w:val="00D8495C"/>
    <w:rsid w:val="00D86737"/>
    <w:rsid w:val="00D8696A"/>
    <w:rsid w:val="00D877FE"/>
    <w:rsid w:val="00D90419"/>
    <w:rsid w:val="00D90551"/>
    <w:rsid w:val="00D90F5A"/>
    <w:rsid w:val="00D9153B"/>
    <w:rsid w:val="00D9160A"/>
    <w:rsid w:val="00D95903"/>
    <w:rsid w:val="00D95D78"/>
    <w:rsid w:val="00DA0810"/>
    <w:rsid w:val="00DA3FCE"/>
    <w:rsid w:val="00DA4B42"/>
    <w:rsid w:val="00DA738D"/>
    <w:rsid w:val="00DB2BE7"/>
    <w:rsid w:val="00DB4203"/>
    <w:rsid w:val="00DB6B88"/>
    <w:rsid w:val="00DB7CA1"/>
    <w:rsid w:val="00DC094F"/>
    <w:rsid w:val="00DC21FB"/>
    <w:rsid w:val="00DC24B5"/>
    <w:rsid w:val="00DC25DA"/>
    <w:rsid w:val="00DC4325"/>
    <w:rsid w:val="00DC4915"/>
    <w:rsid w:val="00DC4C59"/>
    <w:rsid w:val="00DC5149"/>
    <w:rsid w:val="00DC5B77"/>
    <w:rsid w:val="00DC68CA"/>
    <w:rsid w:val="00DC68E1"/>
    <w:rsid w:val="00DC7FCE"/>
    <w:rsid w:val="00DD0452"/>
    <w:rsid w:val="00DD1B88"/>
    <w:rsid w:val="00DD330B"/>
    <w:rsid w:val="00DD334C"/>
    <w:rsid w:val="00DD3C08"/>
    <w:rsid w:val="00DD6CD7"/>
    <w:rsid w:val="00DE0476"/>
    <w:rsid w:val="00DE1B2F"/>
    <w:rsid w:val="00DE1C5A"/>
    <w:rsid w:val="00DE2AAC"/>
    <w:rsid w:val="00DE5E04"/>
    <w:rsid w:val="00DE6634"/>
    <w:rsid w:val="00DE72CE"/>
    <w:rsid w:val="00DF1125"/>
    <w:rsid w:val="00DF22E5"/>
    <w:rsid w:val="00DF27AC"/>
    <w:rsid w:val="00DF28E7"/>
    <w:rsid w:val="00DF2D07"/>
    <w:rsid w:val="00DF2FD1"/>
    <w:rsid w:val="00DF399A"/>
    <w:rsid w:val="00DF447B"/>
    <w:rsid w:val="00DF4DCA"/>
    <w:rsid w:val="00DF6280"/>
    <w:rsid w:val="00DF76F6"/>
    <w:rsid w:val="00DF7B14"/>
    <w:rsid w:val="00DF7B16"/>
    <w:rsid w:val="00E00009"/>
    <w:rsid w:val="00E01308"/>
    <w:rsid w:val="00E01EF4"/>
    <w:rsid w:val="00E02CF2"/>
    <w:rsid w:val="00E04644"/>
    <w:rsid w:val="00E04947"/>
    <w:rsid w:val="00E069F7"/>
    <w:rsid w:val="00E06C35"/>
    <w:rsid w:val="00E0710D"/>
    <w:rsid w:val="00E07F71"/>
    <w:rsid w:val="00E101C6"/>
    <w:rsid w:val="00E10CA5"/>
    <w:rsid w:val="00E114D8"/>
    <w:rsid w:val="00E1256E"/>
    <w:rsid w:val="00E1347F"/>
    <w:rsid w:val="00E14F03"/>
    <w:rsid w:val="00E1621B"/>
    <w:rsid w:val="00E21114"/>
    <w:rsid w:val="00E21AA9"/>
    <w:rsid w:val="00E22B84"/>
    <w:rsid w:val="00E25E8A"/>
    <w:rsid w:val="00E26045"/>
    <w:rsid w:val="00E26270"/>
    <w:rsid w:val="00E26BDB"/>
    <w:rsid w:val="00E27304"/>
    <w:rsid w:val="00E304D5"/>
    <w:rsid w:val="00E30FBB"/>
    <w:rsid w:val="00E32B2F"/>
    <w:rsid w:val="00E33084"/>
    <w:rsid w:val="00E337F5"/>
    <w:rsid w:val="00E339E4"/>
    <w:rsid w:val="00E34EBC"/>
    <w:rsid w:val="00E3529F"/>
    <w:rsid w:val="00E352D0"/>
    <w:rsid w:val="00E37211"/>
    <w:rsid w:val="00E37848"/>
    <w:rsid w:val="00E4034D"/>
    <w:rsid w:val="00E404B3"/>
    <w:rsid w:val="00E41EE7"/>
    <w:rsid w:val="00E42084"/>
    <w:rsid w:val="00E4345A"/>
    <w:rsid w:val="00E4468A"/>
    <w:rsid w:val="00E44854"/>
    <w:rsid w:val="00E4540D"/>
    <w:rsid w:val="00E50075"/>
    <w:rsid w:val="00E50B82"/>
    <w:rsid w:val="00E51630"/>
    <w:rsid w:val="00E5236C"/>
    <w:rsid w:val="00E552CC"/>
    <w:rsid w:val="00E55808"/>
    <w:rsid w:val="00E559EA"/>
    <w:rsid w:val="00E5696D"/>
    <w:rsid w:val="00E56E45"/>
    <w:rsid w:val="00E57E8D"/>
    <w:rsid w:val="00E60E20"/>
    <w:rsid w:val="00E61461"/>
    <w:rsid w:val="00E6161C"/>
    <w:rsid w:val="00E62DEC"/>
    <w:rsid w:val="00E63233"/>
    <w:rsid w:val="00E63FE6"/>
    <w:rsid w:val="00E65960"/>
    <w:rsid w:val="00E65F8A"/>
    <w:rsid w:val="00E66ECB"/>
    <w:rsid w:val="00E67486"/>
    <w:rsid w:val="00E727CE"/>
    <w:rsid w:val="00E73B3F"/>
    <w:rsid w:val="00E73D84"/>
    <w:rsid w:val="00E749E1"/>
    <w:rsid w:val="00E76B1A"/>
    <w:rsid w:val="00E8007A"/>
    <w:rsid w:val="00E80578"/>
    <w:rsid w:val="00E80B43"/>
    <w:rsid w:val="00E833CB"/>
    <w:rsid w:val="00E83995"/>
    <w:rsid w:val="00E83CBA"/>
    <w:rsid w:val="00E83D2E"/>
    <w:rsid w:val="00E83E46"/>
    <w:rsid w:val="00E83FB2"/>
    <w:rsid w:val="00E844D4"/>
    <w:rsid w:val="00E84F35"/>
    <w:rsid w:val="00E85753"/>
    <w:rsid w:val="00E90615"/>
    <w:rsid w:val="00E91FE0"/>
    <w:rsid w:val="00E95AC2"/>
    <w:rsid w:val="00E97167"/>
    <w:rsid w:val="00E97787"/>
    <w:rsid w:val="00E97DBB"/>
    <w:rsid w:val="00EA0169"/>
    <w:rsid w:val="00EA093A"/>
    <w:rsid w:val="00EA3781"/>
    <w:rsid w:val="00EA5023"/>
    <w:rsid w:val="00EA60CF"/>
    <w:rsid w:val="00EA7061"/>
    <w:rsid w:val="00EA7280"/>
    <w:rsid w:val="00EA7C5B"/>
    <w:rsid w:val="00EB13FE"/>
    <w:rsid w:val="00EB254B"/>
    <w:rsid w:val="00EB39F1"/>
    <w:rsid w:val="00EB460F"/>
    <w:rsid w:val="00EB472E"/>
    <w:rsid w:val="00EB5434"/>
    <w:rsid w:val="00EB5D6C"/>
    <w:rsid w:val="00EB6302"/>
    <w:rsid w:val="00EB6A9B"/>
    <w:rsid w:val="00EB76D6"/>
    <w:rsid w:val="00EC0178"/>
    <w:rsid w:val="00EC049F"/>
    <w:rsid w:val="00EC11E3"/>
    <w:rsid w:val="00EC7FEA"/>
    <w:rsid w:val="00ED024E"/>
    <w:rsid w:val="00ED194C"/>
    <w:rsid w:val="00ED2C26"/>
    <w:rsid w:val="00ED3898"/>
    <w:rsid w:val="00ED38BF"/>
    <w:rsid w:val="00ED5DB2"/>
    <w:rsid w:val="00ED5EC2"/>
    <w:rsid w:val="00ED5F27"/>
    <w:rsid w:val="00EE0DF2"/>
    <w:rsid w:val="00EE1124"/>
    <w:rsid w:val="00EE21DD"/>
    <w:rsid w:val="00EE56DF"/>
    <w:rsid w:val="00EE587F"/>
    <w:rsid w:val="00EE5ED7"/>
    <w:rsid w:val="00EE64CC"/>
    <w:rsid w:val="00EE6D6B"/>
    <w:rsid w:val="00EE74D2"/>
    <w:rsid w:val="00EF1A24"/>
    <w:rsid w:val="00EF1BF1"/>
    <w:rsid w:val="00EF5716"/>
    <w:rsid w:val="00EF71E1"/>
    <w:rsid w:val="00F003B9"/>
    <w:rsid w:val="00F003D0"/>
    <w:rsid w:val="00F01BD5"/>
    <w:rsid w:val="00F024E3"/>
    <w:rsid w:val="00F0264E"/>
    <w:rsid w:val="00F02815"/>
    <w:rsid w:val="00F02A85"/>
    <w:rsid w:val="00F041B2"/>
    <w:rsid w:val="00F0505F"/>
    <w:rsid w:val="00F05EAF"/>
    <w:rsid w:val="00F06D7C"/>
    <w:rsid w:val="00F1049D"/>
    <w:rsid w:val="00F119F0"/>
    <w:rsid w:val="00F147FD"/>
    <w:rsid w:val="00F15FC1"/>
    <w:rsid w:val="00F164EF"/>
    <w:rsid w:val="00F166CE"/>
    <w:rsid w:val="00F17762"/>
    <w:rsid w:val="00F20FA3"/>
    <w:rsid w:val="00F23C5A"/>
    <w:rsid w:val="00F23E91"/>
    <w:rsid w:val="00F261BC"/>
    <w:rsid w:val="00F277D4"/>
    <w:rsid w:val="00F27AD7"/>
    <w:rsid w:val="00F30A70"/>
    <w:rsid w:val="00F31104"/>
    <w:rsid w:val="00F33E65"/>
    <w:rsid w:val="00F34E93"/>
    <w:rsid w:val="00F43F5A"/>
    <w:rsid w:val="00F44511"/>
    <w:rsid w:val="00F4474B"/>
    <w:rsid w:val="00F5097D"/>
    <w:rsid w:val="00F513E5"/>
    <w:rsid w:val="00F5219B"/>
    <w:rsid w:val="00F527A6"/>
    <w:rsid w:val="00F53138"/>
    <w:rsid w:val="00F534C0"/>
    <w:rsid w:val="00F536C1"/>
    <w:rsid w:val="00F544FF"/>
    <w:rsid w:val="00F54930"/>
    <w:rsid w:val="00F5523B"/>
    <w:rsid w:val="00F60E11"/>
    <w:rsid w:val="00F623B6"/>
    <w:rsid w:val="00F6280F"/>
    <w:rsid w:val="00F62819"/>
    <w:rsid w:val="00F6394B"/>
    <w:rsid w:val="00F642FE"/>
    <w:rsid w:val="00F6653B"/>
    <w:rsid w:val="00F708D9"/>
    <w:rsid w:val="00F720FB"/>
    <w:rsid w:val="00F721C2"/>
    <w:rsid w:val="00F80602"/>
    <w:rsid w:val="00F81376"/>
    <w:rsid w:val="00F814DF"/>
    <w:rsid w:val="00F81CDE"/>
    <w:rsid w:val="00F81E48"/>
    <w:rsid w:val="00F84C20"/>
    <w:rsid w:val="00F87614"/>
    <w:rsid w:val="00F92112"/>
    <w:rsid w:val="00F9230A"/>
    <w:rsid w:val="00F92366"/>
    <w:rsid w:val="00F92753"/>
    <w:rsid w:val="00F9598E"/>
    <w:rsid w:val="00F96B32"/>
    <w:rsid w:val="00F9735A"/>
    <w:rsid w:val="00FA0BEA"/>
    <w:rsid w:val="00FA42F4"/>
    <w:rsid w:val="00FA4EBA"/>
    <w:rsid w:val="00FA6502"/>
    <w:rsid w:val="00FA7B72"/>
    <w:rsid w:val="00FB0730"/>
    <w:rsid w:val="00FB0BC1"/>
    <w:rsid w:val="00FB14A0"/>
    <w:rsid w:val="00FB34A3"/>
    <w:rsid w:val="00FB4E4A"/>
    <w:rsid w:val="00FB6D3A"/>
    <w:rsid w:val="00FB760E"/>
    <w:rsid w:val="00FB7924"/>
    <w:rsid w:val="00FB7F35"/>
    <w:rsid w:val="00FC11D6"/>
    <w:rsid w:val="00FC1960"/>
    <w:rsid w:val="00FC2659"/>
    <w:rsid w:val="00FC48DD"/>
    <w:rsid w:val="00FC569E"/>
    <w:rsid w:val="00FC67E5"/>
    <w:rsid w:val="00FC6BFF"/>
    <w:rsid w:val="00FC7B5F"/>
    <w:rsid w:val="00FD04EB"/>
    <w:rsid w:val="00FD1036"/>
    <w:rsid w:val="00FD1062"/>
    <w:rsid w:val="00FD131D"/>
    <w:rsid w:val="00FD3049"/>
    <w:rsid w:val="00FD5177"/>
    <w:rsid w:val="00FD5398"/>
    <w:rsid w:val="00FE04C2"/>
    <w:rsid w:val="00FE09BD"/>
    <w:rsid w:val="00FE35E1"/>
    <w:rsid w:val="00FE3AFC"/>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styleId="HTMLPreformatted">
    <w:name w:val="HTML Preformatted"/>
    <w:basedOn w:val="Normal"/>
    <w:link w:val="HTMLPreformattedChar"/>
    <w:uiPriority w:val="99"/>
    <w:semiHidden/>
    <w:unhideWhenUsed/>
    <w:rsid w:val="002E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semiHidden/>
    <w:rsid w:val="002E518A"/>
    <w:rPr>
      <w:rFonts w:ascii="Courier New" w:hAnsi="Courier New" w:cs="Courier New"/>
      <w:lang w:val="fr-FR" w:eastAsia="fr-FR"/>
    </w:rPr>
  </w:style>
  <w:style w:type="character" w:customStyle="1" w:styleId="y2iqfc">
    <w:name w:val="y2iqfc"/>
    <w:basedOn w:val="DefaultParagraphFont"/>
    <w:rsid w:val="002E518A"/>
  </w:style>
  <w:style w:type="character" w:customStyle="1" w:styleId="normaltextrun">
    <w:name w:val="normaltextrun"/>
    <w:basedOn w:val="DefaultParagraphFont"/>
    <w:rsid w:val="00C05321"/>
  </w:style>
  <w:style w:type="character" w:customStyle="1" w:styleId="eop">
    <w:name w:val="eop"/>
    <w:basedOn w:val="DefaultParagraphFont"/>
    <w:rsid w:val="00C05321"/>
  </w:style>
  <w:style w:type="paragraph" w:customStyle="1" w:styleId="paragraph">
    <w:name w:val="paragraph"/>
    <w:basedOn w:val="Normal"/>
    <w:rsid w:val="00582EEB"/>
    <w:pPr>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8622362">
      <w:bodyDiv w:val="1"/>
      <w:marLeft w:val="0"/>
      <w:marRight w:val="0"/>
      <w:marTop w:val="0"/>
      <w:marBottom w:val="0"/>
      <w:divBdr>
        <w:top w:val="none" w:sz="0" w:space="0" w:color="auto"/>
        <w:left w:val="none" w:sz="0" w:space="0" w:color="auto"/>
        <w:bottom w:val="none" w:sz="0" w:space="0" w:color="auto"/>
        <w:right w:val="none" w:sz="0" w:space="0" w:color="auto"/>
      </w:divBdr>
    </w:div>
    <w:div w:id="205917856">
      <w:bodyDiv w:val="1"/>
      <w:marLeft w:val="0"/>
      <w:marRight w:val="0"/>
      <w:marTop w:val="0"/>
      <w:marBottom w:val="0"/>
      <w:divBdr>
        <w:top w:val="none" w:sz="0" w:space="0" w:color="auto"/>
        <w:left w:val="none" w:sz="0" w:space="0" w:color="auto"/>
        <w:bottom w:val="none" w:sz="0" w:space="0" w:color="auto"/>
        <w:right w:val="none" w:sz="0" w:space="0" w:color="auto"/>
      </w:divBdr>
    </w:div>
    <w:div w:id="274755252">
      <w:bodyDiv w:val="1"/>
      <w:marLeft w:val="0"/>
      <w:marRight w:val="0"/>
      <w:marTop w:val="0"/>
      <w:marBottom w:val="0"/>
      <w:divBdr>
        <w:top w:val="none" w:sz="0" w:space="0" w:color="auto"/>
        <w:left w:val="none" w:sz="0" w:space="0" w:color="auto"/>
        <w:bottom w:val="none" w:sz="0" w:space="0" w:color="auto"/>
        <w:right w:val="none" w:sz="0" w:space="0" w:color="auto"/>
      </w:divBdr>
    </w:div>
    <w:div w:id="510333709">
      <w:bodyDiv w:val="1"/>
      <w:marLeft w:val="0"/>
      <w:marRight w:val="0"/>
      <w:marTop w:val="0"/>
      <w:marBottom w:val="0"/>
      <w:divBdr>
        <w:top w:val="none" w:sz="0" w:space="0" w:color="auto"/>
        <w:left w:val="none" w:sz="0" w:space="0" w:color="auto"/>
        <w:bottom w:val="none" w:sz="0" w:space="0" w:color="auto"/>
        <w:right w:val="none" w:sz="0" w:space="0" w:color="auto"/>
      </w:divBdr>
    </w:div>
    <w:div w:id="619839571">
      <w:bodyDiv w:val="1"/>
      <w:marLeft w:val="0"/>
      <w:marRight w:val="0"/>
      <w:marTop w:val="0"/>
      <w:marBottom w:val="0"/>
      <w:divBdr>
        <w:top w:val="none" w:sz="0" w:space="0" w:color="auto"/>
        <w:left w:val="none" w:sz="0" w:space="0" w:color="auto"/>
        <w:bottom w:val="none" w:sz="0" w:space="0" w:color="auto"/>
        <w:right w:val="none" w:sz="0" w:space="0" w:color="auto"/>
      </w:divBdr>
    </w:div>
    <w:div w:id="639266143">
      <w:bodyDiv w:val="1"/>
      <w:marLeft w:val="0"/>
      <w:marRight w:val="0"/>
      <w:marTop w:val="0"/>
      <w:marBottom w:val="0"/>
      <w:divBdr>
        <w:top w:val="none" w:sz="0" w:space="0" w:color="auto"/>
        <w:left w:val="none" w:sz="0" w:space="0" w:color="auto"/>
        <w:bottom w:val="none" w:sz="0" w:space="0" w:color="auto"/>
        <w:right w:val="none" w:sz="0" w:space="0" w:color="auto"/>
      </w:divBdr>
      <w:divsChild>
        <w:div w:id="46422727">
          <w:marLeft w:val="0"/>
          <w:marRight w:val="0"/>
          <w:marTop w:val="0"/>
          <w:marBottom w:val="0"/>
          <w:divBdr>
            <w:top w:val="none" w:sz="0" w:space="0" w:color="auto"/>
            <w:left w:val="none" w:sz="0" w:space="0" w:color="auto"/>
            <w:bottom w:val="none" w:sz="0" w:space="0" w:color="auto"/>
            <w:right w:val="none" w:sz="0" w:space="0" w:color="auto"/>
          </w:divBdr>
        </w:div>
        <w:div w:id="486827726">
          <w:marLeft w:val="0"/>
          <w:marRight w:val="0"/>
          <w:marTop w:val="0"/>
          <w:marBottom w:val="0"/>
          <w:divBdr>
            <w:top w:val="none" w:sz="0" w:space="0" w:color="auto"/>
            <w:left w:val="none" w:sz="0" w:space="0" w:color="auto"/>
            <w:bottom w:val="none" w:sz="0" w:space="0" w:color="auto"/>
            <w:right w:val="none" w:sz="0" w:space="0" w:color="auto"/>
          </w:divBdr>
        </w:div>
      </w:divsChild>
    </w:div>
    <w:div w:id="788202398">
      <w:bodyDiv w:val="1"/>
      <w:marLeft w:val="0"/>
      <w:marRight w:val="0"/>
      <w:marTop w:val="0"/>
      <w:marBottom w:val="0"/>
      <w:divBdr>
        <w:top w:val="none" w:sz="0" w:space="0" w:color="auto"/>
        <w:left w:val="none" w:sz="0" w:space="0" w:color="auto"/>
        <w:bottom w:val="none" w:sz="0" w:space="0" w:color="auto"/>
        <w:right w:val="none" w:sz="0" w:space="0" w:color="auto"/>
      </w:divBdr>
    </w:div>
    <w:div w:id="95193947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73170647">
      <w:bodyDiv w:val="1"/>
      <w:marLeft w:val="0"/>
      <w:marRight w:val="0"/>
      <w:marTop w:val="0"/>
      <w:marBottom w:val="0"/>
      <w:divBdr>
        <w:top w:val="none" w:sz="0" w:space="0" w:color="auto"/>
        <w:left w:val="none" w:sz="0" w:space="0" w:color="auto"/>
        <w:bottom w:val="none" w:sz="0" w:space="0" w:color="auto"/>
        <w:right w:val="none" w:sz="0" w:space="0" w:color="auto"/>
      </w:divBdr>
    </w:div>
    <w:div w:id="1283998663">
      <w:bodyDiv w:val="1"/>
      <w:marLeft w:val="0"/>
      <w:marRight w:val="0"/>
      <w:marTop w:val="0"/>
      <w:marBottom w:val="0"/>
      <w:divBdr>
        <w:top w:val="none" w:sz="0" w:space="0" w:color="auto"/>
        <w:left w:val="none" w:sz="0" w:space="0" w:color="auto"/>
        <w:bottom w:val="none" w:sz="0" w:space="0" w:color="auto"/>
        <w:right w:val="none" w:sz="0" w:space="0" w:color="auto"/>
      </w:divBdr>
    </w:div>
    <w:div w:id="1390229855">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29275476">
      <w:bodyDiv w:val="1"/>
      <w:marLeft w:val="0"/>
      <w:marRight w:val="0"/>
      <w:marTop w:val="0"/>
      <w:marBottom w:val="0"/>
      <w:divBdr>
        <w:top w:val="none" w:sz="0" w:space="0" w:color="auto"/>
        <w:left w:val="none" w:sz="0" w:space="0" w:color="auto"/>
        <w:bottom w:val="none" w:sz="0" w:space="0" w:color="auto"/>
        <w:right w:val="none" w:sz="0" w:space="0" w:color="auto"/>
      </w:divBdr>
    </w:div>
    <w:div w:id="1648584637">
      <w:bodyDiv w:val="1"/>
      <w:marLeft w:val="0"/>
      <w:marRight w:val="0"/>
      <w:marTop w:val="0"/>
      <w:marBottom w:val="0"/>
      <w:divBdr>
        <w:top w:val="none" w:sz="0" w:space="0" w:color="auto"/>
        <w:left w:val="none" w:sz="0" w:space="0" w:color="auto"/>
        <w:bottom w:val="none" w:sz="0" w:space="0" w:color="auto"/>
        <w:right w:val="none" w:sz="0" w:space="0" w:color="auto"/>
      </w:divBdr>
    </w:div>
    <w:div w:id="1781025083">
      <w:bodyDiv w:val="1"/>
      <w:marLeft w:val="0"/>
      <w:marRight w:val="0"/>
      <w:marTop w:val="0"/>
      <w:marBottom w:val="0"/>
      <w:divBdr>
        <w:top w:val="none" w:sz="0" w:space="0" w:color="auto"/>
        <w:left w:val="none" w:sz="0" w:space="0" w:color="auto"/>
        <w:bottom w:val="none" w:sz="0" w:space="0" w:color="auto"/>
        <w:right w:val="none" w:sz="0" w:space="0" w:color="auto"/>
      </w:divBdr>
      <w:divsChild>
        <w:div w:id="834535487">
          <w:marLeft w:val="0"/>
          <w:marRight w:val="0"/>
          <w:marTop w:val="0"/>
          <w:marBottom w:val="0"/>
          <w:divBdr>
            <w:top w:val="none" w:sz="0" w:space="0" w:color="auto"/>
            <w:left w:val="none" w:sz="0" w:space="0" w:color="auto"/>
            <w:bottom w:val="none" w:sz="0" w:space="0" w:color="auto"/>
            <w:right w:val="none" w:sz="0" w:space="0" w:color="auto"/>
          </w:divBdr>
        </w:div>
      </w:divsChild>
    </w:div>
    <w:div w:id="1981107224">
      <w:bodyDiv w:val="1"/>
      <w:marLeft w:val="0"/>
      <w:marRight w:val="0"/>
      <w:marTop w:val="0"/>
      <w:marBottom w:val="0"/>
      <w:divBdr>
        <w:top w:val="none" w:sz="0" w:space="0" w:color="auto"/>
        <w:left w:val="none" w:sz="0" w:space="0" w:color="auto"/>
        <w:bottom w:val="none" w:sz="0" w:space="0" w:color="auto"/>
        <w:right w:val="none" w:sz="0" w:space="0" w:color="auto"/>
      </w:divBdr>
    </w:div>
    <w:div w:id="2115587015">
      <w:bodyDiv w:val="1"/>
      <w:marLeft w:val="0"/>
      <w:marRight w:val="0"/>
      <w:marTop w:val="0"/>
      <w:marBottom w:val="0"/>
      <w:divBdr>
        <w:top w:val="none" w:sz="0" w:space="0" w:color="auto"/>
        <w:left w:val="none" w:sz="0" w:space="0" w:color="auto"/>
        <w:bottom w:val="none" w:sz="0" w:space="0" w:color="auto"/>
        <w:right w:val="none" w:sz="0" w:space="0" w:color="auto"/>
      </w:divBdr>
      <w:divsChild>
        <w:div w:id="66775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c.undp.org/evaluation/evaluations/detail/1239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rc.undp.org/evaluation/evaluations/detail/1237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c.undp.org/evaluation/evaluations/detail/12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UNITOFFICE-440-2452</_dlc_DocId>
    <_dlc_DocIdUrl xmlns="5ebeba3d-fd60-4dcb-8548-a9fd3c51d9ff">
      <Url>https://intranet.undp.org/unit/office/exo/sp2014/SP201417/_layouts/15/DocIdRedir.aspx?ID=UNITOFFICE-440-2452</Url>
      <Description>UNITOFFICE-440-2452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55CAA-6693-42EE-85E6-DFC03D74BD7C}">
  <ds:schemaRefs>
    <ds:schemaRef ds:uri="http://schemas.microsoft.com/sharepoint/events"/>
  </ds:schemaRefs>
</ds:datastoreItem>
</file>

<file path=customXml/itemProps2.xml><?xml version="1.0" encoding="utf-8"?>
<ds:datastoreItem xmlns:ds="http://schemas.openxmlformats.org/officeDocument/2006/customXml" ds:itemID="{78CAABE4-0E9D-461B-ACC0-7F5FEA1340AF}">
  <ds:schemaRefs>
    <ds:schemaRef ds:uri="http://schemas.openxmlformats.org/officeDocument/2006/bibliograph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163C48D-7F62-4D2D-8219-0D81AFFED2D0}">
  <ds:schemaRefs>
    <ds:schemaRef ds:uri="http://www.w3.org/XML/1998/namespace"/>
    <ds:schemaRef ds:uri="5ebeba3d-fd60-4dcb-8548-a9fd3c51d9ff"/>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452A16A7-C98B-4358-B772-920A814B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8025</Characters>
  <Application>Microsoft Office Word</Application>
  <DocSecurity>4</DocSecurity>
  <Lines>167</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9264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2022-10-24T10:19:00Z</dcterms:created>
  <dcterms:modified xsi:type="dcterms:W3CDTF">2022-10-24T10:19:00Z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a775eb6f-5e6b-4205-8013-a784c0a8f2a6</vt:lpwstr>
  </property>
</Properties>
</file>