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B4D58" w14:textId="78A7B0A7" w:rsidR="00290952" w:rsidRPr="00AE037F" w:rsidRDefault="00752FAB" w:rsidP="00AE037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</w:p>
    <w:p w14:paraId="4812FB17" w14:textId="77777777" w:rsidR="00290952" w:rsidRPr="00AE037F" w:rsidRDefault="00290952" w:rsidP="00AE037F">
      <w:pPr>
        <w:rPr>
          <w:rFonts w:ascii="Arial" w:hAnsi="Arial" w:cs="Arial"/>
          <w:b/>
          <w:sz w:val="26"/>
          <w:szCs w:val="26"/>
        </w:rPr>
      </w:pPr>
    </w:p>
    <w:p w14:paraId="1B377E32" w14:textId="77777777" w:rsidR="00290952" w:rsidRPr="00AE037F" w:rsidRDefault="00290952" w:rsidP="00AE037F">
      <w:pPr>
        <w:rPr>
          <w:rFonts w:ascii="Arial" w:hAnsi="Arial" w:cs="Arial"/>
          <w:b/>
          <w:sz w:val="26"/>
          <w:szCs w:val="26"/>
        </w:rPr>
      </w:pPr>
    </w:p>
    <w:p w14:paraId="5564EF9B" w14:textId="77777777" w:rsidR="00B07087" w:rsidRDefault="00B07087" w:rsidP="00AE037F">
      <w:pPr>
        <w:jc w:val="center"/>
        <w:rPr>
          <w:rFonts w:ascii="Arial" w:hAnsi="Arial" w:cs="Arial"/>
          <w:b/>
          <w:sz w:val="26"/>
          <w:szCs w:val="26"/>
        </w:rPr>
      </w:pPr>
    </w:p>
    <w:p w14:paraId="3AAC9A6D" w14:textId="77777777" w:rsidR="00B07087" w:rsidRDefault="00B07087" w:rsidP="00AE037F">
      <w:pPr>
        <w:jc w:val="center"/>
        <w:rPr>
          <w:rFonts w:ascii="Arial" w:hAnsi="Arial" w:cs="Arial"/>
          <w:b/>
          <w:sz w:val="26"/>
          <w:szCs w:val="26"/>
        </w:rPr>
      </w:pPr>
    </w:p>
    <w:p w14:paraId="0CAE0696" w14:textId="77777777" w:rsidR="00B07087" w:rsidRDefault="00B07087" w:rsidP="00AE037F">
      <w:pPr>
        <w:jc w:val="center"/>
        <w:rPr>
          <w:rFonts w:ascii="Arial" w:hAnsi="Arial" w:cs="Arial"/>
          <w:b/>
          <w:sz w:val="26"/>
          <w:szCs w:val="26"/>
        </w:rPr>
      </w:pPr>
    </w:p>
    <w:p w14:paraId="038C1CA8" w14:textId="77777777" w:rsidR="00B07087" w:rsidRDefault="00B07087" w:rsidP="00AE037F">
      <w:pPr>
        <w:jc w:val="center"/>
        <w:rPr>
          <w:rFonts w:ascii="Arial" w:hAnsi="Arial" w:cs="Arial"/>
          <w:b/>
          <w:sz w:val="26"/>
          <w:szCs w:val="26"/>
        </w:rPr>
      </w:pPr>
    </w:p>
    <w:p w14:paraId="6E6DF7DD" w14:textId="77777777" w:rsidR="00290952" w:rsidRPr="00AE037F" w:rsidRDefault="00290952" w:rsidP="00AE037F">
      <w:pPr>
        <w:rPr>
          <w:rFonts w:ascii="Arial" w:hAnsi="Arial" w:cs="Arial"/>
          <w:sz w:val="26"/>
          <w:szCs w:val="26"/>
        </w:rPr>
      </w:pPr>
      <w:r w:rsidRPr="00AE037F">
        <w:rPr>
          <w:rFonts w:ascii="Arial" w:hAnsi="Arial" w:cs="Arial"/>
          <w:sz w:val="26"/>
          <w:szCs w:val="26"/>
        </w:rPr>
        <w:br w:type="page"/>
      </w:r>
    </w:p>
    <w:p w14:paraId="0BCAC6FC" w14:textId="77777777" w:rsidR="00BD7C65" w:rsidRDefault="00BD7C65" w:rsidP="00D369B1">
      <w:pPr>
        <w:pStyle w:val="Heading1"/>
        <w:numPr>
          <w:ilvl w:val="0"/>
          <w:numId w:val="39"/>
        </w:numPr>
        <w:sectPr w:rsidR="00BD7C65" w:rsidSect="00B07087">
          <w:foot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p w14:paraId="7D406206" w14:textId="77777777" w:rsidR="00290952" w:rsidRPr="00AE037F" w:rsidRDefault="00AE037F" w:rsidP="00D369B1">
      <w:pPr>
        <w:pStyle w:val="Heading1"/>
        <w:numPr>
          <w:ilvl w:val="0"/>
          <w:numId w:val="39"/>
        </w:numPr>
      </w:pPr>
      <w:bookmarkStart w:id="1" w:name="_Toc486425594"/>
      <w:r>
        <w:lastRenderedPageBreak/>
        <w:t>UNPD</w:t>
      </w:r>
      <w:r w:rsidR="00290952" w:rsidRPr="00AE037F">
        <w:t xml:space="preserve">F </w:t>
      </w:r>
      <w:r>
        <w:t>R</w:t>
      </w:r>
      <w:r w:rsidR="00290952" w:rsidRPr="00AE037F">
        <w:t xml:space="preserve">esults </w:t>
      </w:r>
      <w:r w:rsidR="00BD7C65">
        <w:t xml:space="preserve">and Resources </w:t>
      </w:r>
      <w:r>
        <w:t>M</w:t>
      </w:r>
      <w:r w:rsidR="00290952" w:rsidRPr="00AE037F">
        <w:t>atrix</w:t>
      </w:r>
      <w:bookmarkEnd w:id="1"/>
    </w:p>
    <w:p w14:paraId="29FD6E07" w14:textId="77777777" w:rsidR="00BD7C65" w:rsidRPr="00FE77F5" w:rsidRDefault="00BD7C65" w:rsidP="00BD7C65">
      <w:pPr>
        <w:pStyle w:val="Heading1"/>
        <w:rPr>
          <w:b/>
        </w:rPr>
      </w:pPr>
    </w:p>
    <w:tbl>
      <w:tblPr>
        <w:tblStyle w:val="TableGrid"/>
        <w:tblW w:w="14998" w:type="dxa"/>
        <w:tblLook w:val="04A0" w:firstRow="1" w:lastRow="0" w:firstColumn="1" w:lastColumn="0" w:noHBand="0" w:noVBand="1"/>
      </w:tblPr>
      <w:tblGrid>
        <w:gridCol w:w="1503"/>
        <w:gridCol w:w="2092"/>
        <w:gridCol w:w="3510"/>
        <w:gridCol w:w="2223"/>
        <w:gridCol w:w="1503"/>
        <w:gridCol w:w="1017"/>
        <w:gridCol w:w="1530"/>
        <w:gridCol w:w="1620"/>
      </w:tblGrid>
      <w:tr w:rsidR="00F323DF" w14:paraId="2BE0422D" w14:textId="77777777" w:rsidTr="00F323DF">
        <w:tc>
          <w:tcPr>
            <w:tcW w:w="3595" w:type="dxa"/>
            <w:gridSpan w:val="2"/>
            <w:vMerge w:val="restart"/>
            <w:shd w:val="clear" w:color="auto" w:fill="E7E6E6" w:themeFill="background2"/>
          </w:tcPr>
          <w:p w14:paraId="7A72C11B" w14:textId="77777777" w:rsidR="00F323DF" w:rsidRDefault="00F323DF" w:rsidP="00241E0F">
            <w:pPr>
              <w:jc w:val="center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RESULTS</w:t>
            </w:r>
          </w:p>
        </w:tc>
        <w:tc>
          <w:tcPr>
            <w:tcW w:w="3510" w:type="dxa"/>
            <w:vMerge w:val="restart"/>
            <w:shd w:val="clear" w:color="auto" w:fill="E7E6E6" w:themeFill="background2"/>
          </w:tcPr>
          <w:p w14:paraId="1F671C5A" w14:textId="77777777" w:rsidR="00F323DF" w:rsidRDefault="00F323DF" w:rsidP="00241E0F">
            <w:pPr>
              <w:jc w:val="center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INDICATORS</w:t>
            </w:r>
          </w:p>
        </w:tc>
        <w:tc>
          <w:tcPr>
            <w:tcW w:w="2223" w:type="dxa"/>
            <w:vMerge w:val="restart"/>
            <w:shd w:val="clear" w:color="auto" w:fill="E7E6E6" w:themeFill="background2"/>
          </w:tcPr>
          <w:p w14:paraId="11334497" w14:textId="01F0782C" w:rsidR="00F323DF" w:rsidRDefault="00F323DF" w:rsidP="00241E0F">
            <w:pPr>
              <w:jc w:val="center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Risks and Assumptions</w:t>
            </w:r>
          </w:p>
        </w:tc>
        <w:tc>
          <w:tcPr>
            <w:tcW w:w="1503" w:type="dxa"/>
            <w:shd w:val="clear" w:color="auto" w:fill="E7E6E6" w:themeFill="background2"/>
          </w:tcPr>
          <w:p w14:paraId="51B75FC4" w14:textId="7CDEFA3F" w:rsidR="00F323DF" w:rsidRDefault="00F323DF" w:rsidP="00241E0F">
            <w:pPr>
              <w:jc w:val="center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UN PARTNERS</w:t>
            </w:r>
          </w:p>
        </w:tc>
        <w:tc>
          <w:tcPr>
            <w:tcW w:w="4167" w:type="dxa"/>
            <w:gridSpan w:val="3"/>
            <w:shd w:val="clear" w:color="auto" w:fill="E7E6E6" w:themeFill="background2"/>
          </w:tcPr>
          <w:p w14:paraId="02E1CF74" w14:textId="77777777" w:rsidR="00F323DF" w:rsidRDefault="00F323DF" w:rsidP="00241E0F">
            <w:pPr>
              <w:jc w:val="center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MEDIUM-TERM COMMON BUDGETARY FRAMEWORK</w:t>
            </w:r>
          </w:p>
        </w:tc>
      </w:tr>
      <w:tr w:rsidR="00F323DF" w14:paraId="621D0941" w14:textId="77777777" w:rsidTr="00F323DF">
        <w:tc>
          <w:tcPr>
            <w:tcW w:w="3595" w:type="dxa"/>
            <w:gridSpan w:val="2"/>
            <w:vMerge/>
            <w:shd w:val="clear" w:color="auto" w:fill="E7E6E6" w:themeFill="background2"/>
          </w:tcPr>
          <w:p w14:paraId="55577232" w14:textId="77777777" w:rsidR="00F323DF" w:rsidRDefault="00F323DF" w:rsidP="00241E0F">
            <w:pPr>
              <w:jc w:val="center"/>
              <w:rPr>
                <w:rFonts w:cs="Myriad Pro"/>
                <w:b/>
              </w:rPr>
            </w:pPr>
          </w:p>
        </w:tc>
        <w:tc>
          <w:tcPr>
            <w:tcW w:w="3510" w:type="dxa"/>
            <w:vMerge/>
            <w:shd w:val="clear" w:color="auto" w:fill="E7E6E6" w:themeFill="background2"/>
          </w:tcPr>
          <w:p w14:paraId="16C4BB56" w14:textId="77777777" w:rsidR="00F323DF" w:rsidRDefault="00F323DF" w:rsidP="00241E0F">
            <w:pPr>
              <w:jc w:val="center"/>
              <w:rPr>
                <w:rFonts w:cs="Myriad Pro"/>
                <w:b/>
              </w:rPr>
            </w:pPr>
          </w:p>
        </w:tc>
        <w:tc>
          <w:tcPr>
            <w:tcW w:w="2223" w:type="dxa"/>
            <w:vMerge/>
            <w:shd w:val="clear" w:color="auto" w:fill="E7E6E6" w:themeFill="background2"/>
          </w:tcPr>
          <w:p w14:paraId="4E485A9E" w14:textId="77777777" w:rsidR="00F323DF" w:rsidRDefault="00F323DF" w:rsidP="00241E0F">
            <w:pPr>
              <w:jc w:val="center"/>
              <w:rPr>
                <w:rFonts w:cs="Myriad Pro"/>
                <w:b/>
              </w:rPr>
            </w:pPr>
          </w:p>
        </w:tc>
        <w:tc>
          <w:tcPr>
            <w:tcW w:w="1503" w:type="dxa"/>
            <w:shd w:val="clear" w:color="auto" w:fill="E7E6E6" w:themeFill="background2"/>
          </w:tcPr>
          <w:p w14:paraId="14539D8C" w14:textId="76DB1883" w:rsidR="00F323DF" w:rsidRDefault="00F323DF" w:rsidP="00241E0F">
            <w:pPr>
              <w:jc w:val="center"/>
              <w:rPr>
                <w:rFonts w:cs="Myriad Pro"/>
                <w:b/>
              </w:rPr>
            </w:pPr>
          </w:p>
        </w:tc>
        <w:tc>
          <w:tcPr>
            <w:tcW w:w="1017" w:type="dxa"/>
            <w:shd w:val="clear" w:color="auto" w:fill="E7E6E6" w:themeFill="background2"/>
          </w:tcPr>
          <w:p w14:paraId="66CFCC63" w14:textId="77777777" w:rsidR="00F323DF" w:rsidRPr="00981C55" w:rsidRDefault="00F323DF" w:rsidP="00241E0F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81C55">
              <w:rPr>
                <w:rFonts w:cs="Times New Roman"/>
                <w:b/>
                <w:sz w:val="20"/>
                <w:szCs w:val="20"/>
                <w:lang w:val="en-GB"/>
              </w:rPr>
              <w:t>Total (C)</w:t>
            </w:r>
          </w:p>
        </w:tc>
        <w:tc>
          <w:tcPr>
            <w:tcW w:w="1530" w:type="dxa"/>
            <w:shd w:val="clear" w:color="auto" w:fill="E7E6E6" w:themeFill="background2"/>
          </w:tcPr>
          <w:p w14:paraId="4CE0EB93" w14:textId="77777777" w:rsidR="00F323DF" w:rsidRPr="00981C55" w:rsidRDefault="00F323DF" w:rsidP="00241E0F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81C55">
              <w:rPr>
                <w:rFonts w:cs="Times New Roman"/>
                <w:b/>
                <w:sz w:val="20"/>
                <w:szCs w:val="20"/>
                <w:lang w:val="en-GB"/>
              </w:rPr>
              <w:t>Projected to be available (A)</w:t>
            </w:r>
          </w:p>
        </w:tc>
        <w:tc>
          <w:tcPr>
            <w:tcW w:w="1620" w:type="dxa"/>
            <w:shd w:val="clear" w:color="auto" w:fill="E7E6E6" w:themeFill="background2"/>
          </w:tcPr>
          <w:p w14:paraId="6BBA38AC" w14:textId="77777777" w:rsidR="00F323DF" w:rsidRPr="00981C55" w:rsidRDefault="00F323DF" w:rsidP="00241E0F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81C55">
              <w:rPr>
                <w:rFonts w:cs="Times New Roman"/>
                <w:b/>
                <w:sz w:val="20"/>
                <w:szCs w:val="20"/>
                <w:lang w:val="en-GB"/>
              </w:rPr>
              <w:t xml:space="preserve">To be </w:t>
            </w:r>
            <w:r>
              <w:rPr>
                <w:rFonts w:cs="Times New Roman"/>
                <w:b/>
                <w:sz w:val="20"/>
                <w:szCs w:val="20"/>
                <w:lang w:val="en-GB"/>
              </w:rPr>
              <w:t>m</w:t>
            </w:r>
            <w:r w:rsidRPr="00981C55">
              <w:rPr>
                <w:rFonts w:cs="Times New Roman"/>
                <w:b/>
                <w:sz w:val="20"/>
                <w:szCs w:val="20"/>
                <w:lang w:val="en-GB"/>
              </w:rPr>
              <w:t>obili</w:t>
            </w:r>
            <w:r>
              <w:rPr>
                <w:rFonts w:cs="Times New Roman"/>
                <w:b/>
                <w:sz w:val="20"/>
                <w:szCs w:val="20"/>
                <w:lang w:val="en-GB"/>
              </w:rPr>
              <w:t>z</w:t>
            </w:r>
            <w:r w:rsidRPr="00981C55">
              <w:rPr>
                <w:rFonts w:cs="Times New Roman"/>
                <w:b/>
                <w:sz w:val="20"/>
                <w:szCs w:val="20"/>
                <w:lang w:val="en-GB"/>
              </w:rPr>
              <w:t>ed (B)</w:t>
            </w:r>
          </w:p>
        </w:tc>
      </w:tr>
      <w:tr w:rsidR="0042773C" w14:paraId="01022835" w14:textId="77777777" w:rsidTr="0042773C">
        <w:tc>
          <w:tcPr>
            <w:tcW w:w="1503" w:type="dxa"/>
          </w:tcPr>
          <w:p w14:paraId="696F38CC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3495" w:type="dxa"/>
            <w:gridSpan w:val="7"/>
          </w:tcPr>
          <w:p w14:paraId="0EF8FCAD" w14:textId="51D68AD6" w:rsidR="0042773C" w:rsidRDefault="007C7E1A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OUTCOME AREA</w:t>
            </w:r>
            <w:r w:rsidR="0042773C">
              <w:rPr>
                <w:rFonts w:cs="Myriad Pro"/>
                <w:b/>
              </w:rPr>
              <w:t xml:space="preserve"> 1: </w:t>
            </w:r>
            <w:r w:rsidR="00EB365F">
              <w:rPr>
                <w:rFonts w:cs="Myriad Pro"/>
                <w:b/>
              </w:rPr>
              <w:t xml:space="preserve">Equitable </w:t>
            </w:r>
            <w:r w:rsidR="0042773C">
              <w:rPr>
                <w:rFonts w:cs="Myriad Pro"/>
                <w:b/>
              </w:rPr>
              <w:t>Economic</w:t>
            </w:r>
            <w:r w:rsidR="00EB365F">
              <w:rPr>
                <w:rFonts w:cs="Myriad Pro"/>
                <w:b/>
              </w:rPr>
              <w:t xml:space="preserve"> Development</w:t>
            </w:r>
            <w:r w:rsidR="0042773C">
              <w:rPr>
                <w:rFonts w:cs="Myriad Pro"/>
                <w:b/>
              </w:rPr>
              <w:t xml:space="preserve"> </w:t>
            </w:r>
          </w:p>
        </w:tc>
      </w:tr>
      <w:tr w:rsidR="0042773C" w14:paraId="3B0EE10F" w14:textId="77777777" w:rsidTr="0042773C">
        <w:tc>
          <w:tcPr>
            <w:tcW w:w="1503" w:type="dxa"/>
          </w:tcPr>
          <w:p w14:paraId="1BE82BE5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3495" w:type="dxa"/>
            <w:gridSpan w:val="7"/>
          </w:tcPr>
          <w:p w14:paraId="4ACD24F0" w14:textId="16D0E4FB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Related national development priority or goal</w:t>
            </w:r>
            <w:r w:rsidR="00240D46">
              <w:rPr>
                <w:rFonts w:cs="Myriad Pro"/>
                <w:b/>
              </w:rPr>
              <w:t xml:space="preserve">:  </w:t>
            </w:r>
            <w:r w:rsidR="00240D46" w:rsidRPr="00240D46">
              <w:rPr>
                <w:rFonts w:cs="Myriad Pro"/>
                <w:b/>
              </w:rPr>
              <w:t xml:space="preserve">The economic development; and knowledge, innovation and scientific research </w:t>
            </w:r>
            <w:r w:rsidR="00240D46">
              <w:rPr>
                <w:rFonts w:cs="Myriad Pro"/>
                <w:b/>
              </w:rPr>
              <w:t xml:space="preserve">SDS </w:t>
            </w:r>
            <w:r w:rsidR="00240D46" w:rsidRPr="00240D46">
              <w:rPr>
                <w:rFonts w:cs="Myriad Pro"/>
                <w:b/>
              </w:rPr>
              <w:t>pillars and the sub-pillar on technical and vocational training</w:t>
            </w:r>
            <w:r w:rsidR="00E9464B">
              <w:rPr>
                <w:rFonts w:cs="Myriad Pro"/>
                <w:b/>
              </w:rPr>
              <w:t>;</w:t>
            </w:r>
            <w:r w:rsidR="00F73F77">
              <w:rPr>
                <w:rFonts w:cs="Myriad Pro"/>
                <w:b/>
              </w:rPr>
              <w:t xml:space="preserve"> the National Socio-economic Reform Programme</w:t>
            </w:r>
            <w:r w:rsidR="00E9464B">
              <w:rPr>
                <w:rFonts w:cs="Myriad Pro"/>
                <w:b/>
              </w:rPr>
              <w:t>; National Population Policy</w:t>
            </w:r>
          </w:p>
        </w:tc>
      </w:tr>
      <w:tr w:rsidR="0042773C" w14:paraId="63F96A60" w14:textId="77777777" w:rsidTr="0042773C">
        <w:tc>
          <w:tcPr>
            <w:tcW w:w="1503" w:type="dxa"/>
          </w:tcPr>
          <w:p w14:paraId="5F008495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3495" w:type="dxa"/>
            <w:gridSpan w:val="7"/>
          </w:tcPr>
          <w:p w14:paraId="44DCC188" w14:textId="7600BC04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 xml:space="preserve">Related SDG(s) </w:t>
            </w:r>
            <w:r w:rsidR="00E9464B">
              <w:t>1, 8, 9, 12, 16 and 17</w:t>
            </w:r>
          </w:p>
        </w:tc>
      </w:tr>
      <w:tr w:rsidR="0042773C" w14:paraId="42F483FA" w14:textId="77777777" w:rsidTr="00F323DF">
        <w:tc>
          <w:tcPr>
            <w:tcW w:w="3595" w:type="dxa"/>
            <w:gridSpan w:val="2"/>
          </w:tcPr>
          <w:p w14:paraId="7272DB42" w14:textId="79D345E9" w:rsidR="0042773C" w:rsidRDefault="00EB365F" w:rsidP="00241E0F">
            <w:pPr>
              <w:rPr>
                <w:rFonts w:cs="Myriad Pro"/>
                <w:b/>
              </w:rPr>
            </w:pPr>
            <w:r w:rsidRPr="00EB365F">
              <w:rPr>
                <w:rFonts w:cs="Myriad Pro"/>
                <w:b/>
              </w:rPr>
              <w:t>By 2022 Egypt has adopted equitable and sustain</w:t>
            </w:r>
            <w:r w:rsidR="00A163AF">
              <w:rPr>
                <w:rFonts w:cs="Myriad Pro"/>
                <w:b/>
              </w:rPr>
              <w:t>able development pathways and remains</w:t>
            </w:r>
            <w:r w:rsidRPr="00EB365F">
              <w:rPr>
                <w:rFonts w:cs="Myriad Pro"/>
                <w:b/>
              </w:rPr>
              <w:t xml:space="preserve"> on track to achieve agreed targets for inclusive, sustainable, resilient and job creating economic development</w:t>
            </w:r>
          </w:p>
        </w:tc>
        <w:tc>
          <w:tcPr>
            <w:tcW w:w="3510" w:type="dxa"/>
          </w:tcPr>
          <w:p w14:paraId="68CECAC7" w14:textId="77777777" w:rsidR="00F73F77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Indicator:</w:t>
            </w:r>
          </w:p>
          <w:p w14:paraId="3B5272E1" w14:textId="1E165456" w:rsidR="0042773C" w:rsidRDefault="00F73F77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1) Labour force size and participation disaggregated by sex, age and governorate</w:t>
            </w:r>
          </w:p>
          <w:p w14:paraId="1F63F9BB" w14:textId="59AE207C" w:rsidR="00F73F77" w:rsidRDefault="00F73F77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2) unemployment rate broken down by sex, age, education level and governorate</w:t>
            </w:r>
          </w:p>
          <w:p w14:paraId="59704496" w14:textId="0FEDF1F4" w:rsidR="00F73F77" w:rsidRDefault="00F73F77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3) poverty gap between poorest and richest governorates</w:t>
            </w:r>
          </w:p>
          <w:p w14:paraId="3667E7AC" w14:textId="570E237F" w:rsidR="00F73F77" w:rsidRDefault="001502F3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4) Number of small and medium enterprises contracting with govt. suggested new measure under SDS needs baseline and target</w:t>
            </w:r>
          </w:p>
          <w:p w14:paraId="45576D53" w14:textId="4609D594" w:rsidR="003D1B71" w:rsidRDefault="003D1B71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5) Ease of doing business rank</w:t>
            </w:r>
          </w:p>
          <w:p w14:paraId="1EB30645" w14:textId="55045204" w:rsidR="003D1B71" w:rsidRDefault="003D1B71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6) Percentage of public investment at local level</w:t>
            </w:r>
          </w:p>
          <w:p w14:paraId="4B5A7341" w14:textId="40371B3C" w:rsidR="003D1B71" w:rsidRDefault="003D1B71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7) Ratio of informal sector contribution to GDP</w:t>
            </w:r>
            <w:r w:rsidR="001502F3">
              <w:rPr>
                <w:rFonts w:cs="Myriad Pro"/>
                <w:b/>
              </w:rPr>
              <w:t>, new measure proposed in the SDS with baseline and targets to be set</w:t>
            </w:r>
          </w:p>
          <w:p w14:paraId="1D1C9CBF" w14:textId="6DB61DF5" w:rsidR="001502F3" w:rsidRDefault="001502F3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lastRenderedPageBreak/>
              <w:t>8) Rank of Egypt in the global innovation index</w:t>
            </w:r>
          </w:p>
          <w:p w14:paraId="312BDECF" w14:textId="7B0F7899" w:rsidR="00CC649A" w:rsidRDefault="00CC649A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9)  % of technical education students working in their fields</w:t>
            </w:r>
          </w:p>
          <w:p w14:paraId="2CE17CC9" w14:textId="771280C7" w:rsidR="007D179A" w:rsidRDefault="007D179A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10) Growth rate of MSME’s contribution to GDP</w:t>
            </w:r>
          </w:p>
          <w:p w14:paraId="5B149856" w14:textId="77777777" w:rsidR="00F73F77" w:rsidRDefault="00F73F77" w:rsidP="00241E0F">
            <w:pPr>
              <w:rPr>
                <w:rFonts w:cs="Myriad Pro"/>
                <w:b/>
              </w:rPr>
            </w:pPr>
          </w:p>
          <w:p w14:paraId="650DFDF9" w14:textId="1B9277C6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Baseline:</w:t>
            </w:r>
            <w:r w:rsidR="003D1B71">
              <w:rPr>
                <w:rFonts w:cs="Myriad Pro"/>
                <w:b/>
              </w:rPr>
              <w:t xml:space="preserve"> 2) 12.8% 2015; 5) 131; 6) 12.5</w:t>
            </w:r>
            <w:r w:rsidR="001502F3">
              <w:rPr>
                <w:rFonts w:cs="Myriad Pro"/>
                <w:b/>
              </w:rPr>
              <w:t>; 8) 99</w:t>
            </w:r>
            <w:r w:rsidR="00CC649A">
              <w:rPr>
                <w:rFonts w:cs="Myriad Pro"/>
                <w:b/>
              </w:rPr>
              <w:t>; 9) 30%</w:t>
            </w:r>
          </w:p>
          <w:p w14:paraId="64D52A4C" w14:textId="5D09B9E0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Target:</w:t>
            </w:r>
            <w:r w:rsidR="003D1B71">
              <w:rPr>
                <w:rFonts w:cs="Myriad Pro"/>
                <w:b/>
              </w:rPr>
              <w:t xml:space="preserve"> 2) 10% SDS 2020; 5) 100; 6) 20</w:t>
            </w:r>
            <w:r w:rsidR="001502F3">
              <w:rPr>
                <w:rFonts w:cs="Myriad Pro"/>
                <w:b/>
              </w:rPr>
              <w:t>; 8) 85</w:t>
            </w:r>
            <w:r w:rsidR="00CC649A">
              <w:rPr>
                <w:rFonts w:cs="Myriad Pro"/>
                <w:b/>
              </w:rPr>
              <w:t>; 9) 60%</w:t>
            </w:r>
          </w:p>
          <w:p w14:paraId="60C49494" w14:textId="77777777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Data source</w:t>
            </w:r>
          </w:p>
        </w:tc>
        <w:tc>
          <w:tcPr>
            <w:tcW w:w="2223" w:type="dxa"/>
          </w:tcPr>
          <w:p w14:paraId="5F5719AA" w14:textId="77777777" w:rsidR="0042773C" w:rsidRDefault="00240D46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lastRenderedPageBreak/>
              <w:t>Risks: Adverse change in global economic context</w:t>
            </w:r>
          </w:p>
          <w:p w14:paraId="6C76E596" w14:textId="77777777" w:rsidR="00240D46" w:rsidRDefault="00240D46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Assumption: Success of national population strategy</w:t>
            </w:r>
            <w:r w:rsidR="00990317">
              <w:rPr>
                <w:rFonts w:cs="Myriad Pro"/>
                <w:b/>
              </w:rPr>
              <w:t>;</w:t>
            </w:r>
          </w:p>
          <w:p w14:paraId="23FEBEB7" w14:textId="040DBA62" w:rsidR="00990317" w:rsidRDefault="00990317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Increased allocation of public resources to basic social services</w:t>
            </w:r>
          </w:p>
        </w:tc>
        <w:tc>
          <w:tcPr>
            <w:tcW w:w="1503" w:type="dxa"/>
          </w:tcPr>
          <w:p w14:paraId="7084CBFA" w14:textId="08212C90" w:rsidR="0042773C" w:rsidRDefault="00F73F77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ILO, UNDP, UNHABITAT, UNIDO, WFP, IOM, UNFPA, UNESCO</w:t>
            </w:r>
          </w:p>
        </w:tc>
        <w:tc>
          <w:tcPr>
            <w:tcW w:w="1017" w:type="dxa"/>
          </w:tcPr>
          <w:p w14:paraId="31922A56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530" w:type="dxa"/>
          </w:tcPr>
          <w:p w14:paraId="4F6EEA1A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620" w:type="dxa"/>
          </w:tcPr>
          <w:p w14:paraId="6D17BE82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</w:tr>
      <w:tr w:rsidR="0042773C" w14:paraId="0B2045A9" w14:textId="77777777" w:rsidTr="0042773C">
        <w:tc>
          <w:tcPr>
            <w:tcW w:w="1503" w:type="dxa"/>
          </w:tcPr>
          <w:p w14:paraId="3F7D0CB1" w14:textId="28529AEA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3495" w:type="dxa"/>
            <w:gridSpan w:val="7"/>
          </w:tcPr>
          <w:p w14:paraId="56D6D7C3" w14:textId="33DAAB1A" w:rsidR="0042773C" w:rsidRDefault="00E9464B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OUTCOME AREA</w:t>
            </w:r>
            <w:r w:rsidR="0042773C">
              <w:rPr>
                <w:rFonts w:cs="Myriad Pro"/>
                <w:b/>
              </w:rPr>
              <w:t xml:space="preserve"> 2: Social</w:t>
            </w:r>
            <w:r w:rsidR="00EB365F">
              <w:rPr>
                <w:rFonts w:cs="Myriad Pro"/>
                <w:b/>
              </w:rPr>
              <w:t xml:space="preserve"> Justice</w:t>
            </w:r>
          </w:p>
        </w:tc>
      </w:tr>
      <w:tr w:rsidR="0042773C" w14:paraId="26A83D81" w14:textId="77777777" w:rsidTr="0042773C">
        <w:tc>
          <w:tcPr>
            <w:tcW w:w="1503" w:type="dxa"/>
          </w:tcPr>
          <w:p w14:paraId="710EF2B6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3495" w:type="dxa"/>
            <w:gridSpan w:val="7"/>
          </w:tcPr>
          <w:p w14:paraId="701D147F" w14:textId="2F8406C4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Related national development priority or goal</w:t>
            </w:r>
            <w:r w:rsidR="007C7E1A">
              <w:rPr>
                <w:rFonts w:cs="Myriad Pro"/>
                <w:b/>
              </w:rPr>
              <w:t xml:space="preserve">: </w:t>
            </w:r>
            <w:r w:rsidR="00E9464B">
              <w:t>The social justice; health and education pillars of SDS; National Population Strategy</w:t>
            </w:r>
          </w:p>
        </w:tc>
      </w:tr>
      <w:tr w:rsidR="0042773C" w14:paraId="4DCAB1B4" w14:textId="77777777" w:rsidTr="0042773C">
        <w:tc>
          <w:tcPr>
            <w:tcW w:w="1503" w:type="dxa"/>
          </w:tcPr>
          <w:p w14:paraId="4C9BE185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3495" w:type="dxa"/>
            <w:gridSpan w:val="7"/>
          </w:tcPr>
          <w:p w14:paraId="1F4C50F6" w14:textId="2A564BDF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 xml:space="preserve">Related SDG(s) </w:t>
            </w:r>
            <w:r w:rsidR="00E9464B">
              <w:t>1, 2, 3, 4, 5, 8 and 10</w:t>
            </w:r>
          </w:p>
        </w:tc>
      </w:tr>
      <w:tr w:rsidR="0042773C" w14:paraId="0DECDFA9" w14:textId="77777777" w:rsidTr="00F323DF">
        <w:tc>
          <w:tcPr>
            <w:tcW w:w="3595" w:type="dxa"/>
            <w:gridSpan w:val="2"/>
          </w:tcPr>
          <w:p w14:paraId="7410130A" w14:textId="3146867C" w:rsidR="0042773C" w:rsidRDefault="00EB365F" w:rsidP="00241E0F">
            <w:pPr>
              <w:rPr>
                <w:rFonts w:cs="Myriad Pro"/>
                <w:b/>
              </w:rPr>
            </w:pPr>
            <w:r w:rsidRPr="00EB365F">
              <w:rPr>
                <w:rFonts w:cs="Myriad Pro"/>
                <w:b/>
              </w:rPr>
              <w:t>By 2022 interim 2030 targets are reached with respect to population and sustainable access of all people in Egypt to public services notably quality, equitable, inclusive, and rights-base</w:t>
            </w:r>
            <w:r w:rsidR="00A163AF">
              <w:rPr>
                <w:rFonts w:cs="Myriad Pro"/>
                <w:b/>
              </w:rPr>
              <w:t>d social protection,</w:t>
            </w:r>
            <w:r w:rsidRPr="00EB365F">
              <w:rPr>
                <w:rFonts w:cs="Myriad Pro"/>
                <w:b/>
              </w:rPr>
              <w:t xml:space="preserve"> health and education services</w:t>
            </w:r>
          </w:p>
        </w:tc>
        <w:tc>
          <w:tcPr>
            <w:tcW w:w="3510" w:type="dxa"/>
          </w:tcPr>
          <w:p w14:paraId="58A559FF" w14:textId="77777777" w:rsidR="00F73F77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Indicator:</w:t>
            </w:r>
            <w:r w:rsidR="00F73F77">
              <w:rPr>
                <w:rFonts w:cs="Myriad Pro"/>
                <w:b/>
              </w:rPr>
              <w:t xml:space="preserve"> </w:t>
            </w:r>
          </w:p>
          <w:p w14:paraId="27B75FDE" w14:textId="2B8A2A4A" w:rsidR="0042773C" w:rsidRPr="00F73F77" w:rsidRDefault="00696424" w:rsidP="00F73F7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Fraction of households exposed to catastrophic out of pocket health expenditure; baseline 4.4% 2015 CAPMAS</w:t>
            </w:r>
          </w:p>
          <w:p w14:paraId="11696409" w14:textId="11355054" w:rsidR="00F73F77" w:rsidRDefault="00F73F77" w:rsidP="00F73F7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Total Fertility Rate</w:t>
            </w:r>
            <w:r w:rsidR="003D1B71">
              <w:rPr>
                <w:rFonts w:cs="Myriad Pro"/>
                <w:b/>
              </w:rPr>
              <w:t xml:space="preserve"> baseline 3.5 2014 SDS target for 2020  3.3</w:t>
            </w:r>
          </w:p>
          <w:p w14:paraId="0F93E0C2" w14:textId="3084159C" w:rsidR="00702285" w:rsidRDefault="00702285" w:rsidP="00F73F7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Percentage of population below food poverty line by governorate</w:t>
            </w:r>
            <w:r w:rsidR="009017B7">
              <w:rPr>
                <w:rFonts w:cs="Myriad Pro"/>
                <w:b/>
              </w:rPr>
              <w:t xml:space="preserve"> national rate 5.3%  in 2015 to decline to 2.5% by 2020 SDS</w:t>
            </w:r>
          </w:p>
          <w:p w14:paraId="37222235" w14:textId="77777777" w:rsidR="00702285" w:rsidRDefault="00741C72" w:rsidP="00F73F7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Primary school completion rate broken down by sex and governorate</w:t>
            </w:r>
          </w:p>
          <w:p w14:paraId="0C805C9E" w14:textId="145F95D0" w:rsidR="00741C72" w:rsidRDefault="00741C72" w:rsidP="00F73F7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Hepatitis C infection rate</w:t>
            </w:r>
          </w:p>
          <w:p w14:paraId="192A3446" w14:textId="19CCFF42" w:rsidR="00D27668" w:rsidRDefault="00D27668" w:rsidP="00F73F7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lastRenderedPageBreak/>
              <w:t>Composite indicator for nutrition of children under 5, a)Stunting ,b) wasting, c) anemic</w:t>
            </w:r>
          </w:p>
          <w:p w14:paraId="460EFAD1" w14:textId="47B910DF" w:rsidR="00D27668" w:rsidRDefault="00D27668" w:rsidP="00F73F7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Share of public spending on health and education as percent of GDP</w:t>
            </w:r>
          </w:p>
          <w:p w14:paraId="1DB3FDFF" w14:textId="1D23E28D" w:rsidR="00990317" w:rsidRDefault="00990317" w:rsidP="00F73F7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Share of public spending on social protection as % of GDP</w:t>
            </w:r>
            <w:r w:rsidR="002A6CBB">
              <w:rPr>
                <w:rFonts w:cs="Myriad Pro"/>
                <w:b/>
              </w:rPr>
              <w:t>;</w:t>
            </w:r>
          </w:p>
          <w:p w14:paraId="769FB1A8" w14:textId="77777777" w:rsidR="002A6CBB" w:rsidRDefault="002A6CBB" w:rsidP="00F73F7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Neonatal mortality rate;</w:t>
            </w:r>
          </w:p>
          <w:p w14:paraId="37FC60C9" w14:textId="5C7658B1" w:rsidR="002A6CBB" w:rsidRDefault="002A6CBB" w:rsidP="00F73F7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Gross enrolment rate for kids 3-5;</w:t>
            </w:r>
          </w:p>
          <w:p w14:paraId="1882F0FF" w14:textId="7518DFFE" w:rsidR="002A6CBB" w:rsidRDefault="002A6CBB" w:rsidP="00F73F7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 xml:space="preserve">Value of youth </w:t>
            </w:r>
            <w:r w:rsidR="00074FD7">
              <w:rPr>
                <w:rFonts w:cs="Myriad Pro"/>
                <w:b/>
              </w:rPr>
              <w:t>development</w:t>
            </w:r>
            <w:r>
              <w:rPr>
                <w:rFonts w:cs="Myriad Pro"/>
                <w:b/>
              </w:rPr>
              <w:t xml:space="preserve"> index</w:t>
            </w:r>
            <w:r w:rsidR="00696424">
              <w:rPr>
                <w:rFonts w:cs="Myriad Pro"/>
                <w:b/>
              </w:rPr>
              <w:t>;</w:t>
            </w:r>
          </w:p>
          <w:p w14:paraId="6E853245" w14:textId="523C79C8" w:rsidR="00696424" w:rsidRPr="00F73F77" w:rsidRDefault="00696424" w:rsidP="00F73F7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% of population covered by formal social health insurance mechanism</w:t>
            </w:r>
          </w:p>
          <w:p w14:paraId="40E59D97" w14:textId="404434E9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Baseline:</w:t>
            </w:r>
            <w:r w:rsidR="00741C72">
              <w:rPr>
                <w:rFonts w:cs="Myriad Pro"/>
                <w:b/>
              </w:rPr>
              <w:t xml:space="preserve"> 5)</w:t>
            </w:r>
            <w:r w:rsidR="00D27668">
              <w:rPr>
                <w:rFonts w:cs="Myriad Pro"/>
                <w:b/>
              </w:rPr>
              <w:t xml:space="preserve"> 8.9%; 6) a)</w:t>
            </w:r>
            <w:r w:rsidR="00074FD7">
              <w:rPr>
                <w:rFonts w:cs="Myriad Pro"/>
                <w:b/>
              </w:rPr>
              <w:t xml:space="preserve"> </w:t>
            </w:r>
            <w:r w:rsidR="00D27668">
              <w:rPr>
                <w:rFonts w:cs="Myriad Pro"/>
                <w:b/>
              </w:rPr>
              <w:t>21%, b)8%, c) 27%</w:t>
            </w:r>
            <w:r w:rsidR="00990317">
              <w:rPr>
                <w:rFonts w:cs="Myriad Pro"/>
                <w:b/>
              </w:rPr>
              <w:t>; 7) a) health    b) education     ; 8) 2.3%</w:t>
            </w:r>
            <w:r w:rsidR="002A6CBB">
              <w:rPr>
                <w:rFonts w:cs="Myriad Pro"/>
                <w:b/>
              </w:rPr>
              <w:t>; 10) 31.5%; 11)</w:t>
            </w:r>
            <w:r w:rsidR="00696424">
              <w:rPr>
                <w:rFonts w:cs="Myriad Pro"/>
                <w:b/>
              </w:rPr>
              <w:t xml:space="preserve"> 0.53; 12) 58%</w:t>
            </w:r>
          </w:p>
          <w:p w14:paraId="43DB90CF" w14:textId="7A1DED1E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Target:</w:t>
            </w:r>
            <w:r w:rsidR="00741C72">
              <w:rPr>
                <w:rFonts w:cs="Myriad Pro"/>
                <w:b/>
              </w:rPr>
              <w:t xml:space="preserve"> 5)</w:t>
            </w:r>
            <w:r w:rsidR="00D27668">
              <w:rPr>
                <w:rFonts w:cs="Myriad Pro"/>
                <w:b/>
              </w:rPr>
              <w:t xml:space="preserve"> 2%; 6)a)15%, b) 4%, c) 20%</w:t>
            </w:r>
            <w:r w:rsidR="00990317">
              <w:rPr>
                <w:rFonts w:cs="Myriad Pro"/>
                <w:b/>
              </w:rPr>
              <w:t xml:space="preserve"> 7) a) health 5%, b) education </w:t>
            </w:r>
          </w:p>
          <w:p w14:paraId="691E8CEF" w14:textId="73D048BA" w:rsidR="00990317" w:rsidRDefault="00990317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 xml:space="preserve">; 8) </w:t>
            </w:r>
            <w:r w:rsidR="002A6CBB">
              <w:rPr>
                <w:rFonts w:cs="Myriad Pro"/>
                <w:b/>
              </w:rPr>
              <w:t>3%; 10) 50%</w:t>
            </w:r>
          </w:p>
          <w:p w14:paraId="594F1EB4" w14:textId="2E0908C0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Data source</w:t>
            </w:r>
            <w:r w:rsidR="00074FD7">
              <w:rPr>
                <w:rFonts w:cs="Myriad Pro"/>
                <w:b/>
              </w:rPr>
              <w:t>: 11) The Commonwealth</w:t>
            </w:r>
          </w:p>
        </w:tc>
        <w:tc>
          <w:tcPr>
            <w:tcW w:w="2223" w:type="dxa"/>
          </w:tcPr>
          <w:p w14:paraId="49BF84E0" w14:textId="3EA4D531" w:rsidR="0042773C" w:rsidRDefault="00240D46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lastRenderedPageBreak/>
              <w:t>Risks: Reduction in  public revenues;</w:t>
            </w:r>
          </w:p>
          <w:p w14:paraId="6B59D3F9" w14:textId="3EF07D9E" w:rsidR="00240D46" w:rsidRDefault="00240D46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Spread of infectious diseases across borders</w:t>
            </w:r>
          </w:p>
          <w:p w14:paraId="7BB942D3" w14:textId="77777777" w:rsidR="00240D46" w:rsidRDefault="00240D46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Assumption: Success of national population strategy</w:t>
            </w:r>
            <w:r w:rsidR="00990317">
              <w:rPr>
                <w:rFonts w:cs="Myriad Pro"/>
                <w:b/>
              </w:rPr>
              <w:t>;</w:t>
            </w:r>
          </w:p>
          <w:p w14:paraId="70A7649F" w14:textId="3E8AC366" w:rsidR="00990317" w:rsidRDefault="00990317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No increase in poverty</w:t>
            </w:r>
          </w:p>
        </w:tc>
        <w:tc>
          <w:tcPr>
            <w:tcW w:w="1503" w:type="dxa"/>
          </w:tcPr>
          <w:p w14:paraId="4B59C07F" w14:textId="21C918E6" w:rsidR="0042773C" w:rsidRDefault="00F73F77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 xml:space="preserve">UNICEF, WHO, WFP, UNFPA, UNWOMEN, </w:t>
            </w:r>
            <w:r w:rsidR="00D27668">
              <w:rPr>
                <w:rFonts w:cs="Myriad Pro"/>
                <w:b/>
              </w:rPr>
              <w:t>UNHCR, IOM</w:t>
            </w:r>
          </w:p>
        </w:tc>
        <w:tc>
          <w:tcPr>
            <w:tcW w:w="1017" w:type="dxa"/>
          </w:tcPr>
          <w:p w14:paraId="4D3AB18F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530" w:type="dxa"/>
          </w:tcPr>
          <w:p w14:paraId="5FBAAA97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620" w:type="dxa"/>
          </w:tcPr>
          <w:p w14:paraId="172F556C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</w:tr>
      <w:tr w:rsidR="0042773C" w14:paraId="61C87463" w14:textId="77777777" w:rsidTr="0042773C">
        <w:tc>
          <w:tcPr>
            <w:tcW w:w="1503" w:type="dxa"/>
          </w:tcPr>
          <w:p w14:paraId="740F686E" w14:textId="72642FFD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3495" w:type="dxa"/>
            <w:gridSpan w:val="7"/>
          </w:tcPr>
          <w:p w14:paraId="54F8A46B" w14:textId="2522210E" w:rsidR="0042773C" w:rsidRDefault="00E9464B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OUTCOME AREA 3: Sustainable Development</w:t>
            </w:r>
          </w:p>
        </w:tc>
      </w:tr>
      <w:tr w:rsidR="0042773C" w14:paraId="61214D29" w14:textId="77777777" w:rsidTr="007225B0">
        <w:trPr>
          <w:trHeight w:val="548"/>
        </w:trPr>
        <w:tc>
          <w:tcPr>
            <w:tcW w:w="1503" w:type="dxa"/>
          </w:tcPr>
          <w:p w14:paraId="691DFE86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3495" w:type="dxa"/>
            <w:gridSpan w:val="7"/>
          </w:tcPr>
          <w:p w14:paraId="513970DC" w14:textId="425C8DE2" w:rsidR="00E9464B" w:rsidRDefault="0042773C" w:rsidP="00E9464B">
            <w:r>
              <w:rPr>
                <w:rFonts w:cs="Myriad Pro"/>
                <w:b/>
              </w:rPr>
              <w:t>Related national development priority or goal</w:t>
            </w:r>
            <w:r w:rsidR="00E9464B">
              <w:rPr>
                <w:rFonts w:cs="Myriad Pro"/>
                <w:b/>
              </w:rPr>
              <w:t xml:space="preserve">: </w:t>
            </w:r>
            <w:r w:rsidR="00E9464B">
              <w:t>The environment; urban development and energy pillars of SDS; National Agricultural Strategy;</w:t>
            </w:r>
          </w:p>
          <w:p w14:paraId="6225D9CC" w14:textId="5B839061" w:rsidR="0042773C" w:rsidRPr="00E9464B" w:rsidRDefault="00E9464B" w:rsidP="00241E0F">
            <w:r>
              <w:t>National Housing Strategy; National Water Resources Strategy</w:t>
            </w:r>
          </w:p>
        </w:tc>
      </w:tr>
      <w:tr w:rsidR="0042773C" w14:paraId="11065ED9" w14:textId="77777777" w:rsidTr="0042773C">
        <w:tc>
          <w:tcPr>
            <w:tcW w:w="1503" w:type="dxa"/>
          </w:tcPr>
          <w:p w14:paraId="0E2382F1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3495" w:type="dxa"/>
            <w:gridSpan w:val="7"/>
          </w:tcPr>
          <w:p w14:paraId="559A06DE" w14:textId="28D6FD0A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 xml:space="preserve">Related SDG(s) </w:t>
            </w:r>
            <w:r w:rsidR="00E9464B">
              <w:t>6, 7, 11, 13, 14 and 15</w:t>
            </w:r>
          </w:p>
        </w:tc>
      </w:tr>
      <w:tr w:rsidR="0042773C" w14:paraId="22D056FB" w14:textId="77777777" w:rsidTr="00F323DF">
        <w:tc>
          <w:tcPr>
            <w:tcW w:w="3595" w:type="dxa"/>
            <w:gridSpan w:val="2"/>
          </w:tcPr>
          <w:p w14:paraId="3C716966" w14:textId="7D5348F9" w:rsidR="0042773C" w:rsidRDefault="00EB365F" w:rsidP="00241E0F">
            <w:pPr>
              <w:rPr>
                <w:rFonts w:cs="Myriad Pro"/>
                <w:b/>
              </w:rPr>
            </w:pPr>
            <w:r w:rsidRPr="00EB365F">
              <w:rPr>
                <w:rFonts w:cs="Myriad Pro"/>
                <w:b/>
              </w:rPr>
              <w:t xml:space="preserve">By 2022 Egypt’s natural resources, including urban environments, are managed in an equitable, </w:t>
            </w:r>
            <w:r w:rsidRPr="00EB365F">
              <w:rPr>
                <w:rFonts w:cs="Myriad Pro"/>
                <w:b/>
              </w:rPr>
              <w:lastRenderedPageBreak/>
              <w:t>sustainable and productive manner to increase incomes, reduce food insecurity and mitigate environmental hazards</w:t>
            </w:r>
          </w:p>
        </w:tc>
        <w:tc>
          <w:tcPr>
            <w:tcW w:w="3510" w:type="dxa"/>
          </w:tcPr>
          <w:p w14:paraId="207B4A9C" w14:textId="77777777" w:rsidR="00CC649A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lastRenderedPageBreak/>
              <w:t>Indicator:</w:t>
            </w:r>
            <w:r w:rsidR="00CC649A">
              <w:rPr>
                <w:rFonts w:cs="Myriad Pro"/>
                <w:b/>
              </w:rPr>
              <w:t xml:space="preserve"> </w:t>
            </w:r>
          </w:p>
          <w:p w14:paraId="65E53B3B" w14:textId="154ADD47" w:rsidR="0042773C" w:rsidRPr="00CC649A" w:rsidRDefault="00CC649A" w:rsidP="00CC649A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cs="Myriad Pro"/>
                <w:b/>
              </w:rPr>
            </w:pPr>
            <w:r w:rsidRPr="00CC649A">
              <w:rPr>
                <w:rFonts w:cs="Myriad Pro"/>
                <w:b/>
              </w:rPr>
              <w:t>Agricultural production value per unit of water</w:t>
            </w:r>
          </w:p>
          <w:p w14:paraId="2F1A0BFE" w14:textId="13AEAB42" w:rsidR="00CC649A" w:rsidRDefault="00CC649A" w:rsidP="00CC649A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lastRenderedPageBreak/>
              <w:t>Number of nature reserves with approved and operational plans</w:t>
            </w:r>
            <w:r w:rsidR="00696424">
              <w:rPr>
                <w:rFonts w:cs="Myriad Pro"/>
                <w:b/>
              </w:rPr>
              <w:t>;</w:t>
            </w:r>
          </w:p>
          <w:p w14:paraId="3B155F30" w14:textId="3DF18D01" w:rsidR="004E3490" w:rsidRDefault="004E3490" w:rsidP="00CC649A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Percentage of slums</w:t>
            </w:r>
            <w:r w:rsidR="00696424">
              <w:rPr>
                <w:rFonts w:cs="Myriad Pro"/>
                <w:b/>
              </w:rPr>
              <w:t>;</w:t>
            </w:r>
          </w:p>
          <w:p w14:paraId="2EECC9EF" w14:textId="5472FD86" w:rsidR="00696424" w:rsidRDefault="00696424" w:rsidP="00CC649A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Percentage of population at risk of natural disasters or climate change induced hazards</w:t>
            </w:r>
          </w:p>
          <w:p w14:paraId="5A74E095" w14:textId="77777777" w:rsidR="00696424" w:rsidRDefault="00315085" w:rsidP="00CC649A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% of electricity used from renewable sources</w:t>
            </w:r>
          </w:p>
          <w:p w14:paraId="499490EE" w14:textId="77777777" w:rsidR="00315085" w:rsidRDefault="00315085" w:rsidP="00CC649A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% reduction in CO2 emissioins</w:t>
            </w:r>
          </w:p>
          <w:p w14:paraId="113FF6ED" w14:textId="77777777" w:rsidR="00315085" w:rsidRDefault="00315085" w:rsidP="00CC649A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Reduction in use of ozone depleting substances;</w:t>
            </w:r>
          </w:p>
          <w:p w14:paraId="7384249A" w14:textId="70600134" w:rsidR="00315085" w:rsidRPr="00CC649A" w:rsidRDefault="00315085" w:rsidP="00CC649A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KMs of coastline protected against potential sea level rise</w:t>
            </w:r>
          </w:p>
          <w:p w14:paraId="261E23B9" w14:textId="2380278B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Baseline:</w:t>
            </w:r>
            <w:r w:rsidR="00CC649A">
              <w:rPr>
                <w:rFonts w:cs="Myriad Pro"/>
                <w:b/>
              </w:rPr>
              <w:t xml:space="preserve"> 2) 13;</w:t>
            </w:r>
            <w:r w:rsidR="004E3490">
              <w:rPr>
                <w:rFonts w:cs="Myriad Pro"/>
                <w:b/>
              </w:rPr>
              <w:t>3) 38%</w:t>
            </w:r>
          </w:p>
          <w:p w14:paraId="6D4D2926" w14:textId="0679BA65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Target:</w:t>
            </w:r>
            <w:r w:rsidR="00CC649A">
              <w:rPr>
                <w:rFonts w:cs="Myriad Pro"/>
                <w:b/>
              </w:rPr>
              <w:t>2) 15-20;</w:t>
            </w:r>
            <w:r w:rsidR="004E3490">
              <w:rPr>
                <w:rFonts w:cs="Myriad Pro"/>
                <w:b/>
              </w:rPr>
              <w:t xml:space="preserve"> 3) less than 20%</w:t>
            </w:r>
          </w:p>
          <w:p w14:paraId="443098CE" w14:textId="77777777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Data source</w:t>
            </w:r>
          </w:p>
        </w:tc>
        <w:tc>
          <w:tcPr>
            <w:tcW w:w="2223" w:type="dxa"/>
          </w:tcPr>
          <w:p w14:paraId="54938228" w14:textId="77777777" w:rsidR="0042773C" w:rsidRDefault="00240D46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lastRenderedPageBreak/>
              <w:t>Risk: Worsening trends of global warming</w:t>
            </w:r>
          </w:p>
          <w:p w14:paraId="0968C031" w14:textId="08CEC3B2" w:rsidR="00240D46" w:rsidRDefault="00240D46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lastRenderedPageBreak/>
              <w:t>Assumption: Success of national population strategy</w:t>
            </w:r>
          </w:p>
        </w:tc>
        <w:tc>
          <w:tcPr>
            <w:tcW w:w="1503" w:type="dxa"/>
          </w:tcPr>
          <w:p w14:paraId="1762F65F" w14:textId="235849BE" w:rsidR="0042773C" w:rsidRDefault="00990317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lastRenderedPageBreak/>
              <w:t xml:space="preserve">UNDP, FAO, UNHABITAT, </w:t>
            </w:r>
            <w:r>
              <w:rPr>
                <w:rFonts w:cs="Myriad Pro"/>
                <w:b/>
              </w:rPr>
              <w:lastRenderedPageBreak/>
              <w:t xml:space="preserve">UNIDO, WFP, IOM, </w:t>
            </w:r>
          </w:p>
        </w:tc>
        <w:tc>
          <w:tcPr>
            <w:tcW w:w="1017" w:type="dxa"/>
          </w:tcPr>
          <w:p w14:paraId="4A9264B1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530" w:type="dxa"/>
          </w:tcPr>
          <w:p w14:paraId="6D2DAD65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620" w:type="dxa"/>
          </w:tcPr>
          <w:p w14:paraId="0C61E665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</w:tr>
      <w:tr w:rsidR="0042773C" w14:paraId="6D4C3756" w14:textId="77777777" w:rsidTr="0042773C">
        <w:tc>
          <w:tcPr>
            <w:tcW w:w="1503" w:type="dxa"/>
          </w:tcPr>
          <w:p w14:paraId="158EB4C1" w14:textId="2F7D2E25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3495" w:type="dxa"/>
            <w:gridSpan w:val="7"/>
          </w:tcPr>
          <w:p w14:paraId="17C4A074" w14:textId="537AAF23" w:rsidR="0042773C" w:rsidRDefault="00E9464B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OUTCOME AREA</w:t>
            </w:r>
            <w:r w:rsidR="00EB365F">
              <w:rPr>
                <w:rFonts w:cs="Myriad Pro"/>
                <w:b/>
              </w:rPr>
              <w:t xml:space="preserve"> 4:</w:t>
            </w:r>
            <w:r w:rsidR="0042773C">
              <w:rPr>
                <w:rFonts w:cs="Myriad Pro"/>
                <w:b/>
              </w:rPr>
              <w:t xml:space="preserve"> Women’s Empowerment</w:t>
            </w:r>
          </w:p>
        </w:tc>
      </w:tr>
      <w:tr w:rsidR="0042773C" w14:paraId="6975CF7D" w14:textId="77777777" w:rsidTr="0042773C">
        <w:tc>
          <w:tcPr>
            <w:tcW w:w="1503" w:type="dxa"/>
          </w:tcPr>
          <w:p w14:paraId="3A8C4C60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3495" w:type="dxa"/>
            <w:gridSpan w:val="7"/>
          </w:tcPr>
          <w:p w14:paraId="1FF3DD19" w14:textId="5A4471EA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Related national development priority or goal</w:t>
            </w:r>
            <w:r w:rsidR="007C7E1A">
              <w:rPr>
                <w:rFonts w:cs="Myriad Pro"/>
                <w:b/>
              </w:rPr>
              <w:t xml:space="preserve"> 2030 National Women’s Empowerment Strategy</w:t>
            </w:r>
          </w:p>
        </w:tc>
      </w:tr>
      <w:tr w:rsidR="0042773C" w14:paraId="5E986A11" w14:textId="77777777" w:rsidTr="0042773C">
        <w:tc>
          <w:tcPr>
            <w:tcW w:w="1503" w:type="dxa"/>
          </w:tcPr>
          <w:p w14:paraId="3B7E6117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3495" w:type="dxa"/>
            <w:gridSpan w:val="7"/>
          </w:tcPr>
          <w:p w14:paraId="67A5CC38" w14:textId="53B57143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 xml:space="preserve">Related SDG(s) </w:t>
            </w:r>
            <w:r w:rsidR="00E9464B">
              <w:t>1, 2, 3, 4, 5, 8 and 16</w:t>
            </w:r>
          </w:p>
        </w:tc>
      </w:tr>
      <w:tr w:rsidR="0042773C" w14:paraId="68FFD9C1" w14:textId="77777777" w:rsidTr="00F323DF">
        <w:tc>
          <w:tcPr>
            <w:tcW w:w="3595" w:type="dxa"/>
            <w:gridSpan w:val="2"/>
          </w:tcPr>
          <w:p w14:paraId="1829F355" w14:textId="2A1F97F7" w:rsidR="0042773C" w:rsidRDefault="00EB365F" w:rsidP="00241E0F">
            <w:pPr>
              <w:rPr>
                <w:rFonts w:cs="Myriad Pro"/>
                <w:b/>
              </w:rPr>
            </w:pPr>
            <w:r w:rsidRPr="00EB365F">
              <w:rPr>
                <w:rFonts w:cs="Myriad Pro"/>
                <w:b/>
              </w:rPr>
              <w:t>By 2022, women are fully contributing to Egypt’s development and all women and girl’s rights set forth in the Constitution, are respected, protected and responded to with no discrimination.</w:t>
            </w:r>
          </w:p>
        </w:tc>
        <w:tc>
          <w:tcPr>
            <w:tcW w:w="3510" w:type="dxa"/>
          </w:tcPr>
          <w:p w14:paraId="2F8F8612" w14:textId="77777777" w:rsidR="00741C72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Indicator:</w:t>
            </w:r>
          </w:p>
          <w:p w14:paraId="1C68BF99" w14:textId="7F285F03" w:rsidR="0042773C" w:rsidRPr="002A6CBB" w:rsidRDefault="00741C72" w:rsidP="002A6CB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cs="Myriad Pro"/>
                <w:b/>
              </w:rPr>
            </w:pPr>
            <w:r w:rsidRPr="002A6CBB">
              <w:rPr>
                <w:rFonts w:cs="Myriad Pro"/>
                <w:b/>
              </w:rPr>
              <w:t>International rank of Egypt on the WEF Gender Gap Index</w:t>
            </w:r>
            <w:r w:rsidR="002A6CBB" w:rsidRPr="002A6CBB">
              <w:rPr>
                <w:rFonts w:cs="Myriad Pro"/>
                <w:b/>
              </w:rPr>
              <w:t>;</w:t>
            </w:r>
          </w:p>
          <w:p w14:paraId="6B80A11D" w14:textId="6FFE525B" w:rsidR="002A6CBB" w:rsidRDefault="00B962A0" w:rsidP="002A6CB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Percentage of women in senior management posts in the public sector;</w:t>
            </w:r>
          </w:p>
          <w:p w14:paraId="0939BF78" w14:textId="4070FF22" w:rsidR="00B962A0" w:rsidRDefault="00B962A0" w:rsidP="002A6CB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Percentage of women bet 20-29 that married before 18</w:t>
            </w:r>
          </w:p>
          <w:p w14:paraId="0E291386" w14:textId="58DEA663" w:rsidR="007D179A" w:rsidRDefault="007D179A" w:rsidP="002A6CB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Maternal mortality rate</w:t>
            </w:r>
            <w:r w:rsidR="00315085">
              <w:rPr>
                <w:rFonts w:cs="Myriad Pro"/>
                <w:b/>
              </w:rPr>
              <w:t>;</w:t>
            </w:r>
          </w:p>
          <w:p w14:paraId="2E1B17D6" w14:textId="77777777" w:rsidR="00315085" w:rsidRDefault="00315085" w:rsidP="002A6CB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lastRenderedPageBreak/>
              <w:t>% of women in Parliament;</w:t>
            </w:r>
          </w:p>
          <w:p w14:paraId="7DFEBD2E" w14:textId="77777777" w:rsidR="00315085" w:rsidRDefault="00315085" w:rsidP="002A6CB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% of girls under 15 who have been subject to FGM;</w:t>
            </w:r>
          </w:p>
          <w:p w14:paraId="0B5B6B75" w14:textId="2F400629" w:rsidR="00315085" w:rsidRDefault="00315085" w:rsidP="002A6CB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% of women subject to physical violence from husbands</w:t>
            </w:r>
            <w:r w:rsidR="007C7E1A">
              <w:rPr>
                <w:rFonts w:cs="Myriad Pro"/>
                <w:b/>
              </w:rPr>
              <w:t>;</w:t>
            </w:r>
          </w:p>
          <w:p w14:paraId="0337B6A6" w14:textId="7C85C56C" w:rsidR="007C7E1A" w:rsidRPr="002A6CBB" w:rsidRDefault="007C7E1A" w:rsidP="002A6CB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% of women with bank accounts</w:t>
            </w:r>
          </w:p>
          <w:p w14:paraId="798B2180" w14:textId="0CB12727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Baseline:</w:t>
            </w:r>
            <w:r w:rsidR="00741C72">
              <w:rPr>
                <w:rFonts w:cs="Myriad Pro"/>
                <w:b/>
              </w:rPr>
              <w:t xml:space="preserve"> </w:t>
            </w:r>
            <w:r w:rsidR="00B962A0">
              <w:rPr>
                <w:rFonts w:cs="Myriad Pro"/>
                <w:b/>
              </w:rPr>
              <w:t xml:space="preserve">1) </w:t>
            </w:r>
            <w:r w:rsidR="00741C72">
              <w:rPr>
                <w:rFonts w:cs="Myriad Pro"/>
                <w:b/>
              </w:rPr>
              <w:t>2014 , 129</w:t>
            </w:r>
            <w:r w:rsidR="00B962A0">
              <w:rPr>
                <w:rFonts w:cs="Myriad Pro"/>
                <w:b/>
              </w:rPr>
              <w:t>;2) 19;3) 18;</w:t>
            </w:r>
            <w:r w:rsidR="00315085">
              <w:rPr>
                <w:rFonts w:cs="Myriad Pro"/>
                <w:b/>
              </w:rPr>
              <w:t>5) 15;</w:t>
            </w:r>
            <w:r w:rsidR="007C7E1A">
              <w:rPr>
                <w:rFonts w:cs="Myriad Pro"/>
                <w:b/>
              </w:rPr>
              <w:t>6) 56;</w:t>
            </w:r>
            <w:r w:rsidR="00315085">
              <w:rPr>
                <w:rFonts w:cs="Myriad Pro"/>
                <w:b/>
              </w:rPr>
              <w:t>7) 25.2;</w:t>
            </w:r>
          </w:p>
          <w:p w14:paraId="6991324B" w14:textId="7E49B495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Target:</w:t>
            </w:r>
            <w:r w:rsidR="00741C72">
              <w:rPr>
                <w:rFonts w:cs="Myriad Pro"/>
                <w:b/>
              </w:rPr>
              <w:t xml:space="preserve"> </w:t>
            </w:r>
            <w:r w:rsidR="00B962A0">
              <w:rPr>
                <w:rFonts w:cs="Myriad Pro"/>
                <w:b/>
              </w:rPr>
              <w:t>1) 100; 2) 27; 3) 1 (for 2030);</w:t>
            </w:r>
            <w:r w:rsidR="00315085">
              <w:rPr>
                <w:rFonts w:cs="Myriad Pro"/>
                <w:b/>
              </w:rPr>
              <w:t xml:space="preserve"> 5) 35;</w:t>
            </w:r>
          </w:p>
          <w:p w14:paraId="6EACD447" w14:textId="4DDEEAC4" w:rsidR="0042773C" w:rsidRDefault="0042773C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Data source</w:t>
            </w:r>
            <w:r w:rsidR="00741C72">
              <w:rPr>
                <w:rFonts w:cs="Myriad Pro"/>
                <w:b/>
              </w:rPr>
              <w:t xml:space="preserve"> </w:t>
            </w:r>
            <w:r w:rsidR="007C7E1A">
              <w:rPr>
                <w:rFonts w:cs="Myriad Pro"/>
                <w:b/>
              </w:rPr>
              <w:t xml:space="preserve">1) </w:t>
            </w:r>
            <w:r w:rsidR="00741C72">
              <w:rPr>
                <w:rFonts w:cs="Myriad Pro"/>
                <w:b/>
              </w:rPr>
              <w:t>WEF</w:t>
            </w:r>
            <w:r w:rsidR="007C7E1A">
              <w:rPr>
                <w:rFonts w:cs="Myriad Pro"/>
                <w:b/>
              </w:rPr>
              <w:t>;</w:t>
            </w:r>
          </w:p>
          <w:p w14:paraId="02435EC3" w14:textId="0E25565C" w:rsidR="00741C72" w:rsidRDefault="007C7E1A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NB data on women’s economic empowerment is mostly captured under the first outcome</w:t>
            </w:r>
          </w:p>
        </w:tc>
        <w:tc>
          <w:tcPr>
            <w:tcW w:w="2223" w:type="dxa"/>
          </w:tcPr>
          <w:p w14:paraId="7F364C31" w14:textId="55B54747" w:rsidR="0042773C" w:rsidRDefault="007C7E1A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lastRenderedPageBreak/>
              <w:t>Risks: Decline in rate of job creation</w:t>
            </w:r>
          </w:p>
          <w:p w14:paraId="3C1F6BDB" w14:textId="02E1677C" w:rsidR="00240D46" w:rsidRDefault="007C7E1A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 xml:space="preserve">Assumption: </w:t>
            </w:r>
          </w:p>
        </w:tc>
        <w:tc>
          <w:tcPr>
            <w:tcW w:w="1503" w:type="dxa"/>
          </w:tcPr>
          <w:p w14:paraId="6D970773" w14:textId="0D11B77F" w:rsidR="0042773C" w:rsidRDefault="00990317" w:rsidP="00241E0F">
            <w:pPr>
              <w:rPr>
                <w:rFonts w:cs="Myriad Pro"/>
                <w:b/>
              </w:rPr>
            </w:pPr>
            <w:r>
              <w:rPr>
                <w:rFonts w:cs="Myriad Pro"/>
                <w:b/>
              </w:rPr>
              <w:t>UNWOMEN, UNDP, WFP, UNICEF, UNFPA, IOM, UNHCR, UNESCO</w:t>
            </w:r>
          </w:p>
        </w:tc>
        <w:tc>
          <w:tcPr>
            <w:tcW w:w="1017" w:type="dxa"/>
          </w:tcPr>
          <w:p w14:paraId="5605B1DA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530" w:type="dxa"/>
          </w:tcPr>
          <w:p w14:paraId="3384D854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  <w:tc>
          <w:tcPr>
            <w:tcW w:w="1620" w:type="dxa"/>
          </w:tcPr>
          <w:p w14:paraId="0A6BEA15" w14:textId="77777777" w:rsidR="0042773C" w:rsidRDefault="0042773C" w:rsidP="00241E0F">
            <w:pPr>
              <w:rPr>
                <w:rFonts w:cs="Myriad Pro"/>
                <w:b/>
              </w:rPr>
            </w:pPr>
          </w:p>
        </w:tc>
      </w:tr>
    </w:tbl>
    <w:p w14:paraId="3FA74CFB" w14:textId="0B66A99E" w:rsidR="00BD7C65" w:rsidRDefault="00BD7C65" w:rsidP="00BD7C65">
      <w:pPr>
        <w:rPr>
          <w:rFonts w:cs="Myriad Pro"/>
          <w:b/>
        </w:rPr>
      </w:pPr>
    </w:p>
    <w:p w14:paraId="104111E7" w14:textId="77777777" w:rsidR="00BD7C65" w:rsidRDefault="00BD7C65" w:rsidP="00BD7C65">
      <w:pPr>
        <w:rPr>
          <w:rFonts w:cs="Myriad Pro"/>
          <w:b/>
        </w:rPr>
      </w:pPr>
      <w:r>
        <w:rPr>
          <w:rFonts w:cs="Myriad Pro"/>
          <w:b/>
        </w:rPr>
        <w:t>Notes:</w:t>
      </w:r>
    </w:p>
    <w:p w14:paraId="2B5880CB" w14:textId="77777777" w:rsidR="00BD7C65" w:rsidRPr="0043626D" w:rsidRDefault="00BD7C65" w:rsidP="00BD7C65">
      <w:pPr>
        <w:rPr>
          <w:rFonts w:cs="Myriad Pro"/>
        </w:rPr>
      </w:pPr>
      <w:r w:rsidRPr="0043626D">
        <w:rPr>
          <w:rFonts w:cs="Myriad Pro"/>
          <w:b/>
        </w:rPr>
        <w:t>Resources projected to be available (A)</w:t>
      </w:r>
      <w:r>
        <w:rPr>
          <w:rFonts w:cs="Myriad Pro"/>
          <w:b/>
        </w:rPr>
        <w:t>:</w:t>
      </w:r>
      <w:r w:rsidRPr="0043626D">
        <w:rPr>
          <w:rFonts w:cs="Myriad Pro"/>
          <w:vertAlign w:val="superscript"/>
        </w:rPr>
        <w:footnoteReference w:id="1"/>
      </w:r>
      <w:r w:rsidRPr="0043626D">
        <w:rPr>
          <w:rFonts w:cs="Myriad Pro"/>
        </w:rPr>
        <w:t xml:space="preserve"> These are funds available from all sources and already secured (including under contract) at the time of the CBF preparation. They can include core/regular budget funds, as well as donor contributions received in-country, allocated from head</w:t>
      </w:r>
      <w:r w:rsidRPr="0043626D">
        <w:rPr>
          <w:rFonts w:cs="Myriad Pro"/>
        </w:rPr>
        <w:softHyphen/>
        <w:t>quarters or regional levels, and/or received through global funds and multidonor trust funds. They include confirmed donor resources, plus all pipeline funds under negotiation by UN organizations</w:t>
      </w:r>
      <w:r>
        <w:rPr>
          <w:rFonts w:cs="Myriad Pro"/>
        </w:rPr>
        <w:t>,</w:t>
      </w:r>
      <w:r w:rsidRPr="0043626D">
        <w:rPr>
          <w:rFonts w:cs="Myriad Pro"/>
        </w:rPr>
        <w:t xml:space="preserve"> and any expected potential resource contributions from other sources. </w:t>
      </w:r>
    </w:p>
    <w:p w14:paraId="7D51B639" w14:textId="77777777" w:rsidR="00BD7C65" w:rsidRPr="0043626D" w:rsidRDefault="00BD7C65" w:rsidP="00BD7C65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Myriad Pro Light"/>
        </w:rPr>
      </w:pPr>
      <w:r w:rsidRPr="0043626D">
        <w:rPr>
          <w:rFonts w:cs="Myriad Pro"/>
          <w:b/>
          <w:bCs/>
        </w:rPr>
        <w:t xml:space="preserve">To be mobilized (funding gap) (B): </w:t>
      </w:r>
      <w:r w:rsidRPr="0043626D">
        <w:rPr>
          <w:rFonts w:cs="Myriad Pro"/>
        </w:rPr>
        <w:t>This is the difference between resources already secured and firmly available</w:t>
      </w:r>
      <w:r>
        <w:rPr>
          <w:rFonts w:cs="Myriad Pro"/>
        </w:rPr>
        <w:t>,</w:t>
      </w:r>
      <w:r w:rsidRPr="0043626D">
        <w:rPr>
          <w:rFonts w:cs="Myriad Pro"/>
        </w:rPr>
        <w:t xml:space="preserve"> and resources </w:t>
      </w:r>
      <w:r>
        <w:rPr>
          <w:rFonts w:cs="Myriad Pro"/>
        </w:rPr>
        <w:t xml:space="preserve">required </w:t>
      </w:r>
      <w:r w:rsidRPr="0043626D">
        <w:rPr>
          <w:rFonts w:cs="Myriad Pro"/>
        </w:rPr>
        <w:t xml:space="preserve">to implement the UNDAF. This gap should be based both on needs and realistic projections of new resources that can be mobilized. </w:t>
      </w:r>
    </w:p>
    <w:p w14:paraId="42C897AD" w14:textId="77777777" w:rsidR="00BD7C65" w:rsidRPr="0043626D" w:rsidRDefault="00BD7C65" w:rsidP="00BD7C65">
      <w:pPr>
        <w:ind w:left="360"/>
        <w:contextualSpacing/>
        <w:rPr>
          <w:rFonts w:cs="Myriad Pro Light"/>
        </w:rPr>
      </w:pPr>
    </w:p>
    <w:p w14:paraId="246FA223" w14:textId="77777777" w:rsidR="00BD7C65" w:rsidRPr="0043626D" w:rsidRDefault="00BD7C65" w:rsidP="00BD7C65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Myriad Pro"/>
        </w:rPr>
      </w:pPr>
      <w:r w:rsidRPr="0043626D">
        <w:rPr>
          <w:rFonts w:cs="Myriad Pro"/>
          <w:b/>
          <w:bCs/>
        </w:rPr>
        <w:t xml:space="preserve">Total (C): </w:t>
      </w:r>
      <w:r w:rsidRPr="0043626D">
        <w:rPr>
          <w:rFonts w:cs="Myriad Pro"/>
          <w:bCs/>
        </w:rPr>
        <w:t>This is the</w:t>
      </w:r>
      <w:r w:rsidRPr="0043626D">
        <w:rPr>
          <w:rFonts w:cs="Myriad Pro"/>
          <w:b/>
          <w:bCs/>
        </w:rPr>
        <w:t xml:space="preserve"> </w:t>
      </w:r>
      <w:r w:rsidRPr="0043626D">
        <w:rPr>
          <w:rFonts w:cs="Myriad Pro"/>
          <w:bCs/>
        </w:rPr>
        <w:t>total estimated cost of implementing the UNDAF.  It is the sum of the available resources (</w:t>
      </w:r>
      <w:r w:rsidRPr="0043626D">
        <w:rPr>
          <w:rFonts w:cs="Myriad Pro"/>
          <w:b/>
          <w:bCs/>
        </w:rPr>
        <w:t>A</w:t>
      </w:r>
      <w:r w:rsidRPr="0043626D">
        <w:rPr>
          <w:rFonts w:cs="Myriad Pro"/>
          <w:bCs/>
        </w:rPr>
        <w:t>) and the resources to be mobilized (</w:t>
      </w:r>
      <w:r w:rsidRPr="0043626D">
        <w:rPr>
          <w:rFonts w:cs="Myriad Pro"/>
          <w:b/>
          <w:bCs/>
        </w:rPr>
        <w:t>B</w:t>
      </w:r>
      <w:r w:rsidRPr="0043626D">
        <w:rPr>
          <w:rFonts w:cs="Myriad Pro"/>
          <w:bCs/>
        </w:rPr>
        <w:t>).</w:t>
      </w:r>
    </w:p>
    <w:p w14:paraId="69ABEDD5" w14:textId="77777777" w:rsidR="00BD7C65" w:rsidRPr="0043626D" w:rsidRDefault="00BD7C65" w:rsidP="00BD7C65">
      <w:pPr>
        <w:tabs>
          <w:tab w:val="left" w:pos="1530"/>
        </w:tabs>
        <w:rPr>
          <w:rFonts w:cs="Myriad Pro Light"/>
        </w:rPr>
      </w:pPr>
    </w:p>
    <w:p w14:paraId="03CFEB69" w14:textId="77777777" w:rsidR="00BD7C65" w:rsidRPr="00AE037F" w:rsidRDefault="00290952" w:rsidP="00AE037F">
      <w:pPr>
        <w:rPr>
          <w:rFonts w:ascii="Arial" w:hAnsi="Arial" w:cs="Arial"/>
          <w:sz w:val="26"/>
          <w:szCs w:val="26"/>
        </w:rPr>
      </w:pPr>
      <w:r w:rsidRPr="00AE037F">
        <w:rPr>
          <w:rFonts w:ascii="Arial" w:hAnsi="Arial" w:cs="Arial"/>
          <w:sz w:val="26"/>
          <w:szCs w:val="26"/>
        </w:rPr>
        <w:br w:type="page"/>
      </w:r>
    </w:p>
    <w:p w14:paraId="5A86C541" w14:textId="77777777" w:rsidR="00BD7C65" w:rsidRDefault="00BD7C65" w:rsidP="00D369B1">
      <w:pPr>
        <w:pStyle w:val="Heading1"/>
        <w:numPr>
          <w:ilvl w:val="0"/>
          <w:numId w:val="39"/>
        </w:numPr>
        <w:sectPr w:rsidR="00BD7C65" w:rsidSect="00B07087">
          <w:footerReference w:type="firs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3BCE97F" w14:textId="4F7DEC5D" w:rsidR="002363DF" w:rsidRPr="000E6878" w:rsidRDefault="002363DF" w:rsidP="007D179A">
      <w:pPr>
        <w:jc w:val="both"/>
      </w:pPr>
    </w:p>
    <w:sectPr w:rsidR="002363DF" w:rsidRPr="000E6878" w:rsidSect="00B0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47FB" w14:textId="77777777" w:rsidR="009C0215" w:rsidRDefault="009C0215" w:rsidP="00AE037F">
      <w:pPr>
        <w:spacing w:after="0" w:line="240" w:lineRule="auto"/>
      </w:pPr>
      <w:r>
        <w:separator/>
      </w:r>
    </w:p>
  </w:endnote>
  <w:endnote w:type="continuationSeparator" w:id="0">
    <w:p w14:paraId="630A940D" w14:textId="77777777" w:rsidR="009C0215" w:rsidRDefault="009C0215" w:rsidP="00AE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134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F60033" w14:textId="58320DC6" w:rsidR="007C7E1A" w:rsidRDefault="007C7E1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B1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A56E01" w14:textId="77777777" w:rsidR="007C7E1A" w:rsidRDefault="007C7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5109" w14:textId="77777777" w:rsidR="007C7E1A" w:rsidRDefault="007C7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EB330" w14:textId="77777777" w:rsidR="009C0215" w:rsidRDefault="009C0215" w:rsidP="00AE037F">
      <w:pPr>
        <w:spacing w:after="0" w:line="240" w:lineRule="auto"/>
      </w:pPr>
      <w:r>
        <w:separator/>
      </w:r>
    </w:p>
  </w:footnote>
  <w:footnote w:type="continuationSeparator" w:id="0">
    <w:p w14:paraId="124CAA95" w14:textId="77777777" w:rsidR="009C0215" w:rsidRDefault="009C0215" w:rsidP="00AE037F">
      <w:pPr>
        <w:spacing w:after="0" w:line="240" w:lineRule="auto"/>
      </w:pPr>
      <w:r>
        <w:continuationSeparator/>
      </w:r>
    </w:p>
  </w:footnote>
  <w:footnote w:id="1">
    <w:p w14:paraId="010DE108" w14:textId="77777777" w:rsidR="007C7E1A" w:rsidRPr="004E4B80" w:rsidRDefault="007C7E1A" w:rsidP="00BD7C65">
      <w:pPr>
        <w:rPr>
          <w:sz w:val="16"/>
          <w:szCs w:val="16"/>
        </w:rPr>
      </w:pPr>
      <w:r w:rsidRPr="004E4B80">
        <w:rPr>
          <w:rStyle w:val="FootnoteReference"/>
          <w:sz w:val="16"/>
          <w:szCs w:val="16"/>
        </w:rPr>
        <w:footnoteRef/>
      </w:r>
      <w:r w:rsidRPr="004E4B80">
        <w:rPr>
          <w:sz w:val="16"/>
          <w:szCs w:val="16"/>
        </w:rPr>
        <w:t xml:space="preserve"> </w:t>
      </w:r>
      <w:r w:rsidRPr="004E4B80">
        <w:rPr>
          <w:rFonts w:cs="Myriad Pro Light"/>
          <w:sz w:val="16"/>
          <w:szCs w:val="16"/>
        </w:rPr>
        <w:t xml:space="preserve">In both (A) and (B) the UN </w:t>
      </w:r>
      <w:r>
        <w:rPr>
          <w:rFonts w:cs="Myriad Pro Light"/>
          <w:sz w:val="16"/>
          <w:szCs w:val="16"/>
        </w:rPr>
        <w:t xml:space="preserve">system </w:t>
      </w:r>
      <w:r w:rsidRPr="004E4B80">
        <w:rPr>
          <w:rFonts w:cs="Myriad Pro Light"/>
          <w:sz w:val="16"/>
          <w:szCs w:val="16"/>
        </w:rPr>
        <w:t>should consider the following elements in planning</w:t>
      </w:r>
      <w:r>
        <w:rPr>
          <w:rFonts w:cs="Myriad Pro Light"/>
          <w:sz w:val="16"/>
          <w:szCs w:val="16"/>
        </w:rPr>
        <w:t xml:space="preserve">. </w:t>
      </w:r>
      <w:r w:rsidRPr="004E4B80">
        <w:rPr>
          <w:rFonts w:cs="Myriad Pro Light"/>
          <w:sz w:val="16"/>
          <w:szCs w:val="16"/>
          <w:u w:val="single"/>
        </w:rPr>
        <w:t>Unearmarked/soft earmarked funds</w:t>
      </w:r>
      <w:r>
        <w:rPr>
          <w:rFonts w:cs="Myriad Pro Light"/>
          <w:sz w:val="16"/>
          <w:szCs w:val="16"/>
        </w:rPr>
        <w:t xml:space="preserve"> are</w:t>
      </w:r>
      <w:r w:rsidRPr="004E4B80">
        <w:rPr>
          <w:rFonts w:cs="Myriad Pro Light"/>
          <w:sz w:val="16"/>
          <w:szCs w:val="16"/>
        </w:rPr>
        <w:t xml:space="preserve"> core/regular budget funds, thematic funds or any fund</w:t>
      </w:r>
      <w:r>
        <w:rPr>
          <w:rFonts w:cs="Myriad Pro Light"/>
          <w:sz w:val="16"/>
          <w:szCs w:val="16"/>
        </w:rPr>
        <w:t>ing</w:t>
      </w:r>
      <w:r w:rsidRPr="004E4B80">
        <w:rPr>
          <w:rFonts w:cs="Myriad Pro Light"/>
          <w:sz w:val="16"/>
          <w:szCs w:val="16"/>
        </w:rPr>
        <w:t xml:space="preserve"> that can be allocated by the UN </w:t>
      </w:r>
      <w:r>
        <w:rPr>
          <w:rFonts w:cs="Myriad Pro Light"/>
          <w:sz w:val="16"/>
          <w:szCs w:val="16"/>
        </w:rPr>
        <w:t xml:space="preserve">system </w:t>
      </w:r>
      <w:r w:rsidRPr="004E4B80">
        <w:rPr>
          <w:rFonts w:cs="Myriad Pro Light"/>
          <w:sz w:val="16"/>
          <w:szCs w:val="16"/>
        </w:rPr>
        <w:t xml:space="preserve">or </w:t>
      </w:r>
      <w:r>
        <w:rPr>
          <w:rFonts w:cs="Myriad Pro Light"/>
          <w:sz w:val="16"/>
          <w:szCs w:val="16"/>
        </w:rPr>
        <w:t>a</w:t>
      </w:r>
      <w:r w:rsidRPr="004E4B80">
        <w:rPr>
          <w:rFonts w:cs="Myriad Pro Light"/>
          <w:sz w:val="16"/>
          <w:szCs w:val="16"/>
        </w:rPr>
        <w:t xml:space="preserve"> specific </w:t>
      </w:r>
      <w:r>
        <w:rPr>
          <w:rFonts w:cs="Myriad Pro Light"/>
          <w:sz w:val="16"/>
          <w:szCs w:val="16"/>
        </w:rPr>
        <w:t>organization</w:t>
      </w:r>
      <w:r w:rsidRPr="004E4B80">
        <w:rPr>
          <w:rFonts w:cs="Myriad Pro Light"/>
          <w:sz w:val="16"/>
          <w:szCs w:val="16"/>
        </w:rPr>
        <w:t xml:space="preserve"> with a certain degree of flexibility.</w:t>
      </w:r>
      <w:r>
        <w:rPr>
          <w:rFonts w:cs="Myriad Pro Light"/>
          <w:sz w:val="16"/>
          <w:szCs w:val="16"/>
          <w:u w:val="single"/>
        </w:rPr>
        <w:t xml:space="preserve"> </w:t>
      </w:r>
      <w:r w:rsidRPr="004E4B80">
        <w:rPr>
          <w:rFonts w:cs="Myriad Pro Light"/>
          <w:sz w:val="16"/>
          <w:szCs w:val="16"/>
          <w:u w:val="single"/>
        </w:rPr>
        <w:t>Strictly earmarked funds</w:t>
      </w:r>
      <w:r>
        <w:rPr>
          <w:rFonts w:cs="Myriad Pro Light"/>
          <w:sz w:val="16"/>
          <w:szCs w:val="16"/>
        </w:rPr>
        <w:t xml:space="preserve"> apply </w:t>
      </w:r>
      <w:r w:rsidRPr="004E4B80">
        <w:rPr>
          <w:rFonts w:cs="Myriad Pro Light"/>
          <w:sz w:val="16"/>
          <w:szCs w:val="16"/>
        </w:rPr>
        <w:t>towards a specific project/output</w:t>
      </w:r>
      <w:r>
        <w:rPr>
          <w:rFonts w:cs="Myriad Pro Light"/>
          <w:sz w:val="16"/>
          <w:szCs w:val="16"/>
        </w:rPr>
        <w:t>;</w:t>
      </w:r>
      <w:r w:rsidRPr="004E4B80">
        <w:rPr>
          <w:rFonts w:cs="Myriad Pro Light"/>
          <w:sz w:val="16"/>
          <w:szCs w:val="16"/>
        </w:rPr>
        <w:t xml:space="preserve"> the UN</w:t>
      </w:r>
      <w:r>
        <w:rPr>
          <w:rFonts w:cs="Myriad Pro Light"/>
          <w:sz w:val="16"/>
          <w:szCs w:val="16"/>
        </w:rPr>
        <w:t xml:space="preserve"> system</w:t>
      </w:r>
      <w:r w:rsidRPr="004E4B80">
        <w:rPr>
          <w:rFonts w:cs="Myriad Pro Light"/>
          <w:sz w:val="16"/>
          <w:szCs w:val="16"/>
        </w:rPr>
        <w:t xml:space="preserve"> or </w:t>
      </w:r>
      <w:r>
        <w:rPr>
          <w:rFonts w:cs="Myriad Pro Light"/>
          <w:sz w:val="16"/>
          <w:szCs w:val="16"/>
        </w:rPr>
        <w:t>an individual organization</w:t>
      </w:r>
      <w:r w:rsidRPr="004E4B80">
        <w:rPr>
          <w:rFonts w:cs="Myriad Pro Light"/>
          <w:sz w:val="16"/>
          <w:szCs w:val="16"/>
        </w:rPr>
        <w:t xml:space="preserve"> </w:t>
      </w:r>
      <w:r>
        <w:rPr>
          <w:rFonts w:cs="Myriad Pro Light"/>
          <w:sz w:val="16"/>
          <w:szCs w:val="16"/>
        </w:rPr>
        <w:t>cannot</w:t>
      </w:r>
      <w:r w:rsidRPr="004E4B80">
        <w:rPr>
          <w:rFonts w:cs="Myriad Pro Light"/>
          <w:sz w:val="16"/>
          <w:szCs w:val="16"/>
        </w:rPr>
        <w:t xml:space="preserve"> reallocate </w:t>
      </w:r>
      <w:r>
        <w:rPr>
          <w:rFonts w:cs="Myriad Pro Light"/>
          <w:sz w:val="16"/>
          <w:szCs w:val="16"/>
        </w:rPr>
        <w:t xml:space="preserve">them </w:t>
      </w:r>
      <w:r w:rsidRPr="004E4B80">
        <w:rPr>
          <w:rFonts w:cs="Myriad Pro Light"/>
          <w:sz w:val="16"/>
          <w:szCs w:val="16"/>
        </w:rPr>
        <w:t>towards different priorities/outputs</w:t>
      </w:r>
      <w:r>
        <w:rPr>
          <w:rFonts w:cs="Myriad Pro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269580"/>
      <w:docPartObj>
        <w:docPartGallery w:val="Watermarks"/>
        <w:docPartUnique/>
      </w:docPartObj>
    </w:sdtPr>
    <w:sdtEndPr/>
    <w:sdtContent>
      <w:p w14:paraId="3E41A3D1" w14:textId="306522E9" w:rsidR="007C7E1A" w:rsidRDefault="009C0215">
        <w:pPr>
          <w:pStyle w:val="Header"/>
        </w:pPr>
        <w:r>
          <w:rPr>
            <w:noProof/>
          </w:rPr>
          <w:pict w14:anchorId="6649EA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490"/>
    <w:multiLevelType w:val="hybridMultilevel"/>
    <w:tmpl w:val="ADAAD986"/>
    <w:lvl w:ilvl="0" w:tplc="8916A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3065"/>
    <w:multiLevelType w:val="hybridMultilevel"/>
    <w:tmpl w:val="9014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0A8B"/>
    <w:multiLevelType w:val="hybridMultilevel"/>
    <w:tmpl w:val="0AC0D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885E9E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30D6"/>
    <w:multiLevelType w:val="hybridMultilevel"/>
    <w:tmpl w:val="8A241EC8"/>
    <w:lvl w:ilvl="0" w:tplc="F4D2C9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C2EA1"/>
    <w:multiLevelType w:val="hybridMultilevel"/>
    <w:tmpl w:val="0C1E1C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81A5E"/>
    <w:multiLevelType w:val="hybridMultilevel"/>
    <w:tmpl w:val="E4C63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328A"/>
    <w:multiLevelType w:val="hybridMultilevel"/>
    <w:tmpl w:val="1826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59F2"/>
    <w:multiLevelType w:val="hybridMultilevel"/>
    <w:tmpl w:val="C9DA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377B6"/>
    <w:multiLevelType w:val="hybridMultilevel"/>
    <w:tmpl w:val="38B61CC0"/>
    <w:lvl w:ilvl="0" w:tplc="D48225C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25B3B"/>
    <w:multiLevelType w:val="hybridMultilevel"/>
    <w:tmpl w:val="B1FC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85F11"/>
    <w:multiLevelType w:val="hybridMultilevel"/>
    <w:tmpl w:val="49080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4708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72B6691"/>
    <w:multiLevelType w:val="hybridMultilevel"/>
    <w:tmpl w:val="2A68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90681"/>
    <w:multiLevelType w:val="hybridMultilevel"/>
    <w:tmpl w:val="667A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C2984"/>
    <w:multiLevelType w:val="hybridMultilevel"/>
    <w:tmpl w:val="45286A9A"/>
    <w:lvl w:ilvl="0" w:tplc="B2B6756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31F2"/>
    <w:multiLevelType w:val="hybridMultilevel"/>
    <w:tmpl w:val="B388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190B"/>
    <w:multiLevelType w:val="hybridMultilevel"/>
    <w:tmpl w:val="9C8051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EF26694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B80E69"/>
    <w:multiLevelType w:val="hybridMultilevel"/>
    <w:tmpl w:val="07C0B7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B683F"/>
    <w:multiLevelType w:val="hybridMultilevel"/>
    <w:tmpl w:val="0D9C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11539"/>
    <w:multiLevelType w:val="hybridMultilevel"/>
    <w:tmpl w:val="C07C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17F15"/>
    <w:multiLevelType w:val="hybridMultilevel"/>
    <w:tmpl w:val="0C1E1C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C615E"/>
    <w:multiLevelType w:val="hybridMultilevel"/>
    <w:tmpl w:val="43FC8596"/>
    <w:lvl w:ilvl="0" w:tplc="869EF6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2603C"/>
    <w:multiLevelType w:val="hybridMultilevel"/>
    <w:tmpl w:val="56B6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6728D"/>
    <w:multiLevelType w:val="hybridMultilevel"/>
    <w:tmpl w:val="F64C7204"/>
    <w:lvl w:ilvl="0" w:tplc="8B965E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95ADF"/>
    <w:multiLevelType w:val="hybridMultilevel"/>
    <w:tmpl w:val="EEDE62DA"/>
    <w:lvl w:ilvl="0" w:tplc="918C14A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B2293"/>
    <w:multiLevelType w:val="hybridMultilevel"/>
    <w:tmpl w:val="185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0A8"/>
    <w:multiLevelType w:val="hybridMultilevel"/>
    <w:tmpl w:val="70D4E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223BF"/>
    <w:multiLevelType w:val="hybridMultilevel"/>
    <w:tmpl w:val="CCF67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619E6"/>
    <w:multiLevelType w:val="hybridMultilevel"/>
    <w:tmpl w:val="F1C4A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D26AE"/>
    <w:multiLevelType w:val="hybridMultilevel"/>
    <w:tmpl w:val="203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F743B"/>
    <w:multiLevelType w:val="hybridMultilevel"/>
    <w:tmpl w:val="C6AEA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D5D89"/>
    <w:multiLevelType w:val="hybridMultilevel"/>
    <w:tmpl w:val="5BFC4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023B0"/>
    <w:multiLevelType w:val="hybridMultilevel"/>
    <w:tmpl w:val="B29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45925"/>
    <w:multiLevelType w:val="hybridMultilevel"/>
    <w:tmpl w:val="759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956"/>
    <w:multiLevelType w:val="multilevel"/>
    <w:tmpl w:val="AAC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6957D0"/>
    <w:multiLevelType w:val="hybridMultilevel"/>
    <w:tmpl w:val="2FB219F2"/>
    <w:lvl w:ilvl="0" w:tplc="5EC2D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84DFB"/>
    <w:multiLevelType w:val="hybridMultilevel"/>
    <w:tmpl w:val="1FBC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618BD"/>
    <w:multiLevelType w:val="hybridMultilevel"/>
    <w:tmpl w:val="0C1E1C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405CB1"/>
    <w:multiLevelType w:val="hybridMultilevel"/>
    <w:tmpl w:val="662868E8"/>
    <w:lvl w:ilvl="0" w:tplc="869EF6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81ACE"/>
    <w:multiLevelType w:val="hybridMultilevel"/>
    <w:tmpl w:val="B2BEB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649ED"/>
    <w:multiLevelType w:val="hybridMultilevel"/>
    <w:tmpl w:val="498AC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80260"/>
    <w:multiLevelType w:val="hybridMultilevel"/>
    <w:tmpl w:val="AD9A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5492A"/>
    <w:multiLevelType w:val="hybridMultilevel"/>
    <w:tmpl w:val="08D0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23688"/>
    <w:multiLevelType w:val="hybridMultilevel"/>
    <w:tmpl w:val="89BA398E"/>
    <w:lvl w:ilvl="0" w:tplc="D48225C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93A7F"/>
    <w:multiLevelType w:val="hybridMultilevel"/>
    <w:tmpl w:val="952A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76BC0"/>
    <w:multiLevelType w:val="hybridMultilevel"/>
    <w:tmpl w:val="941A2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31"/>
  </w:num>
  <w:num w:numId="4">
    <w:abstractNumId w:val="34"/>
  </w:num>
  <w:num w:numId="5">
    <w:abstractNumId w:val="16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43"/>
  </w:num>
  <w:num w:numId="14">
    <w:abstractNumId w:val="4"/>
  </w:num>
  <w:num w:numId="15">
    <w:abstractNumId w:val="20"/>
  </w:num>
  <w:num w:numId="16">
    <w:abstractNumId w:val="7"/>
  </w:num>
  <w:num w:numId="17">
    <w:abstractNumId w:val="36"/>
  </w:num>
  <w:num w:numId="18">
    <w:abstractNumId w:val="2"/>
  </w:num>
  <w:num w:numId="19">
    <w:abstractNumId w:val="33"/>
  </w:num>
  <w:num w:numId="20">
    <w:abstractNumId w:val="23"/>
  </w:num>
  <w:num w:numId="21">
    <w:abstractNumId w:val="29"/>
  </w:num>
  <w:num w:numId="22">
    <w:abstractNumId w:val="0"/>
  </w:num>
  <w:num w:numId="23">
    <w:abstractNumId w:val="21"/>
  </w:num>
  <w:num w:numId="24">
    <w:abstractNumId w:val="1"/>
  </w:num>
  <w:num w:numId="25">
    <w:abstractNumId w:val="13"/>
  </w:num>
  <w:num w:numId="26">
    <w:abstractNumId w:val="38"/>
  </w:num>
  <w:num w:numId="27">
    <w:abstractNumId w:val="35"/>
  </w:num>
  <w:num w:numId="28">
    <w:abstractNumId w:val="25"/>
  </w:num>
  <w:num w:numId="29">
    <w:abstractNumId w:val="18"/>
  </w:num>
  <w:num w:numId="30">
    <w:abstractNumId w:val="12"/>
  </w:num>
  <w:num w:numId="31">
    <w:abstractNumId w:val="41"/>
  </w:num>
  <w:num w:numId="32">
    <w:abstractNumId w:val="6"/>
  </w:num>
  <w:num w:numId="33">
    <w:abstractNumId w:val="42"/>
  </w:num>
  <w:num w:numId="34">
    <w:abstractNumId w:val="19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7"/>
  </w:num>
  <w:num w:numId="38">
    <w:abstractNumId w:val="3"/>
  </w:num>
  <w:num w:numId="39">
    <w:abstractNumId w:val="24"/>
  </w:num>
  <w:num w:numId="40">
    <w:abstractNumId w:val="9"/>
  </w:num>
  <w:num w:numId="41">
    <w:abstractNumId w:val="39"/>
  </w:num>
  <w:num w:numId="42">
    <w:abstractNumId w:val="10"/>
  </w:num>
  <w:num w:numId="43">
    <w:abstractNumId w:val="45"/>
  </w:num>
  <w:num w:numId="44">
    <w:abstractNumId w:val="28"/>
  </w:num>
  <w:num w:numId="45">
    <w:abstractNumId w:val="5"/>
  </w:num>
  <w:num w:numId="46">
    <w:abstractNumId w:val="4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52"/>
    <w:rsid w:val="000277CA"/>
    <w:rsid w:val="000329D5"/>
    <w:rsid w:val="00061348"/>
    <w:rsid w:val="00072619"/>
    <w:rsid w:val="0007484C"/>
    <w:rsid w:val="00074FD7"/>
    <w:rsid w:val="00090392"/>
    <w:rsid w:val="000C6AE1"/>
    <w:rsid w:val="000D4797"/>
    <w:rsid w:val="000D618E"/>
    <w:rsid w:val="000E0128"/>
    <w:rsid w:val="000E6878"/>
    <w:rsid w:val="000F35AD"/>
    <w:rsid w:val="001502F3"/>
    <w:rsid w:val="00167A45"/>
    <w:rsid w:val="00180F6C"/>
    <w:rsid w:val="00181041"/>
    <w:rsid w:val="00197AAD"/>
    <w:rsid w:val="001C2DAA"/>
    <w:rsid w:val="001C567D"/>
    <w:rsid w:val="001E236F"/>
    <w:rsid w:val="00202C29"/>
    <w:rsid w:val="00230A3D"/>
    <w:rsid w:val="00233049"/>
    <w:rsid w:val="002363DF"/>
    <w:rsid w:val="00240D46"/>
    <w:rsid w:val="00241E0F"/>
    <w:rsid w:val="00254A75"/>
    <w:rsid w:val="00256F0E"/>
    <w:rsid w:val="002662B6"/>
    <w:rsid w:val="00270088"/>
    <w:rsid w:val="00290952"/>
    <w:rsid w:val="002A50B4"/>
    <w:rsid w:val="002A6CBB"/>
    <w:rsid w:val="002B7AAE"/>
    <w:rsid w:val="002C4A9A"/>
    <w:rsid w:val="002F74D1"/>
    <w:rsid w:val="003113E3"/>
    <w:rsid w:val="00315085"/>
    <w:rsid w:val="0032106D"/>
    <w:rsid w:val="003404C4"/>
    <w:rsid w:val="0035149A"/>
    <w:rsid w:val="00363EAF"/>
    <w:rsid w:val="00370235"/>
    <w:rsid w:val="0038128D"/>
    <w:rsid w:val="00381296"/>
    <w:rsid w:val="003905EC"/>
    <w:rsid w:val="0039185C"/>
    <w:rsid w:val="003A593C"/>
    <w:rsid w:val="003C4D59"/>
    <w:rsid w:val="003D1B71"/>
    <w:rsid w:val="003F4C23"/>
    <w:rsid w:val="0042773C"/>
    <w:rsid w:val="0046462E"/>
    <w:rsid w:val="00467139"/>
    <w:rsid w:val="004932ED"/>
    <w:rsid w:val="004E00EA"/>
    <w:rsid w:val="004E3490"/>
    <w:rsid w:val="005132FA"/>
    <w:rsid w:val="00514B17"/>
    <w:rsid w:val="00534292"/>
    <w:rsid w:val="00557A7F"/>
    <w:rsid w:val="00565614"/>
    <w:rsid w:val="00566C19"/>
    <w:rsid w:val="00570F6D"/>
    <w:rsid w:val="005717EE"/>
    <w:rsid w:val="00586853"/>
    <w:rsid w:val="005B172A"/>
    <w:rsid w:val="005B1F53"/>
    <w:rsid w:val="005C53B4"/>
    <w:rsid w:val="005D073B"/>
    <w:rsid w:val="00600CB6"/>
    <w:rsid w:val="00606A70"/>
    <w:rsid w:val="00607025"/>
    <w:rsid w:val="00623256"/>
    <w:rsid w:val="0063153D"/>
    <w:rsid w:val="006718CF"/>
    <w:rsid w:val="00686966"/>
    <w:rsid w:val="00696424"/>
    <w:rsid w:val="006A2F45"/>
    <w:rsid w:val="006B3EF2"/>
    <w:rsid w:val="006F2F12"/>
    <w:rsid w:val="006F6F67"/>
    <w:rsid w:val="00702285"/>
    <w:rsid w:val="0070719E"/>
    <w:rsid w:val="00716CE7"/>
    <w:rsid w:val="007225B0"/>
    <w:rsid w:val="00723EB6"/>
    <w:rsid w:val="00735A72"/>
    <w:rsid w:val="00741C72"/>
    <w:rsid w:val="00742F9F"/>
    <w:rsid w:val="00752FAB"/>
    <w:rsid w:val="00766001"/>
    <w:rsid w:val="007668D7"/>
    <w:rsid w:val="0079739C"/>
    <w:rsid w:val="007C2D43"/>
    <w:rsid w:val="007C6E6A"/>
    <w:rsid w:val="007C7E1A"/>
    <w:rsid w:val="007D139F"/>
    <w:rsid w:val="007D179A"/>
    <w:rsid w:val="007E1DEA"/>
    <w:rsid w:val="007E5EDA"/>
    <w:rsid w:val="0080676E"/>
    <w:rsid w:val="0089572A"/>
    <w:rsid w:val="008A044B"/>
    <w:rsid w:val="008A11B9"/>
    <w:rsid w:val="009017B7"/>
    <w:rsid w:val="00916978"/>
    <w:rsid w:val="00930B31"/>
    <w:rsid w:val="00947804"/>
    <w:rsid w:val="00962BAB"/>
    <w:rsid w:val="00990317"/>
    <w:rsid w:val="009A04FB"/>
    <w:rsid w:val="009A1FB1"/>
    <w:rsid w:val="009B3258"/>
    <w:rsid w:val="009C0215"/>
    <w:rsid w:val="00A05842"/>
    <w:rsid w:val="00A163AF"/>
    <w:rsid w:val="00A16667"/>
    <w:rsid w:val="00A211A1"/>
    <w:rsid w:val="00A37BD9"/>
    <w:rsid w:val="00A46D0F"/>
    <w:rsid w:val="00A53C36"/>
    <w:rsid w:val="00A61BA7"/>
    <w:rsid w:val="00A61DFD"/>
    <w:rsid w:val="00AA3960"/>
    <w:rsid w:val="00AD6015"/>
    <w:rsid w:val="00AE037F"/>
    <w:rsid w:val="00AE0DF9"/>
    <w:rsid w:val="00AF48A3"/>
    <w:rsid w:val="00AF4EC5"/>
    <w:rsid w:val="00B07087"/>
    <w:rsid w:val="00B176E7"/>
    <w:rsid w:val="00B37E22"/>
    <w:rsid w:val="00B44348"/>
    <w:rsid w:val="00B63550"/>
    <w:rsid w:val="00B670C0"/>
    <w:rsid w:val="00B8295C"/>
    <w:rsid w:val="00B9222E"/>
    <w:rsid w:val="00B93CF5"/>
    <w:rsid w:val="00B962A0"/>
    <w:rsid w:val="00BB5281"/>
    <w:rsid w:val="00BD7118"/>
    <w:rsid w:val="00BD7C65"/>
    <w:rsid w:val="00BE2C81"/>
    <w:rsid w:val="00BE3454"/>
    <w:rsid w:val="00C122A2"/>
    <w:rsid w:val="00C43B71"/>
    <w:rsid w:val="00C74EBF"/>
    <w:rsid w:val="00C7521F"/>
    <w:rsid w:val="00CA174B"/>
    <w:rsid w:val="00CA5B06"/>
    <w:rsid w:val="00CC649A"/>
    <w:rsid w:val="00CE1324"/>
    <w:rsid w:val="00D04CB1"/>
    <w:rsid w:val="00D10291"/>
    <w:rsid w:val="00D15244"/>
    <w:rsid w:val="00D25282"/>
    <w:rsid w:val="00D27668"/>
    <w:rsid w:val="00D369B1"/>
    <w:rsid w:val="00D445E3"/>
    <w:rsid w:val="00D832E5"/>
    <w:rsid w:val="00D83D93"/>
    <w:rsid w:val="00DB5E17"/>
    <w:rsid w:val="00DB7B1B"/>
    <w:rsid w:val="00DD386B"/>
    <w:rsid w:val="00DD7AD0"/>
    <w:rsid w:val="00DE7CF2"/>
    <w:rsid w:val="00DF4471"/>
    <w:rsid w:val="00E03D56"/>
    <w:rsid w:val="00E122B8"/>
    <w:rsid w:val="00E150D9"/>
    <w:rsid w:val="00E40E5B"/>
    <w:rsid w:val="00E4206E"/>
    <w:rsid w:val="00E445FC"/>
    <w:rsid w:val="00E513E4"/>
    <w:rsid w:val="00E5639B"/>
    <w:rsid w:val="00E66670"/>
    <w:rsid w:val="00E76887"/>
    <w:rsid w:val="00E84F84"/>
    <w:rsid w:val="00E90BB5"/>
    <w:rsid w:val="00E9464B"/>
    <w:rsid w:val="00EA3195"/>
    <w:rsid w:val="00EB365F"/>
    <w:rsid w:val="00EB7125"/>
    <w:rsid w:val="00ED61D4"/>
    <w:rsid w:val="00ED67DE"/>
    <w:rsid w:val="00EF1F17"/>
    <w:rsid w:val="00EF496F"/>
    <w:rsid w:val="00F12D43"/>
    <w:rsid w:val="00F317B2"/>
    <w:rsid w:val="00F323DF"/>
    <w:rsid w:val="00F32C94"/>
    <w:rsid w:val="00F64C84"/>
    <w:rsid w:val="00F660CF"/>
    <w:rsid w:val="00F73F77"/>
    <w:rsid w:val="00F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993C0D5"/>
  <w15:docId w15:val="{669122C5-5D15-4841-9C1C-E37B908C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C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7B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9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095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E037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E037F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E037F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AE037F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AE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7F"/>
  </w:style>
  <w:style w:type="paragraph" w:styleId="Footer">
    <w:name w:val="footer"/>
    <w:basedOn w:val="Normal"/>
    <w:link w:val="FooterChar"/>
    <w:uiPriority w:val="99"/>
    <w:unhideWhenUsed/>
    <w:rsid w:val="00AE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7F"/>
  </w:style>
  <w:style w:type="character" w:customStyle="1" w:styleId="Heading2Char">
    <w:name w:val="Heading 2 Char"/>
    <w:basedOn w:val="DefaultParagraphFont"/>
    <w:link w:val="Heading2"/>
    <w:uiPriority w:val="9"/>
    <w:rsid w:val="00A37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37BD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ame">
    <w:name w:val="name"/>
    <w:basedOn w:val="Normal"/>
    <w:rsid w:val="00A3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ignation">
    <w:name w:val="designation"/>
    <w:basedOn w:val="DefaultParagraphFont"/>
    <w:rsid w:val="00A37BD9"/>
  </w:style>
  <w:style w:type="character" w:customStyle="1" w:styleId="mail-icon">
    <w:name w:val="mail-icon"/>
    <w:basedOn w:val="DefaultParagraphFont"/>
    <w:rsid w:val="00A37BD9"/>
  </w:style>
  <w:style w:type="character" w:customStyle="1" w:styleId="apple-converted-space">
    <w:name w:val="apple-converted-space"/>
    <w:basedOn w:val="DefaultParagraphFont"/>
    <w:rsid w:val="00A37BD9"/>
  </w:style>
  <w:style w:type="paragraph" w:styleId="NoSpacing">
    <w:name w:val="No Spacing"/>
    <w:uiPriority w:val="1"/>
    <w:qFormat/>
    <w:rsid w:val="00A37BD9"/>
    <w:pPr>
      <w:spacing w:after="0" w:line="240" w:lineRule="auto"/>
    </w:pPr>
  </w:style>
  <w:style w:type="character" w:styleId="FootnoteReference">
    <w:name w:val="footnote reference"/>
    <w:aliases w:val="4_G,Footnotes refss,Footnote Ref,16 Point,Superscript 6 Point,callout,Ref,de nota al pie,Appel note de bas de p.,ftref,BVI fnr,fr,Used by Word for Help footnote symbols,BVI fnr Char Char Char Char Char Char,BVI fnr Char Char1 Char,f"/>
    <w:basedOn w:val="DefaultParagraphFont"/>
    <w:uiPriority w:val="99"/>
    <w:unhideWhenUsed/>
    <w:qFormat/>
    <w:rsid w:val="00BD7C65"/>
    <w:rPr>
      <w:vertAlign w:val="superscript"/>
    </w:rPr>
  </w:style>
  <w:style w:type="table" w:styleId="TableGrid">
    <w:name w:val="Table Grid"/>
    <w:basedOn w:val="TableNormal"/>
    <w:uiPriority w:val="59"/>
    <w:rsid w:val="00BD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F74D1"/>
  </w:style>
  <w:style w:type="paragraph" w:styleId="ListParagraph">
    <w:name w:val="List Paragraph"/>
    <w:basedOn w:val="Normal"/>
    <w:link w:val="ListParagraphChar"/>
    <w:uiPriority w:val="34"/>
    <w:qFormat/>
    <w:rsid w:val="002F74D1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711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363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63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6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6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67"/>
    <w:rPr>
      <w:rFonts w:ascii="Segoe UI" w:hAnsi="Segoe UI" w:cs="Segoe UI"/>
      <w:sz w:val="18"/>
      <w:szCs w:val="18"/>
    </w:rPr>
  </w:style>
  <w:style w:type="table" w:customStyle="1" w:styleId="GridTable1Light-Accent21">
    <w:name w:val="Grid Table 1 Light - Accent 21"/>
    <w:basedOn w:val="TableNormal"/>
    <w:uiPriority w:val="46"/>
    <w:rsid w:val="00AF4EC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AF4EC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3C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tion1">
    <w:name w:val="Mention1"/>
    <w:basedOn w:val="DefaultParagraphFont"/>
    <w:uiPriority w:val="99"/>
    <w:semiHidden/>
    <w:unhideWhenUsed/>
    <w:rsid w:val="00DF4471"/>
    <w:rPr>
      <w:color w:val="2B579A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B3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EBE9-BCBA-4C83-B241-419900D6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schaadt</dc:creator>
  <cp:keywords/>
  <dc:description/>
  <cp:lastModifiedBy>Svetlana Iazykova</cp:lastModifiedBy>
  <cp:revision>2</cp:revision>
  <cp:lastPrinted>2017-07-27T08:26:00Z</cp:lastPrinted>
  <dcterms:created xsi:type="dcterms:W3CDTF">2017-10-16T21:35:00Z</dcterms:created>
  <dcterms:modified xsi:type="dcterms:W3CDTF">2017-10-16T21:35:00Z</dcterms:modified>
</cp:coreProperties>
</file>