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665A" w14:textId="77777777" w:rsidR="00785474" w:rsidRPr="008941BB" w:rsidRDefault="002E4883" w:rsidP="00D9153B">
      <w:pPr>
        <w:rPr>
          <w:color w:val="000000"/>
          <w:sz w:val="6"/>
          <w:lang w:val="en-GB"/>
        </w:rPr>
      </w:pPr>
      <w:r w:rsidRPr="008941BB">
        <w:rPr>
          <w:b/>
          <w:color w:val="000000"/>
          <w:lang w:val="en-GB"/>
        </w:rPr>
        <w:t xml:space="preserve">   </w:t>
      </w:r>
    </w:p>
    <w:p w14:paraId="199776BF" w14:textId="77777777" w:rsidR="004836EC" w:rsidRPr="00172A7A" w:rsidRDefault="004836EC" w:rsidP="004836EC">
      <w:pPr>
        <w:tabs>
          <w:tab w:val="left" w:pos="8789"/>
        </w:tabs>
        <w:ind w:right="288"/>
        <w:rPr>
          <w:b/>
          <w:color w:val="000000"/>
          <w:lang w:val="en-GB"/>
        </w:rPr>
      </w:pPr>
      <w:r w:rsidRPr="00172A7A">
        <w:rPr>
          <w:b/>
          <w:color w:val="000000"/>
          <w:lang w:val="en-GB"/>
        </w:rPr>
        <w:t>First regular session 2019</w:t>
      </w:r>
    </w:p>
    <w:p w14:paraId="62B32E03" w14:textId="77777777" w:rsidR="004836EC" w:rsidRPr="00172A7A" w:rsidRDefault="004836EC" w:rsidP="004836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72A7A">
        <w:rPr>
          <w:color w:val="000000"/>
          <w:lang w:val="en-GB"/>
        </w:rPr>
        <w:t>21-25 January 2019, New York</w:t>
      </w:r>
    </w:p>
    <w:p w14:paraId="0EF924E0" w14:textId="6464D04E" w:rsidR="004836EC" w:rsidRPr="00172A7A" w:rsidRDefault="004836EC" w:rsidP="004836E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72A7A">
        <w:rPr>
          <w:color w:val="000000"/>
          <w:lang w:val="en-GB"/>
        </w:rPr>
        <w:t xml:space="preserve">Item </w:t>
      </w:r>
      <w:r w:rsidR="00FF0133">
        <w:rPr>
          <w:color w:val="000000"/>
          <w:lang w:val="en-GB"/>
        </w:rPr>
        <w:t>3</w:t>
      </w:r>
      <w:r w:rsidRPr="00172A7A">
        <w:rPr>
          <w:color w:val="000000"/>
          <w:lang w:val="en-GB"/>
        </w:rPr>
        <w:t xml:space="preserve"> of the provisional agenda</w:t>
      </w:r>
    </w:p>
    <w:p w14:paraId="07085B8D" w14:textId="77777777" w:rsidR="004836EC" w:rsidRPr="00172A7A" w:rsidRDefault="004836EC" w:rsidP="004836EC">
      <w:pPr>
        <w:ind w:right="1260"/>
        <w:rPr>
          <w:b/>
          <w:color w:val="000000"/>
          <w:lang w:val="en-GB"/>
        </w:rPr>
      </w:pPr>
      <w:r w:rsidRPr="00172A7A">
        <w:rPr>
          <w:b/>
          <w:color w:val="000000"/>
          <w:lang w:val="en-GB"/>
        </w:rPr>
        <w:t>Country programmes and related matters</w:t>
      </w:r>
    </w:p>
    <w:p w14:paraId="66ACF036" w14:textId="77777777" w:rsidR="004836EC" w:rsidRPr="00172A7A" w:rsidRDefault="004836EC" w:rsidP="004836EC">
      <w:pPr>
        <w:rPr>
          <w:color w:val="000000"/>
          <w:spacing w:val="-3"/>
          <w:lang w:val="en-GB"/>
        </w:rPr>
      </w:pPr>
    </w:p>
    <w:p w14:paraId="1388261B" w14:textId="77777777" w:rsidR="004836EC" w:rsidRPr="00172A7A" w:rsidRDefault="004836EC" w:rsidP="004836E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692A8F28" w14:textId="77777777" w:rsidR="004836EC" w:rsidRPr="00172A7A" w:rsidRDefault="004836EC" w:rsidP="004836E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0C2D7F6" w14:textId="77777777" w:rsidR="004836EC" w:rsidRPr="00172A7A" w:rsidRDefault="004836EC" w:rsidP="004836E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6DE3B774" w14:textId="77777777" w:rsidR="004836EC" w:rsidRPr="00172A7A" w:rsidRDefault="004836EC" w:rsidP="004836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p>
    <w:p w14:paraId="5401DB18" w14:textId="77777777" w:rsidR="004836EC" w:rsidRPr="008941BB" w:rsidRDefault="004836EC" w:rsidP="004836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jc w:val="center"/>
        <w:outlineLvl w:val="0"/>
        <w:rPr>
          <w:b/>
          <w:color w:val="000000"/>
          <w:spacing w:val="-2"/>
          <w:w w:val="103"/>
          <w:kern w:val="14"/>
          <w:sz w:val="32"/>
          <w:szCs w:val="32"/>
          <w:lang w:val="en-GB"/>
        </w:rPr>
      </w:pPr>
      <w:r w:rsidRPr="008941BB">
        <w:rPr>
          <w:b/>
          <w:color w:val="000000"/>
          <w:spacing w:val="-2"/>
          <w:w w:val="103"/>
          <w:kern w:val="14"/>
          <w:sz w:val="32"/>
          <w:szCs w:val="32"/>
          <w:lang w:val="en-GB"/>
        </w:rPr>
        <w:t xml:space="preserve">Draft country programme document for </w:t>
      </w:r>
      <w:r w:rsidR="002920DE" w:rsidRPr="008941BB">
        <w:rPr>
          <w:b/>
          <w:color w:val="000000"/>
          <w:spacing w:val="-2"/>
          <w:w w:val="103"/>
          <w:kern w:val="14"/>
          <w:sz w:val="32"/>
          <w:szCs w:val="32"/>
          <w:lang w:val="en-GB"/>
        </w:rPr>
        <w:t>Chile</w:t>
      </w:r>
      <w:r w:rsidRPr="008941BB">
        <w:rPr>
          <w:b/>
          <w:color w:val="000000"/>
          <w:spacing w:val="-2"/>
          <w:w w:val="103"/>
          <w:kern w:val="14"/>
          <w:sz w:val="32"/>
          <w:szCs w:val="32"/>
          <w:lang w:val="en-GB"/>
        </w:rPr>
        <w:t xml:space="preserve"> (2019-2022)</w:t>
      </w:r>
      <w:r w:rsidRPr="008941BB">
        <w:rPr>
          <w:b/>
          <w:color w:val="000000"/>
          <w:spacing w:val="-2"/>
          <w:w w:val="103"/>
          <w:kern w:val="14"/>
          <w:sz w:val="32"/>
          <w:szCs w:val="32"/>
          <w:lang w:val="en-GB"/>
        </w:rPr>
        <w:br/>
      </w:r>
    </w:p>
    <w:p w14:paraId="663F0E98" w14:textId="77777777" w:rsidR="004836EC" w:rsidRPr="00172A7A" w:rsidRDefault="004836EC" w:rsidP="004836E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172A7A">
        <w:rPr>
          <w:color w:val="000000"/>
          <w:kern w:val="14"/>
          <w:sz w:val="28"/>
          <w:lang w:val="en-GB" w:eastAsia="fr-FR"/>
        </w:rPr>
        <w:t>Contents</w:t>
      </w:r>
    </w:p>
    <w:p w14:paraId="1C1FC61F" w14:textId="77777777" w:rsidR="004836EC" w:rsidRPr="00172A7A" w:rsidRDefault="004836EC" w:rsidP="004836EC">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4836EC" w:rsidRPr="00172A7A" w14:paraId="5E88E41C" w14:textId="77777777" w:rsidTr="004836EC">
        <w:tc>
          <w:tcPr>
            <w:tcW w:w="1060" w:type="dxa"/>
            <w:shd w:val="clear" w:color="auto" w:fill="auto"/>
          </w:tcPr>
          <w:p w14:paraId="0A005221" w14:textId="77777777" w:rsidR="004836EC" w:rsidRPr="00172A7A" w:rsidRDefault="004836EC" w:rsidP="004836EC">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495B7EAD" w14:textId="77777777" w:rsidR="004836EC" w:rsidRPr="00172A7A" w:rsidRDefault="004836EC" w:rsidP="004836EC">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56177FA6" w14:textId="77777777" w:rsidR="004836EC" w:rsidRPr="00172A7A" w:rsidRDefault="004836EC" w:rsidP="004836EC">
            <w:pPr>
              <w:tabs>
                <w:tab w:val="left" w:pos="1620"/>
              </w:tabs>
              <w:suppressAutoHyphens/>
              <w:spacing w:after="120"/>
              <w:jc w:val="right"/>
              <w:rPr>
                <w:i/>
                <w:color w:val="000000"/>
                <w:spacing w:val="4"/>
                <w:w w:val="103"/>
                <w:kern w:val="14"/>
                <w:sz w:val="14"/>
                <w:lang w:val="en-GB" w:eastAsia="fr-FR"/>
              </w:rPr>
            </w:pPr>
            <w:r w:rsidRPr="00172A7A">
              <w:rPr>
                <w:i/>
                <w:iCs/>
                <w:color w:val="000000"/>
                <w:kern w:val="14"/>
                <w:sz w:val="14"/>
                <w:lang w:val="en-GB" w:eastAsia="fr-FR"/>
              </w:rPr>
              <w:t>Page</w:t>
            </w:r>
          </w:p>
        </w:tc>
      </w:tr>
      <w:tr w:rsidR="004836EC" w:rsidRPr="00172A7A" w14:paraId="7698FA38" w14:textId="77777777" w:rsidTr="004836EC">
        <w:tc>
          <w:tcPr>
            <w:tcW w:w="9540" w:type="dxa"/>
            <w:gridSpan w:val="3"/>
            <w:shd w:val="clear" w:color="auto" w:fill="auto"/>
          </w:tcPr>
          <w:p w14:paraId="44A3FA16" w14:textId="77777777" w:rsidR="004836EC" w:rsidRPr="00172A7A" w:rsidRDefault="004836EC" w:rsidP="004836EC">
            <w:pPr>
              <w:numPr>
                <w:ilvl w:val="0"/>
                <w:numId w:val="47"/>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172A7A">
              <w:rPr>
                <w:color w:val="000000"/>
                <w:kern w:val="14"/>
                <w:lang w:val="en-GB" w:eastAsia="fr-FR"/>
              </w:rPr>
              <w:tab/>
              <w:t>Programme rationale</w:t>
            </w:r>
            <w:r w:rsidRPr="00172A7A">
              <w:rPr>
                <w:color w:val="000000"/>
                <w:sz w:val="24"/>
                <w:szCs w:val="24"/>
                <w:lang w:val="en-GB" w:eastAsia="fr-FR"/>
              </w:rPr>
              <w:tab/>
            </w:r>
          </w:p>
        </w:tc>
        <w:tc>
          <w:tcPr>
            <w:tcW w:w="362" w:type="dxa"/>
            <w:vMerge w:val="restart"/>
            <w:shd w:val="clear" w:color="auto" w:fill="auto"/>
            <w:vAlign w:val="bottom"/>
          </w:tcPr>
          <w:p w14:paraId="61BDF7C1" w14:textId="77777777" w:rsidR="004836EC" w:rsidRPr="00172A7A" w:rsidRDefault="004836EC" w:rsidP="004836EC">
            <w:pPr>
              <w:tabs>
                <w:tab w:val="left" w:pos="1620"/>
              </w:tabs>
              <w:suppressAutoHyphens/>
              <w:spacing w:after="120" w:line="240" w:lineRule="exact"/>
              <w:jc w:val="right"/>
              <w:rPr>
                <w:color w:val="000000"/>
                <w:spacing w:val="4"/>
                <w:w w:val="103"/>
                <w:kern w:val="14"/>
                <w:lang w:val="en-GB" w:eastAsia="fr-FR"/>
              </w:rPr>
            </w:pPr>
            <w:r w:rsidRPr="00172A7A">
              <w:rPr>
                <w:color w:val="000000"/>
                <w:kern w:val="14"/>
                <w:lang w:val="en-GB" w:eastAsia="fr-FR"/>
              </w:rPr>
              <w:t>2</w:t>
            </w:r>
          </w:p>
          <w:p w14:paraId="4FD6982E" w14:textId="48D0D299" w:rsidR="004836EC" w:rsidRPr="00172A7A" w:rsidRDefault="00FB53BF" w:rsidP="004836EC">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5</w:t>
            </w:r>
          </w:p>
        </w:tc>
      </w:tr>
      <w:tr w:rsidR="004836EC" w:rsidRPr="00172A7A" w14:paraId="1B9D6E2A" w14:textId="77777777" w:rsidTr="004836EC">
        <w:tc>
          <w:tcPr>
            <w:tcW w:w="9540" w:type="dxa"/>
            <w:gridSpan w:val="3"/>
            <w:shd w:val="clear" w:color="auto" w:fill="auto"/>
          </w:tcPr>
          <w:p w14:paraId="65C42A8E" w14:textId="77777777" w:rsidR="004836EC" w:rsidRPr="00172A7A" w:rsidRDefault="004836EC" w:rsidP="004836EC">
            <w:pPr>
              <w:numPr>
                <w:ilvl w:val="0"/>
                <w:numId w:val="47"/>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172A7A">
              <w:rPr>
                <w:color w:val="000000"/>
                <w:kern w:val="14"/>
                <w:lang w:val="en-GB" w:eastAsia="fr-FR"/>
              </w:rPr>
              <w:tab/>
              <w:t>Programme priorities and partnerships………………………………………………….</w:t>
            </w:r>
            <w:r w:rsidRPr="00172A7A">
              <w:rPr>
                <w:color w:val="000000"/>
                <w:kern w:val="14"/>
                <w:sz w:val="17"/>
                <w:lang w:val="en-GB" w:eastAsia="fr-FR"/>
              </w:rPr>
              <w:tab/>
            </w:r>
            <w:r w:rsidRPr="00172A7A">
              <w:rPr>
                <w:color w:val="000000"/>
                <w:kern w:val="14"/>
                <w:lang w:val="en-GB" w:eastAsia="fr-FR"/>
              </w:rPr>
              <w:t>……….…</w:t>
            </w:r>
          </w:p>
        </w:tc>
        <w:tc>
          <w:tcPr>
            <w:tcW w:w="362" w:type="dxa"/>
            <w:vMerge/>
            <w:shd w:val="clear" w:color="auto" w:fill="auto"/>
            <w:vAlign w:val="bottom"/>
          </w:tcPr>
          <w:p w14:paraId="31A17F4D" w14:textId="77777777" w:rsidR="004836EC" w:rsidRPr="00172A7A" w:rsidRDefault="004836EC" w:rsidP="004836EC">
            <w:pPr>
              <w:tabs>
                <w:tab w:val="left" w:pos="1620"/>
              </w:tabs>
              <w:suppressAutoHyphens/>
              <w:spacing w:after="120" w:line="240" w:lineRule="exact"/>
              <w:jc w:val="right"/>
              <w:rPr>
                <w:color w:val="000000"/>
                <w:spacing w:val="4"/>
                <w:w w:val="103"/>
                <w:kern w:val="14"/>
                <w:lang w:val="en-GB" w:eastAsia="fr-FR"/>
              </w:rPr>
            </w:pPr>
          </w:p>
        </w:tc>
      </w:tr>
      <w:tr w:rsidR="004836EC" w:rsidRPr="00172A7A" w14:paraId="4A785193" w14:textId="77777777" w:rsidTr="004836EC">
        <w:tc>
          <w:tcPr>
            <w:tcW w:w="9540" w:type="dxa"/>
            <w:gridSpan w:val="3"/>
            <w:shd w:val="clear" w:color="auto" w:fill="auto"/>
          </w:tcPr>
          <w:p w14:paraId="0197F5C9" w14:textId="77777777" w:rsidR="004836EC" w:rsidRPr="00172A7A" w:rsidRDefault="004836EC" w:rsidP="004836EC">
            <w:pPr>
              <w:numPr>
                <w:ilvl w:val="0"/>
                <w:numId w:val="47"/>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172A7A">
              <w:rPr>
                <w:color w:val="000000"/>
                <w:kern w:val="14"/>
                <w:lang w:val="en-GB" w:eastAsia="fr-FR"/>
              </w:rPr>
              <w:tab/>
              <w:t>Programme and risk management</w:t>
            </w:r>
            <w:r w:rsidRPr="00172A7A">
              <w:rPr>
                <w:color w:val="000000"/>
                <w:sz w:val="24"/>
                <w:szCs w:val="24"/>
                <w:lang w:val="en-GB" w:eastAsia="fr-FR"/>
              </w:rPr>
              <w:tab/>
            </w:r>
          </w:p>
        </w:tc>
        <w:tc>
          <w:tcPr>
            <w:tcW w:w="362" w:type="dxa"/>
            <w:vMerge w:val="restart"/>
            <w:shd w:val="clear" w:color="auto" w:fill="auto"/>
            <w:vAlign w:val="bottom"/>
          </w:tcPr>
          <w:p w14:paraId="3DBCE029" w14:textId="6FBDC43E" w:rsidR="004836EC" w:rsidRPr="00172A7A" w:rsidRDefault="002C3347" w:rsidP="004836EC">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p w14:paraId="11F04AF5" w14:textId="5E1E6998" w:rsidR="004836EC" w:rsidRPr="00172A7A" w:rsidRDefault="002C3347" w:rsidP="004836EC">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r w:rsidR="004836EC" w:rsidRPr="00172A7A" w14:paraId="73ED1FCA" w14:textId="77777777" w:rsidTr="004836EC">
        <w:tc>
          <w:tcPr>
            <w:tcW w:w="9540" w:type="dxa"/>
            <w:gridSpan w:val="3"/>
            <w:shd w:val="clear" w:color="auto" w:fill="auto"/>
          </w:tcPr>
          <w:p w14:paraId="04DE5391" w14:textId="77777777" w:rsidR="004836EC" w:rsidRPr="00172A7A" w:rsidRDefault="004836EC" w:rsidP="004836EC">
            <w:pPr>
              <w:numPr>
                <w:ilvl w:val="0"/>
                <w:numId w:val="47"/>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172A7A">
              <w:rPr>
                <w:color w:val="000000"/>
                <w:kern w:val="14"/>
                <w:lang w:val="en-GB" w:eastAsia="fr-FR"/>
              </w:rPr>
              <w:tab/>
              <w:t>Monitoring and evaluation</w:t>
            </w:r>
            <w:r w:rsidRPr="00172A7A">
              <w:rPr>
                <w:color w:val="000000"/>
                <w:sz w:val="24"/>
                <w:szCs w:val="24"/>
                <w:lang w:val="en-GB" w:eastAsia="fr-FR"/>
              </w:rPr>
              <w:tab/>
            </w:r>
            <w:r w:rsidRPr="00172A7A">
              <w:rPr>
                <w:color w:val="000000"/>
                <w:lang w:val="en-GB" w:eastAsia="fr-FR"/>
              </w:rPr>
              <w:t>…………………………………………………….……………………</w:t>
            </w:r>
          </w:p>
        </w:tc>
        <w:tc>
          <w:tcPr>
            <w:tcW w:w="362" w:type="dxa"/>
            <w:vMerge/>
            <w:shd w:val="clear" w:color="auto" w:fill="auto"/>
            <w:vAlign w:val="bottom"/>
          </w:tcPr>
          <w:p w14:paraId="60388903" w14:textId="77777777" w:rsidR="004836EC" w:rsidRPr="00172A7A" w:rsidRDefault="004836EC" w:rsidP="004836EC">
            <w:pPr>
              <w:tabs>
                <w:tab w:val="left" w:pos="1620"/>
              </w:tabs>
              <w:suppressAutoHyphens/>
              <w:spacing w:after="120" w:line="240" w:lineRule="exact"/>
              <w:jc w:val="right"/>
              <w:rPr>
                <w:color w:val="000000"/>
                <w:spacing w:val="4"/>
                <w:w w:val="103"/>
                <w:kern w:val="14"/>
                <w:lang w:val="en-GB" w:eastAsia="fr-FR"/>
              </w:rPr>
            </w:pPr>
          </w:p>
        </w:tc>
      </w:tr>
      <w:tr w:rsidR="004836EC" w:rsidRPr="00172A7A" w14:paraId="21235AB5" w14:textId="77777777" w:rsidTr="004836EC">
        <w:tc>
          <w:tcPr>
            <w:tcW w:w="9369" w:type="dxa"/>
            <w:gridSpan w:val="2"/>
            <w:shd w:val="clear" w:color="auto" w:fill="auto"/>
          </w:tcPr>
          <w:p w14:paraId="6AE97135" w14:textId="77777777" w:rsidR="004836EC" w:rsidRPr="00172A7A" w:rsidRDefault="004836EC" w:rsidP="004836EC">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172A7A">
              <w:rPr>
                <w:color w:val="000000"/>
                <w:kern w:val="14"/>
                <w:lang w:val="en-GB" w:eastAsia="fr-FR"/>
              </w:rPr>
              <w:t xml:space="preserve">     Annex</w:t>
            </w:r>
          </w:p>
        </w:tc>
        <w:tc>
          <w:tcPr>
            <w:tcW w:w="533" w:type="dxa"/>
            <w:gridSpan w:val="2"/>
            <w:shd w:val="clear" w:color="auto" w:fill="auto"/>
            <w:vAlign w:val="bottom"/>
          </w:tcPr>
          <w:p w14:paraId="18A8DC97" w14:textId="77777777" w:rsidR="004836EC" w:rsidRPr="00172A7A" w:rsidRDefault="004836EC" w:rsidP="004836EC">
            <w:pPr>
              <w:tabs>
                <w:tab w:val="left" w:pos="1620"/>
              </w:tabs>
              <w:suppressAutoHyphens/>
              <w:spacing w:after="120" w:line="240" w:lineRule="exact"/>
              <w:jc w:val="right"/>
              <w:rPr>
                <w:color w:val="000000"/>
                <w:spacing w:val="4"/>
                <w:w w:val="103"/>
                <w:kern w:val="14"/>
                <w:lang w:val="en-GB" w:eastAsia="fr-FR"/>
              </w:rPr>
            </w:pPr>
          </w:p>
        </w:tc>
      </w:tr>
      <w:tr w:rsidR="004836EC" w:rsidRPr="00172A7A" w14:paraId="111D2CA3" w14:textId="77777777" w:rsidTr="004836EC">
        <w:tc>
          <w:tcPr>
            <w:tcW w:w="9369" w:type="dxa"/>
            <w:gridSpan w:val="2"/>
            <w:shd w:val="clear" w:color="auto" w:fill="auto"/>
          </w:tcPr>
          <w:p w14:paraId="645BA107" w14:textId="77777777" w:rsidR="004836EC" w:rsidRPr="00172A7A" w:rsidRDefault="004836EC" w:rsidP="004836EC">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172A7A">
              <w:rPr>
                <w:color w:val="000000"/>
                <w:kern w:val="14"/>
                <w:lang w:val="en-GB" w:eastAsia="fr-FR"/>
              </w:rPr>
              <w:t xml:space="preserve">Results and resources framework for </w:t>
            </w:r>
            <w:r w:rsidR="002920DE" w:rsidRPr="00172A7A">
              <w:rPr>
                <w:color w:val="000000"/>
                <w:kern w:val="14"/>
                <w:lang w:val="en-GB" w:eastAsia="fr-FR"/>
              </w:rPr>
              <w:t>Chile</w:t>
            </w:r>
            <w:r w:rsidRPr="00172A7A">
              <w:rPr>
                <w:color w:val="000000"/>
                <w:kern w:val="14"/>
                <w:lang w:val="en-GB" w:eastAsia="fr-FR"/>
              </w:rPr>
              <w:t xml:space="preserve"> (2019-2022)</w:t>
            </w:r>
          </w:p>
        </w:tc>
        <w:tc>
          <w:tcPr>
            <w:tcW w:w="533" w:type="dxa"/>
            <w:gridSpan w:val="2"/>
            <w:shd w:val="clear" w:color="auto" w:fill="auto"/>
            <w:vAlign w:val="bottom"/>
          </w:tcPr>
          <w:p w14:paraId="2A3D6A21" w14:textId="77777777" w:rsidR="004836EC" w:rsidRPr="00172A7A" w:rsidRDefault="004836EC" w:rsidP="004836EC">
            <w:pPr>
              <w:tabs>
                <w:tab w:val="left" w:pos="1620"/>
              </w:tabs>
              <w:suppressAutoHyphens/>
              <w:spacing w:after="120" w:line="240" w:lineRule="exact"/>
              <w:jc w:val="right"/>
              <w:rPr>
                <w:color w:val="000000"/>
                <w:spacing w:val="4"/>
                <w:w w:val="103"/>
                <w:kern w:val="14"/>
                <w:lang w:val="en-GB" w:eastAsia="fr-FR"/>
              </w:rPr>
            </w:pPr>
            <w:r w:rsidRPr="00172A7A">
              <w:rPr>
                <w:color w:val="000000"/>
                <w:kern w:val="14"/>
                <w:lang w:val="en-GB" w:eastAsia="fr-FR"/>
              </w:rPr>
              <w:t>10</w:t>
            </w:r>
          </w:p>
        </w:tc>
      </w:tr>
    </w:tbl>
    <w:p w14:paraId="274628FB" w14:textId="77777777" w:rsidR="004F1A63" w:rsidRPr="008941BB" w:rsidRDefault="004F1A63" w:rsidP="00D9153B">
      <w:pPr>
        <w:rPr>
          <w:color w:val="000000"/>
          <w:sz w:val="6"/>
          <w:lang w:val="en-GB"/>
        </w:rPr>
      </w:pPr>
    </w:p>
    <w:p w14:paraId="499EEEC3" w14:textId="77777777" w:rsidR="004F1A63" w:rsidRPr="008941BB" w:rsidRDefault="004F1A63" w:rsidP="00D9153B">
      <w:pPr>
        <w:rPr>
          <w:color w:val="000000"/>
          <w:sz w:val="6"/>
          <w:lang w:val="en-GB"/>
        </w:rPr>
      </w:pPr>
    </w:p>
    <w:p w14:paraId="713A96EA" w14:textId="77777777" w:rsidR="004F1A63" w:rsidRPr="008941BB" w:rsidRDefault="004F1A63" w:rsidP="00D9153B">
      <w:pPr>
        <w:rPr>
          <w:color w:val="000000"/>
          <w:sz w:val="6"/>
          <w:lang w:val="en-GB"/>
        </w:rPr>
      </w:pPr>
    </w:p>
    <w:p w14:paraId="6FBC744F" w14:textId="77777777" w:rsidR="004F1A63" w:rsidRPr="008941BB" w:rsidRDefault="004F1A63" w:rsidP="000555E5">
      <w:pPr>
        <w:rPr>
          <w:color w:val="000000"/>
          <w:lang w:val="en-GB"/>
        </w:rPr>
        <w:sectPr w:rsidR="004F1A63" w:rsidRPr="008941BB"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BC6EAB8" w14:textId="77777777" w:rsidR="000624AC" w:rsidRPr="008941BB" w:rsidRDefault="00E43C02" w:rsidP="00C4319B">
      <w:pPr>
        <w:pStyle w:val="Heading2"/>
        <w:numPr>
          <w:ilvl w:val="0"/>
          <w:numId w:val="41"/>
        </w:numPr>
        <w:tabs>
          <w:tab w:val="left" w:pos="1170"/>
        </w:tabs>
        <w:spacing w:after="120"/>
        <w:ind w:left="1526" w:right="806"/>
        <w:jc w:val="both"/>
        <w:rPr>
          <w:b w:val="0"/>
          <w:color w:val="000000"/>
          <w:szCs w:val="28"/>
          <w:lang w:val="en-GB"/>
        </w:rPr>
      </w:pPr>
      <w:bookmarkStart w:id="0" w:name="_Hlk521338570"/>
      <w:bookmarkStart w:id="1" w:name="_Hlk521337095"/>
      <w:r w:rsidRPr="008941BB">
        <w:rPr>
          <w:rFonts w:ascii="Times New Roman" w:hAnsi="Times New Roman"/>
          <w:bCs/>
          <w:color w:val="000000"/>
          <w:szCs w:val="28"/>
          <w:lang w:val="en-GB"/>
        </w:rPr>
        <w:lastRenderedPageBreak/>
        <w:t xml:space="preserve">Programme </w:t>
      </w:r>
      <w:r w:rsidR="00DC4A46" w:rsidRPr="008941BB">
        <w:rPr>
          <w:rFonts w:ascii="Times New Roman" w:hAnsi="Times New Roman"/>
          <w:bCs/>
          <w:color w:val="000000"/>
          <w:szCs w:val="28"/>
          <w:lang w:val="en-GB"/>
        </w:rPr>
        <w:t>r</w:t>
      </w:r>
      <w:r w:rsidR="000624AC" w:rsidRPr="008941BB">
        <w:rPr>
          <w:rFonts w:ascii="Times New Roman" w:hAnsi="Times New Roman"/>
          <w:color w:val="000000"/>
          <w:szCs w:val="28"/>
          <w:lang w:val="en-GB"/>
        </w:rPr>
        <w:t>ationale</w:t>
      </w:r>
    </w:p>
    <w:p w14:paraId="09275D9A" w14:textId="2B477FBA" w:rsidR="000624AC" w:rsidRPr="008941BB" w:rsidRDefault="000624AC" w:rsidP="00C4319B">
      <w:pPr>
        <w:pStyle w:val="ListParagraph"/>
        <w:numPr>
          <w:ilvl w:val="0"/>
          <w:numId w:val="40"/>
        </w:numPr>
        <w:tabs>
          <w:tab w:val="left" w:pos="1530"/>
        </w:tabs>
        <w:spacing w:after="120"/>
        <w:ind w:left="1195" w:right="1195" w:firstLine="0"/>
        <w:jc w:val="both"/>
        <w:rPr>
          <w:lang w:val="en-GB"/>
        </w:rPr>
      </w:pPr>
      <w:r w:rsidRPr="008941BB">
        <w:rPr>
          <w:lang w:val="en-GB"/>
        </w:rPr>
        <w:t xml:space="preserve">Chile ranks in the higher category of the </w:t>
      </w:r>
      <w:r w:rsidR="00184C12" w:rsidRPr="008941BB">
        <w:rPr>
          <w:lang w:val="en-GB"/>
        </w:rPr>
        <w:t>H</w:t>
      </w:r>
      <w:r w:rsidR="00CD7375" w:rsidRPr="008941BB">
        <w:rPr>
          <w:lang w:val="en-GB"/>
        </w:rPr>
        <w:t>uman Development Index</w:t>
      </w:r>
      <w:r w:rsidRPr="008941BB">
        <w:rPr>
          <w:lang w:val="en-GB"/>
        </w:rPr>
        <w:t xml:space="preserve">, </w:t>
      </w:r>
      <w:r w:rsidR="00CD7375" w:rsidRPr="008941BB">
        <w:rPr>
          <w:lang w:val="en-GB"/>
        </w:rPr>
        <w:t xml:space="preserve">at </w:t>
      </w:r>
      <w:r w:rsidRPr="008941BB">
        <w:rPr>
          <w:lang w:val="en-GB"/>
        </w:rPr>
        <w:t>0.847, the highest in Latin America and the Caribbean</w:t>
      </w:r>
      <w:r w:rsidRPr="008941BB">
        <w:rPr>
          <w:rStyle w:val="FootnoteReference"/>
          <w:lang w:val="en-GB"/>
        </w:rPr>
        <w:footnoteReference w:id="2"/>
      </w:r>
      <w:r w:rsidRPr="008941BB">
        <w:rPr>
          <w:lang w:val="en-GB"/>
        </w:rPr>
        <w:t xml:space="preserve">, showing </w:t>
      </w:r>
      <w:r w:rsidR="00CD7375" w:rsidRPr="008941BB">
        <w:rPr>
          <w:lang w:val="en-GB"/>
        </w:rPr>
        <w:t xml:space="preserve">major </w:t>
      </w:r>
      <w:r w:rsidRPr="008941BB">
        <w:rPr>
          <w:lang w:val="en-GB"/>
        </w:rPr>
        <w:t xml:space="preserve">improvements in </w:t>
      </w:r>
      <w:r w:rsidR="00CD7375" w:rsidRPr="008941BB">
        <w:rPr>
          <w:lang w:val="en-GB"/>
        </w:rPr>
        <w:t xml:space="preserve">the </w:t>
      </w:r>
      <w:r w:rsidRPr="008941BB">
        <w:rPr>
          <w:lang w:val="en-GB"/>
        </w:rPr>
        <w:t>health, education, and income</w:t>
      </w:r>
      <w:r w:rsidR="00CD7375" w:rsidRPr="008941BB">
        <w:rPr>
          <w:lang w:val="en-GB"/>
        </w:rPr>
        <w:t xml:space="preserve"> of its population</w:t>
      </w:r>
      <w:r w:rsidRPr="008941BB">
        <w:rPr>
          <w:lang w:val="en-GB"/>
        </w:rPr>
        <w:t xml:space="preserve">. </w:t>
      </w:r>
      <w:r w:rsidR="00C50712" w:rsidRPr="008941BB">
        <w:rPr>
          <w:lang w:val="en-GB"/>
        </w:rPr>
        <w:t>S</w:t>
      </w:r>
      <w:r w:rsidRPr="008941BB">
        <w:rPr>
          <w:lang w:val="en-GB"/>
        </w:rPr>
        <w:t xml:space="preserve">ustained economic growth (per capita </w:t>
      </w:r>
      <w:r w:rsidR="00CD7375" w:rsidRPr="008941BB">
        <w:rPr>
          <w:lang w:val="en-GB"/>
        </w:rPr>
        <w:t xml:space="preserve">gross domestic </w:t>
      </w:r>
      <w:r w:rsidR="008A01FF">
        <w:rPr>
          <w:lang w:val="en-GB"/>
        </w:rPr>
        <w:t>product</w:t>
      </w:r>
      <w:r w:rsidR="004D0EFA">
        <w:rPr>
          <w:lang w:val="en-GB"/>
        </w:rPr>
        <w:t>, or GDP,</w:t>
      </w:r>
      <w:r w:rsidR="008A01FF">
        <w:rPr>
          <w:lang w:val="en-GB"/>
        </w:rPr>
        <w:t xml:space="preserve"> </w:t>
      </w:r>
      <w:r w:rsidRPr="008941BB">
        <w:rPr>
          <w:lang w:val="en-GB"/>
        </w:rPr>
        <w:t xml:space="preserve">increased from $4,350 to $23,290 </w:t>
      </w:r>
      <w:r w:rsidR="00486894" w:rsidRPr="008941BB">
        <w:rPr>
          <w:lang w:val="en-GB"/>
        </w:rPr>
        <w:t>i</w:t>
      </w:r>
      <w:r w:rsidRPr="008941BB">
        <w:rPr>
          <w:lang w:val="en-GB"/>
        </w:rPr>
        <w:t xml:space="preserve">n </w:t>
      </w:r>
      <w:r w:rsidR="00486894" w:rsidRPr="008941BB">
        <w:rPr>
          <w:lang w:val="en-GB"/>
        </w:rPr>
        <w:t xml:space="preserve">purchasing power parity </w:t>
      </w:r>
      <w:r w:rsidRPr="008941BB">
        <w:rPr>
          <w:lang w:val="en-GB"/>
        </w:rPr>
        <w:t>between 1990 and 2016)</w:t>
      </w:r>
      <w:r w:rsidR="003019A0" w:rsidRPr="008941BB">
        <w:rPr>
          <w:lang w:val="en-GB"/>
        </w:rPr>
        <w:t>,</w:t>
      </w:r>
      <w:r w:rsidRPr="008941BB">
        <w:rPr>
          <w:lang w:val="en-GB"/>
        </w:rPr>
        <w:t xml:space="preserve"> </w:t>
      </w:r>
      <w:r w:rsidRPr="008941BB">
        <w:rPr>
          <w:color w:val="000000"/>
          <w:lang w:val="en-GB"/>
        </w:rPr>
        <w:t>combined</w:t>
      </w:r>
      <w:r w:rsidRPr="008941BB">
        <w:rPr>
          <w:lang w:val="en-GB"/>
        </w:rPr>
        <w:t xml:space="preserve"> with institutional stability and </w:t>
      </w:r>
      <w:r w:rsidRPr="008941BB">
        <w:rPr>
          <w:lang w:val="en-GB" w:eastAsia="es-EC"/>
        </w:rPr>
        <w:t>social</w:t>
      </w:r>
      <w:r w:rsidRPr="008941BB">
        <w:rPr>
          <w:lang w:val="en-GB"/>
        </w:rPr>
        <w:t xml:space="preserve"> policies</w:t>
      </w:r>
      <w:r w:rsidR="003019A0" w:rsidRPr="008941BB">
        <w:rPr>
          <w:lang w:val="en-GB"/>
        </w:rPr>
        <w:t>,</w:t>
      </w:r>
      <w:r w:rsidRPr="008941BB">
        <w:rPr>
          <w:lang w:val="en-GB"/>
        </w:rPr>
        <w:t xml:space="preserve"> has allowed </w:t>
      </w:r>
      <w:r w:rsidR="002C3347">
        <w:rPr>
          <w:lang w:val="en-GB"/>
        </w:rPr>
        <w:t>people</w:t>
      </w:r>
      <w:r w:rsidRPr="008941BB">
        <w:rPr>
          <w:lang w:val="en-GB"/>
        </w:rPr>
        <w:t xml:space="preserve">’s well-being </w:t>
      </w:r>
      <w:r w:rsidR="002C3347">
        <w:rPr>
          <w:lang w:val="en-GB"/>
        </w:rPr>
        <w:t>to improve</w:t>
      </w:r>
      <w:r w:rsidR="002C3347" w:rsidRPr="008941BB">
        <w:rPr>
          <w:lang w:val="en-GB"/>
        </w:rPr>
        <w:t xml:space="preserve"> </w:t>
      </w:r>
      <w:r w:rsidRPr="008941BB">
        <w:rPr>
          <w:lang w:val="en-GB"/>
        </w:rPr>
        <w:t xml:space="preserve">and </w:t>
      </w:r>
      <w:r w:rsidR="002C3347">
        <w:rPr>
          <w:lang w:val="en-GB"/>
        </w:rPr>
        <w:t>has</w:t>
      </w:r>
      <w:r w:rsidR="002C3347" w:rsidRPr="008941BB">
        <w:rPr>
          <w:lang w:val="en-GB"/>
        </w:rPr>
        <w:t xml:space="preserve"> </w:t>
      </w:r>
      <w:r w:rsidRPr="008941BB">
        <w:rPr>
          <w:lang w:val="en-GB"/>
        </w:rPr>
        <w:t>reduced poverty by income from 68 per</w:t>
      </w:r>
      <w:r w:rsidR="003019A0" w:rsidRPr="008941BB">
        <w:rPr>
          <w:lang w:val="en-GB"/>
        </w:rPr>
        <w:t xml:space="preserve"> </w:t>
      </w:r>
      <w:r w:rsidRPr="008941BB">
        <w:rPr>
          <w:lang w:val="en-GB"/>
        </w:rPr>
        <w:t>cent in 1990 to 11.7 per</w:t>
      </w:r>
      <w:r w:rsidR="003019A0" w:rsidRPr="008941BB">
        <w:rPr>
          <w:lang w:val="en-GB"/>
        </w:rPr>
        <w:t xml:space="preserve"> </w:t>
      </w:r>
      <w:r w:rsidRPr="008941BB">
        <w:rPr>
          <w:lang w:val="en-GB"/>
        </w:rPr>
        <w:t xml:space="preserve">cent in 2015. </w:t>
      </w:r>
      <w:r w:rsidR="002C3347">
        <w:rPr>
          <w:lang w:val="en-GB"/>
        </w:rPr>
        <w:t>M</w:t>
      </w:r>
      <w:r w:rsidRPr="008941BB">
        <w:rPr>
          <w:lang w:val="en-GB"/>
        </w:rPr>
        <w:t>ultidimensional poverty was drastically reduced</w:t>
      </w:r>
      <w:r w:rsidR="004D0EFA">
        <w:rPr>
          <w:lang w:val="en-GB"/>
        </w:rPr>
        <w:t>,</w:t>
      </w:r>
      <w:r w:rsidRPr="008941BB">
        <w:rPr>
          <w:lang w:val="en-GB"/>
        </w:rPr>
        <w:t xml:space="preserve"> from 27.5 </w:t>
      </w:r>
      <w:r w:rsidR="00685822" w:rsidRPr="008941BB">
        <w:rPr>
          <w:lang w:val="en-GB"/>
        </w:rPr>
        <w:t>per cent</w:t>
      </w:r>
      <w:r w:rsidRPr="008941BB">
        <w:rPr>
          <w:lang w:val="en-GB"/>
        </w:rPr>
        <w:t xml:space="preserve"> to 19.1 per</w:t>
      </w:r>
      <w:r w:rsidR="00486894" w:rsidRPr="008941BB">
        <w:rPr>
          <w:lang w:val="en-GB"/>
        </w:rPr>
        <w:t xml:space="preserve"> </w:t>
      </w:r>
      <w:r w:rsidRPr="008941BB">
        <w:rPr>
          <w:lang w:val="en-GB"/>
        </w:rPr>
        <w:t>cent</w:t>
      </w:r>
      <w:r w:rsidR="002C3347">
        <w:rPr>
          <w:lang w:val="en-GB"/>
        </w:rPr>
        <w:t xml:space="preserve"> b</w:t>
      </w:r>
      <w:r w:rsidR="002C3347" w:rsidRPr="004068DA">
        <w:rPr>
          <w:lang w:val="en-GB"/>
        </w:rPr>
        <w:t xml:space="preserve">etween 2009 and 2015, </w:t>
      </w:r>
      <w:r w:rsidRPr="008941BB">
        <w:rPr>
          <w:rStyle w:val="FootnoteReference"/>
          <w:lang w:val="en-GB"/>
        </w:rPr>
        <w:footnoteReference w:id="3"/>
      </w:r>
    </w:p>
    <w:p w14:paraId="463E9EBB" w14:textId="49DF6989" w:rsidR="000624AC" w:rsidRPr="008941BB" w:rsidRDefault="000624AC" w:rsidP="00C4319B">
      <w:pPr>
        <w:numPr>
          <w:ilvl w:val="0"/>
          <w:numId w:val="40"/>
        </w:numPr>
        <w:pBdr>
          <w:top w:val="none" w:sz="0" w:space="0" w:color="7F9698"/>
          <w:left w:val="none" w:sz="0" w:space="0" w:color="7F9698"/>
          <w:bottom w:val="none" w:sz="0" w:space="0" w:color="7F9698"/>
          <w:right w:val="none" w:sz="0" w:space="0" w:color="7F9698"/>
        </w:pBdr>
        <w:tabs>
          <w:tab w:val="left" w:pos="851"/>
        </w:tabs>
        <w:spacing w:after="120"/>
        <w:ind w:left="1195" w:right="1195" w:firstLine="0"/>
        <w:jc w:val="both"/>
        <w:rPr>
          <w:lang w:val="en-GB"/>
        </w:rPr>
      </w:pPr>
      <w:r w:rsidRPr="008941BB">
        <w:rPr>
          <w:lang w:val="en-GB"/>
        </w:rPr>
        <w:t xml:space="preserve">Despite these improvements, and the fact that Chile entered the </w:t>
      </w:r>
      <w:r w:rsidR="00C50712" w:rsidRPr="008941BB">
        <w:rPr>
          <w:lang w:val="en-GB"/>
        </w:rPr>
        <w:t>n</w:t>
      </w:r>
      <w:r w:rsidRPr="008941BB">
        <w:rPr>
          <w:lang w:val="en-GB"/>
        </w:rPr>
        <w:t xml:space="preserve">et </w:t>
      </w:r>
      <w:r w:rsidR="00C50712" w:rsidRPr="00065C92">
        <w:t>c</w:t>
      </w:r>
      <w:r w:rsidRPr="00065C92">
        <w:t xml:space="preserve">ontributor </w:t>
      </w:r>
      <w:r w:rsidR="00C50712" w:rsidRPr="008941BB">
        <w:rPr>
          <w:lang w:val="en-GB"/>
        </w:rPr>
        <w:t>c</w:t>
      </w:r>
      <w:r w:rsidRPr="008941BB">
        <w:rPr>
          <w:lang w:val="en-GB"/>
        </w:rPr>
        <w:t>ountry category</w:t>
      </w:r>
      <w:r w:rsidR="002C3347">
        <w:rPr>
          <w:lang w:val="en-GB"/>
        </w:rPr>
        <w:t>,</w:t>
      </w:r>
      <w:r w:rsidR="00F40DBC" w:rsidRPr="008941BB">
        <w:rPr>
          <w:rStyle w:val="FootnoteReference"/>
          <w:lang w:val="en-GB"/>
        </w:rPr>
        <w:footnoteReference w:id="4"/>
      </w:r>
      <w:r w:rsidRPr="008941BB">
        <w:rPr>
          <w:lang w:val="en-GB"/>
        </w:rPr>
        <w:t xml:space="preserve"> significant challenges remain to reach</w:t>
      </w:r>
      <w:r w:rsidR="002C3347">
        <w:rPr>
          <w:lang w:val="en-GB"/>
        </w:rPr>
        <w:t>ing</w:t>
      </w:r>
      <w:r w:rsidRPr="008941BB">
        <w:rPr>
          <w:lang w:val="en-GB"/>
        </w:rPr>
        <w:t xml:space="preserve"> the comprehensive approach </w:t>
      </w:r>
      <w:r w:rsidR="002C3347">
        <w:rPr>
          <w:lang w:val="en-GB"/>
        </w:rPr>
        <w:t xml:space="preserve">to </w:t>
      </w:r>
      <w:r w:rsidRPr="008941BB">
        <w:rPr>
          <w:lang w:val="en-GB"/>
        </w:rPr>
        <w:t>development set in the 2030 Agenda</w:t>
      </w:r>
      <w:r w:rsidR="00C50712" w:rsidRPr="008941BB">
        <w:rPr>
          <w:lang w:val="en-GB"/>
        </w:rPr>
        <w:t xml:space="preserve"> for Sustainable Development</w:t>
      </w:r>
      <w:r w:rsidRPr="008941BB">
        <w:rPr>
          <w:lang w:val="en-GB"/>
        </w:rPr>
        <w:t xml:space="preserve"> and achiev</w:t>
      </w:r>
      <w:r w:rsidR="002C3347">
        <w:rPr>
          <w:lang w:val="en-GB"/>
        </w:rPr>
        <w:t>ing</w:t>
      </w:r>
      <w:r w:rsidRPr="008941BB">
        <w:rPr>
          <w:lang w:val="en-GB"/>
        </w:rPr>
        <w:t xml:space="preserve"> a harmonious balance between economic growth, social progress, and environmental sustainability. Pressure over natural resources by the productive matrix affects ecosystems and biodiversity,</w:t>
      </w:r>
      <w:r w:rsidR="006F3EB8">
        <w:rPr>
          <w:lang w:val="en-GB"/>
        </w:rPr>
        <w:t xml:space="preserve"> </w:t>
      </w:r>
      <w:r w:rsidR="00184C12" w:rsidRPr="008941BB">
        <w:rPr>
          <w:lang w:val="en-GB"/>
        </w:rPr>
        <w:t>and</w:t>
      </w:r>
      <w:r w:rsidRPr="008941BB">
        <w:rPr>
          <w:lang w:val="en-GB"/>
        </w:rPr>
        <w:t xml:space="preserve"> has a negative impact o</w:t>
      </w:r>
      <w:r w:rsidR="00C50712" w:rsidRPr="008941BB">
        <w:rPr>
          <w:lang w:val="en-GB"/>
        </w:rPr>
        <w:t>n</w:t>
      </w:r>
      <w:r w:rsidRPr="008941BB">
        <w:rPr>
          <w:lang w:val="en-GB"/>
        </w:rPr>
        <w:t xml:space="preserve"> the well</w:t>
      </w:r>
      <w:r w:rsidR="00C50712" w:rsidRPr="008941BB">
        <w:rPr>
          <w:lang w:val="en-GB"/>
        </w:rPr>
        <w:t>-</w:t>
      </w:r>
      <w:r w:rsidRPr="008941BB">
        <w:rPr>
          <w:lang w:val="en-GB"/>
        </w:rPr>
        <w:t xml:space="preserve">being of individuals and communities. </w:t>
      </w:r>
      <w:r w:rsidR="002C3347">
        <w:rPr>
          <w:lang w:val="en-GB"/>
        </w:rPr>
        <w:t>I</w:t>
      </w:r>
      <w:r w:rsidRPr="008941BB">
        <w:rPr>
          <w:lang w:val="en-GB"/>
        </w:rPr>
        <w:t xml:space="preserve">ncreasingly efficient and participatory institutions, which assure </w:t>
      </w:r>
      <w:r w:rsidR="00F40DBC" w:rsidRPr="008941BB">
        <w:rPr>
          <w:lang w:val="en-GB"/>
        </w:rPr>
        <w:t>regulatory</w:t>
      </w:r>
      <w:r w:rsidRPr="008941BB">
        <w:rPr>
          <w:lang w:val="en-GB"/>
        </w:rPr>
        <w:t xml:space="preserve"> coherence at the national and subnational levels, </w:t>
      </w:r>
      <w:r w:rsidR="002C3347">
        <w:rPr>
          <w:lang w:val="en-GB"/>
        </w:rPr>
        <w:t>will be</w:t>
      </w:r>
      <w:r w:rsidR="002C3347" w:rsidRPr="008941BB">
        <w:rPr>
          <w:lang w:val="en-GB"/>
        </w:rPr>
        <w:t xml:space="preserve"> </w:t>
      </w:r>
      <w:r w:rsidR="00567F51" w:rsidRPr="008941BB">
        <w:rPr>
          <w:lang w:val="en-GB"/>
        </w:rPr>
        <w:t xml:space="preserve">one of the key drivers </w:t>
      </w:r>
      <w:r w:rsidR="002C3347">
        <w:rPr>
          <w:lang w:val="en-GB"/>
        </w:rPr>
        <w:t>in</w:t>
      </w:r>
      <w:r w:rsidRPr="008941BB">
        <w:rPr>
          <w:lang w:val="en-GB"/>
        </w:rPr>
        <w:t xml:space="preserve"> moving towards sustainable and resilient development and boosting</w:t>
      </w:r>
      <w:r w:rsidR="00BC3945" w:rsidRPr="008941BB">
        <w:rPr>
          <w:lang w:val="en-GB"/>
        </w:rPr>
        <w:t xml:space="preserve"> </w:t>
      </w:r>
      <w:r w:rsidR="00C50712" w:rsidRPr="008941BB">
        <w:rPr>
          <w:lang w:val="en-GB"/>
        </w:rPr>
        <w:t xml:space="preserve">the </w:t>
      </w:r>
      <w:r w:rsidR="00BC3945" w:rsidRPr="008941BB">
        <w:rPr>
          <w:lang w:val="en-GB"/>
        </w:rPr>
        <w:t xml:space="preserve">social integration of </w:t>
      </w:r>
      <w:r w:rsidRPr="008941BB">
        <w:rPr>
          <w:lang w:val="en-GB"/>
        </w:rPr>
        <w:t>vulnerable groups such as low-income people, indigenous communities, disabled persons, and women.</w:t>
      </w:r>
    </w:p>
    <w:p w14:paraId="6B5C5834" w14:textId="24FCF0C2" w:rsidR="000624AC" w:rsidRPr="008941BB" w:rsidRDefault="000624AC" w:rsidP="00C4319B">
      <w:pPr>
        <w:numPr>
          <w:ilvl w:val="0"/>
          <w:numId w:val="40"/>
        </w:numPr>
        <w:pBdr>
          <w:top w:val="none" w:sz="0" w:space="0" w:color="7F9698"/>
          <w:left w:val="none" w:sz="0" w:space="0" w:color="7F9698"/>
          <w:bottom w:val="none" w:sz="0" w:space="0" w:color="7F9698"/>
          <w:right w:val="none" w:sz="0" w:space="0" w:color="7F9698"/>
        </w:pBdr>
        <w:tabs>
          <w:tab w:val="left" w:pos="851"/>
        </w:tabs>
        <w:spacing w:after="120"/>
        <w:ind w:left="1195" w:right="1195" w:firstLine="0"/>
        <w:jc w:val="both"/>
        <w:rPr>
          <w:rFonts w:eastAsiaTheme="minorHAnsi"/>
          <w:lang w:val="en-GB"/>
        </w:rPr>
      </w:pPr>
      <w:r w:rsidRPr="008941BB">
        <w:rPr>
          <w:lang w:val="en-GB"/>
        </w:rPr>
        <w:t xml:space="preserve">The first challenge relates to the vulnerability faced by the emerging middle class. </w:t>
      </w:r>
      <w:r w:rsidR="002C3347">
        <w:rPr>
          <w:lang w:val="en-GB"/>
        </w:rPr>
        <w:t>E</w:t>
      </w:r>
      <w:r w:rsidRPr="008941BB">
        <w:rPr>
          <w:lang w:val="en-GB"/>
        </w:rPr>
        <w:t>conomic, social, and cultural uncertainties and risks affecting a significant group of citizens</w:t>
      </w:r>
      <w:r w:rsidR="00486894" w:rsidRPr="008941BB">
        <w:rPr>
          <w:lang w:val="en-GB"/>
        </w:rPr>
        <w:t>,</w:t>
      </w:r>
      <w:r w:rsidRPr="008941BB">
        <w:rPr>
          <w:lang w:val="en-GB"/>
        </w:rPr>
        <w:t xml:space="preserve"> mak</w:t>
      </w:r>
      <w:r w:rsidR="002C3347">
        <w:rPr>
          <w:lang w:val="en-GB"/>
        </w:rPr>
        <w:t>ing</w:t>
      </w:r>
      <w:r w:rsidRPr="008941BB">
        <w:rPr>
          <w:lang w:val="en-GB"/>
        </w:rPr>
        <w:t xml:space="preserve"> it difficult to sustain the achieved level of well-being over time. Evidence shows that, despite the steady growth of income, a large group of people are </w:t>
      </w:r>
      <w:r w:rsidRPr="008941BB">
        <w:rPr>
          <w:rFonts w:eastAsia="Calibri"/>
          <w:color w:val="000000"/>
          <w:lang w:val="en-GB"/>
        </w:rPr>
        <w:t>prone to falling back into poverty</w:t>
      </w:r>
      <w:r w:rsidR="00486894" w:rsidRPr="008941BB">
        <w:rPr>
          <w:rFonts w:eastAsia="Calibri"/>
          <w:color w:val="000000"/>
          <w:lang w:val="en-GB"/>
        </w:rPr>
        <w:t>.</w:t>
      </w:r>
      <w:r w:rsidRPr="008941BB">
        <w:rPr>
          <w:rStyle w:val="FootnoteReference"/>
          <w:rFonts w:eastAsia="Calibri"/>
          <w:color w:val="000000"/>
          <w:lang w:val="en-GB"/>
        </w:rPr>
        <w:footnoteReference w:id="5"/>
      </w:r>
      <w:r w:rsidRPr="008941BB">
        <w:rPr>
          <w:rFonts w:eastAsia="Calibri"/>
          <w:color w:val="000000"/>
          <w:lang w:val="en-GB"/>
        </w:rPr>
        <w:t xml:space="preserve"> These groups do not </w:t>
      </w:r>
      <w:r w:rsidR="00486894" w:rsidRPr="008941BB">
        <w:rPr>
          <w:rFonts w:eastAsia="Calibri"/>
          <w:color w:val="000000"/>
          <w:lang w:val="en-GB"/>
        </w:rPr>
        <w:t xml:space="preserve">attain </w:t>
      </w:r>
      <w:r w:rsidRPr="008941BB">
        <w:rPr>
          <w:rFonts w:eastAsia="Calibri"/>
          <w:color w:val="000000"/>
          <w:lang w:val="en-GB"/>
        </w:rPr>
        <w:t xml:space="preserve">an adequate level of income or have access to a social security system </w:t>
      </w:r>
      <w:r w:rsidR="002C3347">
        <w:rPr>
          <w:rFonts w:eastAsia="Calibri"/>
          <w:color w:val="000000"/>
          <w:lang w:val="en-GB"/>
        </w:rPr>
        <w:t xml:space="preserve">enabling them </w:t>
      </w:r>
      <w:r w:rsidRPr="008941BB">
        <w:rPr>
          <w:rFonts w:eastAsia="Calibri"/>
          <w:color w:val="000000"/>
          <w:lang w:val="en-GB"/>
        </w:rPr>
        <w:t xml:space="preserve">to achieve financial stability </w:t>
      </w:r>
      <w:r w:rsidR="00486894" w:rsidRPr="008941BB">
        <w:rPr>
          <w:rFonts w:eastAsia="Calibri"/>
          <w:color w:val="000000"/>
          <w:lang w:val="en-GB"/>
        </w:rPr>
        <w:t>or</w:t>
      </w:r>
      <w:r w:rsidRPr="008941BB">
        <w:rPr>
          <w:rFonts w:eastAsia="Calibri"/>
          <w:color w:val="000000"/>
          <w:lang w:val="en-GB"/>
        </w:rPr>
        <w:t xml:space="preserve"> </w:t>
      </w:r>
      <w:r w:rsidR="00962FD3" w:rsidRPr="008941BB">
        <w:rPr>
          <w:rFonts w:eastAsia="Calibri"/>
          <w:color w:val="000000"/>
          <w:lang w:val="en-GB"/>
        </w:rPr>
        <w:t xml:space="preserve">an adequate </w:t>
      </w:r>
      <w:r w:rsidR="00486894" w:rsidRPr="008941BB">
        <w:rPr>
          <w:rFonts w:eastAsia="Calibri"/>
          <w:color w:val="000000"/>
          <w:lang w:val="en-GB"/>
        </w:rPr>
        <w:t xml:space="preserve">quality of </w:t>
      </w:r>
      <w:r w:rsidRPr="008941BB">
        <w:rPr>
          <w:rFonts w:eastAsia="Calibri"/>
          <w:color w:val="000000"/>
          <w:lang w:val="en-GB"/>
        </w:rPr>
        <w:t>life.</w:t>
      </w:r>
    </w:p>
    <w:p w14:paraId="50B0AEC9" w14:textId="6C9041B9" w:rsidR="00A271FA" w:rsidRPr="008941BB" w:rsidRDefault="002C3347" w:rsidP="00C4319B">
      <w:pPr>
        <w:numPr>
          <w:ilvl w:val="0"/>
          <w:numId w:val="40"/>
        </w:numPr>
        <w:pBdr>
          <w:top w:val="none" w:sz="0" w:space="0" w:color="7F9698"/>
          <w:left w:val="none" w:sz="0" w:space="0" w:color="7F9698"/>
          <w:bottom w:val="none" w:sz="0" w:space="0" w:color="7F9698"/>
          <w:right w:val="none" w:sz="0" w:space="0" w:color="7F9698"/>
        </w:pBdr>
        <w:tabs>
          <w:tab w:val="left" w:pos="851"/>
        </w:tabs>
        <w:spacing w:after="120"/>
        <w:ind w:left="1195" w:right="1195" w:firstLine="0"/>
        <w:jc w:val="both"/>
        <w:rPr>
          <w:lang w:val="en-GB"/>
        </w:rPr>
      </w:pPr>
      <w:r>
        <w:rPr>
          <w:lang w:val="en-GB"/>
        </w:rPr>
        <w:t>S</w:t>
      </w:r>
      <w:r w:rsidR="000624AC" w:rsidRPr="008941BB">
        <w:rPr>
          <w:lang w:val="en-GB"/>
        </w:rPr>
        <w:t xml:space="preserve">ome people encounter difficulties </w:t>
      </w:r>
      <w:r w:rsidR="00486894" w:rsidRPr="008941BB">
        <w:rPr>
          <w:lang w:val="en-GB"/>
        </w:rPr>
        <w:t xml:space="preserve">in </w:t>
      </w:r>
      <w:r w:rsidR="000624AC" w:rsidRPr="008941BB">
        <w:rPr>
          <w:lang w:val="en-GB"/>
        </w:rPr>
        <w:t xml:space="preserve">achieving social integration and exercising their rights effectively due to socio-economic disparities; segregated urban spaces with higher levels of pollution, discriminatory treatment, asymmetries in access to power and influence, unequal access to </w:t>
      </w:r>
      <w:r w:rsidR="00486894" w:rsidRPr="008941BB">
        <w:rPr>
          <w:lang w:val="en-GB"/>
        </w:rPr>
        <w:t>good-</w:t>
      </w:r>
      <w:r w:rsidR="000624AC" w:rsidRPr="008941BB">
        <w:rPr>
          <w:lang w:val="en-GB"/>
        </w:rPr>
        <w:t>qual</w:t>
      </w:r>
      <w:r w:rsidR="00A60168" w:rsidRPr="008941BB">
        <w:rPr>
          <w:lang w:val="en-GB"/>
        </w:rPr>
        <w:t>ity services</w:t>
      </w:r>
      <w:r w:rsidR="000624AC" w:rsidRPr="008941BB">
        <w:rPr>
          <w:lang w:val="en-GB"/>
        </w:rPr>
        <w:t xml:space="preserve">; violence, abuse and risk conditions for children and adolescents; and gender violence (42 </w:t>
      </w:r>
      <w:r w:rsidRPr="004068DA">
        <w:rPr>
          <w:lang w:val="en-GB"/>
        </w:rPr>
        <w:t xml:space="preserve">femicides </w:t>
      </w:r>
      <w:r w:rsidR="000624AC" w:rsidRPr="008941BB">
        <w:rPr>
          <w:lang w:val="en-GB"/>
        </w:rPr>
        <w:t>perpetrated and 112 attempted</w:t>
      </w:r>
      <w:r w:rsidR="00EB555B">
        <w:rPr>
          <w:lang w:val="en-GB"/>
        </w:rPr>
        <w:t xml:space="preserve"> in 2017</w:t>
      </w:r>
      <w:r w:rsidR="000624AC" w:rsidRPr="008941BB">
        <w:rPr>
          <w:rStyle w:val="FootnoteReference"/>
          <w:lang w:val="en-GB"/>
        </w:rPr>
        <w:footnoteReference w:id="6"/>
      </w:r>
      <w:r w:rsidR="000624AC" w:rsidRPr="008941BB">
        <w:rPr>
          <w:lang w:val="en-GB"/>
        </w:rPr>
        <w:t xml:space="preserve"> ). </w:t>
      </w:r>
      <w:r w:rsidR="00486894" w:rsidRPr="008941BB">
        <w:rPr>
          <w:lang w:val="en-GB"/>
        </w:rPr>
        <w:t>While</w:t>
      </w:r>
      <w:r w:rsidR="000624AC" w:rsidRPr="008941BB">
        <w:rPr>
          <w:lang w:val="en-GB"/>
        </w:rPr>
        <w:t xml:space="preserve"> income disparity has been reduced, it is still high (1 per</w:t>
      </w:r>
      <w:r w:rsidR="00486894" w:rsidRPr="008941BB">
        <w:rPr>
          <w:lang w:val="en-GB"/>
        </w:rPr>
        <w:t xml:space="preserve"> </w:t>
      </w:r>
      <w:r w:rsidR="000624AC" w:rsidRPr="008941BB">
        <w:rPr>
          <w:lang w:val="en-GB"/>
        </w:rPr>
        <w:t>cent of the population receive</w:t>
      </w:r>
      <w:r w:rsidR="00486894" w:rsidRPr="008941BB">
        <w:rPr>
          <w:lang w:val="en-GB"/>
        </w:rPr>
        <w:t>s</w:t>
      </w:r>
      <w:r w:rsidR="000624AC" w:rsidRPr="008941BB">
        <w:rPr>
          <w:lang w:val="en-GB"/>
        </w:rPr>
        <w:t xml:space="preserve"> 33 </w:t>
      </w:r>
      <w:r w:rsidR="00685822" w:rsidRPr="008941BB">
        <w:rPr>
          <w:lang w:val="en-GB"/>
        </w:rPr>
        <w:t>per cent</w:t>
      </w:r>
      <w:r w:rsidR="000624AC" w:rsidRPr="008941BB">
        <w:rPr>
          <w:lang w:val="en-GB"/>
        </w:rPr>
        <w:t xml:space="preserve"> of income</w:t>
      </w:r>
      <w:r w:rsidR="000624AC" w:rsidRPr="008941BB">
        <w:rPr>
          <w:rStyle w:val="FootnoteReference"/>
          <w:lang w:val="en-GB"/>
        </w:rPr>
        <w:footnoteReference w:id="7"/>
      </w:r>
      <w:r w:rsidR="000624AC" w:rsidRPr="008941BB">
        <w:rPr>
          <w:lang w:val="en-GB"/>
        </w:rPr>
        <w:t xml:space="preserve">). </w:t>
      </w:r>
      <w:r w:rsidR="00486894" w:rsidRPr="008941BB">
        <w:rPr>
          <w:lang w:val="en-GB"/>
        </w:rPr>
        <w:t>I</w:t>
      </w:r>
      <w:r w:rsidR="000624AC" w:rsidRPr="008941BB">
        <w:rPr>
          <w:lang w:val="en-GB"/>
        </w:rPr>
        <w:t xml:space="preserve">mportant poverty pockets remain, particularly among </w:t>
      </w:r>
      <w:r w:rsidR="001B2B51" w:rsidRPr="008941BB">
        <w:rPr>
          <w:lang w:val="en-GB"/>
        </w:rPr>
        <w:t>certain groups</w:t>
      </w:r>
      <w:r w:rsidR="00F91207" w:rsidRPr="008941BB">
        <w:rPr>
          <w:lang w:val="en-GB"/>
        </w:rPr>
        <w:t xml:space="preserve"> and </w:t>
      </w:r>
      <w:r w:rsidR="000624AC" w:rsidRPr="008941BB">
        <w:rPr>
          <w:lang w:val="en-GB"/>
        </w:rPr>
        <w:t>territories (cent</w:t>
      </w:r>
      <w:r w:rsidR="00486894" w:rsidRPr="008941BB">
        <w:rPr>
          <w:lang w:val="en-GB"/>
        </w:rPr>
        <w:t>re</w:t>
      </w:r>
      <w:r w:rsidR="000624AC" w:rsidRPr="008941BB">
        <w:rPr>
          <w:lang w:val="en-GB"/>
        </w:rPr>
        <w:t>-south</w:t>
      </w:r>
      <w:r w:rsidR="00340AD7" w:rsidRPr="008941BB">
        <w:rPr>
          <w:lang w:val="en-GB"/>
        </w:rPr>
        <w:t>)</w:t>
      </w:r>
      <w:r w:rsidR="000624AC" w:rsidRPr="008941BB">
        <w:rPr>
          <w:lang w:val="en-GB"/>
        </w:rPr>
        <w:t xml:space="preserve">. </w:t>
      </w:r>
      <w:r w:rsidR="00340AD7" w:rsidRPr="008941BB">
        <w:rPr>
          <w:lang w:val="en-GB"/>
        </w:rPr>
        <w:t>A</w:t>
      </w:r>
      <w:r w:rsidR="000624AC" w:rsidRPr="008941BB">
        <w:rPr>
          <w:lang w:val="en-GB"/>
        </w:rPr>
        <w:t xml:space="preserve">ccording </w:t>
      </w:r>
      <w:r w:rsidR="00A271FA" w:rsidRPr="008941BB">
        <w:rPr>
          <w:lang w:val="en-GB"/>
        </w:rPr>
        <w:t xml:space="preserve">to </w:t>
      </w:r>
      <w:r w:rsidR="000624AC" w:rsidRPr="008941BB">
        <w:rPr>
          <w:lang w:val="en-GB"/>
        </w:rPr>
        <w:t xml:space="preserve">the </w:t>
      </w:r>
      <w:r w:rsidR="00EB555B" w:rsidRPr="008941BB">
        <w:rPr>
          <w:lang w:val="en-GB"/>
        </w:rPr>
        <w:t xml:space="preserve">National Socio-Economic Characterization Survey conducted in </w:t>
      </w:r>
      <w:r w:rsidR="000624AC" w:rsidRPr="008941BB">
        <w:rPr>
          <w:lang w:val="en-GB"/>
        </w:rPr>
        <w:t xml:space="preserve">2015, </w:t>
      </w:r>
      <w:r w:rsidR="000624AC" w:rsidRPr="008941BB">
        <w:rPr>
          <w:rFonts w:eastAsia="Calibri"/>
          <w:color w:val="000000"/>
          <w:lang w:val="en-GB"/>
        </w:rPr>
        <w:t>12.9</w:t>
      </w:r>
      <w:r w:rsidR="00E07FBC" w:rsidRPr="008941BB">
        <w:rPr>
          <w:rFonts w:eastAsia="Calibri"/>
          <w:color w:val="000000"/>
          <w:lang w:val="en-GB"/>
        </w:rPr>
        <w:t> </w:t>
      </w:r>
      <w:r w:rsidR="00685822" w:rsidRPr="008941BB">
        <w:rPr>
          <w:rFonts w:eastAsia="Calibri"/>
          <w:color w:val="000000"/>
          <w:lang w:val="en-GB"/>
        </w:rPr>
        <w:t>per cent</w:t>
      </w:r>
      <w:r w:rsidR="000624AC" w:rsidRPr="008941BB">
        <w:rPr>
          <w:rFonts w:eastAsia="Calibri"/>
          <w:color w:val="000000"/>
          <w:lang w:val="en-GB"/>
        </w:rPr>
        <w:t xml:space="preserve"> of the population </w:t>
      </w:r>
      <w:r w:rsidR="00E07FBC" w:rsidRPr="008941BB">
        <w:rPr>
          <w:rFonts w:eastAsia="Calibri"/>
          <w:color w:val="000000"/>
          <w:lang w:val="en-GB"/>
        </w:rPr>
        <w:t xml:space="preserve">in </w:t>
      </w:r>
      <w:r w:rsidR="000624AC" w:rsidRPr="008941BB">
        <w:rPr>
          <w:rFonts w:eastAsia="Calibri"/>
          <w:color w:val="000000"/>
          <w:lang w:val="en-GB"/>
        </w:rPr>
        <w:t>income poverty live in female-headed households (8.8</w:t>
      </w:r>
      <w:r w:rsidR="00D95F56" w:rsidRPr="008941BB">
        <w:rPr>
          <w:rFonts w:eastAsia="Calibri"/>
          <w:color w:val="000000"/>
          <w:lang w:val="en-GB"/>
        </w:rPr>
        <w:t> </w:t>
      </w:r>
      <w:r w:rsidR="000624AC" w:rsidRPr="008941BB">
        <w:rPr>
          <w:rFonts w:eastAsia="Calibri"/>
          <w:color w:val="000000"/>
          <w:lang w:val="en-GB"/>
        </w:rPr>
        <w:t>per</w:t>
      </w:r>
      <w:r w:rsidR="00D95F56" w:rsidRPr="008941BB">
        <w:rPr>
          <w:rFonts w:eastAsia="Calibri"/>
          <w:color w:val="000000"/>
          <w:lang w:val="en-GB"/>
        </w:rPr>
        <w:t> </w:t>
      </w:r>
      <w:r w:rsidR="000624AC" w:rsidRPr="008941BB">
        <w:rPr>
          <w:rFonts w:eastAsia="Calibri"/>
          <w:color w:val="000000"/>
          <w:lang w:val="en-GB"/>
        </w:rPr>
        <w:t>cent are male</w:t>
      </w:r>
      <w:r w:rsidR="00486894" w:rsidRPr="008941BB">
        <w:rPr>
          <w:rFonts w:eastAsia="Calibri"/>
          <w:color w:val="000000"/>
          <w:lang w:val="en-GB"/>
        </w:rPr>
        <w:t xml:space="preserve"> </w:t>
      </w:r>
      <w:r w:rsidR="000624AC" w:rsidRPr="008941BB">
        <w:rPr>
          <w:rFonts w:eastAsia="Calibri"/>
          <w:color w:val="000000"/>
          <w:lang w:val="en-GB"/>
        </w:rPr>
        <w:t xml:space="preserve">headed); and there is a poverty gap of </w:t>
      </w:r>
      <w:r w:rsidR="00486894" w:rsidRPr="008941BB">
        <w:rPr>
          <w:rFonts w:eastAsia="Calibri"/>
          <w:color w:val="000000"/>
          <w:lang w:val="en-GB"/>
        </w:rPr>
        <w:t xml:space="preserve">seven </w:t>
      </w:r>
      <w:r w:rsidR="000624AC" w:rsidRPr="008941BB">
        <w:rPr>
          <w:rFonts w:eastAsia="Calibri"/>
          <w:color w:val="000000"/>
          <w:lang w:val="en-GB"/>
        </w:rPr>
        <w:t xml:space="preserve">percentage points </w:t>
      </w:r>
      <w:r w:rsidR="00E07FBC" w:rsidRPr="008941BB">
        <w:rPr>
          <w:rFonts w:eastAsia="Calibri"/>
          <w:color w:val="000000"/>
          <w:lang w:val="en-GB"/>
        </w:rPr>
        <w:t xml:space="preserve">between </w:t>
      </w:r>
      <w:r w:rsidR="000624AC" w:rsidRPr="008941BB">
        <w:rPr>
          <w:rFonts w:eastAsia="Calibri"/>
          <w:color w:val="000000"/>
          <w:lang w:val="en-GB"/>
        </w:rPr>
        <w:t>indigenous people</w:t>
      </w:r>
      <w:r w:rsidR="00E07FBC" w:rsidRPr="008941BB">
        <w:rPr>
          <w:rFonts w:eastAsia="Calibri"/>
          <w:color w:val="000000"/>
          <w:lang w:val="en-GB"/>
        </w:rPr>
        <w:t xml:space="preserve"> and</w:t>
      </w:r>
      <w:r w:rsidR="000624AC" w:rsidRPr="008941BB">
        <w:rPr>
          <w:rFonts w:eastAsia="Calibri"/>
          <w:color w:val="000000"/>
          <w:lang w:val="en-GB"/>
        </w:rPr>
        <w:t xml:space="preserve"> the non-indigenous population. </w:t>
      </w:r>
    </w:p>
    <w:p w14:paraId="252E4471" w14:textId="00BE8AFD" w:rsidR="00A271FA" w:rsidRPr="008941BB" w:rsidRDefault="000624AC" w:rsidP="00C4319B">
      <w:pPr>
        <w:numPr>
          <w:ilvl w:val="0"/>
          <w:numId w:val="40"/>
        </w:numPr>
        <w:pBdr>
          <w:top w:val="none" w:sz="0" w:space="0" w:color="7F9698"/>
          <w:left w:val="none" w:sz="0" w:space="0" w:color="7F9698"/>
          <w:bottom w:val="none" w:sz="0" w:space="0" w:color="7F9698"/>
          <w:right w:val="none" w:sz="0" w:space="0" w:color="7F9698"/>
        </w:pBdr>
        <w:tabs>
          <w:tab w:val="left" w:pos="851"/>
        </w:tabs>
        <w:spacing w:after="120"/>
        <w:ind w:left="1195" w:right="1195" w:firstLine="0"/>
        <w:jc w:val="both"/>
        <w:rPr>
          <w:lang w:val="en-GB"/>
        </w:rPr>
      </w:pPr>
      <w:r w:rsidRPr="008941BB">
        <w:rPr>
          <w:lang w:val="en-GB"/>
        </w:rPr>
        <w:t>Despite the increasing participation of women in the labo</w:t>
      </w:r>
      <w:r w:rsidR="00D95F56" w:rsidRPr="008941BB">
        <w:rPr>
          <w:lang w:val="en-GB"/>
        </w:rPr>
        <w:t>u</w:t>
      </w:r>
      <w:r w:rsidRPr="008941BB">
        <w:rPr>
          <w:lang w:val="en-GB"/>
        </w:rPr>
        <w:t xml:space="preserve">r market </w:t>
      </w:r>
      <w:r w:rsidR="00D43B58">
        <w:rPr>
          <w:lang w:val="en-GB"/>
        </w:rPr>
        <w:t>over the</w:t>
      </w:r>
      <w:r w:rsidRPr="008941BB">
        <w:rPr>
          <w:lang w:val="en-GB"/>
        </w:rPr>
        <w:t xml:space="preserve"> years, it </w:t>
      </w:r>
      <w:r w:rsidR="0050089C">
        <w:rPr>
          <w:lang w:val="en-GB"/>
        </w:rPr>
        <w:t>remains</w:t>
      </w:r>
      <w:r w:rsidRPr="008941BB">
        <w:rPr>
          <w:lang w:val="en-GB"/>
        </w:rPr>
        <w:t xml:space="preserve"> lower than the regional average and highly </w:t>
      </w:r>
      <w:r w:rsidRPr="008941BB">
        <w:rPr>
          <w:rFonts w:cs="Calibri"/>
          <w:color w:val="000000"/>
          <w:lang w:val="en-GB"/>
        </w:rPr>
        <w:t>stratified according to socio-economic level</w:t>
      </w:r>
      <w:r w:rsidR="00E07FBC" w:rsidRPr="008941BB">
        <w:rPr>
          <w:rFonts w:cs="Calibri"/>
          <w:color w:val="000000"/>
          <w:lang w:val="en-GB"/>
        </w:rPr>
        <w:t>:</w:t>
      </w:r>
      <w:r w:rsidRPr="008941BB">
        <w:rPr>
          <w:rFonts w:cs="Calibri"/>
          <w:color w:val="000000"/>
          <w:lang w:val="en-GB"/>
        </w:rPr>
        <w:t xml:space="preserve"> 27 per</w:t>
      </w:r>
      <w:r w:rsidR="00D95F56" w:rsidRPr="008941BB">
        <w:rPr>
          <w:rFonts w:cs="Calibri"/>
          <w:color w:val="000000"/>
          <w:lang w:val="en-GB"/>
        </w:rPr>
        <w:t xml:space="preserve"> </w:t>
      </w:r>
      <w:r w:rsidRPr="008941BB">
        <w:rPr>
          <w:rFonts w:cs="Calibri"/>
          <w:color w:val="000000"/>
          <w:lang w:val="en-GB"/>
        </w:rPr>
        <w:t xml:space="preserve">cent in the </w:t>
      </w:r>
      <w:r w:rsidR="00E07FBC" w:rsidRPr="008941BB">
        <w:rPr>
          <w:rFonts w:cs="Calibri"/>
          <w:color w:val="000000"/>
          <w:lang w:val="en-GB"/>
        </w:rPr>
        <w:t xml:space="preserve">lower </w:t>
      </w:r>
      <w:r w:rsidRPr="008941BB">
        <w:rPr>
          <w:rFonts w:cs="Calibri"/>
          <w:color w:val="000000"/>
          <w:lang w:val="en-GB"/>
        </w:rPr>
        <w:t xml:space="preserve">deciles </w:t>
      </w:r>
      <w:r w:rsidR="00340AD7" w:rsidRPr="008941BB">
        <w:rPr>
          <w:rFonts w:cs="Calibri"/>
          <w:color w:val="000000"/>
          <w:lang w:val="en-GB"/>
        </w:rPr>
        <w:t>of income</w:t>
      </w:r>
      <w:r w:rsidR="00D95F56" w:rsidRPr="008941BB">
        <w:rPr>
          <w:rFonts w:cs="Calibri"/>
          <w:color w:val="000000"/>
          <w:lang w:val="en-GB"/>
        </w:rPr>
        <w:t>,</w:t>
      </w:r>
      <w:r w:rsidR="00340AD7" w:rsidRPr="008941BB">
        <w:rPr>
          <w:rFonts w:cs="Calibri"/>
          <w:color w:val="000000"/>
          <w:lang w:val="en-GB"/>
        </w:rPr>
        <w:t xml:space="preserve"> </w:t>
      </w:r>
      <w:r w:rsidR="00D95F56" w:rsidRPr="008941BB">
        <w:rPr>
          <w:rFonts w:cs="Calibri"/>
          <w:color w:val="000000"/>
          <w:lang w:val="en-GB"/>
        </w:rPr>
        <w:t>against</w:t>
      </w:r>
      <w:r w:rsidRPr="008941BB">
        <w:rPr>
          <w:rFonts w:cs="Calibri"/>
          <w:color w:val="000000"/>
          <w:lang w:val="en-GB"/>
        </w:rPr>
        <w:t xml:space="preserve"> 70 per</w:t>
      </w:r>
      <w:r w:rsidR="00D95F56" w:rsidRPr="008941BB">
        <w:rPr>
          <w:rFonts w:cs="Calibri"/>
          <w:color w:val="000000"/>
          <w:lang w:val="en-GB"/>
        </w:rPr>
        <w:t xml:space="preserve"> </w:t>
      </w:r>
      <w:r w:rsidRPr="008941BB">
        <w:rPr>
          <w:rFonts w:cs="Calibri"/>
          <w:color w:val="000000"/>
          <w:lang w:val="en-GB"/>
        </w:rPr>
        <w:t>cent in the highest</w:t>
      </w:r>
      <w:r w:rsidRPr="008941BB">
        <w:rPr>
          <w:rStyle w:val="FootnoteReference"/>
          <w:color w:val="000000"/>
          <w:lang w:val="en-GB"/>
        </w:rPr>
        <w:footnoteReference w:id="8"/>
      </w:r>
      <w:r w:rsidRPr="008941BB">
        <w:rPr>
          <w:lang w:val="en-GB"/>
        </w:rPr>
        <w:t>.</w:t>
      </w:r>
      <w:r w:rsidRPr="008941BB">
        <w:rPr>
          <w:rFonts w:cs="Calibri"/>
          <w:color w:val="000000"/>
          <w:lang w:val="en-GB"/>
        </w:rPr>
        <w:t xml:space="preserve"> The </w:t>
      </w:r>
      <w:r w:rsidRPr="008941BB">
        <w:rPr>
          <w:lang w:val="en-GB"/>
        </w:rPr>
        <w:t>gender income gap is caused by the persistence of horizontal and vertical occupational segregation, the concentration of women in the low-</w:t>
      </w:r>
      <w:r w:rsidR="003C0FF7" w:rsidRPr="008941BB">
        <w:rPr>
          <w:lang w:val="en-GB"/>
        </w:rPr>
        <w:t xml:space="preserve">remuneration </w:t>
      </w:r>
      <w:r w:rsidRPr="008941BB">
        <w:rPr>
          <w:lang w:val="en-GB"/>
        </w:rPr>
        <w:t xml:space="preserve">sectors, and informal, temporary or part-time jobs. </w:t>
      </w:r>
      <w:r w:rsidR="00A271FA" w:rsidRPr="008941BB">
        <w:rPr>
          <w:lang w:val="en-GB"/>
        </w:rPr>
        <w:t xml:space="preserve">The gaps are </w:t>
      </w:r>
      <w:r w:rsidR="0050089C">
        <w:rPr>
          <w:lang w:val="en-GB"/>
        </w:rPr>
        <w:t>wider</w:t>
      </w:r>
      <w:r w:rsidR="0050089C" w:rsidRPr="008941BB">
        <w:rPr>
          <w:lang w:val="en-GB"/>
        </w:rPr>
        <w:t xml:space="preserve"> </w:t>
      </w:r>
      <w:r w:rsidR="00A271FA" w:rsidRPr="008941BB">
        <w:rPr>
          <w:lang w:val="en-GB"/>
        </w:rPr>
        <w:t>for indigenous, migrant, refugee and disable</w:t>
      </w:r>
      <w:r w:rsidR="008F3D93" w:rsidRPr="008941BB">
        <w:rPr>
          <w:lang w:val="en-GB"/>
        </w:rPr>
        <w:t>d</w:t>
      </w:r>
      <w:r w:rsidR="00A271FA" w:rsidRPr="008941BB">
        <w:rPr>
          <w:lang w:val="en-GB"/>
        </w:rPr>
        <w:t xml:space="preserve"> women. Gender</w:t>
      </w:r>
      <w:r w:rsidR="003A7D1A" w:rsidRPr="008941BB">
        <w:rPr>
          <w:lang w:val="en-GB"/>
        </w:rPr>
        <w:t>,</w:t>
      </w:r>
      <w:r w:rsidR="00A271FA" w:rsidRPr="008941BB">
        <w:rPr>
          <w:lang w:val="en-GB"/>
        </w:rPr>
        <w:t xml:space="preserve"> then</w:t>
      </w:r>
      <w:r w:rsidR="003A7D1A" w:rsidRPr="008941BB">
        <w:rPr>
          <w:lang w:val="en-GB"/>
        </w:rPr>
        <w:t>,</w:t>
      </w:r>
      <w:r w:rsidR="00A271FA" w:rsidRPr="008941BB">
        <w:rPr>
          <w:lang w:val="en-GB"/>
        </w:rPr>
        <w:t xml:space="preserve"> is connected to other forms of discrimination. </w:t>
      </w:r>
    </w:p>
    <w:p w14:paraId="7B045A58" w14:textId="7CF45AAF" w:rsidR="000766C4" w:rsidRPr="008941BB" w:rsidRDefault="003A7D1A" w:rsidP="00C4319B">
      <w:pPr>
        <w:numPr>
          <w:ilvl w:val="0"/>
          <w:numId w:val="40"/>
        </w:numPr>
        <w:pBdr>
          <w:top w:val="none" w:sz="0" w:space="0" w:color="7F9698"/>
          <w:left w:val="none" w:sz="0" w:space="0" w:color="7F9698"/>
          <w:bottom w:val="none" w:sz="0" w:space="0" w:color="7F9698"/>
          <w:right w:val="none" w:sz="0" w:space="0" w:color="7F9698"/>
        </w:pBdr>
        <w:tabs>
          <w:tab w:val="left" w:pos="851"/>
        </w:tabs>
        <w:spacing w:after="120"/>
        <w:ind w:left="1195" w:right="1195" w:firstLine="0"/>
        <w:jc w:val="both"/>
        <w:rPr>
          <w:lang w:val="en-GB"/>
        </w:rPr>
      </w:pPr>
      <w:r w:rsidRPr="008941BB">
        <w:rPr>
          <w:lang w:val="en-GB"/>
        </w:rPr>
        <w:lastRenderedPageBreak/>
        <w:t>W</w:t>
      </w:r>
      <w:r w:rsidR="000624AC" w:rsidRPr="008941BB">
        <w:rPr>
          <w:lang w:val="en-GB"/>
        </w:rPr>
        <w:t>omen dedicate</w:t>
      </w:r>
      <w:r w:rsidR="001B2B51" w:rsidRPr="008941BB">
        <w:rPr>
          <w:lang w:val="en-GB"/>
        </w:rPr>
        <w:t xml:space="preserve"> </w:t>
      </w:r>
      <w:r w:rsidR="000624AC" w:rsidRPr="008941BB">
        <w:rPr>
          <w:lang w:val="en-GB"/>
        </w:rPr>
        <w:t>nearly twice the time to unpaid work</w:t>
      </w:r>
      <w:r w:rsidR="0050089C">
        <w:rPr>
          <w:lang w:val="en-GB"/>
        </w:rPr>
        <w:t xml:space="preserve"> as men do</w:t>
      </w:r>
      <w:r w:rsidR="000624AC" w:rsidRPr="008941BB">
        <w:rPr>
          <w:lang w:val="en-GB"/>
        </w:rPr>
        <w:t>, includ</w:t>
      </w:r>
      <w:r w:rsidR="0050089C">
        <w:rPr>
          <w:lang w:val="en-GB"/>
        </w:rPr>
        <w:t>ing</w:t>
      </w:r>
      <w:r w:rsidR="000624AC" w:rsidRPr="008941BB">
        <w:rPr>
          <w:lang w:val="en-GB"/>
        </w:rPr>
        <w:t xml:space="preserve"> taking care of dependents</w:t>
      </w:r>
      <w:r w:rsidRPr="008941BB">
        <w:rPr>
          <w:lang w:val="en-GB"/>
        </w:rPr>
        <w:t>.</w:t>
      </w:r>
      <w:r w:rsidR="0059598B" w:rsidRPr="008941BB">
        <w:rPr>
          <w:vertAlign w:val="superscript"/>
          <w:lang w:val="en-GB"/>
        </w:rPr>
        <w:footnoteReference w:id="9"/>
      </w:r>
      <w:r w:rsidR="000624AC" w:rsidRPr="008941BB">
        <w:rPr>
          <w:lang w:val="en-GB"/>
        </w:rPr>
        <w:t xml:space="preserve"> </w:t>
      </w:r>
      <w:r w:rsidR="000766C4" w:rsidRPr="008941BB">
        <w:rPr>
          <w:lang w:val="en-GB"/>
        </w:rPr>
        <w:t>30.2</w:t>
      </w:r>
      <w:r w:rsidRPr="008941BB">
        <w:rPr>
          <w:lang w:val="en-GB"/>
        </w:rPr>
        <w:t xml:space="preserve"> per cent</w:t>
      </w:r>
      <w:r w:rsidR="000766C4" w:rsidRPr="008941BB">
        <w:rPr>
          <w:lang w:val="en-GB"/>
        </w:rPr>
        <w:t xml:space="preserve"> of women from the lowest income quintile </w:t>
      </w:r>
      <w:r w:rsidRPr="008941BB">
        <w:rPr>
          <w:lang w:val="en-GB"/>
        </w:rPr>
        <w:t xml:space="preserve">state </w:t>
      </w:r>
      <w:r w:rsidR="000766C4" w:rsidRPr="008941BB">
        <w:rPr>
          <w:lang w:val="en-GB"/>
        </w:rPr>
        <w:t xml:space="preserve">they </w:t>
      </w:r>
      <w:r w:rsidR="0050089C">
        <w:rPr>
          <w:lang w:val="en-GB"/>
        </w:rPr>
        <w:t>have</w:t>
      </w:r>
      <w:r w:rsidR="0050089C" w:rsidRPr="008941BB">
        <w:rPr>
          <w:lang w:val="en-GB"/>
        </w:rPr>
        <w:t xml:space="preserve"> </w:t>
      </w:r>
      <w:r w:rsidR="000766C4" w:rsidRPr="008941BB">
        <w:rPr>
          <w:lang w:val="en-GB"/>
        </w:rPr>
        <w:t>not enter</w:t>
      </w:r>
      <w:r w:rsidR="0050089C">
        <w:rPr>
          <w:lang w:val="en-GB"/>
        </w:rPr>
        <w:t>ed</w:t>
      </w:r>
      <w:r w:rsidR="000766C4" w:rsidRPr="008941BB">
        <w:rPr>
          <w:lang w:val="en-GB"/>
        </w:rPr>
        <w:t xml:space="preserve"> the labo</w:t>
      </w:r>
      <w:r w:rsidR="00DD24B4">
        <w:rPr>
          <w:lang w:val="en-GB"/>
        </w:rPr>
        <w:t>u</w:t>
      </w:r>
      <w:r w:rsidR="000766C4" w:rsidRPr="008941BB">
        <w:rPr>
          <w:lang w:val="en-GB"/>
        </w:rPr>
        <w:t>r market due to care or housework. Th</w:t>
      </w:r>
      <w:r w:rsidRPr="008941BB">
        <w:rPr>
          <w:lang w:val="en-GB"/>
        </w:rPr>
        <w:t>at</w:t>
      </w:r>
      <w:r w:rsidR="000766C4" w:rsidRPr="008941BB">
        <w:rPr>
          <w:lang w:val="en-GB"/>
        </w:rPr>
        <w:t xml:space="preserve"> figure </w:t>
      </w:r>
      <w:r w:rsidR="003C0FF7" w:rsidRPr="008941BB">
        <w:rPr>
          <w:lang w:val="en-GB"/>
        </w:rPr>
        <w:t>falls</w:t>
      </w:r>
      <w:r w:rsidR="000766C4" w:rsidRPr="008941BB">
        <w:rPr>
          <w:lang w:val="en-GB"/>
        </w:rPr>
        <w:t xml:space="preserve"> to 10.9</w:t>
      </w:r>
      <w:r w:rsidRPr="008941BB">
        <w:rPr>
          <w:lang w:val="en-GB"/>
        </w:rPr>
        <w:t xml:space="preserve"> per cent</w:t>
      </w:r>
      <w:r w:rsidR="000766C4" w:rsidRPr="008941BB">
        <w:rPr>
          <w:lang w:val="en-GB"/>
        </w:rPr>
        <w:t xml:space="preserve"> in the highest income quintile</w:t>
      </w:r>
      <w:r w:rsidRPr="008941BB">
        <w:rPr>
          <w:lang w:val="en-GB"/>
        </w:rPr>
        <w:t>.</w:t>
      </w:r>
      <w:r w:rsidR="00BF52F5" w:rsidRPr="008941BB">
        <w:rPr>
          <w:rStyle w:val="FootnoteReference"/>
          <w:lang w:val="en-GB"/>
        </w:rPr>
        <w:footnoteReference w:id="10"/>
      </w:r>
      <w:r w:rsidR="000766C4" w:rsidRPr="008941BB">
        <w:rPr>
          <w:lang w:val="en-GB"/>
        </w:rPr>
        <w:t xml:space="preserve"> This has resulted in women from the lowest quintiles being disproportionately disadvantaged when they reach old age due to a pension system that is based largely on individual savings</w:t>
      </w:r>
      <w:r w:rsidRPr="008941BB">
        <w:rPr>
          <w:lang w:val="en-GB"/>
        </w:rPr>
        <w:t>.</w:t>
      </w:r>
      <w:r w:rsidR="00BF52F5" w:rsidRPr="008941BB">
        <w:rPr>
          <w:rStyle w:val="FootnoteReference"/>
          <w:lang w:val="en-GB"/>
        </w:rPr>
        <w:footnoteReference w:id="11"/>
      </w:r>
      <w:r w:rsidR="000766C4" w:rsidRPr="008941BB">
        <w:rPr>
          <w:lang w:val="en-GB"/>
        </w:rPr>
        <w:t xml:space="preserve"> </w:t>
      </w:r>
      <w:r w:rsidRPr="008941BB">
        <w:rPr>
          <w:lang w:val="en-GB"/>
        </w:rPr>
        <w:t>To some extent,</w:t>
      </w:r>
      <w:r w:rsidR="000766C4" w:rsidRPr="008941BB">
        <w:rPr>
          <w:lang w:val="en-GB"/>
        </w:rPr>
        <w:t xml:space="preserve"> the advances made to facilitate public provision of care services and improvements in education have contributed to increasing female labo</w:t>
      </w:r>
      <w:r w:rsidR="00DD24B4">
        <w:rPr>
          <w:lang w:val="en-GB"/>
        </w:rPr>
        <w:t>u</w:t>
      </w:r>
      <w:r w:rsidR="000766C4" w:rsidRPr="008941BB">
        <w:rPr>
          <w:lang w:val="en-GB"/>
        </w:rPr>
        <w:t xml:space="preserve">r participation. On the other hand, persistent stereotypes about </w:t>
      </w:r>
      <w:r w:rsidR="0050089C">
        <w:rPr>
          <w:lang w:val="en-GB"/>
        </w:rPr>
        <w:t>men’s and women’s</w:t>
      </w:r>
      <w:r w:rsidR="0050089C" w:rsidRPr="008941BB">
        <w:rPr>
          <w:lang w:val="en-GB"/>
        </w:rPr>
        <w:t xml:space="preserve"> </w:t>
      </w:r>
      <w:r w:rsidR="000766C4" w:rsidRPr="008941BB">
        <w:rPr>
          <w:lang w:val="en-GB"/>
        </w:rPr>
        <w:t>roles</w:t>
      </w:r>
      <w:r w:rsidR="00B627B7">
        <w:rPr>
          <w:lang w:val="en-GB"/>
        </w:rPr>
        <w:t>,</w:t>
      </w:r>
      <w:r w:rsidR="000766C4" w:rsidRPr="008941BB">
        <w:rPr>
          <w:lang w:val="en-GB"/>
        </w:rPr>
        <w:t xml:space="preserve"> and some forms of discrimination, continue to hamper progress </w:t>
      </w:r>
      <w:r w:rsidRPr="008941BB">
        <w:rPr>
          <w:lang w:val="en-GB"/>
        </w:rPr>
        <w:t>towards</w:t>
      </w:r>
      <w:r w:rsidR="000766C4" w:rsidRPr="008941BB">
        <w:rPr>
          <w:lang w:val="en-GB"/>
        </w:rPr>
        <w:t xml:space="preserve"> gender equality. </w:t>
      </w:r>
    </w:p>
    <w:p w14:paraId="710AE41E" w14:textId="3E0F1B37" w:rsidR="000624AC" w:rsidRPr="008941BB" w:rsidRDefault="000624AC" w:rsidP="00C4319B">
      <w:pPr>
        <w:numPr>
          <w:ilvl w:val="0"/>
          <w:numId w:val="40"/>
        </w:numPr>
        <w:pBdr>
          <w:top w:val="none" w:sz="0" w:space="0" w:color="7F9698"/>
          <w:left w:val="none" w:sz="0" w:space="0" w:color="7F9698"/>
          <w:bottom w:val="none" w:sz="0" w:space="0" w:color="7F9698"/>
          <w:right w:val="none" w:sz="0" w:space="0" w:color="7F9698"/>
        </w:pBdr>
        <w:tabs>
          <w:tab w:val="left" w:pos="851"/>
        </w:tabs>
        <w:spacing w:after="120"/>
        <w:ind w:left="1195" w:right="1195" w:firstLine="0"/>
        <w:jc w:val="both"/>
        <w:rPr>
          <w:lang w:val="en-GB"/>
        </w:rPr>
      </w:pPr>
      <w:r w:rsidRPr="008941BB">
        <w:rPr>
          <w:lang w:val="en-GB"/>
        </w:rPr>
        <w:t>The economy is characterized by high</w:t>
      </w:r>
      <w:r w:rsidR="0050089C">
        <w:rPr>
          <w:lang w:val="en-GB"/>
        </w:rPr>
        <w:t>-</w:t>
      </w:r>
      <w:r w:rsidRPr="008941BB">
        <w:rPr>
          <w:lang w:val="en-GB"/>
        </w:rPr>
        <w:t xml:space="preserve"> and low</w:t>
      </w:r>
      <w:r w:rsidR="0050089C">
        <w:rPr>
          <w:lang w:val="en-GB"/>
        </w:rPr>
        <w:t>-</w:t>
      </w:r>
      <w:r w:rsidRPr="008941BB">
        <w:rPr>
          <w:lang w:val="en-GB"/>
        </w:rPr>
        <w:t xml:space="preserve">productivity businesses, a </w:t>
      </w:r>
      <w:r w:rsidR="00286307" w:rsidRPr="008941BB">
        <w:rPr>
          <w:lang w:val="en-GB"/>
        </w:rPr>
        <w:t xml:space="preserve">large </w:t>
      </w:r>
      <w:r w:rsidRPr="008941BB">
        <w:rPr>
          <w:lang w:val="en-GB"/>
        </w:rPr>
        <w:t xml:space="preserve">share of them </w:t>
      </w:r>
      <w:r w:rsidR="00AC4D9F">
        <w:rPr>
          <w:lang w:val="en-GB"/>
        </w:rPr>
        <w:t>pay</w:t>
      </w:r>
      <w:r w:rsidR="00AC4D9F" w:rsidRPr="008941BB">
        <w:rPr>
          <w:lang w:val="en-GB"/>
        </w:rPr>
        <w:t xml:space="preserve">ing </w:t>
      </w:r>
      <w:r w:rsidRPr="008941BB">
        <w:rPr>
          <w:lang w:val="en-GB"/>
        </w:rPr>
        <w:t>low wages</w:t>
      </w:r>
      <w:r w:rsidR="00286307" w:rsidRPr="008941BB">
        <w:rPr>
          <w:lang w:val="en-GB"/>
        </w:rPr>
        <w:t>:</w:t>
      </w:r>
      <w:r w:rsidR="003A7D1A" w:rsidRPr="008941BB">
        <w:rPr>
          <w:lang w:val="en-GB"/>
        </w:rPr>
        <w:t xml:space="preserve"> </w:t>
      </w:r>
      <w:r w:rsidRPr="008941BB">
        <w:rPr>
          <w:lang w:val="en-GB"/>
        </w:rPr>
        <w:t>50 per</w:t>
      </w:r>
      <w:r w:rsidR="003A7D1A" w:rsidRPr="008941BB">
        <w:rPr>
          <w:lang w:val="en-GB"/>
        </w:rPr>
        <w:t xml:space="preserve"> </w:t>
      </w:r>
      <w:r w:rsidRPr="008941BB">
        <w:rPr>
          <w:lang w:val="en-GB"/>
        </w:rPr>
        <w:t xml:space="preserve">cent of the salaries earned by workers from 30 to 65 years old is not enough to </w:t>
      </w:r>
      <w:r w:rsidR="003A7D1A" w:rsidRPr="008941BB">
        <w:rPr>
          <w:lang w:val="en-GB"/>
        </w:rPr>
        <w:t xml:space="preserve">lift </w:t>
      </w:r>
      <w:r w:rsidRPr="008941BB">
        <w:rPr>
          <w:lang w:val="en-GB"/>
        </w:rPr>
        <w:t>an average family out of poverty</w:t>
      </w:r>
      <w:r w:rsidR="00286307" w:rsidRPr="008941BB">
        <w:rPr>
          <w:lang w:val="en-GB"/>
        </w:rPr>
        <w:t>.</w:t>
      </w:r>
      <w:r w:rsidRPr="008941BB">
        <w:rPr>
          <w:rStyle w:val="FootnoteReference"/>
          <w:lang w:val="en-GB"/>
        </w:rPr>
        <w:footnoteReference w:id="12"/>
      </w:r>
      <w:r w:rsidRPr="008941BB">
        <w:rPr>
          <w:lang w:val="en-GB"/>
        </w:rPr>
        <w:t xml:space="preserve"> </w:t>
      </w:r>
      <w:r w:rsidR="00286307" w:rsidRPr="008941BB">
        <w:rPr>
          <w:lang w:val="en-GB"/>
        </w:rPr>
        <w:t>E</w:t>
      </w:r>
      <w:r w:rsidRPr="008941BB">
        <w:rPr>
          <w:lang w:val="en-GB"/>
        </w:rPr>
        <w:t>ducational and labo</w:t>
      </w:r>
      <w:r w:rsidR="0050089C">
        <w:rPr>
          <w:lang w:val="en-GB"/>
        </w:rPr>
        <w:t>u</w:t>
      </w:r>
      <w:r w:rsidRPr="008941BB">
        <w:rPr>
          <w:lang w:val="en-GB"/>
        </w:rPr>
        <w:t>r trajectories are stratified by socio-economic level and gender. The productive model, based on extractive and highly</w:t>
      </w:r>
      <w:r w:rsidR="00A31A0E">
        <w:rPr>
          <w:lang w:val="en-GB"/>
        </w:rPr>
        <w:t>-</w:t>
      </w:r>
      <w:r w:rsidRPr="008941BB">
        <w:rPr>
          <w:lang w:val="en-GB"/>
        </w:rPr>
        <w:t xml:space="preserve">masculinized sectors, limits </w:t>
      </w:r>
      <w:r w:rsidR="00286307" w:rsidRPr="008941BB">
        <w:rPr>
          <w:lang w:val="en-GB"/>
        </w:rPr>
        <w:t>the</w:t>
      </w:r>
      <w:r w:rsidRPr="008941BB">
        <w:rPr>
          <w:lang w:val="en-GB"/>
        </w:rPr>
        <w:t xml:space="preserve"> participation of women and other vulnerable groups.</w:t>
      </w:r>
    </w:p>
    <w:p w14:paraId="49DE405E" w14:textId="6AFD5AED" w:rsidR="000624AC" w:rsidRPr="008941BB" w:rsidRDefault="000624AC" w:rsidP="00C4319B">
      <w:pPr>
        <w:numPr>
          <w:ilvl w:val="0"/>
          <w:numId w:val="40"/>
        </w:numPr>
        <w:pBdr>
          <w:top w:val="none" w:sz="0" w:space="0" w:color="7F9698"/>
          <w:left w:val="none" w:sz="0" w:space="0" w:color="7F9698"/>
          <w:bottom w:val="none" w:sz="0" w:space="0" w:color="7F9698"/>
          <w:right w:val="none" w:sz="0" w:space="0" w:color="7F9698"/>
        </w:pBdr>
        <w:tabs>
          <w:tab w:val="left" w:pos="851"/>
        </w:tabs>
        <w:spacing w:after="120"/>
        <w:ind w:left="1195" w:right="1195" w:firstLine="0"/>
        <w:jc w:val="both"/>
        <w:rPr>
          <w:lang w:val="en-GB"/>
        </w:rPr>
      </w:pPr>
      <w:r w:rsidRPr="008941BB">
        <w:rPr>
          <w:lang w:val="en-GB"/>
        </w:rPr>
        <w:t>The third issue is related to the need to modernize State institutions, including digital transformation. Public management faces planning and inter-sector coordination challenges, which reduce its efficiency and timely responsiveness to citizen</w:t>
      </w:r>
      <w:r w:rsidR="00685822" w:rsidRPr="008941BB">
        <w:rPr>
          <w:lang w:val="en-GB"/>
        </w:rPr>
        <w:t>s’</w:t>
      </w:r>
      <w:r w:rsidRPr="008941BB">
        <w:rPr>
          <w:lang w:val="en-GB"/>
        </w:rPr>
        <w:t xml:space="preserve"> requirements. Chile is the most centralized country of the </w:t>
      </w:r>
      <w:r w:rsidR="00685822" w:rsidRPr="008941BB">
        <w:rPr>
          <w:lang w:val="en-GB"/>
        </w:rPr>
        <w:t>Organization for Economic Cooperation and Development (</w:t>
      </w:r>
      <w:r w:rsidRPr="008941BB">
        <w:rPr>
          <w:lang w:val="en-GB"/>
        </w:rPr>
        <w:t>OECD</w:t>
      </w:r>
      <w:r w:rsidR="00685822" w:rsidRPr="008941BB">
        <w:rPr>
          <w:lang w:val="en-GB"/>
        </w:rPr>
        <w:t>).</w:t>
      </w:r>
      <w:r w:rsidRPr="008941BB">
        <w:rPr>
          <w:lang w:val="en-GB"/>
        </w:rPr>
        <w:t xml:space="preserve"> </w:t>
      </w:r>
      <w:r w:rsidR="00685822" w:rsidRPr="008941BB">
        <w:rPr>
          <w:lang w:val="en-GB"/>
        </w:rPr>
        <w:t>R</w:t>
      </w:r>
      <w:r w:rsidRPr="008941BB">
        <w:rPr>
          <w:lang w:val="en-GB"/>
        </w:rPr>
        <w:t>egional and local governments have limited autonomy to generate revenues, while decisions over expenditures are concentrated at the central government</w:t>
      </w:r>
      <w:r w:rsidR="00685822" w:rsidRPr="008941BB">
        <w:rPr>
          <w:lang w:val="en-GB"/>
        </w:rPr>
        <w:t xml:space="preserve"> level</w:t>
      </w:r>
      <w:r w:rsidR="009A12A9">
        <w:rPr>
          <w:lang w:val="en-GB"/>
        </w:rPr>
        <w:t>: in 2013, only 12 </w:t>
      </w:r>
      <w:r w:rsidRPr="008941BB">
        <w:rPr>
          <w:lang w:val="en-GB"/>
        </w:rPr>
        <w:t>per</w:t>
      </w:r>
      <w:r w:rsidR="00685822" w:rsidRPr="008941BB">
        <w:rPr>
          <w:lang w:val="en-GB"/>
        </w:rPr>
        <w:t xml:space="preserve"> </w:t>
      </w:r>
      <w:r w:rsidRPr="008941BB">
        <w:rPr>
          <w:lang w:val="en-GB"/>
        </w:rPr>
        <w:t xml:space="preserve">cent of total public investment was determined at </w:t>
      </w:r>
      <w:r w:rsidR="00E07FBC" w:rsidRPr="008941BB">
        <w:rPr>
          <w:lang w:val="en-GB"/>
        </w:rPr>
        <w:t>the</w:t>
      </w:r>
      <w:r w:rsidRPr="008941BB">
        <w:rPr>
          <w:lang w:val="en-GB"/>
        </w:rPr>
        <w:t xml:space="preserve"> local level (</w:t>
      </w:r>
      <w:r w:rsidR="00E07FBC" w:rsidRPr="008941BB">
        <w:rPr>
          <w:lang w:val="en-GB"/>
        </w:rPr>
        <w:t xml:space="preserve">the </w:t>
      </w:r>
      <w:r w:rsidRPr="008941BB">
        <w:rPr>
          <w:lang w:val="en-GB"/>
        </w:rPr>
        <w:t xml:space="preserve">OECD </w:t>
      </w:r>
      <w:r w:rsidR="004A6F46" w:rsidRPr="008941BB">
        <w:rPr>
          <w:lang w:val="en-GB"/>
        </w:rPr>
        <w:t xml:space="preserve">average </w:t>
      </w:r>
      <w:r w:rsidRPr="008941BB">
        <w:rPr>
          <w:lang w:val="en-GB"/>
        </w:rPr>
        <w:t xml:space="preserve">is 60 </w:t>
      </w:r>
      <w:r w:rsidR="00685822" w:rsidRPr="008941BB">
        <w:rPr>
          <w:lang w:val="en-GB"/>
        </w:rPr>
        <w:t>per cent</w:t>
      </w:r>
      <w:r w:rsidRPr="008941BB">
        <w:rPr>
          <w:rStyle w:val="FootnoteReference"/>
          <w:lang w:val="en-GB"/>
        </w:rPr>
        <w:footnoteReference w:id="13"/>
      </w:r>
      <w:r w:rsidRPr="008941BB">
        <w:rPr>
          <w:lang w:val="en-GB"/>
        </w:rPr>
        <w:t xml:space="preserve">). Likewise, the level of competencies transferred to the subnational level is low. </w:t>
      </w:r>
    </w:p>
    <w:p w14:paraId="6E583E85" w14:textId="0CE73210" w:rsidR="000624AC" w:rsidRPr="008941BB" w:rsidRDefault="000624AC" w:rsidP="00C4319B">
      <w:pPr>
        <w:numPr>
          <w:ilvl w:val="0"/>
          <w:numId w:val="40"/>
        </w:numPr>
        <w:pBdr>
          <w:top w:val="none" w:sz="0" w:space="0" w:color="7F9698"/>
          <w:left w:val="none" w:sz="0" w:space="0" w:color="7F9698"/>
          <w:bottom w:val="none" w:sz="0" w:space="0" w:color="7F9698"/>
          <w:right w:val="none" w:sz="0" w:space="0" w:color="7F9698"/>
        </w:pBdr>
        <w:tabs>
          <w:tab w:val="left" w:pos="851"/>
        </w:tabs>
        <w:spacing w:after="120"/>
        <w:ind w:left="1195" w:right="1195" w:firstLine="0"/>
        <w:jc w:val="both"/>
        <w:rPr>
          <w:lang w:val="en-GB"/>
        </w:rPr>
      </w:pPr>
      <w:r w:rsidRPr="008941BB">
        <w:rPr>
          <w:lang w:val="en-GB"/>
        </w:rPr>
        <w:t xml:space="preserve">In recent years, the country fostered a wide set of reforms to enhance the functioning of democracy, including reforms to the electoral system, political party regulation, party and electoral </w:t>
      </w:r>
      <w:r w:rsidR="00ED38AA" w:rsidRPr="008941BB">
        <w:rPr>
          <w:lang w:val="en-GB"/>
        </w:rPr>
        <w:t>funding</w:t>
      </w:r>
      <w:r w:rsidRPr="008941BB">
        <w:rPr>
          <w:lang w:val="en-GB"/>
        </w:rPr>
        <w:t xml:space="preserve">, </w:t>
      </w:r>
      <w:r w:rsidR="00E07FBC" w:rsidRPr="008941BB">
        <w:rPr>
          <w:lang w:val="en-GB"/>
        </w:rPr>
        <w:t>and</w:t>
      </w:r>
      <w:r w:rsidRPr="008941BB">
        <w:rPr>
          <w:lang w:val="en-GB"/>
        </w:rPr>
        <w:t xml:space="preserve"> anti</w:t>
      </w:r>
      <w:r w:rsidR="00AC4D9F">
        <w:rPr>
          <w:lang w:val="en-GB"/>
        </w:rPr>
        <w:t>-</w:t>
      </w:r>
      <w:r w:rsidRPr="008941BB">
        <w:rPr>
          <w:lang w:val="en-GB"/>
        </w:rPr>
        <w:t xml:space="preserve">corruption and transparency measures. However, challenges </w:t>
      </w:r>
      <w:r w:rsidR="00E07FBC" w:rsidRPr="008941BB">
        <w:rPr>
          <w:lang w:val="en-GB"/>
        </w:rPr>
        <w:t xml:space="preserve">remain </w:t>
      </w:r>
      <w:r w:rsidRPr="008941BB">
        <w:rPr>
          <w:lang w:val="en-GB"/>
        </w:rPr>
        <w:t>in relation to public integrity, prevention mechanisms, regulatory compliance with international standards, and oversight capacities</w:t>
      </w:r>
      <w:r w:rsidR="00693014" w:rsidRPr="008941BB">
        <w:rPr>
          <w:lang w:val="en-GB"/>
        </w:rPr>
        <w:t>. Th</w:t>
      </w:r>
      <w:r w:rsidR="00E07FBC" w:rsidRPr="008941BB">
        <w:rPr>
          <w:lang w:val="en-GB"/>
        </w:rPr>
        <w:t xml:space="preserve">e </w:t>
      </w:r>
      <w:r w:rsidRPr="008941BB">
        <w:rPr>
          <w:lang w:val="en-GB"/>
        </w:rPr>
        <w:t xml:space="preserve">perception of corruption has continued to grow despite </w:t>
      </w:r>
      <w:r w:rsidR="00E07FBC" w:rsidRPr="008941BB">
        <w:rPr>
          <w:lang w:val="en-GB"/>
        </w:rPr>
        <w:t xml:space="preserve">significant </w:t>
      </w:r>
      <w:r w:rsidRPr="008941BB">
        <w:rPr>
          <w:lang w:val="en-GB"/>
        </w:rPr>
        <w:t xml:space="preserve">legal reforms: seven out of ten </w:t>
      </w:r>
      <w:r w:rsidR="00E07FBC" w:rsidRPr="008941BB">
        <w:rPr>
          <w:lang w:val="en-GB"/>
        </w:rPr>
        <w:t xml:space="preserve">people </w:t>
      </w:r>
      <w:r w:rsidRPr="008941BB">
        <w:rPr>
          <w:lang w:val="en-GB"/>
        </w:rPr>
        <w:t xml:space="preserve">consider public agencies </w:t>
      </w:r>
      <w:r w:rsidR="00E07FBC" w:rsidRPr="008941BB">
        <w:rPr>
          <w:lang w:val="en-GB"/>
        </w:rPr>
        <w:t>‘</w:t>
      </w:r>
      <w:r w:rsidRPr="008941BB">
        <w:rPr>
          <w:lang w:val="en-GB"/>
        </w:rPr>
        <w:t>very corrupt</w:t>
      </w:r>
      <w:r w:rsidR="00E07FBC" w:rsidRPr="008941BB">
        <w:rPr>
          <w:lang w:val="en-GB"/>
        </w:rPr>
        <w:t>’</w:t>
      </w:r>
      <w:r w:rsidR="00AC4D9F">
        <w:rPr>
          <w:lang w:val="en-GB"/>
        </w:rPr>
        <w:t>.</w:t>
      </w:r>
      <w:r w:rsidRPr="008941BB">
        <w:rPr>
          <w:rStyle w:val="FootnoteReference"/>
          <w:lang w:val="en-GB"/>
        </w:rPr>
        <w:footnoteReference w:id="14"/>
      </w:r>
      <w:r w:rsidR="00ED38AA" w:rsidRPr="008941BB">
        <w:rPr>
          <w:lang w:val="en-GB"/>
        </w:rPr>
        <w:t xml:space="preserve"> </w:t>
      </w:r>
      <w:r w:rsidR="00AC4D9F">
        <w:rPr>
          <w:lang w:val="en-GB"/>
        </w:rPr>
        <w:t>C</w:t>
      </w:r>
      <w:r w:rsidRPr="008941BB">
        <w:rPr>
          <w:lang w:val="en-GB"/>
        </w:rPr>
        <w:t>itizen participation</w:t>
      </w:r>
      <w:r w:rsidR="00AC4D9F">
        <w:rPr>
          <w:lang w:val="en-GB"/>
        </w:rPr>
        <w:t>,</w:t>
      </w:r>
      <w:r w:rsidRPr="008941BB">
        <w:rPr>
          <w:lang w:val="en-GB"/>
        </w:rPr>
        <w:t xml:space="preserve"> at different levels of the political and social life</w:t>
      </w:r>
      <w:r w:rsidR="00E07FBC" w:rsidRPr="008941BB">
        <w:rPr>
          <w:lang w:val="en-GB"/>
        </w:rPr>
        <w:t xml:space="preserve"> of the country</w:t>
      </w:r>
      <w:r w:rsidRPr="008941BB">
        <w:rPr>
          <w:lang w:val="en-GB"/>
        </w:rPr>
        <w:t xml:space="preserve">, is low. Electoral participation has fallen </w:t>
      </w:r>
      <w:r w:rsidR="00E07FBC" w:rsidRPr="008941BB">
        <w:rPr>
          <w:lang w:val="en-GB"/>
        </w:rPr>
        <w:t xml:space="preserve">steadily </w:t>
      </w:r>
      <w:r w:rsidRPr="008941BB">
        <w:rPr>
          <w:lang w:val="en-GB"/>
        </w:rPr>
        <w:t>since 1990</w:t>
      </w:r>
      <w:r w:rsidR="00E07FBC" w:rsidRPr="008941BB">
        <w:rPr>
          <w:lang w:val="en-GB"/>
        </w:rPr>
        <w:t xml:space="preserve"> – particularly among young people and residents of low-income urban areas – </w:t>
      </w:r>
      <w:r w:rsidRPr="008941BB">
        <w:rPr>
          <w:lang w:val="en-GB"/>
        </w:rPr>
        <w:t xml:space="preserve">reaching </w:t>
      </w:r>
      <w:r w:rsidR="00693014" w:rsidRPr="008941BB">
        <w:rPr>
          <w:lang w:val="en-GB"/>
        </w:rPr>
        <w:t xml:space="preserve">only </w:t>
      </w:r>
      <w:r w:rsidRPr="008941BB">
        <w:rPr>
          <w:lang w:val="en-GB"/>
        </w:rPr>
        <w:t xml:space="preserve">48 </w:t>
      </w:r>
      <w:r w:rsidR="00685822" w:rsidRPr="008941BB">
        <w:rPr>
          <w:lang w:val="en-GB"/>
        </w:rPr>
        <w:t>per cent</w:t>
      </w:r>
      <w:r w:rsidRPr="008941BB">
        <w:rPr>
          <w:lang w:val="en-GB"/>
        </w:rPr>
        <w:t xml:space="preserve"> in the last presidential election</w:t>
      </w:r>
      <w:r w:rsidR="00E07FBC" w:rsidRPr="008941BB">
        <w:rPr>
          <w:lang w:val="en-GB"/>
        </w:rPr>
        <w:t>.</w:t>
      </w:r>
      <w:r w:rsidRPr="008941BB">
        <w:rPr>
          <w:rStyle w:val="FootnoteReference"/>
          <w:lang w:val="en-GB"/>
        </w:rPr>
        <w:footnoteReference w:id="15"/>
      </w:r>
      <w:r w:rsidRPr="008941BB">
        <w:rPr>
          <w:lang w:val="en-GB"/>
        </w:rPr>
        <w:t xml:space="preserve"> Participation in public policy processes is weak and uneven</w:t>
      </w:r>
      <w:r w:rsidR="00E07FBC" w:rsidRPr="008941BB">
        <w:rPr>
          <w:lang w:val="en-GB"/>
        </w:rPr>
        <w:t>,</w:t>
      </w:r>
      <w:r w:rsidRPr="008941BB">
        <w:rPr>
          <w:lang w:val="en-GB"/>
        </w:rPr>
        <w:t xml:space="preserve"> depending on the type of institution and the level of government</w:t>
      </w:r>
      <w:r w:rsidR="00E07FBC" w:rsidRPr="008941BB">
        <w:rPr>
          <w:lang w:val="en-GB"/>
        </w:rPr>
        <w:t>.</w:t>
      </w:r>
      <w:r w:rsidRPr="008941BB">
        <w:rPr>
          <w:rStyle w:val="FootnoteReference"/>
          <w:lang w:val="en-GB"/>
        </w:rPr>
        <w:footnoteReference w:id="16"/>
      </w:r>
      <w:r w:rsidRPr="008941BB">
        <w:rPr>
          <w:lang w:val="en-GB"/>
        </w:rPr>
        <w:t xml:space="preserve"> Inclusive governance mechanisms are insufficient to promote citizen</w:t>
      </w:r>
      <w:r w:rsidR="00E07FBC" w:rsidRPr="008941BB">
        <w:rPr>
          <w:lang w:val="en-GB"/>
        </w:rPr>
        <w:t>s</w:t>
      </w:r>
      <w:r w:rsidRPr="008941BB">
        <w:rPr>
          <w:lang w:val="en-GB"/>
        </w:rPr>
        <w:t xml:space="preserve">’ participation in electoral </w:t>
      </w:r>
      <w:r w:rsidR="00A074B6" w:rsidRPr="008941BB">
        <w:rPr>
          <w:lang w:val="en-GB"/>
        </w:rPr>
        <w:t>and decision-making processes</w:t>
      </w:r>
      <w:r w:rsidRPr="008941BB">
        <w:rPr>
          <w:lang w:val="en-GB"/>
        </w:rPr>
        <w:t>.</w:t>
      </w:r>
    </w:p>
    <w:p w14:paraId="4A63757E" w14:textId="7C497F76" w:rsidR="000624AC" w:rsidRPr="008941BB" w:rsidRDefault="000624AC" w:rsidP="00C4319B">
      <w:pPr>
        <w:pStyle w:val="ListParagraph"/>
        <w:numPr>
          <w:ilvl w:val="0"/>
          <w:numId w:val="40"/>
        </w:numPr>
        <w:tabs>
          <w:tab w:val="left" w:pos="1530"/>
        </w:tabs>
        <w:spacing w:after="120"/>
        <w:ind w:left="1170" w:right="1208" w:firstLine="0"/>
        <w:jc w:val="both"/>
        <w:rPr>
          <w:lang w:val="en-GB"/>
        </w:rPr>
      </w:pPr>
      <w:r w:rsidRPr="008941BB">
        <w:rPr>
          <w:lang w:val="en-GB"/>
        </w:rPr>
        <w:t xml:space="preserve">Certain groups, particularly women, indigenous people, and low socio-economic sectors, are politically underrepresented. The enactment of gender quotas allowed for a </w:t>
      </w:r>
      <w:r w:rsidR="008C5865" w:rsidRPr="008941BB">
        <w:rPr>
          <w:lang w:val="en-GB"/>
        </w:rPr>
        <w:t xml:space="preserve">considerable </w:t>
      </w:r>
      <w:r w:rsidRPr="008941BB">
        <w:rPr>
          <w:lang w:val="en-GB"/>
        </w:rPr>
        <w:t>increase in women</w:t>
      </w:r>
      <w:r w:rsidR="008C5865" w:rsidRPr="008941BB">
        <w:rPr>
          <w:lang w:val="en-GB"/>
        </w:rPr>
        <w:t>’</w:t>
      </w:r>
      <w:r w:rsidRPr="008941BB">
        <w:rPr>
          <w:lang w:val="en-GB"/>
        </w:rPr>
        <w:t xml:space="preserve">s presence in </w:t>
      </w:r>
      <w:r w:rsidR="00A10961" w:rsidRPr="008941BB">
        <w:rPr>
          <w:lang w:val="en-GB"/>
        </w:rPr>
        <w:t>Congress</w:t>
      </w:r>
      <w:r w:rsidR="008C5865" w:rsidRPr="008941BB">
        <w:rPr>
          <w:lang w:val="en-GB"/>
        </w:rPr>
        <w:t>;</w:t>
      </w:r>
      <w:r w:rsidRPr="008941BB">
        <w:rPr>
          <w:lang w:val="en-GB"/>
        </w:rPr>
        <w:t xml:space="preserve"> however</w:t>
      </w:r>
      <w:r w:rsidR="008C5865" w:rsidRPr="008941BB">
        <w:rPr>
          <w:lang w:val="en-GB"/>
        </w:rPr>
        <w:t>,</w:t>
      </w:r>
      <w:r w:rsidRPr="008941BB">
        <w:rPr>
          <w:lang w:val="en-GB"/>
        </w:rPr>
        <w:t xml:space="preserve"> they account for </w:t>
      </w:r>
      <w:r w:rsidR="008C5865" w:rsidRPr="008941BB">
        <w:rPr>
          <w:lang w:val="en-GB"/>
        </w:rPr>
        <w:t xml:space="preserve">only </w:t>
      </w:r>
      <w:r w:rsidRPr="008941BB">
        <w:rPr>
          <w:lang w:val="en-GB"/>
        </w:rPr>
        <w:t xml:space="preserve">23 </w:t>
      </w:r>
      <w:r w:rsidR="00685822" w:rsidRPr="008941BB">
        <w:rPr>
          <w:lang w:val="en-GB"/>
        </w:rPr>
        <w:t>per cent</w:t>
      </w:r>
      <w:r w:rsidRPr="008941BB">
        <w:rPr>
          <w:lang w:val="en-GB"/>
        </w:rPr>
        <w:t xml:space="preserve"> of </w:t>
      </w:r>
      <w:r w:rsidR="00AC4D9F">
        <w:rPr>
          <w:lang w:val="en-GB"/>
        </w:rPr>
        <w:t>c</w:t>
      </w:r>
      <w:r w:rsidRPr="008941BB">
        <w:rPr>
          <w:lang w:val="en-GB"/>
        </w:rPr>
        <w:t>ongress</w:t>
      </w:r>
      <w:r w:rsidR="00AC4D9F">
        <w:rPr>
          <w:lang w:val="en-GB"/>
        </w:rPr>
        <w:t>ional</w:t>
      </w:r>
      <w:r w:rsidRPr="008941BB">
        <w:rPr>
          <w:lang w:val="en-GB"/>
        </w:rPr>
        <w:t xml:space="preserve"> seats and </w:t>
      </w:r>
      <w:r w:rsidR="008C5865" w:rsidRPr="008941BB">
        <w:rPr>
          <w:lang w:val="en-GB"/>
        </w:rPr>
        <w:t xml:space="preserve">a mere </w:t>
      </w:r>
      <w:r w:rsidRPr="008941BB">
        <w:rPr>
          <w:lang w:val="en-GB"/>
        </w:rPr>
        <w:t xml:space="preserve">12 </w:t>
      </w:r>
      <w:r w:rsidR="00685822" w:rsidRPr="008941BB">
        <w:rPr>
          <w:lang w:val="en-GB"/>
        </w:rPr>
        <w:t>per cent</w:t>
      </w:r>
      <w:r w:rsidRPr="008941BB">
        <w:rPr>
          <w:lang w:val="en-GB"/>
        </w:rPr>
        <w:t xml:space="preserve"> in municipalities</w:t>
      </w:r>
      <w:r w:rsidR="00AC4D9F">
        <w:rPr>
          <w:lang w:val="en-GB"/>
        </w:rPr>
        <w:t>,</w:t>
      </w:r>
      <w:r w:rsidRPr="008941BB">
        <w:rPr>
          <w:lang w:val="en-GB"/>
        </w:rPr>
        <w:t xml:space="preserve"> where quotas do not apply</w:t>
      </w:r>
      <w:r w:rsidR="008C5865" w:rsidRPr="008941BB">
        <w:rPr>
          <w:lang w:val="en-GB"/>
        </w:rPr>
        <w:t>.</w:t>
      </w:r>
      <w:r w:rsidRPr="008941BB">
        <w:rPr>
          <w:rStyle w:val="FootnoteReference"/>
          <w:lang w:val="en-GB"/>
        </w:rPr>
        <w:footnoteReference w:id="17"/>
      </w:r>
      <w:r w:rsidRPr="008941BB">
        <w:rPr>
          <w:lang w:val="en-GB"/>
        </w:rPr>
        <w:t xml:space="preserve"> </w:t>
      </w:r>
      <w:r w:rsidR="00AC4D9F">
        <w:rPr>
          <w:lang w:val="en-GB"/>
        </w:rPr>
        <w:t>J</w:t>
      </w:r>
      <w:r w:rsidRPr="008941BB">
        <w:rPr>
          <w:lang w:val="en-GB"/>
        </w:rPr>
        <w:t xml:space="preserve">ust </w:t>
      </w:r>
      <w:r w:rsidR="00340114" w:rsidRPr="008941BB">
        <w:rPr>
          <w:lang w:val="en-GB"/>
        </w:rPr>
        <w:t>33</w:t>
      </w:r>
      <w:r w:rsidRPr="008941BB">
        <w:rPr>
          <w:lang w:val="en-GB"/>
        </w:rPr>
        <w:t xml:space="preserve"> </w:t>
      </w:r>
      <w:r w:rsidR="00685822" w:rsidRPr="008941BB">
        <w:rPr>
          <w:lang w:val="en-GB"/>
        </w:rPr>
        <w:t>per cent</w:t>
      </w:r>
      <w:r w:rsidRPr="008941BB">
        <w:rPr>
          <w:lang w:val="en-GB"/>
        </w:rPr>
        <w:t xml:space="preserve"> of government authorities and heads of public services are women (</w:t>
      </w:r>
      <w:r w:rsidR="008C5865" w:rsidRPr="008941BB">
        <w:rPr>
          <w:lang w:val="en-GB"/>
        </w:rPr>
        <w:t>Dirección de Presupuestos</w:t>
      </w:r>
      <w:r w:rsidRPr="008941BB">
        <w:rPr>
          <w:lang w:val="en-GB"/>
        </w:rPr>
        <w:t>, 201</w:t>
      </w:r>
      <w:r w:rsidR="00340114" w:rsidRPr="008941BB">
        <w:rPr>
          <w:lang w:val="en-GB"/>
        </w:rPr>
        <w:t>8</w:t>
      </w:r>
      <w:r w:rsidRPr="008941BB">
        <w:rPr>
          <w:rStyle w:val="FootnoteReference"/>
          <w:lang w:val="en-GB"/>
        </w:rPr>
        <w:footnoteReference w:id="18"/>
      </w:r>
      <w:r w:rsidRPr="008941BB">
        <w:rPr>
          <w:lang w:val="en-GB"/>
        </w:rPr>
        <w:t>). A similar situation affects indigenous peoples wh</w:t>
      </w:r>
      <w:r w:rsidR="008C5865" w:rsidRPr="008941BB">
        <w:rPr>
          <w:lang w:val="en-GB"/>
        </w:rPr>
        <w:t>o</w:t>
      </w:r>
      <w:r w:rsidRPr="008941BB">
        <w:rPr>
          <w:lang w:val="en-GB"/>
        </w:rPr>
        <w:t xml:space="preserve">, despite accounting </w:t>
      </w:r>
      <w:r w:rsidRPr="008941BB">
        <w:rPr>
          <w:lang w:val="en-GB"/>
        </w:rPr>
        <w:lastRenderedPageBreak/>
        <w:t xml:space="preserve">for 12.8 </w:t>
      </w:r>
      <w:r w:rsidR="00685822" w:rsidRPr="008941BB">
        <w:rPr>
          <w:lang w:val="en-GB"/>
        </w:rPr>
        <w:t>per cent</w:t>
      </w:r>
      <w:r w:rsidRPr="008941BB">
        <w:rPr>
          <w:lang w:val="en-GB"/>
        </w:rPr>
        <w:t xml:space="preserve"> of the population</w:t>
      </w:r>
      <w:r w:rsidR="00AC4D9F">
        <w:rPr>
          <w:lang w:val="en-GB"/>
        </w:rPr>
        <w:t>,</w:t>
      </w:r>
      <w:r w:rsidRPr="008941BB">
        <w:rPr>
          <w:rStyle w:val="FootnoteReference"/>
          <w:lang w:val="en-GB"/>
        </w:rPr>
        <w:footnoteReference w:id="19"/>
      </w:r>
      <w:r w:rsidRPr="008941BB">
        <w:rPr>
          <w:lang w:val="en-GB"/>
        </w:rPr>
        <w:t xml:space="preserve"> are scarcely represented in State </w:t>
      </w:r>
      <w:r w:rsidR="003C0FF7" w:rsidRPr="008941BB">
        <w:rPr>
          <w:lang w:val="en-GB"/>
        </w:rPr>
        <w:t xml:space="preserve">institutions </w:t>
      </w:r>
      <w:r w:rsidRPr="008941BB">
        <w:rPr>
          <w:lang w:val="en-GB"/>
        </w:rPr>
        <w:t xml:space="preserve">and </w:t>
      </w:r>
      <w:r w:rsidR="008C5865" w:rsidRPr="008941BB">
        <w:rPr>
          <w:lang w:val="en-GB"/>
        </w:rPr>
        <w:t xml:space="preserve">whose </w:t>
      </w:r>
      <w:r w:rsidR="003C0FF7" w:rsidRPr="008941BB">
        <w:rPr>
          <w:lang w:val="en-GB"/>
        </w:rPr>
        <w:t xml:space="preserve">collective identity is </w:t>
      </w:r>
      <w:r w:rsidRPr="008941BB">
        <w:rPr>
          <w:lang w:val="en-GB"/>
        </w:rPr>
        <w:t>not recognize</w:t>
      </w:r>
      <w:r w:rsidR="00493118" w:rsidRPr="008941BB">
        <w:rPr>
          <w:lang w:val="en-GB"/>
        </w:rPr>
        <w:t>d</w:t>
      </w:r>
      <w:r w:rsidRPr="008941BB">
        <w:rPr>
          <w:lang w:val="en-GB"/>
        </w:rPr>
        <w:t xml:space="preserve"> in the Constitution. </w:t>
      </w:r>
    </w:p>
    <w:p w14:paraId="649F424E" w14:textId="70FBBAEA" w:rsidR="000624AC" w:rsidRPr="008941BB" w:rsidRDefault="000624AC" w:rsidP="00C4319B">
      <w:pPr>
        <w:pStyle w:val="ListParagraph"/>
        <w:numPr>
          <w:ilvl w:val="0"/>
          <w:numId w:val="40"/>
        </w:numPr>
        <w:tabs>
          <w:tab w:val="left" w:pos="1530"/>
        </w:tabs>
        <w:spacing w:after="120"/>
        <w:ind w:left="1170" w:right="1208" w:firstLine="0"/>
        <w:jc w:val="both"/>
        <w:rPr>
          <w:lang w:val="en-GB"/>
        </w:rPr>
      </w:pPr>
      <w:bookmarkStart w:id="2" w:name="_Hlk522188762"/>
      <w:r w:rsidRPr="008941BB">
        <w:rPr>
          <w:lang w:val="en-GB"/>
        </w:rPr>
        <w:t xml:space="preserve">A fourth challenge is the need to better integrate environmental sustainability </w:t>
      </w:r>
      <w:r w:rsidR="008C5865" w:rsidRPr="008941BB">
        <w:rPr>
          <w:lang w:val="en-GB"/>
        </w:rPr>
        <w:t>in</w:t>
      </w:r>
      <w:r w:rsidRPr="008941BB">
        <w:rPr>
          <w:lang w:val="en-GB"/>
        </w:rPr>
        <w:t xml:space="preserve">to the economic growth and development model </w:t>
      </w:r>
      <w:r w:rsidR="003A7AE1" w:rsidRPr="008941BB">
        <w:rPr>
          <w:lang w:val="en-GB"/>
        </w:rPr>
        <w:t>to</w:t>
      </w:r>
      <w:r w:rsidRPr="008941BB">
        <w:rPr>
          <w:lang w:val="en-GB"/>
        </w:rPr>
        <w:t xml:space="preserve"> properly manage impacts o</w:t>
      </w:r>
      <w:r w:rsidR="008C5865" w:rsidRPr="008941BB">
        <w:rPr>
          <w:lang w:val="en-GB"/>
        </w:rPr>
        <w:t>n</w:t>
      </w:r>
      <w:r w:rsidRPr="008941BB">
        <w:rPr>
          <w:lang w:val="en-GB"/>
        </w:rPr>
        <w:t xml:space="preserve"> natural resources and vulnerable groups in the context of climate change. The productive model is heavily reliant on the extraction of natural resources, which account</w:t>
      </w:r>
      <w:r w:rsidR="00AC4D9F">
        <w:rPr>
          <w:lang w:val="en-GB"/>
        </w:rPr>
        <w:t>s</w:t>
      </w:r>
      <w:r w:rsidRPr="008941BB">
        <w:rPr>
          <w:lang w:val="en-GB"/>
        </w:rPr>
        <w:t xml:space="preserve"> for over 50 </w:t>
      </w:r>
      <w:r w:rsidR="00685822" w:rsidRPr="008941BB">
        <w:rPr>
          <w:lang w:val="en-GB"/>
        </w:rPr>
        <w:t>per cent</w:t>
      </w:r>
      <w:r w:rsidRPr="008941BB">
        <w:rPr>
          <w:lang w:val="en-GB"/>
        </w:rPr>
        <w:t xml:space="preserve"> of total export income and 17 </w:t>
      </w:r>
      <w:r w:rsidR="00685822" w:rsidRPr="008941BB">
        <w:rPr>
          <w:lang w:val="en-GB"/>
        </w:rPr>
        <w:t>per cent</w:t>
      </w:r>
      <w:r w:rsidRPr="008941BB">
        <w:rPr>
          <w:lang w:val="en-GB"/>
        </w:rPr>
        <w:t xml:space="preserve"> of GDP. The economy needs to </w:t>
      </w:r>
      <w:r w:rsidR="00A10961" w:rsidRPr="008941BB">
        <w:rPr>
          <w:lang w:val="en-GB"/>
        </w:rPr>
        <w:t xml:space="preserve">improve </w:t>
      </w:r>
      <w:r w:rsidRPr="008941BB">
        <w:rPr>
          <w:lang w:val="en-GB"/>
        </w:rPr>
        <w:t>its human capital and innovation capacit</w:t>
      </w:r>
      <w:r w:rsidR="00A10961" w:rsidRPr="008941BB">
        <w:rPr>
          <w:lang w:val="en-GB"/>
        </w:rPr>
        <w:t>ies</w:t>
      </w:r>
      <w:r w:rsidRPr="008941BB">
        <w:rPr>
          <w:lang w:val="en-GB"/>
        </w:rPr>
        <w:t xml:space="preserve"> to </w:t>
      </w:r>
      <w:r w:rsidR="00ED38AA" w:rsidRPr="008941BB">
        <w:rPr>
          <w:lang w:val="en-GB"/>
        </w:rPr>
        <w:t xml:space="preserve">increase productivity, promote diversification of </w:t>
      </w:r>
      <w:r w:rsidRPr="008941BB">
        <w:rPr>
          <w:lang w:val="en-GB"/>
        </w:rPr>
        <w:t xml:space="preserve">the productive matrix and reduce negative externalities. </w:t>
      </w:r>
      <w:r w:rsidR="008C5865" w:rsidRPr="008941BB">
        <w:rPr>
          <w:lang w:val="en-GB"/>
        </w:rPr>
        <w:t xml:space="preserve">Expenditure on research and development </w:t>
      </w:r>
      <w:r w:rsidRPr="008941BB">
        <w:rPr>
          <w:lang w:val="en-GB"/>
        </w:rPr>
        <w:t>reached 0.38</w:t>
      </w:r>
      <w:r w:rsidR="00AC4D9F">
        <w:rPr>
          <w:lang w:val="en-GB"/>
        </w:rPr>
        <w:t> </w:t>
      </w:r>
      <w:r w:rsidR="00AC4D9F" w:rsidRPr="00087A83">
        <w:rPr>
          <w:lang w:val="en-GB"/>
        </w:rPr>
        <w:t>per </w:t>
      </w:r>
      <w:r w:rsidR="00685822" w:rsidRPr="008941BB">
        <w:rPr>
          <w:lang w:val="en-GB"/>
        </w:rPr>
        <w:t>cent</w:t>
      </w:r>
      <w:r w:rsidRPr="008941BB">
        <w:rPr>
          <w:lang w:val="en-GB"/>
        </w:rPr>
        <w:t xml:space="preserve"> of GDP </w:t>
      </w:r>
      <w:r w:rsidR="008C5865" w:rsidRPr="008941BB">
        <w:rPr>
          <w:lang w:val="en-GB"/>
        </w:rPr>
        <w:t xml:space="preserve">in 2016 </w:t>
      </w:r>
      <w:r w:rsidRPr="008941BB">
        <w:rPr>
          <w:lang w:val="en-GB"/>
        </w:rPr>
        <w:t xml:space="preserve">(33 </w:t>
      </w:r>
      <w:r w:rsidR="00685822" w:rsidRPr="008941BB">
        <w:rPr>
          <w:lang w:val="en-GB"/>
        </w:rPr>
        <w:t>per cent</w:t>
      </w:r>
      <w:r w:rsidRPr="008941BB">
        <w:rPr>
          <w:lang w:val="en-GB"/>
        </w:rPr>
        <w:t xml:space="preserve"> of the spending corresponds to the private sector</w:t>
      </w:r>
      <w:r w:rsidR="007B6FDC" w:rsidRPr="008941BB">
        <w:rPr>
          <w:lang w:val="en-GB"/>
        </w:rPr>
        <w:t>, 68</w:t>
      </w:r>
      <w:r w:rsidR="003A7D1A" w:rsidRPr="008941BB">
        <w:rPr>
          <w:lang w:val="en-GB"/>
        </w:rPr>
        <w:t xml:space="preserve"> per cent</w:t>
      </w:r>
      <w:r w:rsidR="007B6FDC" w:rsidRPr="008941BB">
        <w:rPr>
          <w:lang w:val="en-GB"/>
        </w:rPr>
        <w:t xml:space="preserve"> </w:t>
      </w:r>
      <w:r w:rsidR="00571C6D">
        <w:rPr>
          <w:lang w:val="en-GB"/>
        </w:rPr>
        <w:t>to</w:t>
      </w:r>
      <w:r w:rsidR="004D0EFA">
        <w:rPr>
          <w:lang w:val="en-GB"/>
        </w:rPr>
        <w:t xml:space="preserve"> </w:t>
      </w:r>
      <w:r w:rsidR="007B6FDC" w:rsidRPr="008941BB">
        <w:rPr>
          <w:lang w:val="en-GB"/>
        </w:rPr>
        <w:t>OECD countries</w:t>
      </w:r>
      <w:r w:rsidR="007B6FDC" w:rsidRPr="008941BB">
        <w:rPr>
          <w:rStyle w:val="FootnoteReference"/>
          <w:lang w:val="en-GB"/>
        </w:rPr>
        <w:footnoteReference w:id="20"/>
      </w:r>
      <w:r w:rsidRPr="008941BB">
        <w:rPr>
          <w:lang w:val="en-GB"/>
        </w:rPr>
        <w:t xml:space="preserve">). </w:t>
      </w:r>
    </w:p>
    <w:p w14:paraId="4CBF9AE1" w14:textId="5992E039" w:rsidR="000624AC" w:rsidRPr="008941BB" w:rsidRDefault="000624AC" w:rsidP="00C4319B">
      <w:pPr>
        <w:pStyle w:val="ListParagraph"/>
        <w:numPr>
          <w:ilvl w:val="0"/>
          <w:numId w:val="40"/>
        </w:numPr>
        <w:tabs>
          <w:tab w:val="left" w:pos="1530"/>
        </w:tabs>
        <w:spacing w:after="120"/>
        <w:ind w:left="1170" w:right="1208" w:firstLine="0"/>
        <w:jc w:val="both"/>
        <w:rPr>
          <w:lang w:val="en-GB"/>
        </w:rPr>
      </w:pPr>
      <w:r w:rsidRPr="008941BB">
        <w:rPr>
          <w:lang w:val="en-GB"/>
        </w:rPr>
        <w:t>Chile is vulnerable to climate change</w:t>
      </w:r>
      <w:r w:rsidR="001857AB" w:rsidRPr="008941BB">
        <w:rPr>
          <w:lang w:val="en-GB"/>
        </w:rPr>
        <w:t>.</w:t>
      </w:r>
      <w:r w:rsidRPr="008941BB">
        <w:rPr>
          <w:lang w:val="en-GB"/>
        </w:rPr>
        <w:t xml:space="preserve"> </w:t>
      </w:r>
      <w:r w:rsidR="001857AB" w:rsidRPr="008941BB">
        <w:rPr>
          <w:lang w:val="en-GB"/>
        </w:rPr>
        <w:t xml:space="preserve">Desertification affects </w:t>
      </w:r>
      <w:r w:rsidRPr="008941BB">
        <w:rPr>
          <w:lang w:val="en-GB"/>
        </w:rPr>
        <w:t xml:space="preserve">21.7 </w:t>
      </w:r>
      <w:r w:rsidR="00685822" w:rsidRPr="008941BB">
        <w:rPr>
          <w:lang w:val="en-GB"/>
        </w:rPr>
        <w:t>per cent</w:t>
      </w:r>
      <w:r w:rsidRPr="008941BB">
        <w:rPr>
          <w:lang w:val="en-GB"/>
        </w:rPr>
        <w:t xml:space="preserve"> of its territory</w:t>
      </w:r>
      <w:r w:rsidR="001857AB" w:rsidRPr="008941BB">
        <w:rPr>
          <w:lang w:val="en-GB"/>
        </w:rPr>
        <w:t>,</w:t>
      </w:r>
      <w:r w:rsidRPr="008941BB">
        <w:rPr>
          <w:lang w:val="en-GB"/>
        </w:rPr>
        <w:t xml:space="preserve"> and 79.1 </w:t>
      </w:r>
      <w:r w:rsidR="00685822" w:rsidRPr="008941BB">
        <w:rPr>
          <w:lang w:val="en-GB"/>
        </w:rPr>
        <w:t>per cent</w:t>
      </w:r>
      <w:r w:rsidRPr="008941BB">
        <w:rPr>
          <w:lang w:val="en-GB"/>
        </w:rPr>
        <w:t xml:space="preserve"> is </w:t>
      </w:r>
      <w:r w:rsidR="001857AB" w:rsidRPr="008941BB">
        <w:rPr>
          <w:lang w:val="en-GB"/>
        </w:rPr>
        <w:t>at</w:t>
      </w:r>
      <w:r w:rsidRPr="008941BB">
        <w:rPr>
          <w:lang w:val="en-GB"/>
        </w:rPr>
        <w:t xml:space="preserve"> risk of degradation</w:t>
      </w:r>
      <w:r w:rsidR="001857AB" w:rsidRPr="008941BB">
        <w:rPr>
          <w:lang w:val="en-GB"/>
        </w:rPr>
        <w:t>.</w:t>
      </w:r>
      <w:r w:rsidRPr="008941BB">
        <w:rPr>
          <w:lang w:val="en-GB"/>
        </w:rPr>
        <w:t xml:space="preserve"> </w:t>
      </w:r>
      <w:r w:rsidR="001857AB" w:rsidRPr="008941BB">
        <w:rPr>
          <w:lang w:val="en-GB"/>
        </w:rPr>
        <w:t>A</w:t>
      </w:r>
      <w:r w:rsidRPr="008941BB">
        <w:rPr>
          <w:lang w:val="en-GB"/>
        </w:rPr>
        <w:t xml:space="preserve">lmost 13 million people could suffer </w:t>
      </w:r>
      <w:r w:rsidR="001857AB" w:rsidRPr="008941BB">
        <w:rPr>
          <w:lang w:val="en-GB"/>
        </w:rPr>
        <w:t xml:space="preserve">the </w:t>
      </w:r>
      <w:r w:rsidRPr="008941BB">
        <w:rPr>
          <w:lang w:val="en-GB"/>
        </w:rPr>
        <w:t>consequences</w:t>
      </w:r>
      <w:r w:rsidR="001857AB" w:rsidRPr="008941BB">
        <w:rPr>
          <w:lang w:val="en-GB"/>
        </w:rPr>
        <w:t>,</w:t>
      </w:r>
      <w:r w:rsidRPr="008941BB">
        <w:rPr>
          <w:rStyle w:val="FootnoteReference"/>
          <w:lang w:val="en-GB"/>
        </w:rPr>
        <w:footnoteReference w:id="21"/>
      </w:r>
      <w:r w:rsidRPr="008941BB">
        <w:rPr>
          <w:lang w:val="en-GB"/>
        </w:rPr>
        <w:t xml:space="preserve"> especially </w:t>
      </w:r>
      <w:r w:rsidR="00005D28" w:rsidRPr="008941BB">
        <w:rPr>
          <w:lang w:val="en-GB"/>
        </w:rPr>
        <w:t>vulnerable groups</w:t>
      </w:r>
      <w:r w:rsidR="00AC4D9F">
        <w:rPr>
          <w:lang w:val="en-GB"/>
        </w:rPr>
        <w:t xml:space="preserve"> such as </w:t>
      </w:r>
      <w:r w:rsidR="00005D28" w:rsidRPr="008941BB">
        <w:rPr>
          <w:lang w:val="en-GB"/>
        </w:rPr>
        <w:t xml:space="preserve">women, children, youth, </w:t>
      </w:r>
      <w:r w:rsidR="001857AB" w:rsidRPr="008941BB">
        <w:rPr>
          <w:lang w:val="en-GB"/>
        </w:rPr>
        <w:t xml:space="preserve">and </w:t>
      </w:r>
      <w:r w:rsidR="00005D28" w:rsidRPr="008941BB">
        <w:rPr>
          <w:lang w:val="en-GB"/>
        </w:rPr>
        <w:t>the elder</w:t>
      </w:r>
      <w:r w:rsidR="001857AB" w:rsidRPr="008941BB">
        <w:rPr>
          <w:lang w:val="en-GB"/>
        </w:rPr>
        <w:t>ly</w:t>
      </w:r>
      <w:r w:rsidRPr="008941BB">
        <w:rPr>
          <w:lang w:val="en-GB"/>
        </w:rPr>
        <w:t xml:space="preserve">. All this </w:t>
      </w:r>
      <w:r w:rsidR="001857AB" w:rsidRPr="008941BB">
        <w:rPr>
          <w:lang w:val="en-GB"/>
        </w:rPr>
        <w:t>results in an</w:t>
      </w:r>
      <w:r w:rsidRPr="008941BB">
        <w:rPr>
          <w:lang w:val="en-GB"/>
        </w:rPr>
        <w:t xml:space="preserve"> increasing loss of biodiversity</w:t>
      </w:r>
      <w:r w:rsidR="001857AB" w:rsidRPr="008941BB">
        <w:rPr>
          <w:lang w:val="en-GB"/>
        </w:rPr>
        <w:t>. Financial instruments</w:t>
      </w:r>
      <w:r w:rsidRPr="008941BB">
        <w:rPr>
          <w:lang w:val="en-GB"/>
        </w:rPr>
        <w:t xml:space="preserve"> </w:t>
      </w:r>
      <w:r w:rsidR="001857AB" w:rsidRPr="008941BB">
        <w:rPr>
          <w:lang w:val="en-GB"/>
        </w:rPr>
        <w:t xml:space="preserve">must be </w:t>
      </w:r>
      <w:r w:rsidR="00005D28" w:rsidRPr="008941BB">
        <w:rPr>
          <w:lang w:val="en-GB"/>
        </w:rPr>
        <w:t>diversif</w:t>
      </w:r>
      <w:r w:rsidR="001857AB" w:rsidRPr="008941BB">
        <w:rPr>
          <w:lang w:val="en-GB"/>
        </w:rPr>
        <w:t>ied</w:t>
      </w:r>
      <w:r w:rsidR="00005D28" w:rsidRPr="008941BB">
        <w:rPr>
          <w:lang w:val="en-GB"/>
        </w:rPr>
        <w:t xml:space="preserve"> and optimize</w:t>
      </w:r>
      <w:r w:rsidR="001857AB" w:rsidRPr="008941BB">
        <w:rPr>
          <w:lang w:val="en-GB"/>
        </w:rPr>
        <w:t>d</w:t>
      </w:r>
      <w:r w:rsidRPr="008941BB">
        <w:rPr>
          <w:lang w:val="en-GB"/>
        </w:rPr>
        <w:t xml:space="preserve">, in addition to existing taxes </w:t>
      </w:r>
      <w:r w:rsidR="001857AB" w:rsidRPr="008941BB">
        <w:rPr>
          <w:lang w:val="en-GB"/>
        </w:rPr>
        <w:t>on</w:t>
      </w:r>
      <w:r w:rsidRPr="008941BB">
        <w:rPr>
          <w:lang w:val="en-GB"/>
        </w:rPr>
        <w:t xml:space="preserve"> cars and major </w:t>
      </w:r>
      <w:r w:rsidR="001857AB" w:rsidRPr="008941BB">
        <w:rPr>
          <w:lang w:val="en-GB"/>
        </w:rPr>
        <w:t xml:space="preserve">sources of </w:t>
      </w:r>
      <w:r w:rsidRPr="008941BB">
        <w:rPr>
          <w:lang w:val="en-GB"/>
        </w:rPr>
        <w:t>polluti</w:t>
      </w:r>
      <w:r w:rsidR="001857AB" w:rsidRPr="008941BB">
        <w:rPr>
          <w:lang w:val="en-GB"/>
        </w:rPr>
        <w:t>o</w:t>
      </w:r>
      <w:r w:rsidRPr="008941BB">
        <w:rPr>
          <w:lang w:val="en-GB"/>
        </w:rPr>
        <w:t xml:space="preserve">n, </w:t>
      </w:r>
      <w:r w:rsidR="001857AB" w:rsidRPr="008941BB">
        <w:rPr>
          <w:lang w:val="en-GB"/>
        </w:rPr>
        <w:t xml:space="preserve">so as to </w:t>
      </w:r>
      <w:r w:rsidRPr="008941BB">
        <w:rPr>
          <w:lang w:val="en-GB"/>
        </w:rPr>
        <w:t>adequate</w:t>
      </w:r>
      <w:r w:rsidR="001857AB" w:rsidRPr="008941BB">
        <w:rPr>
          <w:lang w:val="en-GB"/>
        </w:rPr>
        <w:t>ly</w:t>
      </w:r>
      <w:r w:rsidRPr="008941BB">
        <w:rPr>
          <w:lang w:val="en-GB"/>
        </w:rPr>
        <w:t xml:space="preserve"> </w:t>
      </w:r>
      <w:r w:rsidR="0099017A">
        <w:rPr>
          <w:lang w:val="en-GB"/>
        </w:rPr>
        <w:t>manage</w:t>
      </w:r>
      <w:r w:rsidRPr="008941BB">
        <w:rPr>
          <w:lang w:val="en-GB"/>
        </w:rPr>
        <w:t xml:space="preserve"> biodiversity and climate change. There is also a need to strengthen institutions that </w:t>
      </w:r>
      <w:r w:rsidR="00005D28" w:rsidRPr="008941BB">
        <w:rPr>
          <w:lang w:val="en-GB"/>
        </w:rPr>
        <w:t>manage</w:t>
      </w:r>
      <w:r w:rsidRPr="008941BB">
        <w:rPr>
          <w:lang w:val="en-GB"/>
        </w:rPr>
        <w:t xml:space="preserve"> protected areas. In 2016, 49.6 </w:t>
      </w:r>
      <w:r w:rsidR="00685822" w:rsidRPr="008941BB">
        <w:rPr>
          <w:lang w:val="en-GB"/>
        </w:rPr>
        <w:t>per cent</w:t>
      </w:r>
      <w:r w:rsidRPr="008941BB">
        <w:rPr>
          <w:lang w:val="en-GB"/>
        </w:rPr>
        <w:t xml:space="preserve"> of the land ecosystems were threatened</w:t>
      </w:r>
      <w:r w:rsidR="001857AB" w:rsidRPr="008941BB">
        <w:rPr>
          <w:lang w:val="en-GB"/>
        </w:rPr>
        <w:t>.</w:t>
      </w:r>
      <w:r w:rsidRPr="008941BB">
        <w:rPr>
          <w:rStyle w:val="FootnoteReference"/>
          <w:lang w:val="en-GB"/>
        </w:rPr>
        <w:footnoteReference w:id="22"/>
      </w:r>
      <w:r w:rsidRPr="008941BB">
        <w:rPr>
          <w:lang w:val="en-GB"/>
        </w:rPr>
        <w:t xml:space="preserve"> </w:t>
      </w:r>
      <w:r w:rsidR="001857AB" w:rsidRPr="008941BB">
        <w:rPr>
          <w:lang w:val="en-GB"/>
        </w:rPr>
        <w:t>T</w:t>
      </w:r>
      <w:r w:rsidR="002E74D5" w:rsidRPr="008941BB">
        <w:rPr>
          <w:lang w:val="en-GB"/>
        </w:rPr>
        <w:t>his situation</w:t>
      </w:r>
      <w:r w:rsidR="001857AB" w:rsidRPr="008941BB">
        <w:rPr>
          <w:lang w:val="en-GB"/>
        </w:rPr>
        <w:t xml:space="preserve"> could result in</w:t>
      </w:r>
      <w:r w:rsidR="002E74D5" w:rsidRPr="008941BB">
        <w:rPr>
          <w:lang w:val="en-GB"/>
        </w:rPr>
        <w:t xml:space="preserve"> effects such as</w:t>
      </w:r>
      <w:r w:rsidRPr="008941BB">
        <w:rPr>
          <w:lang w:val="en-GB"/>
        </w:rPr>
        <w:t xml:space="preserve"> </w:t>
      </w:r>
      <w:r w:rsidR="001857AB" w:rsidRPr="008941BB">
        <w:rPr>
          <w:lang w:val="en-GB"/>
        </w:rPr>
        <w:t xml:space="preserve">decreases in </w:t>
      </w:r>
      <w:r w:rsidRPr="008941BB">
        <w:rPr>
          <w:lang w:val="en-GB"/>
        </w:rPr>
        <w:t xml:space="preserve">production, </w:t>
      </w:r>
      <w:r w:rsidR="002E74D5" w:rsidRPr="008941BB">
        <w:rPr>
          <w:lang w:val="en-GB"/>
        </w:rPr>
        <w:t xml:space="preserve">higher </w:t>
      </w:r>
      <w:r w:rsidRPr="008941BB">
        <w:rPr>
          <w:lang w:val="en-GB"/>
        </w:rPr>
        <w:t xml:space="preserve">unemployment rates, </w:t>
      </w:r>
      <w:r w:rsidR="001857AB" w:rsidRPr="008941BB">
        <w:rPr>
          <w:lang w:val="en-GB"/>
        </w:rPr>
        <w:t xml:space="preserve">increased </w:t>
      </w:r>
      <w:r w:rsidRPr="008941BB">
        <w:rPr>
          <w:lang w:val="en-GB"/>
        </w:rPr>
        <w:t>poverty, or massive migration.</w:t>
      </w:r>
    </w:p>
    <w:bookmarkEnd w:id="2"/>
    <w:p w14:paraId="6DA57CD5" w14:textId="176200DC" w:rsidR="000624AC" w:rsidRPr="008941BB" w:rsidRDefault="0014474E" w:rsidP="00C4319B">
      <w:pPr>
        <w:pStyle w:val="ListParagraph"/>
        <w:numPr>
          <w:ilvl w:val="0"/>
          <w:numId w:val="40"/>
        </w:numPr>
        <w:tabs>
          <w:tab w:val="left" w:pos="1530"/>
        </w:tabs>
        <w:spacing w:after="120"/>
        <w:ind w:left="1170" w:right="1208" w:firstLine="0"/>
        <w:jc w:val="both"/>
        <w:rPr>
          <w:lang w:val="en-GB"/>
        </w:rPr>
      </w:pPr>
      <w:r w:rsidRPr="008941BB">
        <w:rPr>
          <w:lang w:val="en-GB"/>
        </w:rPr>
        <w:t xml:space="preserve">The complexity of the global challenges implies a paradigmatic shift </w:t>
      </w:r>
      <w:r w:rsidR="00AC4D9F">
        <w:rPr>
          <w:lang w:val="en-GB"/>
        </w:rPr>
        <w:t>i</w:t>
      </w:r>
      <w:r w:rsidR="00AC4D9F" w:rsidRPr="008941BB">
        <w:rPr>
          <w:lang w:val="en-GB"/>
        </w:rPr>
        <w:t xml:space="preserve">n </w:t>
      </w:r>
      <w:r w:rsidRPr="008941BB">
        <w:rPr>
          <w:lang w:val="en-GB"/>
        </w:rPr>
        <w:t xml:space="preserve">developing solutions </w:t>
      </w:r>
      <w:r w:rsidR="00023F9A" w:rsidRPr="008941BB">
        <w:rPr>
          <w:lang w:val="en-GB"/>
        </w:rPr>
        <w:t xml:space="preserve">to address them, especially in a </w:t>
      </w:r>
      <w:r w:rsidR="001857AB" w:rsidRPr="008941BB">
        <w:rPr>
          <w:lang w:val="en-GB"/>
        </w:rPr>
        <w:t xml:space="preserve">net contributor country </w:t>
      </w:r>
      <w:r w:rsidR="00023F9A" w:rsidRPr="008941BB">
        <w:rPr>
          <w:lang w:val="en-GB"/>
        </w:rPr>
        <w:t xml:space="preserve">context. The </w:t>
      </w:r>
      <w:r w:rsidR="001857AB" w:rsidRPr="008941BB">
        <w:rPr>
          <w:lang w:val="en-GB"/>
        </w:rPr>
        <w:t xml:space="preserve">2030 </w:t>
      </w:r>
      <w:r w:rsidR="00023F9A" w:rsidRPr="008941BB">
        <w:rPr>
          <w:lang w:val="en-GB"/>
        </w:rPr>
        <w:t>Agenda</w:t>
      </w:r>
      <w:r w:rsidR="001857AB" w:rsidRPr="008941BB">
        <w:rPr>
          <w:lang w:val="en-GB"/>
        </w:rPr>
        <w:t xml:space="preserve"> </w:t>
      </w:r>
      <w:r w:rsidR="00023F9A" w:rsidRPr="008941BB">
        <w:rPr>
          <w:lang w:val="en-GB"/>
        </w:rPr>
        <w:t xml:space="preserve">provides the framework </w:t>
      </w:r>
      <w:r w:rsidR="001857AB" w:rsidRPr="008941BB">
        <w:rPr>
          <w:lang w:val="en-GB"/>
        </w:rPr>
        <w:t>for</w:t>
      </w:r>
      <w:r w:rsidR="00023F9A" w:rsidRPr="008941BB">
        <w:rPr>
          <w:lang w:val="en-GB"/>
        </w:rPr>
        <w:t xml:space="preserve"> introduc</w:t>
      </w:r>
      <w:r w:rsidR="001857AB" w:rsidRPr="008941BB">
        <w:rPr>
          <w:lang w:val="en-GB"/>
        </w:rPr>
        <w:t>ing</w:t>
      </w:r>
      <w:r w:rsidR="00023F9A" w:rsidRPr="008941BB">
        <w:rPr>
          <w:lang w:val="en-GB"/>
        </w:rPr>
        <w:t xml:space="preserve"> innovative approaches that will lead to increasingly sophisticated and </w:t>
      </w:r>
      <w:r w:rsidR="002C471F" w:rsidRPr="008941BB">
        <w:rPr>
          <w:lang w:val="en-GB"/>
        </w:rPr>
        <w:t>cross</w:t>
      </w:r>
      <w:r w:rsidR="00023F9A" w:rsidRPr="008941BB">
        <w:rPr>
          <w:lang w:val="en-GB"/>
        </w:rPr>
        <w:t>-sectoral solutions adapted</w:t>
      </w:r>
      <w:r w:rsidR="00832157" w:rsidRPr="008941BB">
        <w:rPr>
          <w:lang w:val="en-GB"/>
        </w:rPr>
        <w:t xml:space="preserve"> to each context</w:t>
      </w:r>
      <w:r w:rsidR="00023F9A" w:rsidRPr="008941BB">
        <w:rPr>
          <w:lang w:val="en-GB"/>
        </w:rPr>
        <w:t>. UNDP Chile has focused on</w:t>
      </w:r>
      <w:r w:rsidR="000624AC" w:rsidRPr="008941BB">
        <w:rPr>
          <w:lang w:val="en-GB"/>
        </w:rPr>
        <w:t xml:space="preserve"> </w:t>
      </w:r>
      <w:r w:rsidR="006E2314" w:rsidRPr="008941BB">
        <w:rPr>
          <w:lang w:val="en-GB"/>
        </w:rPr>
        <w:t xml:space="preserve">producing </w:t>
      </w:r>
      <w:r w:rsidR="000624AC" w:rsidRPr="008941BB">
        <w:rPr>
          <w:lang w:val="en-GB"/>
        </w:rPr>
        <w:t>high</w:t>
      </w:r>
      <w:r w:rsidR="000D19D1" w:rsidRPr="008941BB">
        <w:rPr>
          <w:lang w:val="en-GB"/>
        </w:rPr>
        <w:t>-</w:t>
      </w:r>
      <w:r w:rsidR="000624AC" w:rsidRPr="008941BB">
        <w:rPr>
          <w:lang w:val="en-GB"/>
        </w:rPr>
        <w:t xml:space="preserve">quality and </w:t>
      </w:r>
      <w:r w:rsidR="000D19D1" w:rsidRPr="008941BB">
        <w:rPr>
          <w:lang w:val="en-GB"/>
        </w:rPr>
        <w:t>high-</w:t>
      </w:r>
      <w:r w:rsidR="000624AC" w:rsidRPr="008941BB">
        <w:rPr>
          <w:lang w:val="en-GB"/>
        </w:rPr>
        <w:t>impact knowledge products</w:t>
      </w:r>
      <w:r w:rsidR="00023F9A" w:rsidRPr="008941BB">
        <w:rPr>
          <w:lang w:val="en-GB"/>
        </w:rPr>
        <w:t xml:space="preserve"> to support the</w:t>
      </w:r>
      <w:r w:rsidR="000624AC" w:rsidRPr="008941BB">
        <w:rPr>
          <w:lang w:val="en-GB"/>
        </w:rPr>
        <w:t xml:space="preserve"> design of public policies and regulat</w:t>
      </w:r>
      <w:r w:rsidR="000D19D1" w:rsidRPr="008941BB">
        <w:rPr>
          <w:lang w:val="en-GB"/>
        </w:rPr>
        <w:t>ory</w:t>
      </w:r>
      <w:r w:rsidR="000624AC" w:rsidRPr="008941BB">
        <w:rPr>
          <w:lang w:val="en-GB"/>
        </w:rPr>
        <w:t xml:space="preserve"> frameworks </w:t>
      </w:r>
      <w:r w:rsidR="00023F9A" w:rsidRPr="008941BB">
        <w:rPr>
          <w:lang w:val="en-GB"/>
        </w:rPr>
        <w:t>for</w:t>
      </w:r>
      <w:r w:rsidR="000624AC" w:rsidRPr="008941BB">
        <w:rPr>
          <w:lang w:val="en-GB"/>
        </w:rPr>
        <w:t xml:space="preserve"> sustainable human development; </w:t>
      </w:r>
      <w:r w:rsidR="00023F9A" w:rsidRPr="008941BB">
        <w:rPr>
          <w:lang w:val="en-GB"/>
        </w:rPr>
        <w:t>it has played a</w:t>
      </w:r>
      <w:r w:rsidR="000624AC" w:rsidRPr="008941BB">
        <w:rPr>
          <w:lang w:val="en-GB"/>
        </w:rPr>
        <w:t xml:space="preserve"> key role as </w:t>
      </w:r>
      <w:r w:rsidR="002C471F" w:rsidRPr="008941BB">
        <w:rPr>
          <w:lang w:val="en-GB"/>
        </w:rPr>
        <w:t xml:space="preserve">a </w:t>
      </w:r>
      <w:r w:rsidR="000624AC" w:rsidRPr="008941BB">
        <w:rPr>
          <w:lang w:val="en-GB"/>
        </w:rPr>
        <w:t>facilitator of dialogue on controversial issues, as well as in the construction of multi-stakeholder partnerships for development</w:t>
      </w:r>
      <w:r w:rsidR="000D19D1" w:rsidRPr="008941BB">
        <w:rPr>
          <w:lang w:val="en-GB"/>
        </w:rPr>
        <w:t>.</w:t>
      </w:r>
      <w:r w:rsidR="000624AC" w:rsidRPr="008941BB">
        <w:rPr>
          <w:vertAlign w:val="superscript"/>
          <w:lang w:val="en-GB"/>
        </w:rPr>
        <w:footnoteReference w:id="23"/>
      </w:r>
      <w:r w:rsidR="000624AC" w:rsidRPr="008941BB">
        <w:rPr>
          <w:lang w:val="en-GB"/>
        </w:rPr>
        <w:t xml:space="preserve"> </w:t>
      </w:r>
      <w:r w:rsidR="000D19D1" w:rsidRPr="008941BB">
        <w:rPr>
          <w:lang w:val="en-GB"/>
        </w:rPr>
        <w:t xml:space="preserve">The added value of </w:t>
      </w:r>
      <w:r w:rsidR="000624AC" w:rsidRPr="008941BB">
        <w:rPr>
          <w:lang w:val="en-GB"/>
        </w:rPr>
        <w:t xml:space="preserve">UNDP lies in its capacity to face development problems from a global perspective </w:t>
      </w:r>
      <w:r w:rsidR="000D19D1" w:rsidRPr="008941BB">
        <w:rPr>
          <w:lang w:val="en-GB"/>
        </w:rPr>
        <w:t>using</w:t>
      </w:r>
      <w:r w:rsidR="000624AC" w:rsidRPr="008941BB">
        <w:rPr>
          <w:lang w:val="en-GB"/>
        </w:rPr>
        <w:t xml:space="preserve"> comparative analysis expertise based on international best practices; long-term partnerships with Government</w:t>
      </w:r>
      <w:r w:rsidR="006E2314" w:rsidRPr="008941BB">
        <w:rPr>
          <w:lang w:val="en-GB"/>
        </w:rPr>
        <w:t xml:space="preserve"> and State</w:t>
      </w:r>
      <w:r w:rsidR="000624AC" w:rsidRPr="008941BB">
        <w:rPr>
          <w:lang w:val="en-GB"/>
        </w:rPr>
        <w:t xml:space="preserve"> counterparts at different levels</w:t>
      </w:r>
      <w:r w:rsidR="000D19D1" w:rsidRPr="008941BB">
        <w:rPr>
          <w:lang w:val="en-GB"/>
        </w:rPr>
        <w:t>;</w:t>
      </w:r>
      <w:r w:rsidR="000624AC" w:rsidRPr="008941BB">
        <w:rPr>
          <w:lang w:val="en-GB"/>
        </w:rPr>
        <w:t xml:space="preserve"> and externally recognized transparency </w:t>
      </w:r>
      <w:r w:rsidR="000D19D1" w:rsidRPr="008941BB">
        <w:rPr>
          <w:lang w:val="en-GB"/>
        </w:rPr>
        <w:t xml:space="preserve">in </w:t>
      </w:r>
      <w:r w:rsidR="000624AC" w:rsidRPr="008941BB">
        <w:rPr>
          <w:lang w:val="en-GB"/>
        </w:rPr>
        <w:t>resource management</w:t>
      </w:r>
      <w:r w:rsidR="00AC4D9F">
        <w:rPr>
          <w:lang w:val="en-GB"/>
        </w:rPr>
        <w:t>.</w:t>
      </w:r>
      <w:r w:rsidR="000624AC" w:rsidRPr="008941BB">
        <w:rPr>
          <w:rStyle w:val="FootnoteReference"/>
          <w:lang w:val="en-GB"/>
        </w:rPr>
        <w:footnoteReference w:id="24"/>
      </w:r>
    </w:p>
    <w:p w14:paraId="00B2E215" w14:textId="0E9F8342" w:rsidR="000624AC" w:rsidRPr="004D0EFA" w:rsidRDefault="000624AC" w:rsidP="00C4319B">
      <w:pPr>
        <w:pStyle w:val="ListParagraph"/>
        <w:numPr>
          <w:ilvl w:val="0"/>
          <w:numId w:val="40"/>
        </w:numPr>
        <w:tabs>
          <w:tab w:val="left" w:pos="1530"/>
        </w:tabs>
        <w:spacing w:after="240"/>
        <w:ind w:left="1166" w:right="1210" w:firstLine="0"/>
        <w:jc w:val="both"/>
        <w:rPr>
          <w:b/>
          <w:lang w:val="en-GB"/>
        </w:rPr>
      </w:pPr>
      <w:r w:rsidRPr="008941BB">
        <w:rPr>
          <w:lang w:val="en-GB"/>
        </w:rPr>
        <w:t xml:space="preserve">UNDP will continue to supply technical assistance to the Council for the Implementation of the 2030 Agenda, specifically to the Executive Secretariat at the Ministry of Social Development; and </w:t>
      </w:r>
      <w:r w:rsidR="000D19D1" w:rsidRPr="008941BB">
        <w:rPr>
          <w:lang w:val="en-GB"/>
        </w:rPr>
        <w:t xml:space="preserve">to </w:t>
      </w:r>
      <w:r w:rsidRPr="008941BB">
        <w:rPr>
          <w:lang w:val="en-GB"/>
        </w:rPr>
        <w:t>coordinat</w:t>
      </w:r>
      <w:r w:rsidR="000D19D1" w:rsidRPr="008941BB">
        <w:rPr>
          <w:lang w:val="en-GB"/>
        </w:rPr>
        <w:t>e</w:t>
      </w:r>
      <w:r w:rsidRPr="008941BB">
        <w:rPr>
          <w:lang w:val="en-GB"/>
        </w:rPr>
        <w:t xml:space="preserve"> the support platform for </w:t>
      </w:r>
      <w:r w:rsidRPr="008941BB">
        <w:rPr>
          <w:color w:val="000000"/>
          <w:lang w:val="en-GB"/>
        </w:rPr>
        <w:t>implementation</w:t>
      </w:r>
      <w:r w:rsidR="000D19D1" w:rsidRPr="008941BB">
        <w:rPr>
          <w:color w:val="000000"/>
          <w:lang w:val="en-GB"/>
        </w:rPr>
        <w:t xml:space="preserve"> of the sustainable development goals</w:t>
      </w:r>
      <w:r w:rsidRPr="008941BB">
        <w:rPr>
          <w:color w:val="000000"/>
          <w:lang w:val="en-GB"/>
        </w:rPr>
        <w:t xml:space="preserve">, in partnership with the </w:t>
      </w:r>
      <w:r w:rsidR="00E34154" w:rsidRPr="008941BB">
        <w:rPr>
          <w:color w:val="000000"/>
          <w:lang w:val="en-GB"/>
        </w:rPr>
        <w:t>U</w:t>
      </w:r>
      <w:r w:rsidR="000D19D1" w:rsidRPr="008941BB">
        <w:rPr>
          <w:color w:val="000000"/>
          <w:lang w:val="en-GB"/>
        </w:rPr>
        <w:t>nited Nations s</w:t>
      </w:r>
      <w:r w:rsidRPr="008941BB">
        <w:rPr>
          <w:color w:val="000000"/>
          <w:lang w:val="en-GB"/>
        </w:rPr>
        <w:t xml:space="preserve">ystem and other national and subnational partners, according to the priorities defined in the </w:t>
      </w:r>
      <w:r w:rsidR="009E3A03" w:rsidRPr="008941BB">
        <w:rPr>
          <w:color w:val="000000"/>
          <w:lang w:val="en-GB"/>
        </w:rPr>
        <w:t xml:space="preserve">United Nations Development Assistance Framework </w:t>
      </w:r>
      <w:r w:rsidRPr="008941BB">
        <w:rPr>
          <w:color w:val="000000"/>
          <w:lang w:val="en-GB"/>
        </w:rPr>
        <w:t xml:space="preserve">and </w:t>
      </w:r>
      <w:r w:rsidR="009E3A03" w:rsidRPr="008941BB">
        <w:rPr>
          <w:color w:val="000000"/>
          <w:lang w:val="en-GB"/>
        </w:rPr>
        <w:t xml:space="preserve">the </w:t>
      </w:r>
      <w:r w:rsidRPr="008941BB">
        <w:rPr>
          <w:color w:val="000000"/>
          <w:lang w:val="en-GB"/>
        </w:rPr>
        <w:t>UNDP Strategic Plan.</w:t>
      </w:r>
      <w:r w:rsidRPr="008941BB">
        <w:rPr>
          <w:lang w:val="en-GB"/>
        </w:rPr>
        <w:t xml:space="preserve"> This will be accomplished by supporting the contextualization and localization of the </w:t>
      </w:r>
      <w:r w:rsidR="00EF0AEB" w:rsidRPr="008941BB">
        <w:rPr>
          <w:lang w:val="en-GB"/>
        </w:rPr>
        <w:t xml:space="preserve">2030 </w:t>
      </w:r>
      <w:r w:rsidRPr="008941BB">
        <w:rPr>
          <w:lang w:val="en-GB"/>
        </w:rPr>
        <w:t>Agenda; identifying nodes to accelerate development; transferring methodological approaches for integral planning and prioritization</w:t>
      </w:r>
      <w:r w:rsidR="00B46A91">
        <w:rPr>
          <w:lang w:val="en-GB"/>
        </w:rPr>
        <w:t>;</w:t>
      </w:r>
      <w:r w:rsidRPr="008941BB">
        <w:rPr>
          <w:lang w:val="en-GB"/>
        </w:rPr>
        <w:t xml:space="preserve"> </w:t>
      </w:r>
      <w:r w:rsidR="00EF0AEB" w:rsidRPr="008941BB">
        <w:rPr>
          <w:lang w:val="en-GB"/>
        </w:rPr>
        <w:t>and</w:t>
      </w:r>
      <w:r w:rsidRPr="008941BB">
        <w:rPr>
          <w:lang w:val="en-GB"/>
        </w:rPr>
        <w:t xml:space="preserve"> supporting a platform to </w:t>
      </w:r>
      <w:r w:rsidR="00B46A91" w:rsidRPr="004068DA">
        <w:rPr>
          <w:lang w:val="en-GB"/>
        </w:rPr>
        <w:t xml:space="preserve">articulate and </w:t>
      </w:r>
      <w:r w:rsidRPr="008941BB">
        <w:rPr>
          <w:lang w:val="en-GB"/>
        </w:rPr>
        <w:t>share information</w:t>
      </w:r>
      <w:r w:rsidR="002445FE" w:rsidRPr="008941BB">
        <w:rPr>
          <w:lang w:val="en-GB"/>
        </w:rPr>
        <w:t xml:space="preserve"> and to</w:t>
      </w:r>
      <w:r w:rsidRPr="008941BB">
        <w:rPr>
          <w:lang w:val="en-GB"/>
        </w:rPr>
        <w:t xml:space="preserve"> coordinate actors and initiatives </w:t>
      </w:r>
      <w:r w:rsidR="00B46A91">
        <w:rPr>
          <w:lang w:val="en-GB"/>
        </w:rPr>
        <w:t>for</w:t>
      </w:r>
      <w:r w:rsidRPr="008941BB">
        <w:rPr>
          <w:lang w:val="en-GB"/>
        </w:rPr>
        <w:t xml:space="preserve"> advanc</w:t>
      </w:r>
      <w:r w:rsidR="00B46A91">
        <w:rPr>
          <w:lang w:val="en-GB"/>
        </w:rPr>
        <w:t>ing</w:t>
      </w:r>
      <w:r w:rsidRPr="008941BB">
        <w:rPr>
          <w:lang w:val="en-GB"/>
        </w:rPr>
        <w:t xml:space="preserve"> sustainable development. </w:t>
      </w:r>
    </w:p>
    <w:p w14:paraId="043E93A1" w14:textId="6FB23B43" w:rsidR="004D0EFA" w:rsidRDefault="004D0EFA">
      <w:pPr>
        <w:rPr>
          <w:lang w:val="en-GB"/>
        </w:rPr>
      </w:pPr>
      <w:r>
        <w:rPr>
          <w:lang w:val="en-GB"/>
        </w:rPr>
        <w:br w:type="page"/>
      </w:r>
    </w:p>
    <w:p w14:paraId="6997E5EA" w14:textId="77777777" w:rsidR="000624AC" w:rsidRPr="008941BB" w:rsidRDefault="002445FE" w:rsidP="008941BB">
      <w:pPr>
        <w:pBdr>
          <w:top w:val="none" w:sz="0" w:space="0" w:color="7F9698"/>
          <w:left w:val="none" w:sz="0" w:space="0" w:color="7F9698"/>
          <w:bottom w:val="none" w:sz="0" w:space="0" w:color="7F9698"/>
          <w:right w:val="none" w:sz="0" w:space="0" w:color="7F9698"/>
        </w:pBdr>
        <w:tabs>
          <w:tab w:val="left" w:pos="1170"/>
        </w:tabs>
        <w:spacing w:before="120" w:after="240"/>
        <w:ind w:left="1195" w:right="1195" w:hanging="475"/>
        <w:jc w:val="both"/>
        <w:rPr>
          <w:b/>
          <w:sz w:val="28"/>
          <w:szCs w:val="28"/>
          <w:lang w:val="en-GB"/>
        </w:rPr>
      </w:pPr>
      <w:r w:rsidRPr="008941BB">
        <w:rPr>
          <w:b/>
          <w:color w:val="000000"/>
          <w:sz w:val="28"/>
          <w:szCs w:val="28"/>
          <w:lang w:val="en-GB" w:eastAsia="es-EC"/>
        </w:rPr>
        <w:lastRenderedPageBreak/>
        <w:t>II.</w:t>
      </w:r>
      <w:r w:rsidRPr="008941BB">
        <w:rPr>
          <w:b/>
          <w:color w:val="000000"/>
          <w:sz w:val="28"/>
          <w:szCs w:val="28"/>
          <w:lang w:val="en-GB" w:eastAsia="es-EC"/>
        </w:rPr>
        <w:tab/>
      </w:r>
      <w:r w:rsidR="000624AC" w:rsidRPr="008941BB">
        <w:rPr>
          <w:b/>
          <w:color w:val="000000"/>
          <w:sz w:val="28"/>
          <w:szCs w:val="28"/>
          <w:lang w:val="en-GB" w:eastAsia="es-EC"/>
        </w:rPr>
        <w:t>Programm</w:t>
      </w:r>
      <w:r w:rsidR="00E43C02" w:rsidRPr="008941BB">
        <w:rPr>
          <w:b/>
          <w:color w:val="000000"/>
          <w:sz w:val="28"/>
          <w:szCs w:val="28"/>
          <w:lang w:val="en-GB" w:eastAsia="es-EC"/>
        </w:rPr>
        <w:t>e</w:t>
      </w:r>
      <w:r w:rsidR="000624AC" w:rsidRPr="008941BB">
        <w:rPr>
          <w:b/>
          <w:sz w:val="28"/>
          <w:szCs w:val="28"/>
          <w:lang w:val="en-GB"/>
        </w:rPr>
        <w:t xml:space="preserve"> </w:t>
      </w:r>
      <w:r w:rsidR="00892A8B" w:rsidRPr="008941BB">
        <w:rPr>
          <w:b/>
          <w:sz w:val="28"/>
          <w:szCs w:val="28"/>
          <w:lang w:val="en-GB"/>
        </w:rPr>
        <w:t>p</w:t>
      </w:r>
      <w:r w:rsidR="000624AC" w:rsidRPr="008941BB">
        <w:rPr>
          <w:b/>
          <w:sz w:val="28"/>
          <w:szCs w:val="28"/>
          <w:lang w:val="en-GB"/>
        </w:rPr>
        <w:t xml:space="preserve">riorities and </w:t>
      </w:r>
      <w:r w:rsidR="00892A8B" w:rsidRPr="008941BB">
        <w:rPr>
          <w:b/>
          <w:sz w:val="28"/>
          <w:szCs w:val="28"/>
          <w:lang w:val="en-GB"/>
        </w:rPr>
        <w:t>p</w:t>
      </w:r>
      <w:r w:rsidR="000624AC" w:rsidRPr="008941BB">
        <w:rPr>
          <w:b/>
          <w:sz w:val="28"/>
          <w:szCs w:val="28"/>
          <w:lang w:val="en-GB"/>
        </w:rPr>
        <w:t>artnerships</w:t>
      </w:r>
    </w:p>
    <w:p w14:paraId="035C3B3F" w14:textId="690034E4" w:rsidR="000624AC" w:rsidRPr="008941BB" w:rsidRDefault="000624AC" w:rsidP="00C4319B">
      <w:pPr>
        <w:pStyle w:val="ListParagraph"/>
        <w:numPr>
          <w:ilvl w:val="0"/>
          <w:numId w:val="40"/>
        </w:numPr>
        <w:tabs>
          <w:tab w:val="left" w:pos="1530"/>
        </w:tabs>
        <w:spacing w:after="120"/>
        <w:ind w:left="1166" w:right="1210" w:firstLine="0"/>
        <w:jc w:val="both"/>
        <w:rPr>
          <w:color w:val="000000"/>
          <w:lang w:val="en-GB"/>
        </w:rPr>
      </w:pPr>
      <w:r w:rsidRPr="008941BB">
        <w:rPr>
          <w:color w:val="000000"/>
          <w:lang w:val="en-GB"/>
        </w:rPr>
        <w:t xml:space="preserve">The priorities set in the current </w:t>
      </w:r>
      <w:r w:rsidR="009957C2" w:rsidRPr="008941BB">
        <w:rPr>
          <w:color w:val="000000"/>
          <w:lang w:val="en-GB"/>
        </w:rPr>
        <w:t>p</w:t>
      </w:r>
      <w:r w:rsidRPr="008941BB">
        <w:rPr>
          <w:color w:val="000000"/>
          <w:lang w:val="en-GB"/>
        </w:rPr>
        <w:t>rogram</w:t>
      </w:r>
      <w:r w:rsidR="00B6615B" w:rsidRPr="008941BB">
        <w:rPr>
          <w:color w:val="000000"/>
          <w:lang w:val="en-GB"/>
        </w:rPr>
        <w:t>me</w:t>
      </w:r>
      <w:r w:rsidRPr="008941BB">
        <w:rPr>
          <w:color w:val="000000"/>
          <w:lang w:val="en-GB"/>
        </w:rPr>
        <w:t xml:space="preserve"> </w:t>
      </w:r>
      <w:r w:rsidR="009957C2" w:rsidRPr="008941BB">
        <w:rPr>
          <w:color w:val="000000"/>
          <w:lang w:val="en-GB"/>
        </w:rPr>
        <w:t xml:space="preserve">of the Government </w:t>
      </w:r>
      <w:r w:rsidRPr="008941BB">
        <w:rPr>
          <w:color w:val="000000"/>
          <w:lang w:val="en-GB"/>
        </w:rPr>
        <w:t xml:space="preserve">have guided the definitions of the present document, which is aligned with the theory of change of the </w:t>
      </w:r>
      <w:r w:rsidR="009957C2" w:rsidRPr="008941BB">
        <w:rPr>
          <w:color w:val="000000"/>
          <w:lang w:val="en-GB"/>
        </w:rPr>
        <w:t>United Nations Development Assistance Framework</w:t>
      </w:r>
      <w:r w:rsidRPr="008941BB">
        <w:rPr>
          <w:color w:val="000000"/>
          <w:lang w:val="en-GB"/>
        </w:rPr>
        <w:t xml:space="preserve">, while incorporating </w:t>
      </w:r>
      <w:r w:rsidR="00436C7D" w:rsidRPr="008941BB">
        <w:rPr>
          <w:color w:val="000000"/>
          <w:lang w:val="en-GB"/>
        </w:rPr>
        <w:t xml:space="preserve">the </w:t>
      </w:r>
      <w:r w:rsidRPr="008941BB">
        <w:rPr>
          <w:color w:val="000000"/>
          <w:lang w:val="en-GB"/>
        </w:rPr>
        <w:t xml:space="preserve">guidelines and signature products </w:t>
      </w:r>
      <w:r w:rsidR="00436C7D" w:rsidRPr="008941BB">
        <w:rPr>
          <w:color w:val="000000"/>
          <w:lang w:val="en-GB"/>
        </w:rPr>
        <w:t xml:space="preserve">of the UNDP Strategic Plan </w:t>
      </w:r>
      <w:r w:rsidR="006E2314" w:rsidRPr="008941BB">
        <w:rPr>
          <w:color w:val="000000"/>
          <w:lang w:val="en-GB"/>
        </w:rPr>
        <w:t>and</w:t>
      </w:r>
      <w:r w:rsidRPr="008941BB">
        <w:rPr>
          <w:color w:val="000000"/>
          <w:lang w:val="en-GB"/>
        </w:rPr>
        <w:t xml:space="preserve"> the </w:t>
      </w:r>
      <w:r w:rsidR="00436C7D" w:rsidRPr="008941BB">
        <w:rPr>
          <w:color w:val="000000"/>
          <w:lang w:val="en-GB"/>
        </w:rPr>
        <w:t xml:space="preserve">principles of the </w:t>
      </w:r>
      <w:r w:rsidRPr="008941BB">
        <w:rPr>
          <w:color w:val="000000"/>
          <w:lang w:val="en-GB"/>
        </w:rPr>
        <w:t xml:space="preserve">2030 Agenda. They </w:t>
      </w:r>
      <w:r w:rsidR="00A0411C" w:rsidRPr="008941BB">
        <w:rPr>
          <w:color w:val="000000"/>
          <w:lang w:val="en-GB"/>
        </w:rPr>
        <w:t xml:space="preserve">also </w:t>
      </w:r>
      <w:r w:rsidRPr="008941BB">
        <w:rPr>
          <w:color w:val="000000"/>
          <w:lang w:val="en-GB"/>
        </w:rPr>
        <w:t xml:space="preserve">reflect </w:t>
      </w:r>
      <w:r w:rsidR="00172A7A" w:rsidRPr="008941BB">
        <w:rPr>
          <w:color w:val="000000"/>
          <w:lang w:val="en-GB"/>
        </w:rPr>
        <w:t xml:space="preserve">the </w:t>
      </w:r>
      <w:r w:rsidRPr="008941BB">
        <w:rPr>
          <w:color w:val="000000"/>
          <w:lang w:val="en-GB"/>
        </w:rPr>
        <w:t>recommendations made by independent evaluations to enhance the impact of UNDP</w:t>
      </w:r>
      <w:r w:rsidR="00436C7D" w:rsidRPr="008941BB">
        <w:rPr>
          <w:color w:val="000000"/>
          <w:lang w:val="en-GB"/>
        </w:rPr>
        <w:t xml:space="preserve"> </w:t>
      </w:r>
      <w:r w:rsidR="006E2314" w:rsidRPr="008941BB">
        <w:rPr>
          <w:color w:val="000000"/>
          <w:lang w:val="en-GB"/>
        </w:rPr>
        <w:t xml:space="preserve">work </w:t>
      </w:r>
      <w:r w:rsidRPr="008941BB">
        <w:rPr>
          <w:color w:val="000000"/>
          <w:lang w:val="en-GB"/>
        </w:rPr>
        <w:t xml:space="preserve">in Chile. </w:t>
      </w:r>
    </w:p>
    <w:p w14:paraId="04599AC9" w14:textId="645534CE" w:rsidR="000624AC" w:rsidRPr="008941BB" w:rsidRDefault="000624AC" w:rsidP="00C4319B">
      <w:pPr>
        <w:pStyle w:val="ListParagraph"/>
        <w:numPr>
          <w:ilvl w:val="0"/>
          <w:numId w:val="40"/>
        </w:numPr>
        <w:tabs>
          <w:tab w:val="left" w:pos="1530"/>
        </w:tabs>
        <w:spacing w:after="120"/>
        <w:ind w:left="1166" w:right="1210" w:firstLine="0"/>
        <w:jc w:val="both"/>
        <w:rPr>
          <w:color w:val="000000"/>
          <w:lang w:val="en-GB"/>
        </w:rPr>
      </w:pPr>
      <w:r w:rsidRPr="008941BB">
        <w:rPr>
          <w:color w:val="000000"/>
          <w:lang w:val="en-GB"/>
        </w:rPr>
        <w:t>The systematic mainstreaming of territory, gender and human rights-based approaches</w:t>
      </w:r>
      <w:r w:rsidR="00172A7A" w:rsidRPr="008941BB">
        <w:rPr>
          <w:color w:val="000000"/>
          <w:lang w:val="en-GB"/>
        </w:rPr>
        <w:t>,</w:t>
      </w:r>
      <w:r w:rsidRPr="008941BB">
        <w:rPr>
          <w:color w:val="000000"/>
          <w:lang w:val="en-GB"/>
        </w:rPr>
        <w:t xml:space="preserve"> </w:t>
      </w:r>
      <w:r w:rsidR="00172A7A" w:rsidRPr="008941BB">
        <w:rPr>
          <w:color w:val="000000"/>
          <w:lang w:val="en-GB"/>
        </w:rPr>
        <w:t xml:space="preserve">and </w:t>
      </w:r>
      <w:r w:rsidRPr="008941BB">
        <w:rPr>
          <w:color w:val="000000"/>
          <w:lang w:val="en-GB"/>
        </w:rPr>
        <w:t>the strengthening of multi-stakeholder partnerships, built over successful experiences, to</w:t>
      </w:r>
      <w:r w:rsidRPr="008941BB" w:rsidDel="008A4B1F">
        <w:rPr>
          <w:color w:val="000000"/>
          <w:lang w:val="en-GB"/>
        </w:rPr>
        <w:t xml:space="preserve"> </w:t>
      </w:r>
      <w:r w:rsidRPr="008941BB">
        <w:rPr>
          <w:color w:val="000000"/>
          <w:lang w:val="en-GB"/>
        </w:rPr>
        <w:t xml:space="preserve">provide integral solutions and innovation as a framework </w:t>
      </w:r>
      <w:r w:rsidR="00B46A91">
        <w:rPr>
          <w:color w:val="000000"/>
          <w:lang w:val="en-GB"/>
        </w:rPr>
        <w:t>for</w:t>
      </w:r>
      <w:r w:rsidR="00B46A91" w:rsidRPr="008941BB">
        <w:rPr>
          <w:color w:val="000000"/>
          <w:lang w:val="en-GB"/>
        </w:rPr>
        <w:t xml:space="preserve"> </w:t>
      </w:r>
      <w:r w:rsidRPr="008941BB">
        <w:rPr>
          <w:color w:val="000000"/>
          <w:lang w:val="en-GB"/>
        </w:rPr>
        <w:t>design</w:t>
      </w:r>
      <w:r w:rsidR="00B46A91">
        <w:rPr>
          <w:color w:val="000000"/>
          <w:lang w:val="en-GB"/>
        </w:rPr>
        <w:t>ing</w:t>
      </w:r>
      <w:r w:rsidRPr="008941BB">
        <w:rPr>
          <w:color w:val="000000"/>
          <w:lang w:val="en-GB"/>
        </w:rPr>
        <w:t xml:space="preserve"> initiatives </w:t>
      </w:r>
      <w:r w:rsidR="00B46A91">
        <w:rPr>
          <w:color w:val="000000"/>
          <w:lang w:val="en-GB"/>
        </w:rPr>
        <w:t>that reflect</w:t>
      </w:r>
      <w:r w:rsidRPr="008941BB">
        <w:rPr>
          <w:color w:val="000000"/>
          <w:lang w:val="en-GB"/>
        </w:rPr>
        <w:t xml:space="preserve"> the beneficiaries’ perspectives and needs, stand out </w:t>
      </w:r>
      <w:r w:rsidR="00172A7A" w:rsidRPr="008941BB">
        <w:rPr>
          <w:color w:val="000000"/>
          <w:lang w:val="en-GB"/>
        </w:rPr>
        <w:t xml:space="preserve">in </w:t>
      </w:r>
      <w:r w:rsidRPr="008941BB">
        <w:rPr>
          <w:color w:val="000000"/>
          <w:lang w:val="en-GB"/>
        </w:rPr>
        <w:t xml:space="preserve">the </w:t>
      </w:r>
      <w:r w:rsidR="00172A7A" w:rsidRPr="008941BB">
        <w:rPr>
          <w:color w:val="000000"/>
          <w:lang w:val="en-GB"/>
        </w:rPr>
        <w:t xml:space="preserve">totality of </w:t>
      </w:r>
      <w:r w:rsidRPr="008941BB">
        <w:rPr>
          <w:color w:val="000000"/>
          <w:lang w:val="en-GB"/>
        </w:rPr>
        <w:t xml:space="preserve">learning acquired from project evaluations and from the Independent Evaluation Office. UNDP </w:t>
      </w:r>
      <w:r w:rsidR="00B6615B" w:rsidRPr="008941BB">
        <w:rPr>
          <w:color w:val="000000"/>
          <w:lang w:val="en-GB"/>
        </w:rPr>
        <w:t>will</w:t>
      </w:r>
      <w:r w:rsidRPr="008941BB">
        <w:rPr>
          <w:color w:val="000000"/>
          <w:lang w:val="en-GB"/>
        </w:rPr>
        <w:t xml:space="preserve"> benefit from opportunities to generate partnerships with other actors to mobilize national and international resources, strengthen its support at the subnational level, and keep fostering South</w:t>
      </w:r>
      <w:r w:rsidR="002063C8" w:rsidRPr="008941BB">
        <w:rPr>
          <w:color w:val="000000"/>
          <w:lang w:val="en-GB"/>
        </w:rPr>
        <w:t>-</w:t>
      </w:r>
      <w:r w:rsidRPr="008941BB">
        <w:rPr>
          <w:color w:val="000000"/>
          <w:lang w:val="en-GB"/>
        </w:rPr>
        <w:t xml:space="preserve">South </w:t>
      </w:r>
      <w:r w:rsidR="00172A7A" w:rsidRPr="008941BB">
        <w:rPr>
          <w:color w:val="000000"/>
          <w:lang w:val="en-GB"/>
        </w:rPr>
        <w:t>c</w:t>
      </w:r>
      <w:r w:rsidRPr="008941BB">
        <w:rPr>
          <w:color w:val="000000"/>
          <w:lang w:val="en-GB"/>
        </w:rPr>
        <w:t xml:space="preserve">ooperation, where Chile is positioned as a regional benchmark. </w:t>
      </w:r>
    </w:p>
    <w:p w14:paraId="7C93BBA6" w14:textId="2AD726E7" w:rsidR="000624AC" w:rsidRPr="008941BB" w:rsidRDefault="000624AC" w:rsidP="00892A8B">
      <w:pPr>
        <w:pStyle w:val="ListParagraph"/>
        <w:numPr>
          <w:ilvl w:val="0"/>
          <w:numId w:val="40"/>
        </w:numPr>
        <w:tabs>
          <w:tab w:val="left" w:pos="1530"/>
        </w:tabs>
        <w:spacing w:after="120"/>
        <w:ind w:left="1166" w:right="1210" w:firstLine="0"/>
        <w:jc w:val="both"/>
        <w:rPr>
          <w:color w:val="000000"/>
          <w:lang w:val="en-GB"/>
        </w:rPr>
      </w:pPr>
      <w:r w:rsidRPr="008941BB">
        <w:rPr>
          <w:color w:val="000000"/>
          <w:lang w:val="en-GB"/>
        </w:rPr>
        <w:t xml:space="preserve">Based on analytical work, the </w:t>
      </w:r>
      <w:r w:rsidR="00B46A91">
        <w:rPr>
          <w:color w:val="000000"/>
          <w:lang w:val="en-GB"/>
        </w:rPr>
        <w:t>p</w:t>
      </w:r>
      <w:r w:rsidRPr="008941BB">
        <w:rPr>
          <w:color w:val="000000"/>
          <w:lang w:val="en-GB"/>
        </w:rPr>
        <w:t>rogram</w:t>
      </w:r>
      <w:r w:rsidR="00B6615B" w:rsidRPr="008941BB">
        <w:rPr>
          <w:color w:val="000000"/>
          <w:lang w:val="en-GB"/>
        </w:rPr>
        <w:t>me</w:t>
      </w:r>
      <w:r w:rsidRPr="008941BB">
        <w:rPr>
          <w:color w:val="000000"/>
          <w:lang w:val="en-GB"/>
        </w:rPr>
        <w:t xml:space="preserve"> </w:t>
      </w:r>
      <w:r w:rsidR="00172A7A" w:rsidRPr="008941BB">
        <w:rPr>
          <w:color w:val="000000"/>
          <w:lang w:val="en-GB"/>
        </w:rPr>
        <w:t>seeks to</w:t>
      </w:r>
      <w:r w:rsidRPr="008941BB">
        <w:rPr>
          <w:color w:val="000000"/>
          <w:lang w:val="en-GB"/>
        </w:rPr>
        <w:t xml:space="preserve"> achiev</w:t>
      </w:r>
      <w:r w:rsidR="00172A7A" w:rsidRPr="008941BB">
        <w:rPr>
          <w:color w:val="000000"/>
          <w:lang w:val="en-GB"/>
        </w:rPr>
        <w:t>e</w:t>
      </w:r>
      <w:r w:rsidRPr="008941BB">
        <w:rPr>
          <w:color w:val="000000"/>
          <w:lang w:val="en-GB"/>
        </w:rPr>
        <w:t xml:space="preserve"> comprehensive sustainable development </w:t>
      </w:r>
      <w:r w:rsidR="00172A7A" w:rsidRPr="008941BB">
        <w:rPr>
          <w:color w:val="000000"/>
          <w:lang w:val="en-GB"/>
        </w:rPr>
        <w:t xml:space="preserve">that </w:t>
      </w:r>
      <w:r w:rsidRPr="008941BB">
        <w:rPr>
          <w:color w:val="000000"/>
          <w:lang w:val="en-GB"/>
        </w:rPr>
        <w:t xml:space="preserve">balances the economic, social, and environmental dimensions </w:t>
      </w:r>
      <w:r w:rsidR="00172A7A" w:rsidRPr="008941BB">
        <w:rPr>
          <w:color w:val="000000"/>
          <w:lang w:val="en-GB"/>
        </w:rPr>
        <w:t xml:space="preserve">of </w:t>
      </w:r>
      <w:r w:rsidRPr="008941BB">
        <w:rPr>
          <w:color w:val="000000"/>
          <w:lang w:val="en-GB"/>
        </w:rPr>
        <w:t xml:space="preserve">the entire territory, focusing its efforts on priority groups </w:t>
      </w:r>
      <w:r w:rsidR="00172A7A" w:rsidRPr="008941BB">
        <w:rPr>
          <w:color w:val="000000"/>
          <w:lang w:val="en-GB"/>
        </w:rPr>
        <w:t xml:space="preserve">in </w:t>
      </w:r>
      <w:r w:rsidRPr="008941BB">
        <w:rPr>
          <w:color w:val="000000"/>
          <w:lang w:val="en-GB"/>
        </w:rPr>
        <w:t>four areas.</w:t>
      </w:r>
    </w:p>
    <w:p w14:paraId="4A92DD12" w14:textId="1AFC2E88" w:rsidR="000624AC" w:rsidRPr="008941BB" w:rsidRDefault="00172A7A" w:rsidP="00892A8B">
      <w:pPr>
        <w:pStyle w:val="ListParagraph"/>
        <w:tabs>
          <w:tab w:val="left" w:pos="1530"/>
        </w:tabs>
        <w:spacing w:after="120"/>
        <w:ind w:left="1166" w:right="1210"/>
        <w:jc w:val="both"/>
        <w:rPr>
          <w:b/>
          <w:color w:val="000000"/>
          <w:sz w:val="24"/>
          <w:szCs w:val="24"/>
          <w:lang w:val="en-GB"/>
        </w:rPr>
      </w:pPr>
      <w:r w:rsidRPr="008941BB">
        <w:rPr>
          <w:b/>
          <w:color w:val="000000"/>
          <w:sz w:val="24"/>
          <w:szCs w:val="24"/>
          <w:lang w:val="en-GB"/>
        </w:rPr>
        <w:t>A.</w:t>
      </w:r>
      <w:r w:rsidRPr="008941BB">
        <w:rPr>
          <w:b/>
          <w:color w:val="000000"/>
          <w:sz w:val="24"/>
          <w:szCs w:val="24"/>
          <w:lang w:val="en-GB"/>
        </w:rPr>
        <w:tab/>
      </w:r>
      <w:r w:rsidR="000624AC" w:rsidRPr="008941BB">
        <w:rPr>
          <w:b/>
          <w:color w:val="000000"/>
          <w:sz w:val="24"/>
          <w:szCs w:val="24"/>
          <w:lang w:val="en-GB"/>
        </w:rPr>
        <w:t>Strengthening institutional capacities to address the drivers</w:t>
      </w:r>
      <w:r w:rsidR="00B6615B" w:rsidRPr="008941BB">
        <w:rPr>
          <w:b/>
          <w:color w:val="000000"/>
          <w:sz w:val="24"/>
          <w:szCs w:val="24"/>
          <w:lang w:val="en-GB"/>
        </w:rPr>
        <w:t xml:space="preserve"> of vulnerability and exclusion</w:t>
      </w:r>
      <w:r w:rsidR="000624AC" w:rsidRPr="008941BB">
        <w:rPr>
          <w:b/>
          <w:color w:val="000000"/>
          <w:sz w:val="24"/>
          <w:szCs w:val="24"/>
          <w:lang w:val="en-GB"/>
        </w:rPr>
        <w:t xml:space="preserve"> </w:t>
      </w:r>
    </w:p>
    <w:p w14:paraId="7F37C87D" w14:textId="05582574" w:rsidR="000624AC" w:rsidRPr="008941BB" w:rsidRDefault="000624AC" w:rsidP="00C4319B">
      <w:pPr>
        <w:pStyle w:val="ListParagraph"/>
        <w:numPr>
          <w:ilvl w:val="0"/>
          <w:numId w:val="40"/>
        </w:numPr>
        <w:tabs>
          <w:tab w:val="left" w:pos="1530"/>
        </w:tabs>
        <w:spacing w:after="120"/>
        <w:ind w:left="1166" w:right="1210" w:firstLine="0"/>
        <w:jc w:val="both"/>
        <w:rPr>
          <w:color w:val="000000"/>
          <w:lang w:val="en-GB"/>
        </w:rPr>
      </w:pPr>
      <w:r w:rsidRPr="008941BB">
        <w:rPr>
          <w:color w:val="000000"/>
          <w:lang w:val="en-GB"/>
        </w:rPr>
        <w:t xml:space="preserve"> To strengthen the design of social policies favo</w:t>
      </w:r>
      <w:r w:rsidR="00172A7A" w:rsidRPr="008941BB">
        <w:rPr>
          <w:color w:val="000000"/>
          <w:lang w:val="en-GB"/>
        </w:rPr>
        <w:t>u</w:t>
      </w:r>
      <w:r w:rsidRPr="008941BB">
        <w:rPr>
          <w:color w:val="000000"/>
          <w:lang w:val="en-GB"/>
        </w:rPr>
        <w:t>ring inter-sector planning and coordination, UNDP will supply instruments, knowledge, and methodologies to formulate</w:t>
      </w:r>
      <w:r w:rsidR="00B46A91">
        <w:rPr>
          <w:color w:val="000000"/>
          <w:lang w:val="en-GB"/>
        </w:rPr>
        <w:t xml:space="preserve">, </w:t>
      </w:r>
      <w:r w:rsidR="00B46A91" w:rsidRPr="004068DA">
        <w:rPr>
          <w:color w:val="000000"/>
          <w:lang w:val="en-GB"/>
        </w:rPr>
        <w:t>analy</w:t>
      </w:r>
      <w:r w:rsidR="00B46A91">
        <w:rPr>
          <w:color w:val="000000"/>
          <w:lang w:val="en-GB"/>
        </w:rPr>
        <w:t>se</w:t>
      </w:r>
      <w:r w:rsidRPr="008941BB">
        <w:rPr>
          <w:color w:val="000000"/>
          <w:lang w:val="en-GB"/>
        </w:rPr>
        <w:t xml:space="preserve"> and implement solutions </w:t>
      </w:r>
      <w:r w:rsidR="00172A7A">
        <w:rPr>
          <w:color w:val="000000"/>
          <w:lang w:val="en-GB"/>
        </w:rPr>
        <w:t>that</w:t>
      </w:r>
      <w:r w:rsidR="00172A7A" w:rsidRPr="008941BB">
        <w:rPr>
          <w:color w:val="000000"/>
          <w:lang w:val="en-GB"/>
        </w:rPr>
        <w:t xml:space="preserve"> </w:t>
      </w:r>
      <w:r w:rsidRPr="008941BB">
        <w:rPr>
          <w:color w:val="000000"/>
          <w:lang w:val="en-GB"/>
        </w:rPr>
        <w:t xml:space="preserve">accelerate development. </w:t>
      </w:r>
      <w:r w:rsidR="00B46A91">
        <w:rPr>
          <w:color w:val="000000"/>
          <w:lang w:val="en-GB"/>
        </w:rPr>
        <w:t>N</w:t>
      </w:r>
      <w:r w:rsidRPr="008941BB">
        <w:rPr>
          <w:color w:val="000000"/>
          <w:lang w:val="en-GB"/>
        </w:rPr>
        <w:t xml:space="preserve">ational and subnational competencies and capacities to plan for sustainable development will be </w:t>
      </w:r>
      <w:r w:rsidR="008A01FF">
        <w:rPr>
          <w:color w:val="000000"/>
          <w:lang w:val="en-GB"/>
        </w:rPr>
        <w:t>strengthen</w:t>
      </w:r>
      <w:r w:rsidR="008A01FF" w:rsidRPr="008A01FF">
        <w:rPr>
          <w:color w:val="000000"/>
          <w:lang w:val="en-GB"/>
        </w:rPr>
        <w:t>ed</w:t>
      </w:r>
      <w:r w:rsidRPr="008941BB">
        <w:rPr>
          <w:color w:val="000000"/>
          <w:lang w:val="en-GB"/>
        </w:rPr>
        <w:t>.</w:t>
      </w:r>
    </w:p>
    <w:p w14:paraId="1A135228" w14:textId="0E7CC7B6" w:rsidR="000624AC" w:rsidRPr="008941BB" w:rsidRDefault="000624AC" w:rsidP="00C4319B">
      <w:pPr>
        <w:pStyle w:val="ListParagraph"/>
        <w:numPr>
          <w:ilvl w:val="0"/>
          <w:numId w:val="40"/>
        </w:numPr>
        <w:tabs>
          <w:tab w:val="left" w:pos="1530"/>
        </w:tabs>
        <w:spacing w:after="120"/>
        <w:ind w:left="1166" w:right="1210" w:firstLine="0"/>
        <w:jc w:val="both"/>
        <w:rPr>
          <w:color w:val="000000"/>
          <w:lang w:val="en-GB"/>
        </w:rPr>
      </w:pPr>
      <w:r w:rsidRPr="008941BB">
        <w:rPr>
          <w:color w:val="000000"/>
          <w:lang w:val="en-GB"/>
        </w:rPr>
        <w:t>As a dialogue facilitator, UNDP will promote a platform t</w:t>
      </w:r>
      <w:r w:rsidR="00B46A91">
        <w:rPr>
          <w:color w:val="000000"/>
          <w:lang w:val="en-GB"/>
        </w:rPr>
        <w:t>hat</w:t>
      </w:r>
      <w:r w:rsidRPr="008941BB">
        <w:rPr>
          <w:color w:val="000000"/>
          <w:lang w:val="en-GB"/>
        </w:rPr>
        <w:t xml:space="preserve"> convene</w:t>
      </w:r>
      <w:r w:rsidR="00B46A91">
        <w:rPr>
          <w:color w:val="000000"/>
          <w:lang w:val="en-GB"/>
        </w:rPr>
        <w:t>s</w:t>
      </w:r>
      <w:r w:rsidRPr="008941BB">
        <w:rPr>
          <w:color w:val="000000"/>
          <w:lang w:val="en-GB"/>
        </w:rPr>
        <w:t xml:space="preserve"> institutions at the central level (ministries of </w:t>
      </w:r>
      <w:r w:rsidR="00172A7A">
        <w:rPr>
          <w:color w:val="000000"/>
          <w:lang w:val="en-GB"/>
        </w:rPr>
        <w:t>s</w:t>
      </w:r>
      <w:r w:rsidRPr="008941BB">
        <w:rPr>
          <w:color w:val="000000"/>
          <w:lang w:val="en-GB"/>
        </w:rPr>
        <w:t xml:space="preserve">ocial </w:t>
      </w:r>
      <w:r w:rsidR="00172A7A">
        <w:rPr>
          <w:color w:val="000000"/>
          <w:lang w:val="en-GB"/>
        </w:rPr>
        <w:t>d</w:t>
      </w:r>
      <w:r w:rsidRPr="008941BB">
        <w:rPr>
          <w:color w:val="000000"/>
          <w:lang w:val="en-GB"/>
        </w:rPr>
        <w:t xml:space="preserve">evelopment, </w:t>
      </w:r>
      <w:r w:rsidR="00172A7A">
        <w:rPr>
          <w:color w:val="000000"/>
          <w:lang w:val="en-GB"/>
        </w:rPr>
        <w:t>e</w:t>
      </w:r>
      <w:r w:rsidRPr="008941BB">
        <w:rPr>
          <w:color w:val="000000"/>
          <w:lang w:val="en-GB"/>
        </w:rPr>
        <w:t xml:space="preserve">nvironment, </w:t>
      </w:r>
      <w:r w:rsidR="00172A7A">
        <w:rPr>
          <w:color w:val="000000"/>
          <w:lang w:val="en-GB"/>
        </w:rPr>
        <w:t>e</w:t>
      </w:r>
      <w:r w:rsidRPr="008941BB">
        <w:rPr>
          <w:color w:val="000000"/>
          <w:lang w:val="en-GB"/>
        </w:rPr>
        <w:t xml:space="preserve">conomy, </w:t>
      </w:r>
      <w:r w:rsidR="00172A7A">
        <w:rPr>
          <w:color w:val="000000"/>
          <w:lang w:val="en-GB"/>
        </w:rPr>
        <w:t>and f</w:t>
      </w:r>
      <w:r w:rsidRPr="008941BB">
        <w:rPr>
          <w:color w:val="000000"/>
          <w:lang w:val="en-GB"/>
        </w:rPr>
        <w:t xml:space="preserve">oreign </w:t>
      </w:r>
      <w:r w:rsidR="00172A7A">
        <w:rPr>
          <w:color w:val="000000"/>
          <w:lang w:val="en-GB"/>
        </w:rPr>
        <w:t>a</w:t>
      </w:r>
      <w:r w:rsidRPr="008941BB">
        <w:rPr>
          <w:color w:val="000000"/>
          <w:lang w:val="en-GB"/>
        </w:rPr>
        <w:t>ffairs, and the Ministry Secretary</w:t>
      </w:r>
      <w:r w:rsidR="00DD24B4">
        <w:rPr>
          <w:color w:val="000000"/>
          <w:lang w:val="en-GB"/>
        </w:rPr>
        <w:t xml:space="preserve"> </w:t>
      </w:r>
      <w:r w:rsidRPr="008941BB">
        <w:rPr>
          <w:color w:val="000000"/>
          <w:lang w:val="en-GB"/>
        </w:rPr>
        <w:t>General of the Presidency)</w:t>
      </w:r>
      <w:r w:rsidR="000F6157">
        <w:rPr>
          <w:color w:val="000000"/>
          <w:lang w:val="en-GB"/>
        </w:rPr>
        <w:t>,</w:t>
      </w:r>
      <w:r w:rsidRPr="008941BB">
        <w:rPr>
          <w:color w:val="000000"/>
          <w:lang w:val="en-GB"/>
        </w:rPr>
        <w:t xml:space="preserve"> and </w:t>
      </w:r>
      <w:r w:rsidR="00B46A91">
        <w:rPr>
          <w:color w:val="000000"/>
          <w:lang w:val="en-GB"/>
        </w:rPr>
        <w:t>with the</w:t>
      </w:r>
      <w:r w:rsidRPr="008941BB">
        <w:rPr>
          <w:color w:val="000000"/>
          <w:lang w:val="en-GB"/>
        </w:rPr>
        <w:t xml:space="preserve"> private sector, civil society, academia, and </w:t>
      </w:r>
      <w:r w:rsidR="00172A7A">
        <w:rPr>
          <w:color w:val="000000"/>
          <w:lang w:val="en-GB"/>
        </w:rPr>
        <w:t>United Nations organizations</w:t>
      </w:r>
      <w:r w:rsidR="00B46A91" w:rsidRPr="00B46A91">
        <w:rPr>
          <w:color w:val="000000"/>
          <w:lang w:val="en-GB"/>
        </w:rPr>
        <w:t xml:space="preserve"> </w:t>
      </w:r>
      <w:r w:rsidR="00B46A91">
        <w:rPr>
          <w:color w:val="000000"/>
          <w:lang w:val="en-GB"/>
        </w:rPr>
        <w:t>at</w:t>
      </w:r>
      <w:r w:rsidR="00B46A91" w:rsidRPr="004068DA">
        <w:rPr>
          <w:color w:val="000000"/>
          <w:lang w:val="en-GB"/>
        </w:rPr>
        <w:t xml:space="preserve"> the subnational level</w:t>
      </w:r>
      <w:r w:rsidRPr="008941BB">
        <w:rPr>
          <w:color w:val="000000"/>
          <w:lang w:val="en-GB"/>
        </w:rPr>
        <w:t>, to foster the co-creation of innovative solutions and initiatives respond</w:t>
      </w:r>
      <w:r w:rsidR="00B46A91">
        <w:rPr>
          <w:color w:val="000000"/>
          <w:lang w:val="en-GB"/>
        </w:rPr>
        <w:t>ing</w:t>
      </w:r>
      <w:r w:rsidRPr="008941BB">
        <w:rPr>
          <w:color w:val="000000"/>
          <w:lang w:val="en-GB"/>
        </w:rPr>
        <w:t xml:space="preserve"> to the current challenges, including new ways of financing for development. </w:t>
      </w:r>
      <w:r w:rsidR="00B46A91">
        <w:rPr>
          <w:color w:val="000000"/>
          <w:lang w:val="en-GB"/>
        </w:rPr>
        <w:t>P</w:t>
      </w:r>
      <w:r w:rsidR="00B46A91" w:rsidRPr="004068DA">
        <w:rPr>
          <w:color w:val="000000"/>
          <w:lang w:val="en-GB"/>
        </w:rPr>
        <w:t xml:space="preserve">rivate sector </w:t>
      </w:r>
      <w:r w:rsidR="00B46A91">
        <w:rPr>
          <w:color w:val="000000"/>
          <w:lang w:val="en-GB"/>
        </w:rPr>
        <w:t>p</w:t>
      </w:r>
      <w:r w:rsidRPr="008941BB">
        <w:rPr>
          <w:color w:val="000000"/>
          <w:lang w:val="en-GB"/>
        </w:rPr>
        <w:t xml:space="preserve">artnerships will be pursued, </w:t>
      </w:r>
      <w:r w:rsidR="00B46A91">
        <w:rPr>
          <w:color w:val="000000"/>
          <w:lang w:val="en-GB"/>
        </w:rPr>
        <w:t>especi</w:t>
      </w:r>
      <w:r w:rsidR="00B46A91" w:rsidRPr="008941BB">
        <w:rPr>
          <w:color w:val="000000"/>
          <w:lang w:val="en-GB"/>
        </w:rPr>
        <w:t xml:space="preserve">ally </w:t>
      </w:r>
      <w:r w:rsidR="00B46A91">
        <w:rPr>
          <w:color w:val="000000"/>
          <w:lang w:val="en-GB"/>
        </w:rPr>
        <w:t xml:space="preserve">with </w:t>
      </w:r>
      <w:r w:rsidRPr="008941BB">
        <w:rPr>
          <w:color w:val="000000"/>
          <w:lang w:val="en-GB"/>
        </w:rPr>
        <w:t>those tak</w:t>
      </w:r>
      <w:r w:rsidR="00B46A91">
        <w:rPr>
          <w:color w:val="000000"/>
          <w:lang w:val="en-GB"/>
        </w:rPr>
        <w:t>ing</w:t>
      </w:r>
      <w:r w:rsidRPr="008941BB">
        <w:rPr>
          <w:color w:val="000000"/>
          <w:lang w:val="en-GB"/>
        </w:rPr>
        <w:t xml:space="preserve"> </w:t>
      </w:r>
      <w:r w:rsidR="00B46A91">
        <w:rPr>
          <w:color w:val="000000"/>
          <w:lang w:val="en-GB"/>
        </w:rPr>
        <w:t xml:space="preserve">part </w:t>
      </w:r>
      <w:r w:rsidR="00172A7A">
        <w:rPr>
          <w:color w:val="000000"/>
          <w:lang w:val="en-GB"/>
        </w:rPr>
        <w:t>in</w:t>
      </w:r>
      <w:r w:rsidRPr="008941BB">
        <w:rPr>
          <w:color w:val="000000"/>
          <w:lang w:val="en-GB"/>
        </w:rPr>
        <w:t xml:space="preserve"> the </w:t>
      </w:r>
      <w:r w:rsidR="000F6157">
        <w:rPr>
          <w:color w:val="000000"/>
          <w:lang w:val="en-GB"/>
        </w:rPr>
        <w:t>‘</w:t>
      </w:r>
      <w:r w:rsidRPr="008941BB">
        <w:rPr>
          <w:color w:val="000000"/>
          <w:lang w:val="en-GB"/>
        </w:rPr>
        <w:t>Acci</w:t>
      </w:r>
      <w:r w:rsidR="00974F4A">
        <w:rPr>
          <w:color w:val="000000"/>
          <w:lang w:val="en-GB"/>
        </w:rPr>
        <w:t>ó</w:t>
      </w:r>
      <w:r w:rsidRPr="008941BB">
        <w:rPr>
          <w:color w:val="000000"/>
          <w:lang w:val="en-GB"/>
        </w:rPr>
        <w:t>n Empresas</w:t>
      </w:r>
      <w:r w:rsidR="000F6157">
        <w:rPr>
          <w:color w:val="000000"/>
          <w:lang w:val="en-GB"/>
        </w:rPr>
        <w:t>’</w:t>
      </w:r>
      <w:r w:rsidRPr="008941BB">
        <w:rPr>
          <w:color w:val="000000"/>
          <w:lang w:val="en-GB"/>
        </w:rPr>
        <w:t xml:space="preserve"> network and the Global Compact in Chile.</w:t>
      </w:r>
    </w:p>
    <w:p w14:paraId="72438DFD" w14:textId="787A5D55"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 </w:t>
      </w:r>
      <w:r w:rsidR="00B46A91">
        <w:rPr>
          <w:color w:val="000000"/>
          <w:lang w:val="en-GB"/>
        </w:rPr>
        <w:t>To</w:t>
      </w:r>
      <w:r w:rsidRPr="008941BB">
        <w:rPr>
          <w:color w:val="000000"/>
          <w:lang w:val="en-GB"/>
        </w:rPr>
        <w:t xml:space="preserve"> strengthen the social protection system </w:t>
      </w:r>
      <w:r w:rsidR="00172A7A">
        <w:rPr>
          <w:color w:val="000000"/>
          <w:lang w:val="en-GB"/>
        </w:rPr>
        <w:t>throughout</w:t>
      </w:r>
      <w:r w:rsidR="00172A7A" w:rsidRPr="008941BB">
        <w:rPr>
          <w:color w:val="000000"/>
          <w:lang w:val="en-GB"/>
        </w:rPr>
        <w:t xml:space="preserve"> </w:t>
      </w:r>
      <w:r w:rsidR="001E31C4" w:rsidRPr="008941BB">
        <w:rPr>
          <w:color w:val="000000"/>
          <w:lang w:val="en-GB"/>
        </w:rPr>
        <w:t xml:space="preserve">the life cycle </w:t>
      </w:r>
      <w:r w:rsidR="00172A7A">
        <w:rPr>
          <w:color w:val="000000"/>
          <w:lang w:val="en-GB"/>
        </w:rPr>
        <w:t xml:space="preserve">– </w:t>
      </w:r>
      <w:r w:rsidRPr="008941BB">
        <w:rPr>
          <w:color w:val="000000"/>
          <w:lang w:val="en-GB"/>
        </w:rPr>
        <w:t>focusing on families, children, women, the elderly, and vulnerable groups</w:t>
      </w:r>
      <w:r w:rsidR="00172A7A">
        <w:rPr>
          <w:color w:val="000000"/>
          <w:lang w:val="en-GB"/>
        </w:rPr>
        <w:t>,</w:t>
      </w:r>
      <w:r w:rsidRPr="008941BB">
        <w:rPr>
          <w:color w:val="000000"/>
          <w:lang w:val="en-GB"/>
        </w:rPr>
        <w:t xml:space="preserve"> including </w:t>
      </w:r>
      <w:r w:rsidR="00015F1A">
        <w:rPr>
          <w:color w:val="000000"/>
          <w:lang w:val="en-GB"/>
        </w:rPr>
        <w:t xml:space="preserve">the </w:t>
      </w:r>
      <w:r w:rsidR="00EE2472" w:rsidRPr="008941BB">
        <w:rPr>
          <w:color w:val="000000"/>
          <w:lang w:val="en-GB"/>
        </w:rPr>
        <w:t xml:space="preserve">emerging </w:t>
      </w:r>
      <w:r w:rsidRPr="008941BB">
        <w:rPr>
          <w:color w:val="000000"/>
          <w:lang w:val="en-GB"/>
        </w:rPr>
        <w:t>middle class</w:t>
      </w:r>
      <w:r w:rsidR="00172A7A">
        <w:rPr>
          <w:color w:val="000000"/>
          <w:lang w:val="en-GB"/>
        </w:rPr>
        <w:t xml:space="preserve"> –</w:t>
      </w:r>
      <w:r w:rsidRPr="008941BB">
        <w:rPr>
          <w:color w:val="000000"/>
          <w:lang w:val="en-GB"/>
        </w:rPr>
        <w:t xml:space="preserve"> the capacities of institutions designing and executing social and care program</w:t>
      </w:r>
      <w:r w:rsidR="00015F1A">
        <w:rPr>
          <w:color w:val="000000"/>
          <w:lang w:val="en-GB"/>
        </w:rPr>
        <w:t>me</w:t>
      </w:r>
      <w:r w:rsidRPr="008941BB">
        <w:rPr>
          <w:color w:val="000000"/>
          <w:lang w:val="en-GB"/>
        </w:rPr>
        <w:t>s will be supported</w:t>
      </w:r>
      <w:r w:rsidR="002063C8" w:rsidRPr="008941BB">
        <w:rPr>
          <w:color w:val="000000"/>
          <w:lang w:val="en-GB"/>
        </w:rPr>
        <w:t xml:space="preserve"> (</w:t>
      </w:r>
      <w:r w:rsidR="00015F1A" w:rsidRPr="00015F1A">
        <w:rPr>
          <w:color w:val="000000"/>
          <w:lang w:val="en-GB"/>
        </w:rPr>
        <w:t>social development, housing</w:t>
      </w:r>
      <w:r w:rsidRPr="008941BB">
        <w:rPr>
          <w:color w:val="000000"/>
          <w:lang w:val="en-GB"/>
        </w:rPr>
        <w:t>) to promote the articulation and coordination of such program</w:t>
      </w:r>
      <w:r w:rsidR="00015F1A">
        <w:rPr>
          <w:color w:val="000000"/>
          <w:lang w:val="en-GB"/>
        </w:rPr>
        <w:t>me</w:t>
      </w:r>
      <w:r w:rsidRPr="008941BB">
        <w:rPr>
          <w:color w:val="000000"/>
          <w:lang w:val="en-GB"/>
        </w:rPr>
        <w:t xml:space="preserve">s. </w:t>
      </w:r>
    </w:p>
    <w:p w14:paraId="24AB0B5D" w14:textId="7AB1074F"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 </w:t>
      </w:r>
      <w:r w:rsidR="00015F1A">
        <w:rPr>
          <w:color w:val="000000"/>
          <w:lang w:val="en-GB"/>
        </w:rPr>
        <w:t>T</w:t>
      </w:r>
      <w:r w:rsidRPr="008941BB">
        <w:rPr>
          <w:color w:val="000000"/>
          <w:lang w:val="en-GB"/>
        </w:rPr>
        <w:t xml:space="preserve">he </w:t>
      </w:r>
      <w:r w:rsidR="000D19D1" w:rsidRPr="008941BB">
        <w:rPr>
          <w:lang w:val="en-GB"/>
        </w:rPr>
        <w:t>Ministry of Social Development</w:t>
      </w:r>
      <w:r w:rsidRPr="008941BB">
        <w:rPr>
          <w:color w:val="000000"/>
          <w:lang w:val="en-GB"/>
        </w:rPr>
        <w:t xml:space="preserve"> and its Under-secretary for Childhood will be support</w:t>
      </w:r>
      <w:r w:rsidR="00015F1A">
        <w:rPr>
          <w:color w:val="000000"/>
          <w:lang w:val="en-GB"/>
        </w:rPr>
        <w:t>ed in</w:t>
      </w:r>
      <w:r w:rsidRPr="008941BB">
        <w:rPr>
          <w:color w:val="000000"/>
          <w:lang w:val="en-GB"/>
        </w:rPr>
        <w:t xml:space="preserve"> design</w:t>
      </w:r>
      <w:r w:rsidR="00015F1A">
        <w:rPr>
          <w:color w:val="000000"/>
          <w:lang w:val="en-GB"/>
        </w:rPr>
        <w:t>ing</w:t>
      </w:r>
      <w:r w:rsidRPr="008941BB">
        <w:rPr>
          <w:color w:val="000000"/>
          <w:lang w:val="en-GB"/>
        </w:rPr>
        <w:t>, articulat</w:t>
      </w:r>
      <w:r w:rsidR="00015F1A">
        <w:rPr>
          <w:color w:val="000000"/>
          <w:lang w:val="en-GB"/>
        </w:rPr>
        <w:t>ing</w:t>
      </w:r>
      <w:r w:rsidRPr="008941BB">
        <w:rPr>
          <w:color w:val="000000"/>
          <w:lang w:val="en-GB"/>
        </w:rPr>
        <w:t xml:space="preserve"> and implement</w:t>
      </w:r>
      <w:r w:rsidR="00015F1A">
        <w:rPr>
          <w:color w:val="000000"/>
          <w:lang w:val="en-GB"/>
        </w:rPr>
        <w:t>ing</w:t>
      </w:r>
      <w:r w:rsidRPr="008941BB">
        <w:rPr>
          <w:color w:val="000000"/>
          <w:lang w:val="en-GB"/>
        </w:rPr>
        <w:t xml:space="preserve"> policies, strategies, and instruments promoting the rights of children and adolescents, in partnership with </w:t>
      </w:r>
      <w:r w:rsidR="00015F1A">
        <w:rPr>
          <w:color w:val="000000"/>
          <w:lang w:val="en-GB"/>
        </w:rPr>
        <w:t>the United Nations Children’</w:t>
      </w:r>
      <w:r w:rsidR="00056493">
        <w:rPr>
          <w:color w:val="000000"/>
          <w:lang w:val="en-GB"/>
        </w:rPr>
        <w:t>s Fund</w:t>
      </w:r>
      <w:r w:rsidR="00B46A91">
        <w:rPr>
          <w:color w:val="000000"/>
          <w:lang w:val="en-GB"/>
        </w:rPr>
        <w:t xml:space="preserve"> (UNICEF)</w:t>
      </w:r>
      <w:r w:rsidRPr="008941BB">
        <w:rPr>
          <w:color w:val="000000"/>
          <w:lang w:val="en-GB"/>
        </w:rPr>
        <w:t xml:space="preserve">. </w:t>
      </w:r>
    </w:p>
    <w:p w14:paraId="50DFAA5A" w14:textId="2A943008"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 UNDP will support the design and implementation of policies and initiatives aimed at ensuring the effective exercise of rights and enhancing social inclusion to improve the different dimensions that affect citizens</w:t>
      </w:r>
      <w:r w:rsidR="00AB49F1">
        <w:rPr>
          <w:color w:val="000000"/>
          <w:lang w:val="en-GB"/>
        </w:rPr>
        <w:t>’</w:t>
      </w:r>
      <w:r w:rsidRPr="008941BB">
        <w:rPr>
          <w:color w:val="000000"/>
          <w:lang w:val="en-GB"/>
        </w:rPr>
        <w:t xml:space="preserve"> wellbeing (</w:t>
      </w:r>
      <w:r w:rsidR="00974F4A">
        <w:rPr>
          <w:color w:val="000000"/>
          <w:lang w:val="en-GB"/>
        </w:rPr>
        <w:t>rural/</w:t>
      </w:r>
      <w:r w:rsidRPr="008941BB">
        <w:rPr>
          <w:color w:val="000000"/>
          <w:lang w:val="en-GB"/>
        </w:rPr>
        <w:t>urban, access to labo</w:t>
      </w:r>
      <w:r w:rsidR="00F50DDC">
        <w:rPr>
          <w:color w:val="000000"/>
          <w:lang w:val="en-GB"/>
        </w:rPr>
        <w:t>u</w:t>
      </w:r>
      <w:r w:rsidRPr="008941BB">
        <w:rPr>
          <w:color w:val="000000"/>
          <w:lang w:val="en-GB"/>
        </w:rPr>
        <w:t>r market, a clean environment, a life free from violence, education, access to power, energy, transportation)</w:t>
      </w:r>
      <w:r w:rsidR="00AB49F1">
        <w:rPr>
          <w:color w:val="000000"/>
          <w:lang w:val="en-GB"/>
        </w:rPr>
        <w:t xml:space="preserve"> and</w:t>
      </w:r>
      <w:r w:rsidRPr="008941BB">
        <w:rPr>
          <w:color w:val="000000"/>
          <w:lang w:val="en-GB"/>
        </w:rPr>
        <w:t xml:space="preserve"> help to diminish social segregation and exclusion, including the promotion of inclusive and sustainable cities</w:t>
      </w:r>
      <w:r w:rsidR="00F91BB1" w:rsidRPr="008941BB">
        <w:rPr>
          <w:color w:val="000000"/>
          <w:lang w:val="en-GB"/>
        </w:rPr>
        <w:t xml:space="preserve"> and urban policies that encourage social integration</w:t>
      </w:r>
      <w:r w:rsidRPr="008941BB">
        <w:rPr>
          <w:color w:val="000000"/>
          <w:lang w:val="en-GB"/>
        </w:rPr>
        <w:t>. The work</w:t>
      </w:r>
      <w:r w:rsidR="00AB49F1">
        <w:rPr>
          <w:color w:val="000000"/>
          <w:lang w:val="en-GB"/>
        </w:rPr>
        <w:t xml:space="preserve">, </w:t>
      </w:r>
      <w:r w:rsidR="00AB49F1" w:rsidRPr="003E358C">
        <w:rPr>
          <w:color w:val="000000"/>
          <w:lang w:val="en-GB"/>
        </w:rPr>
        <w:t xml:space="preserve">in partnership with the National Institute for Youth, </w:t>
      </w:r>
      <w:r w:rsidR="005A4ABF">
        <w:rPr>
          <w:color w:val="000000"/>
          <w:lang w:val="en-GB"/>
        </w:rPr>
        <w:t>sectoral</w:t>
      </w:r>
      <w:r w:rsidR="00AB49F1" w:rsidRPr="003E358C">
        <w:rPr>
          <w:color w:val="000000"/>
          <w:lang w:val="en-GB"/>
        </w:rPr>
        <w:t xml:space="preserve"> ministr</w:t>
      </w:r>
      <w:r w:rsidR="00AB49F1">
        <w:rPr>
          <w:color w:val="000000"/>
          <w:lang w:val="en-GB"/>
        </w:rPr>
        <w:t>ies</w:t>
      </w:r>
      <w:r w:rsidR="00AB49F1" w:rsidRPr="003E358C">
        <w:rPr>
          <w:color w:val="000000"/>
          <w:lang w:val="en-GB"/>
        </w:rPr>
        <w:t xml:space="preserve">, and other </w:t>
      </w:r>
      <w:r w:rsidR="00AB49F1">
        <w:rPr>
          <w:color w:val="000000"/>
          <w:lang w:val="en-GB"/>
        </w:rPr>
        <w:t>United Nations organizations</w:t>
      </w:r>
      <w:r w:rsidR="00AB49F1" w:rsidRPr="003E358C">
        <w:rPr>
          <w:color w:val="000000"/>
          <w:lang w:val="en-GB"/>
        </w:rPr>
        <w:t xml:space="preserve"> (</w:t>
      </w:r>
      <w:r w:rsidR="00AB49F1">
        <w:rPr>
          <w:color w:val="000000"/>
          <w:lang w:val="en-GB"/>
        </w:rPr>
        <w:t xml:space="preserve">UNFPA, the International Labour organization – </w:t>
      </w:r>
      <w:r w:rsidR="00AB49F1" w:rsidRPr="003E358C">
        <w:rPr>
          <w:color w:val="000000"/>
          <w:lang w:val="en-GB"/>
        </w:rPr>
        <w:t xml:space="preserve">ILO, </w:t>
      </w:r>
      <w:r w:rsidR="00AB49F1">
        <w:rPr>
          <w:color w:val="000000"/>
          <w:lang w:val="en-GB"/>
        </w:rPr>
        <w:t xml:space="preserve">and the United Nations </w:t>
      </w:r>
      <w:r w:rsidR="00AB49F1" w:rsidRPr="008941BB">
        <w:rPr>
          <w:color w:val="000000"/>
          <w:lang w:val="en-GB"/>
        </w:rPr>
        <w:lastRenderedPageBreak/>
        <w:t>Educational, Scientific and Cultural Organization</w:t>
      </w:r>
      <w:r w:rsidR="00AB49F1" w:rsidRPr="003E358C">
        <w:rPr>
          <w:color w:val="000000"/>
          <w:lang w:val="en-GB"/>
        </w:rPr>
        <w:t xml:space="preserve"> </w:t>
      </w:r>
      <w:r w:rsidR="00AB49F1">
        <w:rPr>
          <w:color w:val="000000"/>
          <w:lang w:val="en-GB"/>
        </w:rPr>
        <w:t xml:space="preserve">– UNESCO) </w:t>
      </w:r>
      <w:r w:rsidRPr="008941BB">
        <w:rPr>
          <w:color w:val="000000"/>
          <w:lang w:val="en-GB"/>
        </w:rPr>
        <w:t xml:space="preserve">will focus on excluded groups, mainly indigenous communities, women heads of households, and young people. </w:t>
      </w:r>
    </w:p>
    <w:p w14:paraId="2F97280C" w14:textId="31B089BB"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Disaggregated information and knowledge focusing on vulnerable groups and </w:t>
      </w:r>
      <w:r w:rsidR="00974F4A">
        <w:rPr>
          <w:color w:val="000000"/>
          <w:lang w:val="en-GB"/>
        </w:rPr>
        <w:t xml:space="preserve">the </w:t>
      </w:r>
      <w:r w:rsidR="009365ED" w:rsidRPr="008941BB">
        <w:rPr>
          <w:color w:val="000000"/>
          <w:lang w:val="en-GB"/>
        </w:rPr>
        <w:t xml:space="preserve">emerging </w:t>
      </w:r>
      <w:r w:rsidRPr="008941BB">
        <w:rPr>
          <w:color w:val="000000"/>
          <w:lang w:val="en-GB"/>
        </w:rPr>
        <w:t xml:space="preserve">middle class will be developed using available State instruments such as the </w:t>
      </w:r>
      <w:r w:rsidR="00AB49F1" w:rsidRPr="008941BB">
        <w:rPr>
          <w:color w:val="000000"/>
          <w:lang w:val="en-GB"/>
        </w:rPr>
        <w:t xml:space="preserve">National Socioeconomic Characterization </w:t>
      </w:r>
      <w:r w:rsidRPr="008941BB">
        <w:rPr>
          <w:color w:val="000000"/>
          <w:lang w:val="en-GB"/>
        </w:rPr>
        <w:t xml:space="preserve">Survey, the Social Household Registry </w:t>
      </w:r>
      <w:r w:rsidR="00A84512">
        <w:rPr>
          <w:color w:val="000000"/>
          <w:lang w:val="en-GB"/>
        </w:rPr>
        <w:t xml:space="preserve">and </w:t>
      </w:r>
      <w:r w:rsidRPr="008941BB">
        <w:rPr>
          <w:color w:val="000000"/>
          <w:lang w:val="en-GB"/>
        </w:rPr>
        <w:t xml:space="preserve">the Survey on Urban Quality of Life. </w:t>
      </w:r>
    </w:p>
    <w:p w14:paraId="54E816AC" w14:textId="287BC309" w:rsidR="000624AC" w:rsidRPr="008941BB" w:rsidRDefault="00A84512" w:rsidP="00FB53BF">
      <w:pPr>
        <w:pStyle w:val="ListParagraph"/>
        <w:numPr>
          <w:ilvl w:val="0"/>
          <w:numId w:val="40"/>
        </w:numPr>
        <w:tabs>
          <w:tab w:val="left" w:pos="1440"/>
        </w:tabs>
        <w:spacing w:after="120"/>
        <w:ind w:left="1166" w:right="1210" w:firstLine="0"/>
        <w:jc w:val="both"/>
        <w:rPr>
          <w:color w:val="000000"/>
          <w:lang w:val="en-GB"/>
        </w:rPr>
      </w:pPr>
      <w:r>
        <w:rPr>
          <w:color w:val="000000"/>
          <w:lang w:val="en-GB"/>
        </w:rPr>
        <w:t>I</w:t>
      </w:r>
      <w:r w:rsidRPr="003E358C">
        <w:rPr>
          <w:color w:val="000000"/>
          <w:lang w:val="en-GB"/>
        </w:rPr>
        <w:t>n partnership with the Ministry of Women and other national and local State institutions, as well as UN</w:t>
      </w:r>
      <w:r>
        <w:rPr>
          <w:color w:val="000000"/>
          <w:lang w:val="en-GB"/>
        </w:rPr>
        <w:t>-Women</w:t>
      </w:r>
      <w:r w:rsidRPr="003E358C">
        <w:rPr>
          <w:color w:val="000000"/>
          <w:lang w:val="en-GB"/>
        </w:rPr>
        <w:t xml:space="preserve">, UNFPA and </w:t>
      </w:r>
      <w:r>
        <w:rPr>
          <w:color w:val="000000"/>
          <w:lang w:val="en-GB"/>
        </w:rPr>
        <w:t>the Pan-American Health Organization,</w:t>
      </w:r>
      <w:r w:rsidRPr="00A84512" w:rsidDel="00A84512">
        <w:rPr>
          <w:color w:val="000000"/>
          <w:lang w:val="en-GB"/>
        </w:rPr>
        <w:t xml:space="preserve"> </w:t>
      </w:r>
      <w:r>
        <w:rPr>
          <w:color w:val="000000"/>
          <w:lang w:val="en-GB"/>
        </w:rPr>
        <w:t>s</w:t>
      </w:r>
      <w:r w:rsidR="000624AC" w:rsidRPr="008941BB">
        <w:rPr>
          <w:color w:val="000000"/>
          <w:lang w:val="en-GB"/>
        </w:rPr>
        <w:t xml:space="preserve">trategies will be designed and implemented to confront barriers </w:t>
      </w:r>
      <w:r>
        <w:rPr>
          <w:color w:val="000000"/>
          <w:lang w:val="en-GB"/>
        </w:rPr>
        <w:t>to</w:t>
      </w:r>
      <w:r w:rsidRPr="008941BB">
        <w:rPr>
          <w:color w:val="000000"/>
          <w:lang w:val="en-GB"/>
        </w:rPr>
        <w:t xml:space="preserve"> </w:t>
      </w:r>
      <w:r w:rsidR="000624AC" w:rsidRPr="008941BB">
        <w:rPr>
          <w:color w:val="000000"/>
          <w:lang w:val="en-GB"/>
        </w:rPr>
        <w:t xml:space="preserve">gender equality, including actions to end gender-based violence against women. </w:t>
      </w:r>
    </w:p>
    <w:p w14:paraId="66BA94CE" w14:textId="332AD7D8"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Innovative practices and learning will be shared in the framework of South</w:t>
      </w:r>
      <w:r w:rsidR="002063C8" w:rsidRPr="008941BB">
        <w:rPr>
          <w:color w:val="000000"/>
          <w:lang w:val="en-GB"/>
        </w:rPr>
        <w:t>-</w:t>
      </w:r>
      <w:r w:rsidRPr="008941BB">
        <w:rPr>
          <w:color w:val="000000"/>
          <w:lang w:val="en-GB"/>
        </w:rPr>
        <w:t xml:space="preserve">South </w:t>
      </w:r>
      <w:r w:rsidR="00A84512">
        <w:rPr>
          <w:color w:val="000000"/>
          <w:lang w:val="en-GB"/>
        </w:rPr>
        <w:t>c</w:t>
      </w:r>
      <w:r w:rsidRPr="008941BB">
        <w:rPr>
          <w:color w:val="000000"/>
          <w:lang w:val="en-GB"/>
        </w:rPr>
        <w:t xml:space="preserve">ooperation partnerships by coordinating the demand and supply of cooperation provided by </w:t>
      </w:r>
      <w:r w:rsidR="00A84512">
        <w:rPr>
          <w:color w:val="000000"/>
          <w:lang w:val="en-GB"/>
        </w:rPr>
        <w:t>non-governmental organizations</w:t>
      </w:r>
      <w:r w:rsidRPr="008941BB">
        <w:rPr>
          <w:color w:val="000000"/>
          <w:lang w:val="en-GB"/>
        </w:rPr>
        <w:t xml:space="preserve"> and public and private institutions, thus strengthening the Chilean Fund in partnership with the Ministry of Foreign Affairs and the International Cooperation Agency. </w:t>
      </w:r>
    </w:p>
    <w:p w14:paraId="1EEB9840" w14:textId="0DA748F9" w:rsidR="000624AC" w:rsidRPr="008941BB" w:rsidRDefault="00172A7A" w:rsidP="00892A8B">
      <w:pPr>
        <w:pStyle w:val="ListParagraph"/>
        <w:tabs>
          <w:tab w:val="left" w:pos="1530"/>
        </w:tabs>
        <w:spacing w:after="120"/>
        <w:ind w:left="1166" w:right="1210"/>
        <w:jc w:val="both"/>
        <w:rPr>
          <w:b/>
          <w:color w:val="000000"/>
          <w:sz w:val="24"/>
          <w:szCs w:val="24"/>
          <w:lang w:val="en-GB"/>
        </w:rPr>
      </w:pPr>
      <w:r w:rsidRPr="008941BB">
        <w:rPr>
          <w:b/>
          <w:color w:val="000000"/>
          <w:sz w:val="24"/>
          <w:szCs w:val="24"/>
          <w:lang w:val="en-GB"/>
        </w:rPr>
        <w:t>B.</w:t>
      </w:r>
      <w:r w:rsidRPr="008941BB">
        <w:rPr>
          <w:b/>
          <w:color w:val="000000"/>
          <w:sz w:val="24"/>
          <w:szCs w:val="24"/>
          <w:lang w:val="en-GB"/>
        </w:rPr>
        <w:tab/>
      </w:r>
      <w:r w:rsidR="000624AC" w:rsidRPr="008941BB">
        <w:rPr>
          <w:b/>
          <w:color w:val="000000"/>
          <w:sz w:val="24"/>
          <w:szCs w:val="24"/>
          <w:lang w:val="en-GB"/>
        </w:rPr>
        <w:t xml:space="preserve">Barriers </w:t>
      </w:r>
      <w:r w:rsidR="00A84512" w:rsidRPr="008941BB">
        <w:rPr>
          <w:b/>
          <w:color w:val="000000"/>
          <w:sz w:val="24"/>
          <w:szCs w:val="24"/>
          <w:lang w:val="en-GB"/>
        </w:rPr>
        <w:t xml:space="preserve">to </w:t>
      </w:r>
      <w:r w:rsidR="00974F4A">
        <w:rPr>
          <w:b/>
          <w:color w:val="000000"/>
          <w:sz w:val="24"/>
          <w:szCs w:val="24"/>
          <w:lang w:val="en-GB"/>
        </w:rPr>
        <w:t xml:space="preserve">the </w:t>
      </w:r>
      <w:r w:rsidR="000624AC" w:rsidRPr="008941BB">
        <w:rPr>
          <w:b/>
          <w:color w:val="000000"/>
          <w:sz w:val="24"/>
          <w:szCs w:val="24"/>
          <w:lang w:val="en-GB"/>
        </w:rPr>
        <w:t>economic and s</w:t>
      </w:r>
      <w:r w:rsidR="00184C12" w:rsidRPr="008941BB">
        <w:rPr>
          <w:b/>
          <w:color w:val="000000"/>
          <w:sz w:val="24"/>
          <w:szCs w:val="24"/>
          <w:lang w:val="en-GB"/>
        </w:rPr>
        <w:t xml:space="preserve">ocial integration of women </w:t>
      </w:r>
    </w:p>
    <w:p w14:paraId="4F3C9AED" w14:textId="18DDBFCD" w:rsidR="000624AC" w:rsidRPr="008941BB" w:rsidRDefault="00911F04"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The Government launched a new </w:t>
      </w:r>
      <w:r w:rsidR="008F1889" w:rsidRPr="008941BB">
        <w:rPr>
          <w:color w:val="000000"/>
          <w:lang w:val="en-GB"/>
        </w:rPr>
        <w:t>Women</w:t>
      </w:r>
      <w:r w:rsidR="00A84512">
        <w:rPr>
          <w:color w:val="000000"/>
          <w:lang w:val="en-GB"/>
        </w:rPr>
        <w:t>’</w:t>
      </w:r>
      <w:r w:rsidR="008F1889" w:rsidRPr="008941BB">
        <w:rPr>
          <w:color w:val="000000"/>
          <w:lang w:val="en-GB"/>
        </w:rPr>
        <w:t xml:space="preserve">s </w:t>
      </w:r>
      <w:r w:rsidRPr="008941BB">
        <w:rPr>
          <w:color w:val="000000"/>
          <w:lang w:val="en-GB"/>
        </w:rPr>
        <w:t xml:space="preserve">Agenda </w:t>
      </w:r>
      <w:r w:rsidR="00CB323E" w:rsidRPr="008941BB">
        <w:rPr>
          <w:color w:val="000000"/>
          <w:lang w:val="en-GB"/>
        </w:rPr>
        <w:t xml:space="preserve">to firmly address the main challenges </w:t>
      </w:r>
      <w:r w:rsidR="0044495A" w:rsidRPr="008941BB">
        <w:rPr>
          <w:color w:val="000000"/>
          <w:lang w:val="en-GB"/>
        </w:rPr>
        <w:t>to advanc</w:t>
      </w:r>
      <w:r w:rsidR="00A84512">
        <w:rPr>
          <w:color w:val="000000"/>
          <w:lang w:val="en-GB"/>
        </w:rPr>
        <w:t>ing</w:t>
      </w:r>
      <w:r w:rsidR="00CB323E" w:rsidRPr="008941BB">
        <w:rPr>
          <w:color w:val="000000"/>
          <w:lang w:val="en-GB"/>
        </w:rPr>
        <w:t xml:space="preserve"> gender equality: poverty, labo</w:t>
      </w:r>
      <w:r w:rsidR="00A84512">
        <w:rPr>
          <w:color w:val="000000"/>
          <w:lang w:val="en-GB"/>
        </w:rPr>
        <w:t>u</w:t>
      </w:r>
      <w:r w:rsidR="00CB323E" w:rsidRPr="008941BB">
        <w:rPr>
          <w:color w:val="000000"/>
          <w:lang w:val="en-GB"/>
        </w:rPr>
        <w:t>r market</w:t>
      </w:r>
      <w:r w:rsidR="00A84512">
        <w:rPr>
          <w:color w:val="000000"/>
          <w:lang w:val="en-GB"/>
        </w:rPr>
        <w:t>s</w:t>
      </w:r>
      <w:r w:rsidR="00CB323E" w:rsidRPr="008941BB">
        <w:rPr>
          <w:color w:val="000000"/>
          <w:lang w:val="en-GB"/>
        </w:rPr>
        <w:t>, gender-based violence and participation in public and private decision-making spaces</w:t>
      </w:r>
      <w:r w:rsidR="00974F4A">
        <w:rPr>
          <w:color w:val="000000"/>
          <w:lang w:val="en-GB"/>
        </w:rPr>
        <w:t>.</w:t>
      </w:r>
      <w:r w:rsidR="00CB323E" w:rsidRPr="008941BB">
        <w:rPr>
          <w:color w:val="000000"/>
          <w:lang w:val="en-GB"/>
        </w:rPr>
        <w:t xml:space="preserve"> Th</w:t>
      </w:r>
      <w:r w:rsidR="00A84512">
        <w:rPr>
          <w:color w:val="000000"/>
          <w:lang w:val="en-GB"/>
        </w:rPr>
        <w:t>e proposed</w:t>
      </w:r>
      <w:r w:rsidR="00CB323E" w:rsidRPr="008941BB">
        <w:rPr>
          <w:color w:val="000000"/>
          <w:lang w:val="en-GB"/>
        </w:rPr>
        <w:t xml:space="preserve"> </w:t>
      </w:r>
      <w:r w:rsidR="00A84512">
        <w:rPr>
          <w:color w:val="000000"/>
          <w:lang w:val="en-GB"/>
        </w:rPr>
        <w:t>country programme</w:t>
      </w:r>
      <w:r w:rsidR="00A84512" w:rsidRPr="008941BB">
        <w:rPr>
          <w:color w:val="000000"/>
          <w:lang w:val="en-GB"/>
        </w:rPr>
        <w:t xml:space="preserve"> </w:t>
      </w:r>
      <w:r w:rsidR="00CB323E" w:rsidRPr="008941BB">
        <w:rPr>
          <w:color w:val="000000"/>
          <w:lang w:val="en-GB"/>
        </w:rPr>
        <w:t>echoes th</w:t>
      </w:r>
      <w:r w:rsidR="00A84512">
        <w:rPr>
          <w:color w:val="000000"/>
          <w:lang w:val="en-GB"/>
        </w:rPr>
        <w:t>o</w:t>
      </w:r>
      <w:r w:rsidR="00CB323E" w:rsidRPr="008941BB">
        <w:rPr>
          <w:color w:val="000000"/>
          <w:lang w:val="en-GB"/>
        </w:rPr>
        <w:t xml:space="preserve">se priorities </w:t>
      </w:r>
      <w:r w:rsidR="00652F8D" w:rsidRPr="008941BB">
        <w:rPr>
          <w:color w:val="000000"/>
          <w:lang w:val="en-GB"/>
        </w:rPr>
        <w:t>by</w:t>
      </w:r>
      <w:r w:rsidR="00CB323E" w:rsidRPr="008941BB">
        <w:rPr>
          <w:color w:val="000000"/>
          <w:lang w:val="en-GB"/>
        </w:rPr>
        <w:t xml:space="preserve"> promoting i</w:t>
      </w:r>
      <w:r w:rsidR="000624AC" w:rsidRPr="008941BB">
        <w:rPr>
          <w:color w:val="000000"/>
          <w:lang w:val="en-GB"/>
        </w:rPr>
        <w:t>nclusive labo</w:t>
      </w:r>
      <w:r w:rsidR="00A84512">
        <w:rPr>
          <w:color w:val="000000"/>
          <w:lang w:val="en-GB"/>
        </w:rPr>
        <w:t>u</w:t>
      </w:r>
      <w:r w:rsidR="000624AC" w:rsidRPr="008941BB">
        <w:rPr>
          <w:color w:val="000000"/>
          <w:lang w:val="en-GB"/>
        </w:rPr>
        <w:t>r environments and a higher insertion of women, particularly in medium</w:t>
      </w:r>
      <w:r w:rsidR="00A84512">
        <w:rPr>
          <w:color w:val="000000"/>
          <w:lang w:val="en-GB"/>
        </w:rPr>
        <w:t>-sized</w:t>
      </w:r>
      <w:r w:rsidR="000624AC" w:rsidRPr="008941BB">
        <w:rPr>
          <w:color w:val="000000"/>
          <w:lang w:val="en-GB"/>
        </w:rPr>
        <w:t xml:space="preserve"> and small companies, </w:t>
      </w:r>
      <w:r w:rsidR="00974F4A">
        <w:rPr>
          <w:color w:val="000000"/>
          <w:lang w:val="en-GB"/>
        </w:rPr>
        <w:t>through</w:t>
      </w:r>
      <w:r w:rsidR="00A84512">
        <w:rPr>
          <w:color w:val="000000"/>
          <w:lang w:val="en-GB"/>
        </w:rPr>
        <w:t xml:space="preserve"> expanded use of</w:t>
      </w:r>
      <w:r w:rsidR="000624AC" w:rsidRPr="008941BB">
        <w:rPr>
          <w:color w:val="000000"/>
          <w:lang w:val="en-GB"/>
        </w:rPr>
        <w:t xml:space="preserve"> the </w:t>
      </w:r>
      <w:r w:rsidR="00974F4A">
        <w:rPr>
          <w:color w:val="000000"/>
          <w:lang w:val="en-GB"/>
        </w:rPr>
        <w:t>g</w:t>
      </w:r>
      <w:r w:rsidR="000624AC" w:rsidRPr="008941BB">
        <w:rPr>
          <w:color w:val="000000"/>
          <w:lang w:val="en-GB"/>
        </w:rPr>
        <w:t xml:space="preserve">ender </w:t>
      </w:r>
      <w:r w:rsidR="00974F4A">
        <w:rPr>
          <w:color w:val="000000"/>
          <w:lang w:val="en-GB"/>
        </w:rPr>
        <w:t>e</w:t>
      </w:r>
      <w:r w:rsidR="000624AC" w:rsidRPr="008941BB">
        <w:rPr>
          <w:color w:val="000000"/>
          <w:lang w:val="en-GB"/>
        </w:rPr>
        <w:t xml:space="preserve">quality </w:t>
      </w:r>
      <w:r w:rsidR="00974F4A">
        <w:rPr>
          <w:color w:val="000000"/>
          <w:lang w:val="en-GB"/>
        </w:rPr>
        <w:t>s</w:t>
      </w:r>
      <w:r w:rsidR="000624AC" w:rsidRPr="008941BB">
        <w:rPr>
          <w:color w:val="000000"/>
          <w:lang w:val="en-GB"/>
        </w:rPr>
        <w:t xml:space="preserve">eal and support to the National Service for Women to increase the number of certified companies </w:t>
      </w:r>
      <w:r w:rsidR="00A84512">
        <w:rPr>
          <w:color w:val="000000"/>
          <w:lang w:val="en-GB"/>
        </w:rPr>
        <w:t>(</w:t>
      </w:r>
      <w:r w:rsidR="000624AC" w:rsidRPr="008941BB">
        <w:rPr>
          <w:color w:val="000000"/>
          <w:lang w:val="en-GB"/>
        </w:rPr>
        <w:t xml:space="preserve">in partnership with </w:t>
      </w:r>
      <w:r w:rsidR="00214644" w:rsidRPr="008941BB">
        <w:rPr>
          <w:color w:val="000000"/>
          <w:lang w:val="en-GB"/>
        </w:rPr>
        <w:t>UN</w:t>
      </w:r>
      <w:r w:rsidR="00A84512">
        <w:rPr>
          <w:color w:val="000000"/>
          <w:lang w:val="en-GB"/>
        </w:rPr>
        <w:t>-</w:t>
      </w:r>
      <w:r w:rsidR="00A84512" w:rsidRPr="008941BB">
        <w:rPr>
          <w:color w:val="000000"/>
          <w:lang w:val="en-GB"/>
        </w:rPr>
        <w:t>W</w:t>
      </w:r>
      <w:r w:rsidR="00A84512">
        <w:rPr>
          <w:color w:val="000000"/>
          <w:lang w:val="en-GB"/>
        </w:rPr>
        <w:t>omen)</w:t>
      </w:r>
      <w:r w:rsidR="000624AC" w:rsidRPr="008941BB">
        <w:rPr>
          <w:color w:val="000000"/>
          <w:lang w:val="en-GB"/>
        </w:rPr>
        <w:t>.</w:t>
      </w:r>
    </w:p>
    <w:p w14:paraId="63106178" w14:textId="50F2E840" w:rsidR="000624AC" w:rsidRPr="008941BB" w:rsidRDefault="00652F8D"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To</w:t>
      </w:r>
      <w:r w:rsidR="000624AC" w:rsidRPr="008941BB">
        <w:rPr>
          <w:color w:val="000000"/>
          <w:lang w:val="en-GB"/>
        </w:rPr>
        <w:t xml:space="preserve"> expand women</w:t>
      </w:r>
      <w:r w:rsidR="00EE2472" w:rsidRPr="008941BB">
        <w:rPr>
          <w:color w:val="000000"/>
          <w:lang w:val="en-GB"/>
        </w:rPr>
        <w:t>’</w:t>
      </w:r>
      <w:r w:rsidR="000624AC" w:rsidRPr="008941BB">
        <w:rPr>
          <w:color w:val="000000"/>
          <w:lang w:val="en-GB"/>
        </w:rPr>
        <w:t>s labo</w:t>
      </w:r>
      <w:r w:rsidR="00A84512">
        <w:rPr>
          <w:color w:val="000000"/>
          <w:lang w:val="en-GB"/>
        </w:rPr>
        <w:t>u</w:t>
      </w:r>
      <w:r w:rsidR="000624AC" w:rsidRPr="008941BB">
        <w:rPr>
          <w:color w:val="000000"/>
          <w:lang w:val="en-GB"/>
        </w:rPr>
        <w:t>r inclusion, the diversification of their labo</w:t>
      </w:r>
      <w:r w:rsidR="00A84512">
        <w:rPr>
          <w:color w:val="000000"/>
          <w:lang w:val="en-GB"/>
        </w:rPr>
        <w:t>u</w:t>
      </w:r>
      <w:r w:rsidR="000624AC" w:rsidRPr="008941BB">
        <w:rPr>
          <w:color w:val="000000"/>
          <w:lang w:val="en-GB"/>
        </w:rPr>
        <w:t>r</w:t>
      </w:r>
      <w:r w:rsidR="00A84512">
        <w:rPr>
          <w:color w:val="000000"/>
          <w:lang w:val="en-GB"/>
        </w:rPr>
        <w:t xml:space="preserve"> and </w:t>
      </w:r>
      <w:r w:rsidR="000624AC" w:rsidRPr="008941BB">
        <w:rPr>
          <w:color w:val="000000"/>
          <w:lang w:val="en-GB"/>
        </w:rPr>
        <w:t>educational opportunities will be fostered by helping design and implement strategies to improve training and labo</w:t>
      </w:r>
      <w:r w:rsidR="00A84512">
        <w:rPr>
          <w:color w:val="000000"/>
          <w:lang w:val="en-GB"/>
        </w:rPr>
        <w:t>u</w:t>
      </w:r>
      <w:r w:rsidR="000624AC" w:rsidRPr="008941BB">
        <w:rPr>
          <w:color w:val="000000"/>
          <w:lang w:val="en-GB"/>
        </w:rPr>
        <w:t>r market insertion</w:t>
      </w:r>
      <w:r w:rsidR="00A84512">
        <w:rPr>
          <w:color w:val="000000"/>
          <w:lang w:val="en-GB"/>
        </w:rPr>
        <w:t>,</w:t>
      </w:r>
      <w:r w:rsidR="000624AC" w:rsidRPr="008941BB">
        <w:rPr>
          <w:color w:val="000000"/>
          <w:lang w:val="en-GB"/>
        </w:rPr>
        <w:t xml:space="preserve"> </w:t>
      </w:r>
      <w:r w:rsidR="00A84512">
        <w:rPr>
          <w:color w:val="000000"/>
          <w:lang w:val="en-GB"/>
        </w:rPr>
        <w:t>together</w:t>
      </w:r>
      <w:r w:rsidR="00A84512" w:rsidRPr="008941BB">
        <w:rPr>
          <w:color w:val="000000"/>
          <w:lang w:val="en-GB"/>
        </w:rPr>
        <w:t xml:space="preserve"> </w:t>
      </w:r>
      <w:r w:rsidR="000624AC" w:rsidRPr="008941BB">
        <w:rPr>
          <w:color w:val="000000"/>
          <w:lang w:val="en-GB"/>
        </w:rPr>
        <w:t>with the National Training Service at the Ministry of Labo</w:t>
      </w:r>
      <w:r w:rsidR="006746DC">
        <w:rPr>
          <w:color w:val="000000"/>
          <w:lang w:val="en-GB"/>
        </w:rPr>
        <w:t>u</w:t>
      </w:r>
      <w:r w:rsidR="000624AC" w:rsidRPr="008941BB">
        <w:rPr>
          <w:color w:val="000000"/>
          <w:lang w:val="en-GB"/>
        </w:rPr>
        <w:t xml:space="preserve">r, the </w:t>
      </w:r>
      <w:r w:rsidR="00A84512" w:rsidRPr="003E358C">
        <w:rPr>
          <w:color w:val="000000"/>
          <w:lang w:val="en-GB"/>
        </w:rPr>
        <w:t>Ministry of Women</w:t>
      </w:r>
      <w:r w:rsidR="000624AC" w:rsidRPr="008941BB">
        <w:rPr>
          <w:color w:val="000000"/>
          <w:lang w:val="en-GB"/>
        </w:rPr>
        <w:t xml:space="preserve">, academia, and civil society organizations. </w:t>
      </w:r>
    </w:p>
    <w:p w14:paraId="06781D9A" w14:textId="3F2E3E89"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The definition of participation strategies for local economic development, including an adequate analysis of supply</w:t>
      </w:r>
      <w:r w:rsidR="00131F82">
        <w:rPr>
          <w:color w:val="000000"/>
          <w:lang w:val="en-GB"/>
        </w:rPr>
        <w:t>-</w:t>
      </w:r>
      <w:r w:rsidRPr="008941BB">
        <w:rPr>
          <w:color w:val="000000"/>
          <w:lang w:val="en-GB"/>
        </w:rPr>
        <w:t>and</w:t>
      </w:r>
      <w:r w:rsidR="00131F82">
        <w:rPr>
          <w:color w:val="000000"/>
          <w:lang w:val="en-GB"/>
        </w:rPr>
        <w:t>-</w:t>
      </w:r>
      <w:r w:rsidRPr="008941BB">
        <w:rPr>
          <w:color w:val="000000"/>
          <w:lang w:val="en-GB"/>
        </w:rPr>
        <w:t>demand issues</w:t>
      </w:r>
      <w:r w:rsidR="00131F82">
        <w:rPr>
          <w:color w:val="000000"/>
          <w:lang w:val="en-GB"/>
        </w:rPr>
        <w:t>,</w:t>
      </w:r>
      <w:r w:rsidRPr="008941BB">
        <w:rPr>
          <w:color w:val="000000"/>
          <w:lang w:val="en-GB"/>
        </w:rPr>
        <w:t xml:space="preserve"> will be fostered as a basis for initiatives to further women’s capacities for better labo</w:t>
      </w:r>
      <w:r w:rsidR="00131F82">
        <w:rPr>
          <w:color w:val="000000"/>
          <w:lang w:val="en-GB"/>
        </w:rPr>
        <w:t>u</w:t>
      </w:r>
      <w:r w:rsidRPr="008941BB">
        <w:rPr>
          <w:color w:val="000000"/>
          <w:lang w:val="en-GB"/>
        </w:rPr>
        <w:t xml:space="preserve">r insertion and income generation across a range of economic sectors. </w:t>
      </w:r>
    </w:p>
    <w:p w14:paraId="49144ABA" w14:textId="77777777" w:rsidR="000624AC" w:rsidRPr="008941BB" w:rsidRDefault="00172A7A" w:rsidP="00892A8B">
      <w:pPr>
        <w:pStyle w:val="ListParagraph"/>
        <w:tabs>
          <w:tab w:val="left" w:pos="1530"/>
        </w:tabs>
        <w:spacing w:after="120"/>
        <w:ind w:left="1166" w:right="1210"/>
        <w:jc w:val="both"/>
        <w:rPr>
          <w:b/>
          <w:color w:val="000000"/>
          <w:sz w:val="24"/>
          <w:szCs w:val="24"/>
          <w:lang w:val="en-GB"/>
        </w:rPr>
      </w:pPr>
      <w:r w:rsidRPr="008941BB">
        <w:rPr>
          <w:b/>
          <w:color w:val="000000"/>
          <w:sz w:val="24"/>
          <w:szCs w:val="24"/>
          <w:lang w:val="en-GB"/>
        </w:rPr>
        <w:t>C.</w:t>
      </w:r>
      <w:r w:rsidRPr="008941BB">
        <w:rPr>
          <w:b/>
          <w:color w:val="000000"/>
          <w:sz w:val="24"/>
          <w:szCs w:val="24"/>
          <w:lang w:val="en-GB"/>
        </w:rPr>
        <w:tab/>
      </w:r>
      <w:r w:rsidR="000624AC" w:rsidRPr="008941BB">
        <w:rPr>
          <w:b/>
          <w:color w:val="000000"/>
          <w:sz w:val="24"/>
          <w:szCs w:val="24"/>
          <w:lang w:val="en-GB"/>
        </w:rPr>
        <w:t>Modernization of the State by boosting mechanisms for participation, transpa</w:t>
      </w:r>
      <w:r w:rsidR="00184C12" w:rsidRPr="008941BB">
        <w:rPr>
          <w:b/>
          <w:color w:val="000000"/>
          <w:sz w:val="24"/>
          <w:szCs w:val="24"/>
          <w:lang w:val="en-GB"/>
        </w:rPr>
        <w:t>rency and decentralization</w:t>
      </w:r>
    </w:p>
    <w:p w14:paraId="2A839ABD" w14:textId="3AFA2A05"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Through its global network, UNDP will support the Government strategy to modernize the State by generating knowledge and identifying international good practices </w:t>
      </w:r>
      <w:r w:rsidR="00131F82">
        <w:rPr>
          <w:color w:val="000000"/>
          <w:lang w:val="en-GB"/>
        </w:rPr>
        <w:t>that</w:t>
      </w:r>
      <w:r w:rsidR="00131F82" w:rsidRPr="008941BB">
        <w:rPr>
          <w:color w:val="000000"/>
          <w:lang w:val="en-GB"/>
        </w:rPr>
        <w:t xml:space="preserve"> </w:t>
      </w:r>
      <w:r w:rsidRPr="008941BB">
        <w:rPr>
          <w:color w:val="000000"/>
          <w:lang w:val="en-GB"/>
        </w:rPr>
        <w:t xml:space="preserve">would be </w:t>
      </w:r>
      <w:r w:rsidR="00131F82">
        <w:rPr>
          <w:color w:val="000000"/>
          <w:lang w:val="en-GB"/>
        </w:rPr>
        <w:t>appropriate in</w:t>
      </w:r>
      <w:r w:rsidRPr="008941BB">
        <w:rPr>
          <w:color w:val="000000"/>
          <w:lang w:val="en-GB"/>
        </w:rPr>
        <w:t xml:space="preserve"> the national context. Public debate will be promoted on the need to adjust the structure and functioning </w:t>
      </w:r>
      <w:r w:rsidR="00131F82">
        <w:rPr>
          <w:color w:val="000000"/>
          <w:lang w:val="en-GB"/>
        </w:rPr>
        <w:t xml:space="preserve">of the State </w:t>
      </w:r>
      <w:r w:rsidRPr="008941BB">
        <w:rPr>
          <w:color w:val="000000"/>
          <w:lang w:val="en-GB"/>
        </w:rPr>
        <w:t xml:space="preserve">to become an efficient development agent. Likewise, innovative initiatives will be designed and tested to transform public management mechanisms and processes, including digital transformation </w:t>
      </w:r>
      <w:r w:rsidR="00974F4A">
        <w:rPr>
          <w:color w:val="000000"/>
          <w:lang w:val="en-GB"/>
        </w:rPr>
        <w:t>propos</w:t>
      </w:r>
      <w:r w:rsidR="00974F4A" w:rsidRPr="008941BB">
        <w:rPr>
          <w:color w:val="000000"/>
          <w:lang w:val="en-GB"/>
        </w:rPr>
        <w:t xml:space="preserve">ed </w:t>
      </w:r>
      <w:r w:rsidRPr="008941BB">
        <w:rPr>
          <w:color w:val="000000"/>
          <w:lang w:val="en-GB"/>
        </w:rPr>
        <w:t>by the Government</w:t>
      </w:r>
      <w:r w:rsidR="00085299" w:rsidRPr="008941BB">
        <w:rPr>
          <w:color w:val="000000"/>
          <w:lang w:val="en-GB"/>
        </w:rPr>
        <w:t>. Special</w:t>
      </w:r>
      <w:r w:rsidR="009D3EB7" w:rsidRPr="008941BB">
        <w:rPr>
          <w:color w:val="000000"/>
          <w:lang w:val="en-GB"/>
        </w:rPr>
        <w:t xml:space="preserve"> attention will be </w:t>
      </w:r>
      <w:r w:rsidR="00974F4A">
        <w:rPr>
          <w:color w:val="000000"/>
          <w:lang w:val="en-GB"/>
        </w:rPr>
        <w:t>paid</w:t>
      </w:r>
      <w:r w:rsidR="00974F4A" w:rsidRPr="008941BB">
        <w:rPr>
          <w:color w:val="000000"/>
          <w:lang w:val="en-GB"/>
        </w:rPr>
        <w:t xml:space="preserve"> </w:t>
      </w:r>
      <w:r w:rsidR="009D3EB7" w:rsidRPr="008941BB">
        <w:rPr>
          <w:color w:val="000000"/>
          <w:lang w:val="en-GB"/>
        </w:rPr>
        <w:t>to m</w:t>
      </w:r>
      <w:r w:rsidR="00085299" w:rsidRPr="008941BB">
        <w:rPr>
          <w:color w:val="000000"/>
          <w:lang w:val="en-GB"/>
        </w:rPr>
        <w:t>oderniz</w:t>
      </w:r>
      <w:r w:rsidR="00974F4A">
        <w:rPr>
          <w:color w:val="000000"/>
          <w:lang w:val="en-GB"/>
        </w:rPr>
        <w:t>ing</w:t>
      </w:r>
      <w:r w:rsidR="00085299" w:rsidRPr="008941BB">
        <w:rPr>
          <w:color w:val="000000"/>
          <w:lang w:val="en-GB"/>
        </w:rPr>
        <w:t xml:space="preserve"> </w:t>
      </w:r>
      <w:r w:rsidR="00923663">
        <w:rPr>
          <w:color w:val="000000"/>
          <w:lang w:val="en-GB"/>
        </w:rPr>
        <w:t>sub-national</w:t>
      </w:r>
      <w:r w:rsidR="00493118" w:rsidRPr="008941BB">
        <w:rPr>
          <w:color w:val="000000"/>
          <w:lang w:val="en-GB"/>
        </w:rPr>
        <w:t xml:space="preserve"> governments</w:t>
      </w:r>
      <w:r w:rsidR="00085299" w:rsidRPr="008941BB">
        <w:rPr>
          <w:color w:val="000000"/>
          <w:lang w:val="en-GB"/>
        </w:rPr>
        <w:t xml:space="preserve"> as part of the decentralization process. </w:t>
      </w:r>
      <w:r w:rsidR="00CB323E" w:rsidRPr="008941BB">
        <w:rPr>
          <w:color w:val="000000"/>
          <w:lang w:val="en-GB"/>
        </w:rPr>
        <w:t>Improving</w:t>
      </w:r>
      <w:r w:rsidR="007D73ED" w:rsidRPr="008941BB">
        <w:rPr>
          <w:color w:val="000000"/>
          <w:lang w:val="en-GB"/>
        </w:rPr>
        <w:t xml:space="preserve"> the institutional framework for environmental issues,</w:t>
      </w:r>
      <w:r w:rsidR="00CB323E" w:rsidRPr="008941BB">
        <w:rPr>
          <w:color w:val="000000"/>
          <w:lang w:val="en-GB"/>
        </w:rPr>
        <w:t xml:space="preserve"> </w:t>
      </w:r>
      <w:r w:rsidR="00131F82">
        <w:rPr>
          <w:color w:val="000000"/>
          <w:lang w:val="en-GB"/>
        </w:rPr>
        <w:t>particular</w:t>
      </w:r>
      <w:r w:rsidR="00CB323E" w:rsidRPr="008941BB">
        <w:rPr>
          <w:color w:val="000000"/>
          <w:lang w:val="en-GB"/>
        </w:rPr>
        <w:t xml:space="preserve">ly the </w:t>
      </w:r>
      <w:r w:rsidR="0044495A" w:rsidRPr="008941BB">
        <w:rPr>
          <w:color w:val="000000"/>
          <w:lang w:val="en-GB"/>
        </w:rPr>
        <w:t>Environmental Impact A</w:t>
      </w:r>
      <w:r w:rsidR="00CB323E" w:rsidRPr="008941BB">
        <w:rPr>
          <w:color w:val="000000"/>
          <w:lang w:val="en-GB"/>
        </w:rPr>
        <w:t xml:space="preserve">ssessment </w:t>
      </w:r>
      <w:r w:rsidR="0044495A" w:rsidRPr="008941BB">
        <w:rPr>
          <w:color w:val="000000"/>
          <w:lang w:val="en-GB"/>
        </w:rPr>
        <w:t>System</w:t>
      </w:r>
      <w:r w:rsidR="00974F4A">
        <w:rPr>
          <w:color w:val="000000"/>
          <w:lang w:val="en-GB"/>
        </w:rPr>
        <w:t xml:space="preserve"> –</w:t>
      </w:r>
      <w:r w:rsidR="00CB323E" w:rsidRPr="008941BB">
        <w:rPr>
          <w:color w:val="000000"/>
          <w:lang w:val="en-GB"/>
        </w:rPr>
        <w:t xml:space="preserve"> </w:t>
      </w:r>
      <w:r w:rsidR="00652F8D" w:rsidRPr="008941BB">
        <w:rPr>
          <w:color w:val="000000"/>
          <w:lang w:val="en-GB"/>
        </w:rPr>
        <w:t xml:space="preserve">and public participation </w:t>
      </w:r>
      <w:r w:rsidR="00131F82">
        <w:rPr>
          <w:color w:val="000000"/>
          <w:lang w:val="en-GB"/>
        </w:rPr>
        <w:t>throughout</w:t>
      </w:r>
      <w:r w:rsidR="00131F82" w:rsidRPr="008941BB">
        <w:rPr>
          <w:color w:val="000000"/>
          <w:lang w:val="en-GB"/>
        </w:rPr>
        <w:t xml:space="preserve"> </w:t>
      </w:r>
      <w:r w:rsidR="00652F8D" w:rsidRPr="008941BB">
        <w:rPr>
          <w:color w:val="000000"/>
          <w:lang w:val="en-GB"/>
        </w:rPr>
        <w:t>th</w:t>
      </w:r>
      <w:r w:rsidR="00974F4A">
        <w:rPr>
          <w:color w:val="000000"/>
          <w:lang w:val="en-GB"/>
        </w:rPr>
        <w:t>e</w:t>
      </w:r>
      <w:r w:rsidR="00CB323E" w:rsidRPr="008941BB">
        <w:rPr>
          <w:color w:val="000000"/>
          <w:lang w:val="en-GB"/>
        </w:rPr>
        <w:t xml:space="preserve"> process </w:t>
      </w:r>
      <w:r w:rsidR="00974F4A">
        <w:rPr>
          <w:color w:val="000000"/>
          <w:lang w:val="en-GB"/>
        </w:rPr>
        <w:t xml:space="preserve">– </w:t>
      </w:r>
      <w:r w:rsidR="00CB323E" w:rsidRPr="008941BB">
        <w:rPr>
          <w:color w:val="000000"/>
          <w:lang w:val="en-GB"/>
        </w:rPr>
        <w:t xml:space="preserve">will be prioritized. </w:t>
      </w:r>
    </w:p>
    <w:p w14:paraId="15D3FDFC" w14:textId="1D3DB786" w:rsidR="000624AC" w:rsidRPr="008941BB" w:rsidRDefault="00974F4A" w:rsidP="00FB53BF">
      <w:pPr>
        <w:pStyle w:val="ListParagraph"/>
        <w:numPr>
          <w:ilvl w:val="0"/>
          <w:numId w:val="40"/>
        </w:numPr>
        <w:tabs>
          <w:tab w:val="left" w:pos="1440"/>
        </w:tabs>
        <w:spacing w:after="120"/>
        <w:ind w:left="1166" w:right="1210" w:firstLine="0"/>
        <w:jc w:val="both"/>
        <w:rPr>
          <w:color w:val="000000"/>
          <w:lang w:val="en-GB"/>
        </w:rPr>
      </w:pPr>
      <w:r>
        <w:rPr>
          <w:color w:val="000000"/>
          <w:lang w:val="en-GB"/>
        </w:rPr>
        <w:t>D</w:t>
      </w:r>
      <w:r w:rsidR="000624AC" w:rsidRPr="008941BB">
        <w:rPr>
          <w:color w:val="000000"/>
          <w:lang w:val="en-GB"/>
        </w:rPr>
        <w:t xml:space="preserve">ecentralization and transference of competencies to the subnational level will be supported in partnership with regional and local governments, </w:t>
      </w:r>
      <w:r w:rsidR="00F95583">
        <w:rPr>
          <w:color w:val="000000"/>
          <w:lang w:val="en-GB"/>
        </w:rPr>
        <w:t>together</w:t>
      </w:r>
      <w:r w:rsidR="00F95583" w:rsidRPr="008941BB">
        <w:rPr>
          <w:color w:val="000000"/>
          <w:lang w:val="en-GB"/>
        </w:rPr>
        <w:t xml:space="preserve"> </w:t>
      </w:r>
      <w:r w:rsidR="000624AC" w:rsidRPr="008941BB">
        <w:rPr>
          <w:color w:val="000000"/>
          <w:lang w:val="en-GB"/>
        </w:rPr>
        <w:t xml:space="preserve">with the </w:t>
      </w:r>
      <w:r w:rsidR="00F95583">
        <w:rPr>
          <w:color w:val="000000"/>
          <w:lang w:val="en-GB"/>
        </w:rPr>
        <w:t>Under-secretary for Rural Development,</w:t>
      </w:r>
      <w:r w:rsidR="000624AC" w:rsidRPr="008941BB">
        <w:rPr>
          <w:color w:val="000000"/>
          <w:lang w:val="en-GB"/>
        </w:rPr>
        <w:t xml:space="preserve"> through methodologies </w:t>
      </w:r>
      <w:r w:rsidR="00131F82">
        <w:rPr>
          <w:color w:val="000000"/>
          <w:lang w:val="en-GB"/>
        </w:rPr>
        <w:t xml:space="preserve">and </w:t>
      </w:r>
      <w:r w:rsidR="000624AC" w:rsidRPr="008941BB">
        <w:rPr>
          <w:color w:val="000000"/>
          <w:lang w:val="en-GB"/>
        </w:rPr>
        <w:t>local planning processes with a sustainable development focus, and through the analysis of barriers and possible duplic</w:t>
      </w:r>
      <w:r w:rsidR="00131F82">
        <w:rPr>
          <w:color w:val="000000"/>
          <w:lang w:val="en-GB"/>
        </w:rPr>
        <w:t>ation</w:t>
      </w:r>
      <w:r w:rsidR="000624AC" w:rsidRPr="008941BB">
        <w:rPr>
          <w:color w:val="000000"/>
          <w:lang w:val="en-GB"/>
        </w:rPr>
        <w:t xml:space="preserve"> of responsibilities among the </w:t>
      </w:r>
      <w:r w:rsidR="00131F82">
        <w:rPr>
          <w:color w:val="000000"/>
          <w:lang w:val="en-GB"/>
        </w:rPr>
        <w:t>various</w:t>
      </w:r>
      <w:r w:rsidR="00131F82" w:rsidRPr="008941BB">
        <w:rPr>
          <w:color w:val="000000"/>
          <w:lang w:val="en-GB"/>
        </w:rPr>
        <w:t xml:space="preserve"> </w:t>
      </w:r>
      <w:r w:rsidR="000624AC" w:rsidRPr="008941BB">
        <w:rPr>
          <w:color w:val="000000"/>
          <w:lang w:val="en-GB"/>
        </w:rPr>
        <w:t xml:space="preserve">State levels. In the context of the 2030 Agenda, </w:t>
      </w:r>
      <w:r w:rsidR="00A10961" w:rsidRPr="008941BB">
        <w:rPr>
          <w:color w:val="000000"/>
          <w:lang w:val="en-GB"/>
        </w:rPr>
        <w:t xml:space="preserve">localization </w:t>
      </w:r>
      <w:r w:rsidR="000624AC" w:rsidRPr="008941BB">
        <w:rPr>
          <w:color w:val="000000"/>
          <w:lang w:val="en-GB"/>
        </w:rPr>
        <w:t xml:space="preserve">of the </w:t>
      </w:r>
      <w:r w:rsidR="00131F82">
        <w:rPr>
          <w:color w:val="000000"/>
          <w:lang w:val="en-GB"/>
        </w:rPr>
        <w:t>s</w:t>
      </w:r>
      <w:r w:rsidR="000624AC" w:rsidRPr="008941BB">
        <w:rPr>
          <w:color w:val="000000"/>
          <w:lang w:val="en-GB"/>
        </w:rPr>
        <w:t xml:space="preserve">ustainable </w:t>
      </w:r>
      <w:r w:rsidR="00131F82">
        <w:rPr>
          <w:color w:val="000000"/>
          <w:lang w:val="en-GB"/>
        </w:rPr>
        <w:t>d</w:t>
      </w:r>
      <w:r w:rsidR="000624AC" w:rsidRPr="008941BB">
        <w:rPr>
          <w:color w:val="000000"/>
          <w:lang w:val="en-GB"/>
        </w:rPr>
        <w:t xml:space="preserve">evelopment </w:t>
      </w:r>
      <w:r w:rsidR="00131F82">
        <w:rPr>
          <w:color w:val="000000"/>
          <w:lang w:val="en-GB"/>
        </w:rPr>
        <w:t>g</w:t>
      </w:r>
      <w:r w:rsidR="00A10961" w:rsidRPr="008941BB">
        <w:rPr>
          <w:color w:val="000000"/>
          <w:lang w:val="en-GB"/>
        </w:rPr>
        <w:t xml:space="preserve">oals </w:t>
      </w:r>
      <w:r w:rsidR="000624AC" w:rsidRPr="008941BB">
        <w:rPr>
          <w:color w:val="000000"/>
          <w:lang w:val="en-GB"/>
        </w:rPr>
        <w:t xml:space="preserve">will be supported through the construction </w:t>
      </w:r>
      <w:r w:rsidR="000624AC" w:rsidRPr="008941BB">
        <w:rPr>
          <w:color w:val="000000"/>
          <w:lang w:val="en-GB"/>
        </w:rPr>
        <w:lastRenderedPageBreak/>
        <w:t>of public-private partnerships, locally and culturally appropriate assessments, and life</w:t>
      </w:r>
      <w:r w:rsidR="00131F82">
        <w:rPr>
          <w:color w:val="000000"/>
          <w:lang w:val="en-GB"/>
        </w:rPr>
        <w:t>-</w:t>
      </w:r>
      <w:r w:rsidR="000624AC" w:rsidRPr="008941BB">
        <w:rPr>
          <w:color w:val="000000"/>
          <w:lang w:val="en-GB"/>
        </w:rPr>
        <w:t xml:space="preserve">cycle, gender, and multidimensional approaches. </w:t>
      </w:r>
    </w:p>
    <w:p w14:paraId="00C35E4E" w14:textId="18131245"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 UNDP will </w:t>
      </w:r>
      <w:r w:rsidR="00DA3547" w:rsidRPr="008941BB">
        <w:rPr>
          <w:color w:val="000000"/>
          <w:lang w:val="en-GB"/>
        </w:rPr>
        <w:t xml:space="preserve">further its </w:t>
      </w:r>
      <w:r w:rsidR="003C6ABC" w:rsidRPr="008941BB">
        <w:rPr>
          <w:color w:val="000000"/>
          <w:lang w:val="en-GB"/>
        </w:rPr>
        <w:t>support</w:t>
      </w:r>
      <w:r w:rsidRPr="008941BB">
        <w:rPr>
          <w:color w:val="000000"/>
          <w:lang w:val="en-GB"/>
        </w:rPr>
        <w:t xml:space="preserve"> to </w:t>
      </w:r>
      <w:r w:rsidR="00DD24B4">
        <w:rPr>
          <w:color w:val="000000"/>
          <w:lang w:val="en-GB"/>
        </w:rPr>
        <w:t xml:space="preserve">the </w:t>
      </w:r>
      <w:r w:rsidRPr="008941BB">
        <w:rPr>
          <w:color w:val="000000"/>
          <w:lang w:val="en-GB"/>
        </w:rPr>
        <w:t xml:space="preserve">Government and Congress </w:t>
      </w:r>
      <w:r w:rsidR="00974F4A">
        <w:rPr>
          <w:color w:val="000000"/>
          <w:lang w:val="en-GB"/>
        </w:rPr>
        <w:t>with respect to</w:t>
      </w:r>
      <w:r w:rsidR="00974F4A" w:rsidRPr="008941BB">
        <w:rPr>
          <w:color w:val="000000"/>
          <w:lang w:val="en-GB"/>
        </w:rPr>
        <w:t xml:space="preserve"> </w:t>
      </w:r>
      <w:r w:rsidRPr="008941BB">
        <w:rPr>
          <w:color w:val="000000"/>
          <w:lang w:val="en-GB"/>
        </w:rPr>
        <w:t xml:space="preserve">compliance </w:t>
      </w:r>
      <w:r w:rsidR="003A7AE1" w:rsidRPr="008941BB">
        <w:rPr>
          <w:color w:val="000000"/>
          <w:lang w:val="en-GB"/>
        </w:rPr>
        <w:t>with international</w:t>
      </w:r>
      <w:r w:rsidRPr="008941BB">
        <w:rPr>
          <w:color w:val="000000"/>
          <w:lang w:val="en-GB"/>
        </w:rPr>
        <w:t xml:space="preserve"> standards on anti</w:t>
      </w:r>
      <w:r w:rsidR="00DD24B4">
        <w:rPr>
          <w:color w:val="000000"/>
          <w:lang w:val="en-GB"/>
        </w:rPr>
        <w:t>-</w:t>
      </w:r>
      <w:r w:rsidRPr="008941BB">
        <w:rPr>
          <w:color w:val="000000"/>
          <w:lang w:val="en-GB"/>
        </w:rPr>
        <w:t>corruption and transparency in partnership with the Ministry Secretary General of the Presidency, the Comptroller</w:t>
      </w:r>
      <w:r w:rsidR="00DD24B4">
        <w:rPr>
          <w:color w:val="000000"/>
          <w:lang w:val="en-GB"/>
        </w:rPr>
        <w:t>’</w:t>
      </w:r>
      <w:r w:rsidRPr="008941BB">
        <w:rPr>
          <w:color w:val="000000"/>
          <w:lang w:val="en-GB"/>
        </w:rPr>
        <w:t>s Office, the Anti-Corruption Alliance, Congress and the U</w:t>
      </w:r>
      <w:r w:rsidR="00DF5DAC">
        <w:rPr>
          <w:color w:val="000000"/>
          <w:lang w:val="en-GB"/>
        </w:rPr>
        <w:t>nited Nations s</w:t>
      </w:r>
      <w:r w:rsidRPr="008941BB">
        <w:rPr>
          <w:color w:val="000000"/>
          <w:lang w:val="en-GB"/>
        </w:rPr>
        <w:t>yste</w:t>
      </w:r>
      <w:r w:rsidR="00DA3547" w:rsidRPr="008941BB">
        <w:rPr>
          <w:color w:val="000000"/>
          <w:lang w:val="en-GB"/>
        </w:rPr>
        <w:t xml:space="preserve">m, supported by the </w:t>
      </w:r>
      <w:r w:rsidR="00DF5DAC">
        <w:rPr>
          <w:color w:val="000000"/>
          <w:lang w:val="en-GB"/>
        </w:rPr>
        <w:t>Inter-American Development Bank</w:t>
      </w:r>
      <w:r w:rsidRPr="008941BB">
        <w:rPr>
          <w:color w:val="000000"/>
          <w:lang w:val="en-GB"/>
        </w:rPr>
        <w:t xml:space="preserve">. The design and implementation of integrity systems to promote a culture of ethics and corruption prevention will be encouraged </w:t>
      </w:r>
      <w:r w:rsidR="00DF5DAC">
        <w:rPr>
          <w:color w:val="000000"/>
          <w:lang w:val="en-GB"/>
        </w:rPr>
        <w:t>with</w:t>
      </w:r>
      <w:r w:rsidRPr="008941BB">
        <w:rPr>
          <w:color w:val="000000"/>
          <w:lang w:val="en-GB"/>
        </w:rPr>
        <w:t xml:space="preserve">in public and private institutions, including </w:t>
      </w:r>
      <w:r w:rsidR="00E34154" w:rsidRPr="008941BB">
        <w:rPr>
          <w:color w:val="000000"/>
          <w:lang w:val="en-GB"/>
        </w:rPr>
        <w:t xml:space="preserve">State </w:t>
      </w:r>
      <w:r w:rsidRPr="008941BB">
        <w:rPr>
          <w:color w:val="000000"/>
          <w:lang w:val="en-GB"/>
        </w:rPr>
        <w:t xml:space="preserve">autonomous </w:t>
      </w:r>
      <w:r w:rsidR="00DF5DAC">
        <w:rPr>
          <w:color w:val="000000"/>
          <w:lang w:val="en-GB"/>
        </w:rPr>
        <w:t>entities</w:t>
      </w:r>
      <w:r w:rsidR="00DF5DAC" w:rsidRPr="008941BB">
        <w:rPr>
          <w:color w:val="000000"/>
          <w:lang w:val="en-GB"/>
        </w:rPr>
        <w:t xml:space="preserve"> </w:t>
      </w:r>
      <w:r w:rsidRPr="008941BB">
        <w:rPr>
          <w:color w:val="000000"/>
          <w:lang w:val="en-GB"/>
        </w:rPr>
        <w:t xml:space="preserve">and </w:t>
      </w:r>
      <w:r w:rsidR="00923663">
        <w:rPr>
          <w:color w:val="000000"/>
          <w:lang w:val="en-GB"/>
        </w:rPr>
        <w:t>sub-national</w:t>
      </w:r>
      <w:r w:rsidRPr="008941BB">
        <w:rPr>
          <w:color w:val="000000"/>
          <w:lang w:val="en-GB"/>
        </w:rPr>
        <w:t xml:space="preserve"> governments. A public-private dialogue on transparency will be fostered with </w:t>
      </w:r>
      <w:r w:rsidR="003A7AE1" w:rsidRPr="008941BB">
        <w:rPr>
          <w:color w:val="000000"/>
          <w:lang w:val="en-GB"/>
        </w:rPr>
        <w:t xml:space="preserve">these partners, </w:t>
      </w:r>
      <w:r w:rsidR="00DF5DAC">
        <w:rPr>
          <w:color w:val="000000"/>
          <w:lang w:val="en-GB"/>
        </w:rPr>
        <w:t xml:space="preserve">which </w:t>
      </w:r>
      <w:r w:rsidR="003A7AE1" w:rsidRPr="008941BB">
        <w:rPr>
          <w:color w:val="000000"/>
          <w:lang w:val="en-GB"/>
        </w:rPr>
        <w:t>includ</w:t>
      </w:r>
      <w:r w:rsidR="00DF5DAC">
        <w:rPr>
          <w:color w:val="000000"/>
          <w:lang w:val="en-GB"/>
        </w:rPr>
        <w:t>e</w:t>
      </w:r>
      <w:r w:rsidRPr="008941BB">
        <w:rPr>
          <w:color w:val="000000"/>
          <w:lang w:val="en-GB"/>
        </w:rPr>
        <w:t xml:space="preserve"> </w:t>
      </w:r>
      <w:r w:rsidR="00DF5DAC">
        <w:rPr>
          <w:color w:val="000000"/>
          <w:lang w:val="en-GB"/>
        </w:rPr>
        <w:t xml:space="preserve">the </w:t>
      </w:r>
      <w:r w:rsidR="00DF5DAC" w:rsidRPr="008941BB">
        <w:rPr>
          <w:color w:val="000000"/>
          <w:lang w:val="en-GB"/>
        </w:rPr>
        <w:t>Economic Commission for Latin America and the Caribbean</w:t>
      </w:r>
      <w:r w:rsidR="00DF5DAC" w:rsidRPr="00DF5DAC">
        <w:rPr>
          <w:color w:val="000000"/>
          <w:lang w:val="en-GB"/>
        </w:rPr>
        <w:t xml:space="preserve"> </w:t>
      </w:r>
      <w:r w:rsidR="00DF5DAC">
        <w:rPr>
          <w:color w:val="000000"/>
          <w:lang w:val="en-GB"/>
        </w:rPr>
        <w:t>(</w:t>
      </w:r>
      <w:r w:rsidR="003A7AE1" w:rsidRPr="008941BB">
        <w:rPr>
          <w:color w:val="000000"/>
          <w:lang w:val="en-GB"/>
        </w:rPr>
        <w:t>ECLAC</w:t>
      </w:r>
      <w:r w:rsidR="00DF5DAC">
        <w:rPr>
          <w:color w:val="000000"/>
          <w:lang w:val="en-GB"/>
        </w:rPr>
        <w:t>)</w:t>
      </w:r>
      <w:r w:rsidRPr="008941BB">
        <w:rPr>
          <w:color w:val="000000"/>
          <w:lang w:val="en-GB"/>
        </w:rPr>
        <w:t xml:space="preserve"> and the Parliament Group on Ethics.</w:t>
      </w:r>
    </w:p>
    <w:p w14:paraId="62057AD3" w14:textId="2B69D143"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UNDP will continue </w:t>
      </w:r>
      <w:r w:rsidR="00DF5DAC">
        <w:rPr>
          <w:color w:val="000000"/>
          <w:lang w:val="en-GB"/>
        </w:rPr>
        <w:t xml:space="preserve">to </w:t>
      </w:r>
      <w:r w:rsidRPr="008941BB">
        <w:rPr>
          <w:color w:val="000000"/>
          <w:lang w:val="en-GB"/>
        </w:rPr>
        <w:t>produc</w:t>
      </w:r>
      <w:r w:rsidR="00DF5DAC">
        <w:rPr>
          <w:color w:val="000000"/>
          <w:lang w:val="en-GB"/>
        </w:rPr>
        <w:t>e</w:t>
      </w:r>
      <w:r w:rsidRPr="008941BB">
        <w:rPr>
          <w:color w:val="000000"/>
          <w:lang w:val="en-GB"/>
        </w:rPr>
        <w:t xml:space="preserve"> diagnostics, promot</w:t>
      </w:r>
      <w:r w:rsidR="00DF5DAC">
        <w:rPr>
          <w:color w:val="000000"/>
          <w:lang w:val="en-GB"/>
        </w:rPr>
        <w:t>e</w:t>
      </w:r>
      <w:r w:rsidRPr="008941BB">
        <w:rPr>
          <w:color w:val="000000"/>
          <w:lang w:val="en-GB"/>
        </w:rPr>
        <w:t xml:space="preserve"> international good practices, help legislative debates on reforms, and foster dialogues to strengthen democracy. It will </w:t>
      </w:r>
      <w:r w:rsidR="00974F4A">
        <w:rPr>
          <w:color w:val="000000"/>
          <w:lang w:val="en-GB"/>
        </w:rPr>
        <w:t>encourage</w:t>
      </w:r>
      <w:r w:rsidR="00974F4A" w:rsidRPr="008941BB">
        <w:rPr>
          <w:color w:val="000000"/>
          <w:lang w:val="en-GB"/>
        </w:rPr>
        <w:t xml:space="preserve"> </w:t>
      </w:r>
      <w:r w:rsidRPr="008941BB">
        <w:rPr>
          <w:color w:val="000000"/>
          <w:lang w:val="en-GB"/>
        </w:rPr>
        <w:t>citizens</w:t>
      </w:r>
      <w:r w:rsidR="00DF5DAC">
        <w:rPr>
          <w:color w:val="000000"/>
          <w:lang w:val="en-GB"/>
        </w:rPr>
        <w:t>’</w:t>
      </w:r>
      <w:r w:rsidRPr="008941BB">
        <w:rPr>
          <w:color w:val="000000"/>
          <w:lang w:val="en-GB"/>
        </w:rPr>
        <w:t xml:space="preserve"> participation </w:t>
      </w:r>
      <w:r w:rsidR="003A7AE1" w:rsidRPr="008941BB">
        <w:rPr>
          <w:color w:val="000000"/>
          <w:lang w:val="en-GB"/>
        </w:rPr>
        <w:t>in social</w:t>
      </w:r>
      <w:r w:rsidRPr="008941BB">
        <w:rPr>
          <w:color w:val="000000"/>
          <w:lang w:val="en-GB"/>
        </w:rPr>
        <w:t xml:space="preserve"> and political areas, including </w:t>
      </w:r>
      <w:r w:rsidR="00EE2472" w:rsidRPr="008941BB">
        <w:rPr>
          <w:color w:val="000000"/>
          <w:lang w:val="en-GB"/>
        </w:rPr>
        <w:t xml:space="preserve">citizenship </w:t>
      </w:r>
      <w:r w:rsidRPr="008941BB">
        <w:rPr>
          <w:color w:val="000000"/>
          <w:lang w:val="en-GB"/>
        </w:rPr>
        <w:t xml:space="preserve">education through initiatives </w:t>
      </w:r>
      <w:r w:rsidR="00DF5DAC">
        <w:rPr>
          <w:color w:val="000000"/>
          <w:lang w:val="en-GB"/>
        </w:rPr>
        <w:t xml:space="preserve">for those </w:t>
      </w:r>
      <w:r w:rsidR="00DF5DAC" w:rsidRPr="003E358C">
        <w:rPr>
          <w:color w:val="000000"/>
          <w:lang w:val="en-GB"/>
        </w:rPr>
        <w:t>with a low level of participation</w:t>
      </w:r>
      <w:r w:rsidR="00DF5DAC" w:rsidRPr="00DF5DAC">
        <w:rPr>
          <w:color w:val="000000"/>
          <w:lang w:val="en-GB"/>
        </w:rPr>
        <w:t xml:space="preserve"> </w:t>
      </w:r>
      <w:r w:rsidR="00DF5DAC">
        <w:rPr>
          <w:color w:val="000000"/>
          <w:lang w:val="en-GB"/>
        </w:rPr>
        <w:t xml:space="preserve">– </w:t>
      </w:r>
      <w:r w:rsidRPr="008941BB">
        <w:rPr>
          <w:color w:val="000000"/>
          <w:lang w:val="en-GB"/>
        </w:rPr>
        <w:t xml:space="preserve">young people, women, and </w:t>
      </w:r>
      <w:r w:rsidR="00493118" w:rsidRPr="008941BB">
        <w:rPr>
          <w:color w:val="000000"/>
          <w:lang w:val="en-GB"/>
        </w:rPr>
        <w:t>rural and urban poor</w:t>
      </w:r>
      <w:r w:rsidRPr="008941BB">
        <w:rPr>
          <w:color w:val="000000"/>
          <w:lang w:val="en-GB"/>
        </w:rPr>
        <w:t xml:space="preserve"> </w:t>
      </w:r>
      <w:r w:rsidR="00DF5DAC">
        <w:rPr>
          <w:color w:val="000000"/>
          <w:lang w:val="en-GB"/>
        </w:rPr>
        <w:t>–</w:t>
      </w:r>
      <w:r w:rsidRPr="008941BB">
        <w:rPr>
          <w:color w:val="000000"/>
          <w:lang w:val="en-GB"/>
        </w:rPr>
        <w:t xml:space="preserve"> in partnership with civil society organizations, the ministries of </w:t>
      </w:r>
      <w:r w:rsidR="00DF5DAC">
        <w:rPr>
          <w:color w:val="000000"/>
          <w:lang w:val="en-GB"/>
        </w:rPr>
        <w:t>e</w:t>
      </w:r>
      <w:r w:rsidRPr="008941BB">
        <w:rPr>
          <w:color w:val="000000"/>
          <w:lang w:val="en-GB"/>
        </w:rPr>
        <w:t xml:space="preserve">ducation and </w:t>
      </w:r>
      <w:r w:rsidR="0083787C" w:rsidRPr="008941BB">
        <w:rPr>
          <w:color w:val="000000"/>
          <w:lang w:val="en-GB"/>
        </w:rPr>
        <w:t xml:space="preserve">of </w:t>
      </w:r>
      <w:r w:rsidR="00DF5DAC">
        <w:rPr>
          <w:color w:val="000000"/>
          <w:lang w:val="en-GB"/>
        </w:rPr>
        <w:t>w</w:t>
      </w:r>
      <w:r w:rsidRPr="008941BB">
        <w:rPr>
          <w:color w:val="000000"/>
          <w:lang w:val="en-GB"/>
        </w:rPr>
        <w:t>omen, the Electoral Service, UNICEF</w:t>
      </w:r>
      <w:r w:rsidR="00974F4A">
        <w:rPr>
          <w:color w:val="000000"/>
          <w:lang w:val="en-GB"/>
        </w:rPr>
        <w:t>,</w:t>
      </w:r>
      <w:r w:rsidRPr="008941BB">
        <w:rPr>
          <w:color w:val="000000"/>
          <w:lang w:val="en-GB"/>
        </w:rPr>
        <w:t xml:space="preserve"> and UNESCO. It will promote citizens</w:t>
      </w:r>
      <w:r w:rsidR="00DF5DAC">
        <w:rPr>
          <w:color w:val="000000"/>
          <w:lang w:val="en-GB"/>
        </w:rPr>
        <w:t>’</w:t>
      </w:r>
      <w:r w:rsidRPr="008941BB">
        <w:rPr>
          <w:color w:val="000000"/>
          <w:lang w:val="en-GB"/>
        </w:rPr>
        <w:t xml:space="preserve"> participation mechanisms in the design and implementation of public policies</w:t>
      </w:r>
      <w:r w:rsidR="00F707E9">
        <w:rPr>
          <w:color w:val="000000"/>
          <w:lang w:val="en-GB"/>
        </w:rPr>
        <w:t>,</w:t>
      </w:r>
      <w:r w:rsidRPr="008941BB">
        <w:rPr>
          <w:color w:val="000000"/>
          <w:lang w:val="en-GB"/>
        </w:rPr>
        <w:t xml:space="preserve"> </w:t>
      </w:r>
      <w:r w:rsidR="00012437" w:rsidRPr="008941BB">
        <w:rPr>
          <w:color w:val="000000"/>
          <w:lang w:val="en-GB"/>
        </w:rPr>
        <w:t xml:space="preserve">reinforcing </w:t>
      </w:r>
      <w:r w:rsidR="004D2710" w:rsidRPr="008941BB">
        <w:rPr>
          <w:color w:val="000000"/>
          <w:lang w:val="en-GB"/>
        </w:rPr>
        <w:t>or</w:t>
      </w:r>
      <w:r w:rsidR="00D055C2" w:rsidRPr="008941BB">
        <w:rPr>
          <w:color w:val="000000"/>
          <w:lang w:val="en-GB"/>
        </w:rPr>
        <w:t xml:space="preserve"> enabling </w:t>
      </w:r>
      <w:r w:rsidR="00012437" w:rsidRPr="008941BB">
        <w:rPr>
          <w:color w:val="000000"/>
          <w:lang w:val="en-GB"/>
        </w:rPr>
        <w:t>available institutional mechanisms</w:t>
      </w:r>
      <w:r w:rsidR="00493118" w:rsidRPr="008941BB">
        <w:rPr>
          <w:color w:val="000000"/>
          <w:lang w:val="en-GB"/>
        </w:rPr>
        <w:t>, such as civil society councils</w:t>
      </w:r>
      <w:r w:rsidR="00012437" w:rsidRPr="008941BB">
        <w:rPr>
          <w:color w:val="000000"/>
          <w:lang w:val="en-GB"/>
        </w:rPr>
        <w:t xml:space="preserve">, </w:t>
      </w:r>
      <w:r w:rsidRPr="008941BB">
        <w:rPr>
          <w:color w:val="000000"/>
          <w:lang w:val="en-GB"/>
        </w:rPr>
        <w:t xml:space="preserve">and in the legislative process, considering the international guidelines of </w:t>
      </w:r>
      <w:r w:rsidR="00F707E9">
        <w:rPr>
          <w:color w:val="000000"/>
          <w:lang w:val="en-GB"/>
        </w:rPr>
        <w:t xml:space="preserve">the </w:t>
      </w:r>
      <w:r w:rsidRPr="008941BB">
        <w:rPr>
          <w:color w:val="000000"/>
          <w:lang w:val="en-GB"/>
        </w:rPr>
        <w:t xml:space="preserve">Open Parliament and Open Government </w:t>
      </w:r>
      <w:r w:rsidR="00F707E9">
        <w:rPr>
          <w:color w:val="000000"/>
          <w:lang w:val="en-GB"/>
        </w:rPr>
        <w:t>a</w:t>
      </w:r>
      <w:r w:rsidRPr="008941BB">
        <w:rPr>
          <w:color w:val="000000"/>
          <w:lang w:val="en-GB"/>
        </w:rPr>
        <w:t xml:space="preserve">lliances. </w:t>
      </w:r>
      <w:r w:rsidR="00F707E9">
        <w:rPr>
          <w:color w:val="000000"/>
          <w:lang w:val="en-GB"/>
        </w:rPr>
        <w:t>I</w:t>
      </w:r>
      <w:r w:rsidR="00F707E9" w:rsidRPr="004068DA">
        <w:rPr>
          <w:color w:val="000000"/>
          <w:lang w:val="en-GB"/>
        </w:rPr>
        <w:t xml:space="preserve">n partnership with </w:t>
      </w:r>
      <w:r w:rsidR="00F707E9">
        <w:rPr>
          <w:color w:val="000000"/>
          <w:lang w:val="en-GB"/>
        </w:rPr>
        <w:t xml:space="preserve">other United Nations organizations, </w:t>
      </w:r>
      <w:r w:rsidRPr="008941BB">
        <w:rPr>
          <w:color w:val="000000"/>
          <w:lang w:val="en-GB"/>
        </w:rPr>
        <w:t xml:space="preserve">UNDP will </w:t>
      </w:r>
      <w:r w:rsidR="00FB48CF">
        <w:rPr>
          <w:color w:val="000000"/>
          <w:lang w:val="en-GB"/>
        </w:rPr>
        <w:t xml:space="preserve">facilitate </w:t>
      </w:r>
      <w:r w:rsidRPr="008941BB">
        <w:rPr>
          <w:color w:val="000000"/>
          <w:lang w:val="en-GB"/>
        </w:rPr>
        <w:t xml:space="preserve">consultation and dialogue processes with indigenous communities based on the last cycle of successful experiences. </w:t>
      </w:r>
    </w:p>
    <w:p w14:paraId="0745DC1B" w14:textId="6613060E"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UNDP will promote leadership training for women, young people, and indigenous leaders; it will advise political parties on implementing regulations regarding the representation of women in politics, </w:t>
      </w:r>
      <w:r w:rsidR="00FB48CF">
        <w:rPr>
          <w:color w:val="000000"/>
          <w:lang w:val="en-GB"/>
        </w:rPr>
        <w:t>together</w:t>
      </w:r>
      <w:r w:rsidR="00FB48CF" w:rsidRPr="008941BB">
        <w:rPr>
          <w:color w:val="000000"/>
          <w:lang w:val="en-GB"/>
        </w:rPr>
        <w:t xml:space="preserve"> </w:t>
      </w:r>
      <w:r w:rsidRPr="008941BB">
        <w:rPr>
          <w:color w:val="000000"/>
          <w:lang w:val="en-GB"/>
        </w:rPr>
        <w:t xml:space="preserve">with the Electoral Service and the </w:t>
      </w:r>
      <w:r w:rsidR="00A84512" w:rsidRPr="003E358C">
        <w:rPr>
          <w:color w:val="000000"/>
          <w:lang w:val="en-GB"/>
        </w:rPr>
        <w:t>Ministry of Women</w:t>
      </w:r>
      <w:r w:rsidRPr="008941BB">
        <w:rPr>
          <w:color w:val="000000"/>
          <w:lang w:val="en-GB"/>
        </w:rPr>
        <w:t xml:space="preserve">. It will provide support, including knowledge production, to Congress and political parties on expanding affirmative action mechanisms to increase female and indigenous representation in public institutions and in the private sector, in partnership with the ministries of </w:t>
      </w:r>
      <w:r w:rsidR="00FB48CF">
        <w:rPr>
          <w:color w:val="000000"/>
          <w:lang w:val="en-GB"/>
        </w:rPr>
        <w:t>w</w:t>
      </w:r>
      <w:r w:rsidRPr="008941BB">
        <w:rPr>
          <w:color w:val="000000"/>
          <w:lang w:val="en-GB"/>
        </w:rPr>
        <w:t xml:space="preserve">omen and </w:t>
      </w:r>
      <w:r w:rsidR="00FB48CF">
        <w:rPr>
          <w:color w:val="000000"/>
          <w:lang w:val="en-GB"/>
        </w:rPr>
        <w:t>s</w:t>
      </w:r>
      <w:r w:rsidRPr="008941BB">
        <w:rPr>
          <w:color w:val="000000"/>
          <w:lang w:val="en-GB"/>
        </w:rPr>
        <w:t xml:space="preserve">ocial </w:t>
      </w:r>
      <w:r w:rsidR="00FB48CF">
        <w:rPr>
          <w:color w:val="000000"/>
          <w:lang w:val="en-GB"/>
        </w:rPr>
        <w:t>d</w:t>
      </w:r>
      <w:r w:rsidRPr="008941BB">
        <w:rPr>
          <w:color w:val="000000"/>
          <w:lang w:val="en-GB"/>
        </w:rPr>
        <w:t xml:space="preserve">evelopment, </w:t>
      </w:r>
      <w:r w:rsidR="00FB48CF">
        <w:rPr>
          <w:color w:val="000000"/>
          <w:lang w:val="en-GB"/>
        </w:rPr>
        <w:t>non-governmental organizations</w:t>
      </w:r>
      <w:r w:rsidRPr="008941BB">
        <w:rPr>
          <w:color w:val="000000"/>
          <w:lang w:val="en-GB"/>
        </w:rPr>
        <w:t xml:space="preserve">, academia, indigenous peoples, and the </w:t>
      </w:r>
      <w:r w:rsidR="00FB48CF">
        <w:rPr>
          <w:color w:val="000000"/>
          <w:lang w:val="en-GB"/>
        </w:rPr>
        <w:t>United Nations</w:t>
      </w:r>
      <w:r w:rsidRPr="008941BB">
        <w:rPr>
          <w:color w:val="000000"/>
          <w:lang w:val="en-GB"/>
        </w:rPr>
        <w:t xml:space="preserve">, particularly </w:t>
      </w:r>
      <w:r w:rsidR="00FB48CF">
        <w:rPr>
          <w:color w:val="000000"/>
          <w:lang w:val="en-GB"/>
        </w:rPr>
        <w:t xml:space="preserve">the </w:t>
      </w:r>
      <w:r w:rsidR="00FB48CF" w:rsidRPr="008941BB">
        <w:rPr>
          <w:color w:val="000000"/>
          <w:lang w:val="en-GB"/>
        </w:rPr>
        <w:t xml:space="preserve">Office of the United Nations High Commissioner for Human Rights </w:t>
      </w:r>
      <w:r w:rsidRPr="008941BB">
        <w:rPr>
          <w:color w:val="000000"/>
          <w:lang w:val="en-GB"/>
        </w:rPr>
        <w:t>and ILO.</w:t>
      </w:r>
    </w:p>
    <w:p w14:paraId="1E19A285" w14:textId="02DC29C6" w:rsidR="000624AC" w:rsidRPr="008941BB" w:rsidRDefault="00172A7A" w:rsidP="00892A8B">
      <w:pPr>
        <w:pStyle w:val="ListParagraph"/>
        <w:tabs>
          <w:tab w:val="left" w:pos="1530"/>
        </w:tabs>
        <w:spacing w:after="120"/>
        <w:ind w:left="1166" w:right="1210"/>
        <w:jc w:val="both"/>
        <w:rPr>
          <w:b/>
          <w:color w:val="000000"/>
          <w:sz w:val="24"/>
          <w:szCs w:val="24"/>
          <w:lang w:val="en-GB"/>
        </w:rPr>
      </w:pPr>
      <w:r w:rsidRPr="008941BB">
        <w:rPr>
          <w:b/>
          <w:color w:val="000000"/>
          <w:sz w:val="24"/>
          <w:szCs w:val="24"/>
          <w:lang w:val="en-GB"/>
        </w:rPr>
        <w:t>D.</w:t>
      </w:r>
      <w:r w:rsidRPr="008941BB">
        <w:rPr>
          <w:b/>
          <w:color w:val="000000"/>
          <w:sz w:val="24"/>
          <w:szCs w:val="24"/>
          <w:lang w:val="en-GB"/>
        </w:rPr>
        <w:tab/>
      </w:r>
      <w:r w:rsidR="000624AC" w:rsidRPr="008941BB">
        <w:rPr>
          <w:b/>
          <w:color w:val="000000"/>
          <w:sz w:val="24"/>
          <w:szCs w:val="24"/>
          <w:lang w:val="en-GB"/>
        </w:rPr>
        <w:t>Balancing the sustainability dimension in the productive model to increase re</w:t>
      </w:r>
      <w:r w:rsidR="00184C12" w:rsidRPr="008941BB">
        <w:rPr>
          <w:b/>
          <w:color w:val="000000"/>
          <w:sz w:val="24"/>
          <w:szCs w:val="24"/>
          <w:lang w:val="en-GB"/>
        </w:rPr>
        <w:t xml:space="preserve">silience </w:t>
      </w:r>
      <w:r w:rsidR="00FB48CF">
        <w:rPr>
          <w:b/>
          <w:color w:val="000000"/>
          <w:sz w:val="24"/>
          <w:szCs w:val="24"/>
          <w:lang w:val="en-GB"/>
        </w:rPr>
        <w:t>throughout</w:t>
      </w:r>
      <w:r w:rsidR="00184C12" w:rsidRPr="008941BB">
        <w:rPr>
          <w:b/>
          <w:color w:val="000000"/>
          <w:sz w:val="24"/>
          <w:szCs w:val="24"/>
          <w:lang w:val="en-GB"/>
        </w:rPr>
        <w:t xml:space="preserve"> the territory </w:t>
      </w:r>
    </w:p>
    <w:p w14:paraId="587C9052" w14:textId="25AD07C7"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UNDP will support the design of innovative production practices and sustainable production and consumption schemes based on low-carbon</w:t>
      </w:r>
      <w:r w:rsidR="00005D28" w:rsidRPr="008941BB">
        <w:rPr>
          <w:color w:val="000000"/>
          <w:lang w:val="en-GB"/>
        </w:rPr>
        <w:t>, green</w:t>
      </w:r>
      <w:r w:rsidR="00FB48CF">
        <w:rPr>
          <w:color w:val="000000"/>
          <w:lang w:val="en-GB"/>
        </w:rPr>
        <w:t>,</w:t>
      </w:r>
      <w:r w:rsidRPr="008941BB">
        <w:rPr>
          <w:color w:val="000000"/>
          <w:lang w:val="en-GB"/>
        </w:rPr>
        <w:t xml:space="preserve"> and circular economies, which reduce the power gap and promote </w:t>
      </w:r>
      <w:r w:rsidR="00FB48CF">
        <w:rPr>
          <w:color w:val="000000"/>
          <w:lang w:val="en-GB"/>
        </w:rPr>
        <w:t>appropriate</w:t>
      </w:r>
      <w:r w:rsidR="00FB48CF" w:rsidRPr="008941BB">
        <w:rPr>
          <w:color w:val="000000"/>
          <w:lang w:val="en-GB"/>
        </w:rPr>
        <w:t xml:space="preserve"> </w:t>
      </w:r>
      <w:r w:rsidRPr="008941BB">
        <w:rPr>
          <w:color w:val="000000"/>
          <w:lang w:val="en-GB"/>
        </w:rPr>
        <w:t xml:space="preserve">use and management of natural resources and ecosystem services, in partnership with the ministries of </w:t>
      </w:r>
      <w:r w:rsidR="00FB48CF">
        <w:rPr>
          <w:color w:val="000000"/>
          <w:lang w:val="en-GB"/>
        </w:rPr>
        <w:t>e</w:t>
      </w:r>
      <w:r w:rsidRPr="008941BB">
        <w:rPr>
          <w:color w:val="000000"/>
          <w:lang w:val="en-GB"/>
        </w:rPr>
        <w:t xml:space="preserve">nvironment, </w:t>
      </w:r>
      <w:r w:rsidR="00FB48CF">
        <w:rPr>
          <w:color w:val="000000"/>
          <w:lang w:val="en-GB"/>
        </w:rPr>
        <w:t>f</w:t>
      </w:r>
      <w:r w:rsidR="00005D28" w:rsidRPr="008941BB">
        <w:rPr>
          <w:color w:val="000000"/>
          <w:lang w:val="en-GB"/>
        </w:rPr>
        <w:t>inance</w:t>
      </w:r>
      <w:r w:rsidRPr="008941BB">
        <w:rPr>
          <w:color w:val="000000"/>
          <w:lang w:val="en-GB"/>
        </w:rPr>
        <w:t xml:space="preserve">, </w:t>
      </w:r>
      <w:r w:rsidR="00FB48CF">
        <w:rPr>
          <w:color w:val="000000"/>
          <w:lang w:val="en-GB"/>
        </w:rPr>
        <w:t>e</w:t>
      </w:r>
      <w:r w:rsidRPr="008941BB">
        <w:rPr>
          <w:color w:val="000000"/>
          <w:lang w:val="en-GB"/>
        </w:rPr>
        <w:t xml:space="preserve">nergy, </w:t>
      </w:r>
      <w:r w:rsidR="00FB48CF">
        <w:rPr>
          <w:color w:val="000000"/>
          <w:lang w:val="en-GB"/>
        </w:rPr>
        <w:t>a</w:t>
      </w:r>
      <w:r w:rsidRPr="008941BB">
        <w:rPr>
          <w:color w:val="000000"/>
          <w:lang w:val="en-GB"/>
        </w:rPr>
        <w:t xml:space="preserve">griculture, </w:t>
      </w:r>
      <w:r w:rsidR="00FB48CF">
        <w:rPr>
          <w:color w:val="000000"/>
          <w:lang w:val="en-GB"/>
        </w:rPr>
        <w:t>and e</w:t>
      </w:r>
      <w:r w:rsidRPr="008941BB">
        <w:rPr>
          <w:color w:val="000000"/>
          <w:lang w:val="en-GB"/>
        </w:rPr>
        <w:t>conomy, and the Under</w:t>
      </w:r>
      <w:r w:rsidR="00FB48CF">
        <w:rPr>
          <w:color w:val="000000"/>
          <w:lang w:val="en-GB"/>
        </w:rPr>
        <w:t>-</w:t>
      </w:r>
      <w:r w:rsidRPr="008941BB">
        <w:rPr>
          <w:color w:val="000000"/>
          <w:lang w:val="en-GB"/>
        </w:rPr>
        <w:t xml:space="preserve">secretary of  Regional Development, the Agency for Sustainability and Climate Change, and the private sector. </w:t>
      </w:r>
      <w:r w:rsidR="00FB48CF">
        <w:rPr>
          <w:color w:val="000000"/>
          <w:lang w:val="en-GB"/>
        </w:rPr>
        <w:t>The aim is to</w:t>
      </w:r>
      <w:r w:rsidRPr="008941BB">
        <w:rPr>
          <w:color w:val="000000"/>
          <w:lang w:val="en-GB"/>
        </w:rPr>
        <w:t xml:space="preserve"> build production strategies t</w:t>
      </w:r>
      <w:r w:rsidR="00FB48CF">
        <w:rPr>
          <w:color w:val="000000"/>
          <w:lang w:val="en-GB"/>
        </w:rPr>
        <w:t>hat</w:t>
      </w:r>
      <w:r w:rsidRPr="008941BB">
        <w:rPr>
          <w:color w:val="000000"/>
          <w:lang w:val="en-GB"/>
        </w:rPr>
        <w:t xml:space="preserve"> encourage participation and labo</w:t>
      </w:r>
      <w:r w:rsidR="00FB48CF">
        <w:rPr>
          <w:color w:val="000000"/>
          <w:lang w:val="en-GB"/>
        </w:rPr>
        <w:t>u</w:t>
      </w:r>
      <w:r w:rsidRPr="008941BB">
        <w:rPr>
          <w:color w:val="000000"/>
          <w:lang w:val="en-GB"/>
        </w:rPr>
        <w:t xml:space="preserve">r inclusion of women and young people, mainstreaming sustainability and gender.  </w:t>
      </w:r>
    </w:p>
    <w:p w14:paraId="3DB988FC" w14:textId="46378D7C"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The strengthening of the regulatory and institutional framework for managing natural resources, disaster risk and climate change adaptation will be supported by favo</w:t>
      </w:r>
      <w:r w:rsidR="001A2EEA">
        <w:rPr>
          <w:color w:val="000000"/>
          <w:lang w:val="en-GB"/>
        </w:rPr>
        <w:t>u</w:t>
      </w:r>
      <w:r w:rsidRPr="008941BB">
        <w:rPr>
          <w:color w:val="000000"/>
          <w:lang w:val="en-GB"/>
        </w:rPr>
        <w:t xml:space="preserve">ring the development of national capacities and the inclusion of an integral land management and planning approach. </w:t>
      </w:r>
      <w:r w:rsidR="005845B4" w:rsidRPr="008941BB">
        <w:rPr>
          <w:color w:val="000000"/>
          <w:lang w:val="en-GB"/>
        </w:rPr>
        <w:t>National capacities for climate change</w:t>
      </w:r>
      <w:r w:rsidR="00A31CA8" w:rsidRPr="008941BB">
        <w:rPr>
          <w:color w:val="000000"/>
          <w:lang w:val="en-GB"/>
        </w:rPr>
        <w:t>, including gender issues,</w:t>
      </w:r>
      <w:r w:rsidR="005845B4" w:rsidRPr="008941BB">
        <w:rPr>
          <w:color w:val="000000"/>
          <w:lang w:val="en-GB"/>
        </w:rPr>
        <w:t xml:space="preserve"> are supported by the E</w:t>
      </w:r>
      <w:r w:rsidR="001A2EEA">
        <w:rPr>
          <w:color w:val="000000"/>
          <w:lang w:val="en-GB"/>
        </w:rPr>
        <w:t>uropean Union</w:t>
      </w:r>
      <w:r w:rsidR="005845B4" w:rsidRPr="008941BB">
        <w:rPr>
          <w:color w:val="000000"/>
          <w:lang w:val="en-GB"/>
        </w:rPr>
        <w:t xml:space="preserve"> and the governments of Germany and Spain</w:t>
      </w:r>
      <w:r w:rsidR="00A31CA8" w:rsidRPr="008941BB">
        <w:rPr>
          <w:color w:val="000000"/>
          <w:lang w:val="en-GB"/>
        </w:rPr>
        <w:t>,</w:t>
      </w:r>
      <w:r w:rsidR="00070A5C" w:rsidRPr="008941BB">
        <w:rPr>
          <w:color w:val="000000"/>
          <w:lang w:val="en-GB"/>
        </w:rPr>
        <w:t xml:space="preserve"> with UNDP technical assistance</w:t>
      </w:r>
      <w:r w:rsidR="005845B4" w:rsidRPr="008941BB">
        <w:rPr>
          <w:color w:val="000000"/>
          <w:lang w:val="en-GB"/>
        </w:rPr>
        <w:t xml:space="preserve">. </w:t>
      </w:r>
      <w:r w:rsidR="00F707E9">
        <w:rPr>
          <w:color w:val="000000"/>
          <w:lang w:val="en-GB"/>
        </w:rPr>
        <w:t>P</w:t>
      </w:r>
      <w:r w:rsidRPr="008941BB">
        <w:rPr>
          <w:color w:val="000000"/>
          <w:lang w:val="en-GB"/>
        </w:rPr>
        <w:t>re</w:t>
      </w:r>
      <w:r w:rsidR="001A2EEA">
        <w:rPr>
          <w:color w:val="000000"/>
          <w:lang w:val="en-GB"/>
        </w:rPr>
        <w:t>-</w:t>
      </w:r>
      <w:r w:rsidRPr="008941BB">
        <w:rPr>
          <w:color w:val="000000"/>
          <w:lang w:val="en-GB"/>
        </w:rPr>
        <w:t xml:space="preserve"> and post</w:t>
      </w:r>
      <w:r w:rsidR="001A2EEA">
        <w:rPr>
          <w:color w:val="000000"/>
          <w:lang w:val="en-GB"/>
        </w:rPr>
        <w:t>-</w:t>
      </w:r>
      <w:r w:rsidRPr="008941BB">
        <w:rPr>
          <w:color w:val="000000"/>
          <w:lang w:val="en-GB"/>
        </w:rPr>
        <w:t xml:space="preserve">disaster analysis will be </w:t>
      </w:r>
      <w:r w:rsidR="001A2EEA">
        <w:rPr>
          <w:color w:val="000000"/>
          <w:lang w:val="en-GB"/>
        </w:rPr>
        <w:t>undertaken</w:t>
      </w:r>
      <w:r w:rsidR="001A2EEA" w:rsidRPr="008941BB">
        <w:rPr>
          <w:color w:val="000000"/>
          <w:lang w:val="en-GB"/>
        </w:rPr>
        <w:t xml:space="preserve"> </w:t>
      </w:r>
      <w:r w:rsidRPr="008941BB">
        <w:rPr>
          <w:color w:val="000000"/>
          <w:lang w:val="en-GB"/>
        </w:rPr>
        <w:t xml:space="preserve">to identify </w:t>
      </w:r>
      <w:r w:rsidR="001A2EEA">
        <w:rPr>
          <w:color w:val="000000"/>
          <w:lang w:val="en-GB"/>
        </w:rPr>
        <w:t>the</w:t>
      </w:r>
      <w:r w:rsidR="001A2EEA" w:rsidRPr="008941BB">
        <w:rPr>
          <w:color w:val="000000"/>
          <w:lang w:val="en-GB"/>
        </w:rPr>
        <w:t xml:space="preserve"> </w:t>
      </w:r>
      <w:r w:rsidRPr="008941BB">
        <w:rPr>
          <w:color w:val="000000"/>
          <w:lang w:val="en-GB"/>
        </w:rPr>
        <w:t xml:space="preserve">effects </w:t>
      </w:r>
      <w:r w:rsidR="00F707E9">
        <w:rPr>
          <w:color w:val="000000"/>
          <w:lang w:val="en-GB"/>
        </w:rPr>
        <w:t xml:space="preserve">of disaster </w:t>
      </w:r>
      <w:r w:rsidRPr="008941BB">
        <w:rPr>
          <w:color w:val="000000"/>
          <w:lang w:val="en-GB"/>
        </w:rPr>
        <w:t>on women and vulnerable group</w:t>
      </w:r>
      <w:r w:rsidR="00923663">
        <w:rPr>
          <w:color w:val="000000"/>
          <w:lang w:val="en-GB"/>
        </w:rPr>
        <w:t xml:space="preserve"> and </w:t>
      </w:r>
      <w:r w:rsidRPr="008941BB">
        <w:rPr>
          <w:color w:val="000000"/>
          <w:lang w:val="en-GB"/>
        </w:rPr>
        <w:t>ad hoc strategies for their protection.</w:t>
      </w:r>
    </w:p>
    <w:p w14:paraId="11C8F44E" w14:textId="29080CA1"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lastRenderedPageBreak/>
        <w:t xml:space="preserve">Communities will be supported </w:t>
      </w:r>
      <w:r w:rsidR="001A2EEA">
        <w:rPr>
          <w:color w:val="000000"/>
          <w:lang w:val="en-GB"/>
        </w:rPr>
        <w:t>in</w:t>
      </w:r>
      <w:r w:rsidR="001A2EEA" w:rsidRPr="008941BB">
        <w:rPr>
          <w:color w:val="000000"/>
          <w:lang w:val="en-GB"/>
        </w:rPr>
        <w:t xml:space="preserve"> </w:t>
      </w:r>
      <w:r w:rsidRPr="008941BB">
        <w:rPr>
          <w:color w:val="000000"/>
          <w:lang w:val="en-GB"/>
        </w:rPr>
        <w:t>enhanc</w:t>
      </w:r>
      <w:r w:rsidR="001A2EEA">
        <w:rPr>
          <w:color w:val="000000"/>
          <w:lang w:val="en-GB"/>
        </w:rPr>
        <w:t>ing</w:t>
      </w:r>
      <w:r w:rsidRPr="008941BB">
        <w:rPr>
          <w:color w:val="000000"/>
          <w:lang w:val="en-GB"/>
        </w:rPr>
        <w:t xml:space="preserve"> their capacities, tools and mechanisms for participation to influence public decisions affecting their territories</w:t>
      </w:r>
      <w:r w:rsidR="000D5B58" w:rsidRPr="008941BB">
        <w:rPr>
          <w:color w:val="000000"/>
          <w:lang w:val="en-GB"/>
        </w:rPr>
        <w:t xml:space="preserve"> </w:t>
      </w:r>
      <w:r w:rsidR="001A2EEA">
        <w:rPr>
          <w:color w:val="000000"/>
          <w:lang w:val="en-GB"/>
        </w:rPr>
        <w:t>and</w:t>
      </w:r>
      <w:r w:rsidR="001A2EEA" w:rsidRPr="008941BB">
        <w:rPr>
          <w:color w:val="000000"/>
          <w:lang w:val="en-GB"/>
        </w:rPr>
        <w:t xml:space="preserve"> </w:t>
      </w:r>
      <w:r w:rsidR="000D5B58" w:rsidRPr="008941BB">
        <w:rPr>
          <w:color w:val="000000"/>
          <w:lang w:val="en-GB"/>
        </w:rPr>
        <w:t>advance sustainable development</w:t>
      </w:r>
      <w:r w:rsidRPr="008941BB">
        <w:rPr>
          <w:color w:val="000000"/>
          <w:lang w:val="en-GB"/>
        </w:rPr>
        <w:t xml:space="preserve">, in partnership with the private and public sectors, including </w:t>
      </w:r>
      <w:r w:rsidR="001A2EEA">
        <w:rPr>
          <w:color w:val="000000"/>
          <w:lang w:val="en-GB"/>
        </w:rPr>
        <w:t xml:space="preserve">the </w:t>
      </w:r>
      <w:r w:rsidR="00F707E9">
        <w:rPr>
          <w:color w:val="000000"/>
          <w:lang w:val="en-GB"/>
        </w:rPr>
        <w:t xml:space="preserve">United Nations </w:t>
      </w:r>
      <w:r w:rsidR="001A2EEA">
        <w:rPr>
          <w:color w:val="000000"/>
          <w:lang w:val="en-GB"/>
        </w:rPr>
        <w:t>Food and Agriculture Organization (</w:t>
      </w:r>
      <w:r w:rsidRPr="008941BB">
        <w:rPr>
          <w:color w:val="000000"/>
          <w:lang w:val="en-GB"/>
        </w:rPr>
        <w:t>FAO</w:t>
      </w:r>
      <w:r w:rsidR="001A2EEA">
        <w:rPr>
          <w:color w:val="000000"/>
          <w:lang w:val="en-GB"/>
        </w:rPr>
        <w:t>) and the United Nations Environment Programme (</w:t>
      </w:r>
      <w:r w:rsidRPr="008941BB">
        <w:rPr>
          <w:color w:val="000000"/>
          <w:lang w:val="en-GB"/>
        </w:rPr>
        <w:t>UNEP</w:t>
      </w:r>
      <w:r w:rsidR="001A2EEA">
        <w:rPr>
          <w:color w:val="000000"/>
          <w:lang w:val="en-GB"/>
        </w:rPr>
        <w:t>)</w:t>
      </w:r>
      <w:r w:rsidRPr="008941BB">
        <w:rPr>
          <w:color w:val="000000"/>
          <w:lang w:val="en-GB"/>
        </w:rPr>
        <w:t xml:space="preserve">. </w:t>
      </w:r>
      <w:r w:rsidR="00F95583">
        <w:rPr>
          <w:color w:val="000000"/>
          <w:lang w:val="en-GB"/>
        </w:rPr>
        <w:t>A</w:t>
      </w:r>
      <w:r w:rsidRPr="008941BB">
        <w:rPr>
          <w:color w:val="000000"/>
          <w:lang w:val="en-GB"/>
        </w:rPr>
        <w:t xml:space="preserve">chievement </w:t>
      </w:r>
      <w:r w:rsidR="00F95583">
        <w:rPr>
          <w:color w:val="000000"/>
          <w:lang w:val="en-GB"/>
        </w:rPr>
        <w:t xml:space="preserve">of, </w:t>
      </w:r>
      <w:r w:rsidRPr="008941BB">
        <w:rPr>
          <w:color w:val="000000"/>
          <w:lang w:val="en-GB"/>
        </w:rPr>
        <w:t xml:space="preserve">and compliance with the goals adopted by the country under international </w:t>
      </w:r>
      <w:r w:rsidR="00F95583" w:rsidRPr="003E358C">
        <w:rPr>
          <w:color w:val="000000"/>
          <w:lang w:val="en-GB"/>
        </w:rPr>
        <w:t xml:space="preserve">environmental </w:t>
      </w:r>
      <w:r w:rsidRPr="008941BB">
        <w:rPr>
          <w:color w:val="000000"/>
          <w:lang w:val="en-GB"/>
        </w:rPr>
        <w:t xml:space="preserve">agreements will be </w:t>
      </w:r>
      <w:r w:rsidR="00F95583">
        <w:rPr>
          <w:color w:val="000000"/>
          <w:lang w:val="en-GB"/>
        </w:rPr>
        <w:t>supplemented with</w:t>
      </w:r>
      <w:r w:rsidRPr="008941BB">
        <w:rPr>
          <w:color w:val="000000"/>
          <w:lang w:val="en-GB"/>
        </w:rPr>
        <w:t xml:space="preserve"> technical advice and national and international resources</w:t>
      </w:r>
      <w:r w:rsidR="00F707E9">
        <w:rPr>
          <w:color w:val="000000"/>
          <w:lang w:val="en-GB"/>
        </w:rPr>
        <w:t xml:space="preserve"> mobilization</w:t>
      </w:r>
      <w:r w:rsidRPr="008941BB">
        <w:rPr>
          <w:color w:val="000000"/>
          <w:lang w:val="en-GB"/>
        </w:rPr>
        <w:t>.</w:t>
      </w:r>
    </w:p>
    <w:p w14:paraId="6551161F" w14:textId="793AEADB"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Public and private partnerships for sustainable land management launched in the </w:t>
      </w:r>
      <w:r w:rsidR="00F95583">
        <w:rPr>
          <w:color w:val="000000"/>
          <w:lang w:val="en-GB"/>
        </w:rPr>
        <w:t>present</w:t>
      </w:r>
      <w:r w:rsidR="00F95583" w:rsidRPr="008941BB">
        <w:rPr>
          <w:color w:val="000000"/>
          <w:lang w:val="en-GB"/>
        </w:rPr>
        <w:t xml:space="preserve"> </w:t>
      </w:r>
      <w:r w:rsidRPr="008941BB">
        <w:rPr>
          <w:color w:val="000000"/>
          <w:lang w:val="en-GB"/>
        </w:rPr>
        <w:t xml:space="preserve">cycle will be strengthen and scaled, encouraging civil society involvement. The Humanitarian Network integrated by the </w:t>
      </w:r>
      <w:r w:rsidR="00F95583">
        <w:rPr>
          <w:color w:val="000000"/>
          <w:lang w:val="en-GB"/>
        </w:rPr>
        <w:t>United Nations s</w:t>
      </w:r>
      <w:r w:rsidRPr="008941BB">
        <w:rPr>
          <w:color w:val="000000"/>
          <w:lang w:val="en-GB"/>
        </w:rPr>
        <w:t>ystem and other key actors, such as the Under</w:t>
      </w:r>
      <w:r w:rsidR="001A2EEA">
        <w:rPr>
          <w:color w:val="000000"/>
          <w:lang w:val="en-GB"/>
        </w:rPr>
        <w:t>-</w:t>
      </w:r>
      <w:r w:rsidRPr="008941BB">
        <w:rPr>
          <w:color w:val="000000"/>
          <w:lang w:val="en-GB"/>
        </w:rPr>
        <w:t xml:space="preserve">secretary </w:t>
      </w:r>
      <w:r w:rsidR="0083787C" w:rsidRPr="008941BB">
        <w:rPr>
          <w:color w:val="000000"/>
          <w:lang w:val="en-GB"/>
        </w:rPr>
        <w:t>for</w:t>
      </w:r>
      <w:r w:rsidRPr="008941BB">
        <w:rPr>
          <w:color w:val="000000"/>
          <w:lang w:val="en-GB"/>
        </w:rPr>
        <w:t xml:space="preserve"> Regional Development and municipalities, will be preserved.   </w:t>
      </w:r>
    </w:p>
    <w:p w14:paraId="72CA8F88" w14:textId="215EDBF6" w:rsidR="00E43C02" w:rsidRPr="008941BB" w:rsidRDefault="00E43C02" w:rsidP="00FB53BF">
      <w:pPr>
        <w:pStyle w:val="ListParagraph"/>
        <w:numPr>
          <w:ilvl w:val="0"/>
          <w:numId w:val="40"/>
        </w:numPr>
        <w:tabs>
          <w:tab w:val="left" w:pos="1440"/>
        </w:tabs>
        <w:spacing w:after="240"/>
        <w:ind w:left="1166" w:right="1210" w:firstLine="0"/>
        <w:jc w:val="both"/>
        <w:rPr>
          <w:color w:val="000000"/>
          <w:lang w:val="en-GB"/>
        </w:rPr>
      </w:pPr>
      <w:r w:rsidRPr="008941BB">
        <w:rPr>
          <w:color w:val="000000"/>
          <w:lang w:val="en-GB"/>
        </w:rPr>
        <w:t xml:space="preserve">UNDP will foster innovative financial strategies through economic instruments </w:t>
      </w:r>
      <w:r w:rsidR="00F95583">
        <w:rPr>
          <w:color w:val="000000"/>
          <w:lang w:val="en-GB"/>
        </w:rPr>
        <w:t>that</w:t>
      </w:r>
      <w:r w:rsidRPr="008941BB">
        <w:rPr>
          <w:color w:val="000000"/>
          <w:lang w:val="en-GB"/>
        </w:rPr>
        <w:t xml:space="preserve"> diversify and optimiz</w:t>
      </w:r>
      <w:r w:rsidR="00F95583">
        <w:rPr>
          <w:color w:val="000000"/>
          <w:lang w:val="en-GB"/>
        </w:rPr>
        <w:t>e</w:t>
      </w:r>
      <w:r w:rsidRPr="008941BB">
        <w:rPr>
          <w:color w:val="000000"/>
          <w:lang w:val="en-GB"/>
        </w:rPr>
        <w:t xml:space="preserve"> the use and allocation of resources to ensure sustainability. UNDP will promote </w:t>
      </w:r>
      <w:r w:rsidR="00F95583">
        <w:rPr>
          <w:color w:val="000000"/>
          <w:lang w:val="en-GB"/>
        </w:rPr>
        <w:t>r</w:t>
      </w:r>
      <w:r w:rsidRPr="008941BB">
        <w:rPr>
          <w:color w:val="000000"/>
          <w:lang w:val="en-GB"/>
        </w:rPr>
        <w:t>egional plans and strategies that incorporate financial instruments for sustainable land management and planning. Key partners are the Ministry of Finance, the Ministry of Environment, the Ministry of Economy, regional governments, the private sector, and civil society.</w:t>
      </w:r>
    </w:p>
    <w:p w14:paraId="5FF1404D" w14:textId="77777777" w:rsidR="000624AC" w:rsidRPr="008941BB" w:rsidRDefault="00F95583" w:rsidP="008941BB">
      <w:pPr>
        <w:pBdr>
          <w:top w:val="none" w:sz="0" w:space="0" w:color="7F9698"/>
          <w:left w:val="none" w:sz="0" w:space="0" w:color="7F9698"/>
          <w:bottom w:val="none" w:sz="0" w:space="0" w:color="7F9698"/>
          <w:right w:val="none" w:sz="0" w:space="0" w:color="7F9698"/>
        </w:pBdr>
        <w:tabs>
          <w:tab w:val="left" w:pos="1170"/>
        </w:tabs>
        <w:spacing w:before="120" w:after="240"/>
        <w:ind w:left="1195" w:right="1195" w:hanging="655"/>
        <w:jc w:val="both"/>
        <w:rPr>
          <w:b/>
          <w:color w:val="000000"/>
          <w:sz w:val="28"/>
          <w:szCs w:val="28"/>
          <w:lang w:val="en-GB"/>
        </w:rPr>
      </w:pPr>
      <w:r>
        <w:rPr>
          <w:b/>
          <w:color w:val="000000"/>
          <w:sz w:val="28"/>
          <w:szCs w:val="28"/>
          <w:lang w:val="en-GB"/>
        </w:rPr>
        <w:t>I</w:t>
      </w:r>
      <w:r w:rsidR="00F22F53">
        <w:rPr>
          <w:b/>
          <w:color w:val="000000"/>
          <w:sz w:val="28"/>
          <w:szCs w:val="28"/>
          <w:lang w:val="en-GB"/>
        </w:rPr>
        <w:t>I</w:t>
      </w:r>
      <w:r>
        <w:rPr>
          <w:b/>
          <w:color w:val="000000"/>
          <w:sz w:val="28"/>
          <w:szCs w:val="28"/>
          <w:lang w:val="en-GB"/>
        </w:rPr>
        <w:t>I.</w:t>
      </w:r>
      <w:r>
        <w:rPr>
          <w:b/>
          <w:color w:val="000000"/>
          <w:sz w:val="28"/>
          <w:szCs w:val="28"/>
          <w:lang w:val="en-GB"/>
        </w:rPr>
        <w:tab/>
      </w:r>
      <w:r w:rsidR="000624AC" w:rsidRPr="008941BB">
        <w:rPr>
          <w:b/>
          <w:color w:val="000000"/>
          <w:sz w:val="28"/>
          <w:szCs w:val="28"/>
          <w:lang w:val="en-GB"/>
        </w:rPr>
        <w:t>Program</w:t>
      </w:r>
      <w:r w:rsidR="00A54149" w:rsidRPr="008941BB">
        <w:rPr>
          <w:b/>
          <w:color w:val="000000"/>
          <w:sz w:val="28"/>
          <w:szCs w:val="28"/>
          <w:lang w:val="en-GB"/>
        </w:rPr>
        <w:t>me</w:t>
      </w:r>
      <w:r w:rsidR="000624AC" w:rsidRPr="008941BB">
        <w:rPr>
          <w:b/>
          <w:color w:val="000000"/>
          <w:sz w:val="28"/>
          <w:szCs w:val="28"/>
          <w:lang w:val="en-GB"/>
        </w:rPr>
        <w:t xml:space="preserve"> and </w:t>
      </w:r>
      <w:r w:rsidR="00892A8B" w:rsidRPr="008941BB">
        <w:rPr>
          <w:b/>
          <w:color w:val="000000"/>
          <w:sz w:val="28"/>
          <w:szCs w:val="28"/>
          <w:lang w:val="en-GB"/>
        </w:rPr>
        <w:t>r</w:t>
      </w:r>
      <w:r w:rsidR="000624AC" w:rsidRPr="008941BB">
        <w:rPr>
          <w:b/>
          <w:color w:val="000000"/>
          <w:sz w:val="28"/>
          <w:szCs w:val="28"/>
          <w:lang w:val="en-GB" w:eastAsia="es-EC"/>
        </w:rPr>
        <w:t>isk</w:t>
      </w:r>
      <w:r w:rsidR="000624AC" w:rsidRPr="008941BB">
        <w:rPr>
          <w:b/>
          <w:color w:val="000000"/>
          <w:sz w:val="28"/>
          <w:szCs w:val="28"/>
          <w:lang w:val="en-GB"/>
        </w:rPr>
        <w:t xml:space="preserve"> </w:t>
      </w:r>
      <w:r w:rsidR="00892A8B" w:rsidRPr="008941BB">
        <w:rPr>
          <w:b/>
          <w:color w:val="000000"/>
          <w:sz w:val="28"/>
          <w:szCs w:val="28"/>
          <w:lang w:val="en-GB"/>
        </w:rPr>
        <w:t>m</w:t>
      </w:r>
      <w:r w:rsidR="000624AC" w:rsidRPr="008941BB">
        <w:rPr>
          <w:b/>
          <w:color w:val="000000"/>
          <w:sz w:val="28"/>
          <w:szCs w:val="28"/>
          <w:lang w:val="en-GB"/>
        </w:rPr>
        <w:t>anagement</w:t>
      </w:r>
    </w:p>
    <w:p w14:paraId="453CB964" w14:textId="712D79C7" w:rsidR="00921B00" w:rsidRPr="008941BB" w:rsidRDefault="00A54149"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This </w:t>
      </w:r>
      <w:r w:rsidR="00F95583">
        <w:rPr>
          <w:color w:val="000000"/>
          <w:lang w:val="en-GB"/>
        </w:rPr>
        <w:t>c</w:t>
      </w:r>
      <w:r w:rsidRPr="008941BB">
        <w:rPr>
          <w:color w:val="000000"/>
          <w:lang w:val="en-GB"/>
        </w:rPr>
        <w:t xml:space="preserve">ountry </w:t>
      </w:r>
      <w:r w:rsidR="00F95583">
        <w:rPr>
          <w:color w:val="000000"/>
          <w:lang w:val="en-GB"/>
        </w:rPr>
        <w:t>p</w:t>
      </w:r>
      <w:r w:rsidRPr="008941BB">
        <w:rPr>
          <w:color w:val="000000"/>
          <w:lang w:val="en-GB"/>
        </w:rPr>
        <w:t xml:space="preserve">rogramme </w:t>
      </w:r>
      <w:r w:rsidR="00F95583">
        <w:rPr>
          <w:color w:val="000000"/>
          <w:lang w:val="en-GB"/>
        </w:rPr>
        <w:t>d</w:t>
      </w:r>
      <w:r w:rsidR="00921B00" w:rsidRPr="008941BB">
        <w:rPr>
          <w:color w:val="000000"/>
          <w:lang w:val="en-GB"/>
        </w:rPr>
        <w:t>ocument outlines UNDP contributions to national results and serves as the primary unit of accountability to the Executive Board for results alignment</w:t>
      </w:r>
      <w:r w:rsidRPr="008941BB">
        <w:rPr>
          <w:color w:val="000000"/>
          <w:lang w:val="en-GB"/>
        </w:rPr>
        <w:t xml:space="preserve"> and resources assigned to the </w:t>
      </w:r>
      <w:r w:rsidR="00F95583">
        <w:rPr>
          <w:color w:val="000000"/>
          <w:lang w:val="en-GB"/>
        </w:rPr>
        <w:t>p</w:t>
      </w:r>
      <w:r w:rsidR="00921B00" w:rsidRPr="008941BB">
        <w:rPr>
          <w:color w:val="000000"/>
          <w:lang w:val="en-GB"/>
        </w:rPr>
        <w:t xml:space="preserve">rogramme at </w:t>
      </w:r>
      <w:r w:rsidR="00F95583">
        <w:rPr>
          <w:color w:val="000000"/>
          <w:lang w:val="en-GB"/>
        </w:rPr>
        <w:t xml:space="preserve">the </w:t>
      </w:r>
      <w:r w:rsidR="00921B00" w:rsidRPr="008941BB">
        <w:rPr>
          <w:color w:val="000000"/>
          <w:lang w:val="en-GB"/>
        </w:rPr>
        <w:t>country level. Accountabilities of managers at the country, regional and headquarter</w:t>
      </w:r>
      <w:r w:rsidR="00281818">
        <w:rPr>
          <w:color w:val="000000"/>
          <w:lang w:val="en-GB"/>
        </w:rPr>
        <w:t>s</w:t>
      </w:r>
      <w:r w:rsidR="00921B00" w:rsidRPr="008941BB">
        <w:rPr>
          <w:color w:val="000000"/>
          <w:lang w:val="en-GB"/>
        </w:rPr>
        <w:t xml:space="preserve"> levels with respect to country programmes </w:t>
      </w:r>
      <w:r w:rsidR="00281818">
        <w:rPr>
          <w:color w:val="000000"/>
          <w:lang w:val="en-GB"/>
        </w:rPr>
        <w:t>are</w:t>
      </w:r>
      <w:r w:rsidR="00281818" w:rsidRPr="008941BB">
        <w:rPr>
          <w:color w:val="000000"/>
          <w:lang w:val="en-GB"/>
        </w:rPr>
        <w:t xml:space="preserve"> </w:t>
      </w:r>
      <w:r w:rsidR="00921B00" w:rsidRPr="008941BB">
        <w:rPr>
          <w:color w:val="000000"/>
          <w:lang w:val="en-GB"/>
        </w:rPr>
        <w:t xml:space="preserve">prescribed in the </w:t>
      </w:r>
      <w:hyperlink r:id="rId17" w:history="1">
        <w:r w:rsidR="00921B00" w:rsidRPr="008941BB">
          <w:rPr>
            <w:color w:val="000000"/>
            <w:lang w:val="en-GB"/>
          </w:rPr>
          <w:t>Programme and Operations Policies and Procedures</w:t>
        </w:r>
      </w:hyperlink>
      <w:r w:rsidR="00921B00" w:rsidRPr="008941BB">
        <w:rPr>
          <w:color w:val="000000"/>
          <w:lang w:val="en-GB"/>
        </w:rPr>
        <w:t xml:space="preserve"> and the I</w:t>
      </w:r>
      <w:hyperlink r:id="rId18" w:history="1">
        <w:r w:rsidR="00921B00" w:rsidRPr="008941BB">
          <w:rPr>
            <w:color w:val="000000"/>
            <w:lang w:val="en-GB"/>
          </w:rPr>
          <w:t>nternal Control Framework</w:t>
        </w:r>
      </w:hyperlink>
      <w:r w:rsidR="00921B00" w:rsidRPr="008941BB">
        <w:rPr>
          <w:color w:val="000000"/>
          <w:lang w:val="en-GB"/>
        </w:rPr>
        <w:t xml:space="preserve">. The </w:t>
      </w:r>
      <w:r w:rsidR="00F95583">
        <w:rPr>
          <w:color w:val="000000"/>
          <w:lang w:val="en-GB"/>
        </w:rPr>
        <w:t>c</w:t>
      </w:r>
      <w:r w:rsidR="00921B00" w:rsidRPr="008941BB">
        <w:rPr>
          <w:color w:val="000000"/>
          <w:lang w:val="en-GB"/>
        </w:rPr>
        <w:t xml:space="preserve">ountry </w:t>
      </w:r>
      <w:r w:rsidR="00F95583">
        <w:rPr>
          <w:color w:val="000000"/>
          <w:lang w:val="en-GB"/>
        </w:rPr>
        <w:t>p</w:t>
      </w:r>
      <w:r w:rsidR="00921B00" w:rsidRPr="008941BB">
        <w:rPr>
          <w:color w:val="000000"/>
          <w:lang w:val="en-GB"/>
        </w:rPr>
        <w:t>rogram</w:t>
      </w:r>
      <w:r w:rsidR="00281818">
        <w:rPr>
          <w:color w:val="000000"/>
          <w:lang w:val="en-GB"/>
        </w:rPr>
        <w:t>me</w:t>
      </w:r>
      <w:r w:rsidR="00921B00" w:rsidRPr="008941BB">
        <w:rPr>
          <w:color w:val="000000"/>
          <w:lang w:val="en-GB"/>
        </w:rPr>
        <w:t xml:space="preserve"> will be implemented in coordination with the Ministry Secretary General of the Presidency and the support of the Ministry of Foreign Affairs. The implementation modality will be national, and the </w:t>
      </w:r>
      <w:r w:rsidR="00F95583">
        <w:rPr>
          <w:color w:val="000000"/>
          <w:lang w:val="en-GB"/>
        </w:rPr>
        <w:t>p</w:t>
      </w:r>
      <w:r w:rsidR="00921B00" w:rsidRPr="008941BB">
        <w:rPr>
          <w:color w:val="000000"/>
          <w:lang w:val="en-GB"/>
        </w:rPr>
        <w:t>rogram</w:t>
      </w:r>
      <w:r w:rsidR="00F95583">
        <w:rPr>
          <w:color w:val="000000"/>
          <w:lang w:val="en-GB"/>
        </w:rPr>
        <w:t>me</w:t>
      </w:r>
      <w:r w:rsidR="00921B00" w:rsidRPr="008941BB">
        <w:rPr>
          <w:color w:val="000000"/>
          <w:lang w:val="en-GB"/>
        </w:rPr>
        <w:t xml:space="preserve"> will be technically and operationally supported by UNDP</w:t>
      </w:r>
      <w:r w:rsidR="00911679" w:rsidRPr="008941BB">
        <w:rPr>
          <w:color w:val="000000"/>
          <w:lang w:val="en-GB"/>
        </w:rPr>
        <w:t xml:space="preserve">, according to </w:t>
      </w:r>
      <w:r w:rsidR="00F95583">
        <w:rPr>
          <w:color w:val="000000"/>
          <w:lang w:val="en-GB"/>
        </w:rPr>
        <w:t>the Harmonized Approach to Cash Transfer</w:t>
      </w:r>
      <w:r w:rsidR="00F95583" w:rsidRPr="008941BB">
        <w:rPr>
          <w:color w:val="000000"/>
          <w:lang w:val="en-GB"/>
        </w:rPr>
        <w:t xml:space="preserve"> </w:t>
      </w:r>
      <w:r w:rsidR="00911679" w:rsidRPr="008941BB">
        <w:rPr>
          <w:color w:val="000000"/>
          <w:lang w:val="en-GB"/>
        </w:rPr>
        <w:t>guidelines</w:t>
      </w:r>
      <w:r w:rsidR="00921B00" w:rsidRPr="008941BB">
        <w:rPr>
          <w:color w:val="000000"/>
          <w:lang w:val="en-GB"/>
        </w:rPr>
        <w:t xml:space="preserve">; the direct implementation modality will be selected </w:t>
      </w:r>
      <w:r w:rsidR="00F95583" w:rsidRPr="003E358C">
        <w:rPr>
          <w:color w:val="000000"/>
          <w:lang w:val="en-GB"/>
        </w:rPr>
        <w:t xml:space="preserve">only </w:t>
      </w:r>
      <w:r w:rsidR="00921B00" w:rsidRPr="008941BB">
        <w:rPr>
          <w:color w:val="000000"/>
          <w:lang w:val="en-GB"/>
        </w:rPr>
        <w:t>if circumstances require it. In accordance with</w:t>
      </w:r>
      <w:r w:rsidRPr="008941BB">
        <w:rPr>
          <w:color w:val="000000"/>
          <w:lang w:val="en-GB"/>
        </w:rPr>
        <w:t xml:space="preserve"> </w:t>
      </w:r>
      <w:r w:rsidR="00921B00" w:rsidRPr="008941BB">
        <w:rPr>
          <w:color w:val="000000"/>
          <w:lang w:val="en-GB"/>
        </w:rPr>
        <w:t xml:space="preserve">Executive </w:t>
      </w:r>
      <w:r w:rsidR="00B44995" w:rsidRPr="008941BB">
        <w:rPr>
          <w:color w:val="000000"/>
          <w:lang w:val="en-GB"/>
        </w:rPr>
        <w:t>Board decision 2013/</w:t>
      </w:r>
      <w:r w:rsidR="00F95583">
        <w:rPr>
          <w:color w:val="000000"/>
          <w:lang w:val="en-GB"/>
        </w:rPr>
        <w:t>9</w:t>
      </w:r>
      <w:r w:rsidR="00B44995" w:rsidRPr="008941BB">
        <w:rPr>
          <w:color w:val="000000"/>
          <w:lang w:val="en-GB"/>
        </w:rPr>
        <w:t xml:space="preserve">, </w:t>
      </w:r>
      <w:r w:rsidR="00921B00" w:rsidRPr="008941BB">
        <w:rPr>
          <w:color w:val="000000"/>
          <w:lang w:val="en-GB"/>
        </w:rPr>
        <w:t xml:space="preserve">direct costs associated with project implementation </w:t>
      </w:r>
      <w:r w:rsidR="00F95583">
        <w:rPr>
          <w:color w:val="000000"/>
          <w:lang w:val="en-GB"/>
        </w:rPr>
        <w:t>will</w:t>
      </w:r>
      <w:r w:rsidR="00F95583" w:rsidRPr="008941BB">
        <w:rPr>
          <w:color w:val="000000"/>
          <w:lang w:val="en-GB"/>
        </w:rPr>
        <w:t xml:space="preserve"> </w:t>
      </w:r>
      <w:r w:rsidR="00921B00" w:rsidRPr="008941BB">
        <w:rPr>
          <w:color w:val="000000"/>
          <w:lang w:val="en-GB"/>
        </w:rPr>
        <w:t>be charged to projects.</w:t>
      </w:r>
    </w:p>
    <w:p w14:paraId="45A10EFD" w14:textId="7B7348DE"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UNDP will regularly review the performance and efficiency of the </w:t>
      </w:r>
      <w:r w:rsidR="00F95583">
        <w:rPr>
          <w:color w:val="000000"/>
          <w:lang w:val="en-GB"/>
        </w:rPr>
        <w:t>c</w:t>
      </w:r>
      <w:r w:rsidRPr="008941BB">
        <w:rPr>
          <w:color w:val="000000"/>
          <w:lang w:val="en-GB"/>
        </w:rPr>
        <w:t xml:space="preserve">ountry </w:t>
      </w:r>
      <w:r w:rsidR="00F95583">
        <w:rPr>
          <w:color w:val="000000"/>
          <w:lang w:val="en-GB"/>
        </w:rPr>
        <w:t>p</w:t>
      </w:r>
      <w:r w:rsidRPr="008941BB">
        <w:rPr>
          <w:color w:val="000000"/>
          <w:lang w:val="en-GB"/>
        </w:rPr>
        <w:t>rogram</w:t>
      </w:r>
      <w:r w:rsidR="00281818">
        <w:rPr>
          <w:color w:val="000000"/>
          <w:lang w:val="en-GB"/>
        </w:rPr>
        <w:t>me</w:t>
      </w:r>
      <w:r w:rsidRPr="008941BB">
        <w:rPr>
          <w:color w:val="000000"/>
          <w:lang w:val="en-GB"/>
        </w:rPr>
        <w:t xml:space="preserve"> with counterparts. The objectives will be constantly monitored with the </w:t>
      </w:r>
      <w:r w:rsidR="00DD24B4" w:rsidRPr="003E358C">
        <w:rPr>
          <w:color w:val="000000"/>
          <w:lang w:val="en-GB"/>
        </w:rPr>
        <w:t>Ministry Secretary General of the Presidency</w:t>
      </w:r>
      <w:r w:rsidRPr="008941BB">
        <w:rPr>
          <w:color w:val="000000"/>
          <w:lang w:val="en-GB"/>
        </w:rPr>
        <w:t xml:space="preserve"> to ensure accurate execution of the planning and national ownership of the results by local actors. UNDP will participate </w:t>
      </w:r>
      <w:r w:rsidR="00F707E9" w:rsidRPr="004068DA">
        <w:rPr>
          <w:color w:val="000000"/>
          <w:lang w:val="en-GB"/>
        </w:rPr>
        <w:t xml:space="preserve">actively </w:t>
      </w:r>
      <w:r w:rsidRPr="008941BB">
        <w:rPr>
          <w:color w:val="000000"/>
          <w:lang w:val="en-GB"/>
        </w:rPr>
        <w:t>in planning and follow</w:t>
      </w:r>
      <w:r w:rsidR="00F707E9">
        <w:rPr>
          <w:color w:val="000000"/>
          <w:lang w:val="en-GB"/>
        </w:rPr>
        <w:t xml:space="preserve">ing </w:t>
      </w:r>
      <w:r w:rsidRPr="008941BB">
        <w:rPr>
          <w:color w:val="000000"/>
          <w:lang w:val="en-GB"/>
        </w:rPr>
        <w:t xml:space="preserve">up </w:t>
      </w:r>
      <w:r w:rsidR="00F707E9">
        <w:rPr>
          <w:color w:val="000000"/>
          <w:lang w:val="en-GB"/>
        </w:rPr>
        <w:t>on</w:t>
      </w:r>
      <w:r w:rsidR="00EF41A9" w:rsidRPr="008941BB">
        <w:rPr>
          <w:color w:val="000000"/>
          <w:lang w:val="en-GB"/>
        </w:rPr>
        <w:t xml:space="preserve"> </w:t>
      </w:r>
      <w:r w:rsidR="009957C2" w:rsidRPr="008941BB">
        <w:rPr>
          <w:color w:val="000000"/>
          <w:lang w:val="en-GB"/>
        </w:rPr>
        <w:t>United Nations Development Assistance Framework</w:t>
      </w:r>
      <w:r w:rsidR="00281818">
        <w:rPr>
          <w:color w:val="000000"/>
          <w:lang w:val="en-GB"/>
        </w:rPr>
        <w:t xml:space="preserve"> </w:t>
      </w:r>
      <w:r w:rsidRPr="008941BB">
        <w:rPr>
          <w:color w:val="000000"/>
          <w:lang w:val="en-GB"/>
        </w:rPr>
        <w:t xml:space="preserve">commitments and </w:t>
      </w:r>
      <w:r w:rsidR="00EF41A9">
        <w:rPr>
          <w:color w:val="000000"/>
          <w:lang w:val="en-GB"/>
        </w:rPr>
        <w:t xml:space="preserve">activities of </w:t>
      </w:r>
      <w:r w:rsidRPr="008941BB">
        <w:rPr>
          <w:color w:val="000000"/>
          <w:lang w:val="en-GB"/>
        </w:rPr>
        <w:t xml:space="preserve">other </w:t>
      </w:r>
      <w:r w:rsidR="00EF41A9">
        <w:rPr>
          <w:color w:val="000000"/>
          <w:lang w:val="en-GB"/>
        </w:rPr>
        <w:t>United Nations partners</w:t>
      </w:r>
      <w:r w:rsidRPr="008941BB">
        <w:rPr>
          <w:color w:val="000000"/>
          <w:lang w:val="en-GB"/>
        </w:rPr>
        <w:t xml:space="preserve"> requiring collaboration</w:t>
      </w:r>
      <w:r w:rsidR="008A3A7D">
        <w:rPr>
          <w:color w:val="000000"/>
          <w:lang w:val="en-GB"/>
        </w:rPr>
        <w:t xml:space="preserve"> </w:t>
      </w:r>
      <w:r w:rsidRPr="008941BB">
        <w:rPr>
          <w:color w:val="000000"/>
          <w:lang w:val="en-GB"/>
        </w:rPr>
        <w:t xml:space="preserve">or </w:t>
      </w:r>
      <w:r w:rsidR="00F707E9">
        <w:rPr>
          <w:color w:val="000000"/>
          <w:lang w:val="en-GB"/>
        </w:rPr>
        <w:t xml:space="preserve">joint </w:t>
      </w:r>
      <w:r w:rsidRPr="008941BB">
        <w:rPr>
          <w:color w:val="000000"/>
          <w:lang w:val="en-GB"/>
        </w:rPr>
        <w:t xml:space="preserve">work.  </w:t>
      </w:r>
    </w:p>
    <w:p w14:paraId="4EC8DBB2" w14:textId="4081C366"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The main risk </w:t>
      </w:r>
      <w:r w:rsidR="009E1F5E">
        <w:rPr>
          <w:color w:val="000000"/>
          <w:lang w:val="en-GB"/>
        </w:rPr>
        <w:t>to</w:t>
      </w:r>
      <w:r w:rsidR="009E1F5E" w:rsidRPr="008941BB">
        <w:rPr>
          <w:color w:val="000000"/>
          <w:lang w:val="en-GB"/>
        </w:rPr>
        <w:t xml:space="preserve"> </w:t>
      </w:r>
      <w:r w:rsidR="00EF41A9">
        <w:rPr>
          <w:color w:val="000000"/>
          <w:lang w:val="en-GB"/>
        </w:rPr>
        <w:t>p</w:t>
      </w:r>
      <w:r w:rsidRPr="008941BB">
        <w:rPr>
          <w:color w:val="000000"/>
          <w:lang w:val="en-GB"/>
        </w:rPr>
        <w:t>rogram</w:t>
      </w:r>
      <w:r w:rsidR="00B44995" w:rsidRPr="008941BB">
        <w:rPr>
          <w:color w:val="000000"/>
          <w:lang w:val="en-GB"/>
        </w:rPr>
        <w:t>me</w:t>
      </w:r>
      <w:r w:rsidRPr="008941BB">
        <w:rPr>
          <w:color w:val="000000"/>
          <w:lang w:val="en-GB"/>
        </w:rPr>
        <w:t xml:space="preserve"> implementation is availability of resources, </w:t>
      </w:r>
      <w:r w:rsidR="009E1F5E">
        <w:rPr>
          <w:color w:val="000000"/>
          <w:lang w:val="en-GB"/>
        </w:rPr>
        <w:t>since</w:t>
      </w:r>
      <w:r w:rsidR="009E1F5E" w:rsidRPr="008941BB">
        <w:rPr>
          <w:color w:val="000000"/>
          <w:lang w:val="en-GB"/>
        </w:rPr>
        <w:t xml:space="preserve"> </w:t>
      </w:r>
      <w:r w:rsidRPr="008941BB">
        <w:rPr>
          <w:color w:val="000000"/>
          <w:lang w:val="en-GB"/>
        </w:rPr>
        <w:t xml:space="preserve">Chile </w:t>
      </w:r>
      <w:r w:rsidR="00EF41A9">
        <w:rPr>
          <w:color w:val="000000"/>
          <w:lang w:val="en-GB"/>
        </w:rPr>
        <w:t xml:space="preserve">has </w:t>
      </w:r>
      <w:r w:rsidRPr="008941BB">
        <w:rPr>
          <w:color w:val="000000"/>
          <w:lang w:val="en-GB"/>
        </w:rPr>
        <w:t>bec</w:t>
      </w:r>
      <w:r w:rsidR="00EF41A9">
        <w:rPr>
          <w:color w:val="000000"/>
          <w:lang w:val="en-GB"/>
        </w:rPr>
        <w:t>o</w:t>
      </w:r>
      <w:r w:rsidRPr="008941BB">
        <w:rPr>
          <w:color w:val="000000"/>
          <w:lang w:val="en-GB"/>
        </w:rPr>
        <w:t xml:space="preserve">me </w:t>
      </w:r>
      <w:r w:rsidR="00E230B8" w:rsidRPr="008941BB">
        <w:rPr>
          <w:color w:val="000000"/>
          <w:lang w:val="en-GB"/>
        </w:rPr>
        <w:t xml:space="preserve">a </w:t>
      </w:r>
      <w:r w:rsidR="00EF41A9">
        <w:rPr>
          <w:color w:val="000000"/>
          <w:lang w:val="en-GB"/>
        </w:rPr>
        <w:t>net contributor country</w:t>
      </w:r>
      <w:r w:rsidRPr="008941BB">
        <w:rPr>
          <w:color w:val="000000"/>
          <w:lang w:val="en-GB"/>
        </w:rPr>
        <w:t>. Th</w:t>
      </w:r>
      <w:r w:rsidR="00EF41A9">
        <w:rPr>
          <w:color w:val="000000"/>
          <w:lang w:val="en-GB"/>
        </w:rPr>
        <w:t>at</w:t>
      </w:r>
      <w:r w:rsidRPr="008941BB">
        <w:rPr>
          <w:color w:val="000000"/>
          <w:lang w:val="en-GB"/>
        </w:rPr>
        <w:t xml:space="preserve"> risk will be managed through the diversification of donors</w:t>
      </w:r>
      <w:r w:rsidR="00EF41A9">
        <w:rPr>
          <w:color w:val="000000"/>
          <w:lang w:val="en-GB"/>
        </w:rPr>
        <w:t>,</w:t>
      </w:r>
      <w:r w:rsidRPr="008941BB">
        <w:rPr>
          <w:color w:val="000000"/>
          <w:lang w:val="en-GB"/>
        </w:rPr>
        <w:t xml:space="preserve"> including </w:t>
      </w:r>
      <w:r w:rsidR="009E1F5E">
        <w:rPr>
          <w:color w:val="000000"/>
          <w:lang w:val="en-GB"/>
        </w:rPr>
        <w:t xml:space="preserve">the </w:t>
      </w:r>
      <w:r w:rsidRPr="008941BB">
        <w:rPr>
          <w:color w:val="000000"/>
          <w:lang w:val="en-GB"/>
        </w:rPr>
        <w:t>private sec</w:t>
      </w:r>
      <w:r w:rsidR="00B44995" w:rsidRPr="008941BB">
        <w:rPr>
          <w:color w:val="000000"/>
          <w:lang w:val="en-GB"/>
        </w:rPr>
        <w:t>tor, State autonomous organisms</w:t>
      </w:r>
      <w:r w:rsidRPr="008941BB">
        <w:rPr>
          <w:color w:val="000000"/>
          <w:lang w:val="en-GB"/>
        </w:rPr>
        <w:t xml:space="preserve"> and subnational governments</w:t>
      </w:r>
      <w:r w:rsidR="009E1F5E">
        <w:rPr>
          <w:color w:val="000000"/>
          <w:lang w:val="en-GB"/>
        </w:rPr>
        <w:t>,</w:t>
      </w:r>
      <w:r w:rsidRPr="008941BB">
        <w:rPr>
          <w:color w:val="000000"/>
          <w:lang w:val="en-GB"/>
        </w:rPr>
        <w:t xml:space="preserve"> and </w:t>
      </w:r>
      <w:r w:rsidR="00E84FDC" w:rsidRPr="008941BB">
        <w:rPr>
          <w:color w:val="000000"/>
          <w:lang w:val="en-GB"/>
        </w:rPr>
        <w:t>by consolidating</w:t>
      </w:r>
      <w:r w:rsidR="00B44995" w:rsidRPr="008941BB">
        <w:rPr>
          <w:color w:val="000000"/>
          <w:lang w:val="en-GB"/>
        </w:rPr>
        <w:t xml:space="preserve"> </w:t>
      </w:r>
      <w:r w:rsidRPr="008941BB">
        <w:rPr>
          <w:color w:val="000000"/>
          <w:lang w:val="en-GB"/>
        </w:rPr>
        <w:t xml:space="preserve">existing partnerships. </w:t>
      </w:r>
      <w:r w:rsidR="005635F6" w:rsidRPr="008941BB">
        <w:rPr>
          <w:color w:val="000000"/>
          <w:lang w:val="en-GB"/>
        </w:rPr>
        <w:t xml:space="preserve">Strengthening partnerships with the private sector will be a key component of the mobilization strategy </w:t>
      </w:r>
      <w:r w:rsidR="00B44995" w:rsidRPr="008941BB">
        <w:rPr>
          <w:color w:val="000000"/>
          <w:lang w:val="en-GB"/>
        </w:rPr>
        <w:t>to</w:t>
      </w:r>
      <w:r w:rsidR="005635F6" w:rsidRPr="008941BB">
        <w:rPr>
          <w:color w:val="000000"/>
          <w:lang w:val="en-GB"/>
        </w:rPr>
        <w:t xml:space="preserve"> be anchored through the proposed national platform for the </w:t>
      </w:r>
      <w:r w:rsidR="00EF41A9">
        <w:rPr>
          <w:color w:val="000000"/>
          <w:lang w:val="en-GB"/>
        </w:rPr>
        <w:t>sustainable development goal</w:t>
      </w:r>
      <w:r w:rsidR="00EF41A9" w:rsidRPr="008941BB">
        <w:rPr>
          <w:color w:val="000000"/>
          <w:lang w:val="en-GB"/>
        </w:rPr>
        <w:t>s</w:t>
      </w:r>
      <w:r w:rsidR="005635F6" w:rsidRPr="008941BB">
        <w:rPr>
          <w:color w:val="000000"/>
          <w:lang w:val="en-GB"/>
        </w:rPr>
        <w:t xml:space="preserve">. </w:t>
      </w:r>
      <w:r w:rsidRPr="008941BB">
        <w:rPr>
          <w:color w:val="000000"/>
          <w:lang w:val="en-GB"/>
        </w:rPr>
        <w:t xml:space="preserve">In political terms, </w:t>
      </w:r>
      <w:r w:rsidR="009E1F5E">
        <w:rPr>
          <w:color w:val="000000"/>
          <w:lang w:val="en-GB"/>
        </w:rPr>
        <w:t xml:space="preserve">a </w:t>
      </w:r>
      <w:r w:rsidRPr="008941BB">
        <w:rPr>
          <w:color w:val="000000"/>
          <w:lang w:val="en-GB"/>
        </w:rPr>
        <w:t xml:space="preserve">shift </w:t>
      </w:r>
      <w:r w:rsidR="009E1F5E">
        <w:rPr>
          <w:color w:val="000000"/>
          <w:lang w:val="en-GB"/>
        </w:rPr>
        <w:t xml:space="preserve">in </w:t>
      </w:r>
      <w:r w:rsidRPr="008941BB">
        <w:rPr>
          <w:color w:val="000000"/>
          <w:lang w:val="en-GB"/>
        </w:rPr>
        <w:t>governmental priorities</w:t>
      </w:r>
      <w:r w:rsidR="009E1F5E">
        <w:rPr>
          <w:color w:val="000000"/>
          <w:lang w:val="en-GB"/>
        </w:rPr>
        <w:t>,</w:t>
      </w:r>
      <w:r w:rsidRPr="008941BB">
        <w:rPr>
          <w:color w:val="000000"/>
          <w:lang w:val="en-GB"/>
        </w:rPr>
        <w:t xml:space="preserve"> or change</w:t>
      </w:r>
      <w:r w:rsidR="00351409" w:rsidRPr="008941BB">
        <w:rPr>
          <w:color w:val="000000"/>
          <w:lang w:val="en-GB"/>
        </w:rPr>
        <w:t>s in public institutions</w:t>
      </w:r>
      <w:r w:rsidR="009E1F5E">
        <w:rPr>
          <w:color w:val="000000"/>
          <w:lang w:val="en-GB"/>
        </w:rPr>
        <w:t>,</w:t>
      </w:r>
      <w:r w:rsidRPr="008941BB">
        <w:rPr>
          <w:color w:val="000000"/>
          <w:lang w:val="en-GB"/>
        </w:rPr>
        <w:t xml:space="preserve"> could delay or hinder </w:t>
      </w:r>
      <w:r w:rsidR="00EF41A9">
        <w:rPr>
          <w:color w:val="000000"/>
          <w:lang w:val="en-GB"/>
        </w:rPr>
        <w:t>p</w:t>
      </w:r>
      <w:r w:rsidRPr="008941BB">
        <w:rPr>
          <w:color w:val="000000"/>
          <w:lang w:val="en-GB"/>
        </w:rPr>
        <w:t>rogram</w:t>
      </w:r>
      <w:r w:rsidR="00B44995" w:rsidRPr="008941BB">
        <w:rPr>
          <w:color w:val="000000"/>
          <w:lang w:val="en-GB"/>
        </w:rPr>
        <w:t>me</w:t>
      </w:r>
      <w:r w:rsidRPr="008941BB">
        <w:rPr>
          <w:color w:val="000000"/>
          <w:lang w:val="en-GB"/>
        </w:rPr>
        <w:t xml:space="preserve"> implementation. Another risk is the occurrence of </w:t>
      </w:r>
      <w:r w:rsidR="00351409" w:rsidRPr="008941BB">
        <w:rPr>
          <w:color w:val="000000"/>
          <w:lang w:val="en-GB"/>
        </w:rPr>
        <w:t>a crisis</w:t>
      </w:r>
      <w:r w:rsidRPr="008941BB">
        <w:rPr>
          <w:color w:val="000000"/>
          <w:lang w:val="en-GB"/>
        </w:rPr>
        <w:t xml:space="preserve"> (natural, economic) </w:t>
      </w:r>
      <w:r w:rsidR="00EF41A9">
        <w:rPr>
          <w:color w:val="000000"/>
          <w:lang w:val="en-GB"/>
        </w:rPr>
        <w:t>that</w:t>
      </w:r>
      <w:r w:rsidR="00EF41A9" w:rsidRPr="008941BB">
        <w:rPr>
          <w:color w:val="000000"/>
          <w:lang w:val="en-GB"/>
        </w:rPr>
        <w:t xml:space="preserve"> </w:t>
      </w:r>
      <w:r w:rsidRPr="008941BB">
        <w:rPr>
          <w:color w:val="000000"/>
          <w:lang w:val="en-GB"/>
        </w:rPr>
        <w:t>would force reconsider</w:t>
      </w:r>
      <w:r w:rsidR="00EF41A9">
        <w:rPr>
          <w:color w:val="000000"/>
          <w:lang w:val="en-GB"/>
        </w:rPr>
        <w:t>ation of</w:t>
      </w:r>
      <w:r w:rsidRPr="008941BB">
        <w:rPr>
          <w:color w:val="000000"/>
          <w:lang w:val="en-GB"/>
        </w:rPr>
        <w:t xml:space="preserve"> the initial planning and urgent respon</w:t>
      </w:r>
      <w:r w:rsidR="00EF41A9">
        <w:rPr>
          <w:color w:val="000000"/>
          <w:lang w:val="en-GB"/>
        </w:rPr>
        <w:t>se</w:t>
      </w:r>
      <w:r w:rsidRPr="008941BB">
        <w:rPr>
          <w:color w:val="000000"/>
          <w:lang w:val="en-GB"/>
        </w:rPr>
        <w:t xml:space="preserve"> to the </w:t>
      </w:r>
      <w:r w:rsidR="00EF41A9">
        <w:rPr>
          <w:color w:val="000000"/>
          <w:lang w:val="en-GB"/>
        </w:rPr>
        <w:t xml:space="preserve">needs of </w:t>
      </w:r>
      <w:r w:rsidRPr="008941BB">
        <w:rPr>
          <w:color w:val="000000"/>
          <w:lang w:val="en-GB"/>
        </w:rPr>
        <w:t xml:space="preserve">affected individuals and communities. </w:t>
      </w:r>
    </w:p>
    <w:p w14:paraId="0AA12910" w14:textId="46A27FD7" w:rsidR="000624AC" w:rsidRPr="008941BB" w:rsidRDefault="00EF41A9" w:rsidP="00FB53BF">
      <w:pPr>
        <w:pStyle w:val="ListParagraph"/>
        <w:numPr>
          <w:ilvl w:val="0"/>
          <w:numId w:val="40"/>
        </w:numPr>
        <w:tabs>
          <w:tab w:val="left" w:pos="1440"/>
        </w:tabs>
        <w:spacing w:after="240"/>
        <w:ind w:left="1166" w:right="1210" w:firstLine="0"/>
        <w:jc w:val="both"/>
        <w:rPr>
          <w:color w:val="000000"/>
          <w:lang w:val="en-GB"/>
        </w:rPr>
      </w:pPr>
      <w:r>
        <w:rPr>
          <w:color w:val="000000"/>
          <w:lang w:val="en-GB"/>
        </w:rPr>
        <w:t>I</w:t>
      </w:r>
      <w:r w:rsidR="000624AC" w:rsidRPr="008941BB">
        <w:rPr>
          <w:color w:val="000000"/>
          <w:lang w:val="en-GB"/>
        </w:rPr>
        <w:t xml:space="preserve">mplementation of the 2030 Agenda is a challenge for the </w:t>
      </w:r>
      <w:r w:rsidR="008E37B8">
        <w:rPr>
          <w:color w:val="000000"/>
          <w:lang w:val="en-GB"/>
        </w:rPr>
        <w:t>p</w:t>
      </w:r>
      <w:r w:rsidR="000624AC" w:rsidRPr="008941BB">
        <w:rPr>
          <w:color w:val="000000"/>
          <w:lang w:val="en-GB"/>
        </w:rPr>
        <w:t>rogram</w:t>
      </w:r>
      <w:r w:rsidR="00281818">
        <w:rPr>
          <w:color w:val="000000"/>
          <w:lang w:val="en-GB"/>
        </w:rPr>
        <w:t>me</w:t>
      </w:r>
      <w:r w:rsidR="008E37B8">
        <w:rPr>
          <w:color w:val="000000"/>
          <w:lang w:val="en-GB"/>
        </w:rPr>
        <w:t>,</w:t>
      </w:r>
      <w:r w:rsidR="000624AC" w:rsidRPr="008941BB">
        <w:rPr>
          <w:color w:val="000000"/>
          <w:lang w:val="en-GB"/>
        </w:rPr>
        <w:t xml:space="preserve"> requir</w:t>
      </w:r>
      <w:r w:rsidR="008E37B8">
        <w:rPr>
          <w:color w:val="000000"/>
          <w:lang w:val="en-GB"/>
        </w:rPr>
        <w:t>ing</w:t>
      </w:r>
      <w:r w:rsidR="000624AC" w:rsidRPr="008941BB">
        <w:rPr>
          <w:color w:val="000000"/>
          <w:lang w:val="en-GB"/>
        </w:rPr>
        <w:t xml:space="preserve"> </w:t>
      </w:r>
      <w:r w:rsidR="008E37B8">
        <w:rPr>
          <w:color w:val="000000"/>
          <w:lang w:val="en-GB"/>
        </w:rPr>
        <w:t xml:space="preserve">various </w:t>
      </w:r>
      <w:r w:rsidR="000624AC" w:rsidRPr="008941BB">
        <w:rPr>
          <w:color w:val="000000"/>
          <w:lang w:val="en-GB"/>
        </w:rPr>
        <w:t xml:space="preserve">organizational changes </w:t>
      </w:r>
      <w:r w:rsidR="008E37B8">
        <w:rPr>
          <w:color w:val="000000"/>
          <w:lang w:val="en-GB"/>
        </w:rPr>
        <w:t xml:space="preserve">– </w:t>
      </w:r>
      <w:r w:rsidR="008E37B8" w:rsidRPr="003E358C">
        <w:rPr>
          <w:color w:val="000000"/>
          <w:lang w:val="en-GB"/>
        </w:rPr>
        <w:t xml:space="preserve">such as strengthening coordination, </w:t>
      </w:r>
      <w:r w:rsidR="008E37B8">
        <w:rPr>
          <w:color w:val="000000"/>
          <w:lang w:val="en-GB"/>
        </w:rPr>
        <w:t>us</w:t>
      </w:r>
      <w:r w:rsidR="008E37B8" w:rsidRPr="003E358C">
        <w:rPr>
          <w:color w:val="000000"/>
          <w:lang w:val="en-GB"/>
        </w:rPr>
        <w:t>ing innovative approaches, generating disaggregated data, and stre</w:t>
      </w:r>
      <w:r w:rsidR="008E37B8">
        <w:rPr>
          <w:color w:val="000000"/>
          <w:lang w:val="en-GB"/>
        </w:rPr>
        <w:t>ngthening capacities at the sub</w:t>
      </w:r>
      <w:r w:rsidR="008E37B8" w:rsidRPr="003E358C">
        <w:rPr>
          <w:color w:val="000000"/>
          <w:lang w:val="en-GB"/>
        </w:rPr>
        <w:t>national level</w:t>
      </w:r>
      <w:r w:rsidR="008E37B8" w:rsidRPr="008E37B8">
        <w:rPr>
          <w:color w:val="000000"/>
          <w:lang w:val="en-GB"/>
        </w:rPr>
        <w:t xml:space="preserve"> </w:t>
      </w:r>
      <w:r w:rsidR="008E37B8">
        <w:rPr>
          <w:color w:val="000000"/>
          <w:lang w:val="en-GB"/>
        </w:rPr>
        <w:t xml:space="preserve">– </w:t>
      </w:r>
      <w:r w:rsidR="000624AC" w:rsidRPr="008941BB">
        <w:rPr>
          <w:color w:val="000000"/>
          <w:lang w:val="en-GB"/>
        </w:rPr>
        <w:t xml:space="preserve">to </w:t>
      </w:r>
      <w:r w:rsidR="000624AC" w:rsidRPr="008941BB">
        <w:rPr>
          <w:color w:val="000000"/>
          <w:lang w:val="en-GB"/>
        </w:rPr>
        <w:lastRenderedPageBreak/>
        <w:t xml:space="preserve">achieve its goals. As </w:t>
      </w:r>
      <w:r w:rsidR="008E37B8">
        <w:rPr>
          <w:color w:val="000000"/>
          <w:lang w:val="en-GB"/>
        </w:rPr>
        <w:t>to</w:t>
      </w:r>
      <w:r w:rsidR="000624AC" w:rsidRPr="008941BB">
        <w:rPr>
          <w:color w:val="000000"/>
          <w:lang w:val="en-GB"/>
        </w:rPr>
        <w:t xml:space="preserve"> the suggested recommendations </w:t>
      </w:r>
      <w:r w:rsidR="008E37B8">
        <w:rPr>
          <w:color w:val="000000"/>
          <w:lang w:val="en-GB"/>
        </w:rPr>
        <w:t>for</w:t>
      </w:r>
      <w:r w:rsidR="000624AC" w:rsidRPr="008941BB">
        <w:rPr>
          <w:color w:val="000000"/>
          <w:lang w:val="en-GB"/>
        </w:rPr>
        <w:t xml:space="preserve"> the evaluation of th</w:t>
      </w:r>
      <w:r w:rsidR="008E37B8">
        <w:rPr>
          <w:color w:val="000000"/>
          <w:lang w:val="en-GB"/>
        </w:rPr>
        <w:t>e present</w:t>
      </w:r>
      <w:r w:rsidR="000624AC" w:rsidRPr="008941BB">
        <w:rPr>
          <w:color w:val="000000"/>
          <w:lang w:val="en-GB"/>
        </w:rPr>
        <w:t xml:space="preserve"> </w:t>
      </w:r>
      <w:r w:rsidR="008E37B8">
        <w:rPr>
          <w:color w:val="000000"/>
          <w:lang w:val="en-GB"/>
        </w:rPr>
        <w:t>p</w:t>
      </w:r>
      <w:r w:rsidR="000624AC" w:rsidRPr="008941BB">
        <w:rPr>
          <w:color w:val="000000"/>
          <w:lang w:val="en-GB"/>
        </w:rPr>
        <w:t>rogram</w:t>
      </w:r>
      <w:r w:rsidR="00281818">
        <w:rPr>
          <w:color w:val="000000"/>
          <w:lang w:val="en-GB"/>
        </w:rPr>
        <w:t>me</w:t>
      </w:r>
      <w:r w:rsidR="000624AC" w:rsidRPr="008941BB">
        <w:rPr>
          <w:color w:val="000000"/>
          <w:lang w:val="en-GB"/>
        </w:rPr>
        <w:t xml:space="preserve"> cycle (2015-2018</w:t>
      </w:r>
      <w:r w:rsidR="000624AC" w:rsidRPr="005E29EC">
        <w:rPr>
          <w:color w:val="000000"/>
          <w:lang w:val="en-GB"/>
        </w:rPr>
        <w:t>)</w:t>
      </w:r>
      <w:r w:rsidR="00F22F53" w:rsidRPr="005E29EC">
        <w:rPr>
          <w:color w:val="000000"/>
          <w:lang w:val="en-GB"/>
        </w:rPr>
        <w:t>,</w:t>
      </w:r>
      <w:r w:rsidR="00E4204C" w:rsidRPr="005E29EC">
        <w:rPr>
          <w:rStyle w:val="FootnoteReference"/>
          <w:color w:val="000000"/>
          <w:lang w:val="en-GB"/>
        </w:rPr>
        <w:footnoteReference w:id="25"/>
      </w:r>
      <w:r w:rsidR="000624AC" w:rsidRPr="005E29EC">
        <w:rPr>
          <w:rStyle w:val="FootnoteReference"/>
        </w:rPr>
        <w:t xml:space="preserve"> </w:t>
      </w:r>
      <w:r w:rsidR="000624AC" w:rsidRPr="005E29EC">
        <w:rPr>
          <w:color w:val="000000"/>
          <w:lang w:val="en-GB"/>
        </w:rPr>
        <w:t>the</w:t>
      </w:r>
      <w:r w:rsidR="000624AC" w:rsidRPr="008941BB">
        <w:rPr>
          <w:color w:val="000000"/>
          <w:lang w:val="en-GB"/>
        </w:rPr>
        <w:t xml:space="preserve"> theory of change has mainstreamed a gender focus to comprehensively promote sustainable development. </w:t>
      </w:r>
    </w:p>
    <w:p w14:paraId="63B105C7" w14:textId="77777777" w:rsidR="000624AC" w:rsidRPr="008941BB" w:rsidRDefault="00F22F53" w:rsidP="008941BB">
      <w:pPr>
        <w:pBdr>
          <w:top w:val="none" w:sz="0" w:space="0" w:color="7F9698"/>
          <w:left w:val="none" w:sz="0" w:space="0" w:color="7F9698"/>
          <w:bottom w:val="none" w:sz="0" w:space="0" w:color="7F9698"/>
          <w:right w:val="none" w:sz="0" w:space="0" w:color="7F9698"/>
        </w:pBdr>
        <w:tabs>
          <w:tab w:val="left" w:pos="1170"/>
        </w:tabs>
        <w:spacing w:before="120" w:after="240"/>
        <w:ind w:left="1195" w:right="1195" w:hanging="565"/>
        <w:jc w:val="both"/>
        <w:rPr>
          <w:b/>
          <w:color w:val="000000"/>
          <w:sz w:val="28"/>
          <w:szCs w:val="28"/>
          <w:lang w:val="en-GB"/>
        </w:rPr>
      </w:pPr>
      <w:r>
        <w:rPr>
          <w:b/>
          <w:color w:val="000000"/>
          <w:sz w:val="28"/>
          <w:szCs w:val="28"/>
          <w:lang w:val="en-GB"/>
        </w:rPr>
        <w:t>IV.</w:t>
      </w:r>
      <w:r>
        <w:rPr>
          <w:b/>
          <w:color w:val="000000"/>
          <w:sz w:val="28"/>
          <w:szCs w:val="28"/>
          <w:lang w:val="en-GB"/>
        </w:rPr>
        <w:tab/>
      </w:r>
      <w:r w:rsidR="000624AC" w:rsidRPr="008941BB">
        <w:rPr>
          <w:b/>
          <w:color w:val="000000"/>
          <w:sz w:val="28"/>
          <w:szCs w:val="28"/>
          <w:lang w:val="en-GB"/>
        </w:rPr>
        <w:t xml:space="preserve">Monitoring and </w:t>
      </w:r>
      <w:r w:rsidR="00892A8B" w:rsidRPr="008941BB">
        <w:rPr>
          <w:b/>
          <w:color w:val="000000"/>
          <w:sz w:val="28"/>
          <w:szCs w:val="28"/>
          <w:lang w:val="en-GB"/>
        </w:rPr>
        <w:t>e</w:t>
      </w:r>
      <w:r w:rsidR="000624AC" w:rsidRPr="008941BB">
        <w:rPr>
          <w:b/>
          <w:color w:val="000000"/>
          <w:sz w:val="28"/>
          <w:szCs w:val="28"/>
          <w:lang w:val="en-GB"/>
        </w:rPr>
        <w:t>valuation</w:t>
      </w:r>
    </w:p>
    <w:p w14:paraId="1937A1A0" w14:textId="52158830"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Result</w:t>
      </w:r>
      <w:r w:rsidR="00BC3945" w:rsidRPr="008941BB">
        <w:rPr>
          <w:color w:val="000000"/>
          <w:lang w:val="en-GB"/>
        </w:rPr>
        <w:t>s</w:t>
      </w:r>
      <w:r w:rsidRPr="008941BB">
        <w:rPr>
          <w:color w:val="000000"/>
          <w:lang w:val="en-GB"/>
        </w:rPr>
        <w:t xml:space="preserve"> indicators </w:t>
      </w:r>
      <w:r w:rsidR="009E1F5E">
        <w:rPr>
          <w:color w:val="000000"/>
          <w:lang w:val="en-GB"/>
        </w:rPr>
        <w:t>were</w:t>
      </w:r>
      <w:r w:rsidRPr="008941BB">
        <w:rPr>
          <w:color w:val="000000"/>
          <w:lang w:val="en-GB"/>
        </w:rPr>
        <w:t xml:space="preserve"> selected </w:t>
      </w:r>
      <w:r w:rsidR="00BC3945" w:rsidRPr="008941BB">
        <w:rPr>
          <w:color w:val="000000"/>
          <w:lang w:val="en-GB"/>
        </w:rPr>
        <w:t>based on</w:t>
      </w:r>
      <w:r w:rsidRPr="008941BB">
        <w:rPr>
          <w:color w:val="000000"/>
          <w:lang w:val="en-GB"/>
        </w:rPr>
        <w:t xml:space="preserve"> the United Nations collaboration </w:t>
      </w:r>
      <w:r w:rsidR="00BC3945" w:rsidRPr="008941BB">
        <w:rPr>
          <w:color w:val="000000"/>
          <w:lang w:val="en-GB"/>
        </w:rPr>
        <w:t xml:space="preserve">framework </w:t>
      </w:r>
      <w:r w:rsidRPr="008941BB">
        <w:rPr>
          <w:color w:val="000000"/>
          <w:lang w:val="en-GB"/>
        </w:rPr>
        <w:t xml:space="preserve">in Chile, reflected in the </w:t>
      </w:r>
      <w:r w:rsidR="00F22F53">
        <w:rPr>
          <w:color w:val="000000"/>
          <w:lang w:val="en-GB"/>
        </w:rPr>
        <w:t>c</w:t>
      </w:r>
      <w:r w:rsidRPr="008941BB">
        <w:rPr>
          <w:color w:val="000000"/>
          <w:lang w:val="en-GB"/>
        </w:rPr>
        <w:t xml:space="preserve">ommon </w:t>
      </w:r>
      <w:r w:rsidR="00F22F53">
        <w:rPr>
          <w:color w:val="000000"/>
          <w:lang w:val="en-GB"/>
        </w:rPr>
        <w:t>c</w:t>
      </w:r>
      <w:r w:rsidRPr="008941BB">
        <w:rPr>
          <w:color w:val="000000"/>
          <w:lang w:val="en-GB"/>
        </w:rPr>
        <w:t xml:space="preserve">ountry </w:t>
      </w:r>
      <w:r w:rsidR="00F22F53">
        <w:rPr>
          <w:color w:val="000000"/>
          <w:lang w:val="en-GB"/>
        </w:rPr>
        <w:t>a</w:t>
      </w:r>
      <w:r w:rsidR="004D0EFA">
        <w:rPr>
          <w:color w:val="000000"/>
          <w:lang w:val="en-GB"/>
        </w:rPr>
        <w:t>ssessment</w:t>
      </w:r>
      <w:r w:rsidRPr="008941BB">
        <w:rPr>
          <w:color w:val="000000"/>
          <w:lang w:val="en-GB"/>
        </w:rPr>
        <w:t xml:space="preserve"> and the </w:t>
      </w:r>
      <w:r w:rsidR="009957C2" w:rsidRPr="008941BB">
        <w:rPr>
          <w:color w:val="000000"/>
          <w:lang w:val="en-GB"/>
        </w:rPr>
        <w:t>United Nations Development Assistance Framework</w:t>
      </w:r>
      <w:r w:rsidRPr="008941BB">
        <w:rPr>
          <w:color w:val="000000"/>
          <w:lang w:val="en-GB"/>
        </w:rPr>
        <w:t>. UNDP will use the data generated by national systems such as the National Institute for Statistics</w:t>
      </w:r>
      <w:r w:rsidR="00A92A29" w:rsidRPr="008941BB">
        <w:rPr>
          <w:color w:val="000000"/>
          <w:lang w:val="en-GB"/>
        </w:rPr>
        <w:t xml:space="preserve"> and the </w:t>
      </w:r>
      <w:r w:rsidR="000D19D1" w:rsidRPr="008941BB">
        <w:rPr>
          <w:lang w:val="en-GB"/>
        </w:rPr>
        <w:t>Ministry of Social Development</w:t>
      </w:r>
      <w:r w:rsidR="00A92A29" w:rsidRPr="008941BB">
        <w:rPr>
          <w:color w:val="000000"/>
          <w:lang w:val="en-GB"/>
        </w:rPr>
        <w:t xml:space="preserve">, </w:t>
      </w:r>
      <w:r w:rsidRPr="008941BB">
        <w:rPr>
          <w:color w:val="000000"/>
          <w:lang w:val="en-GB"/>
        </w:rPr>
        <w:t>and international agencies, to report on outcome indicators, ensuring the generation and disaggregation of data, and improving its availability and use at the national and subnational levels for decision-making and report</w:t>
      </w:r>
      <w:r w:rsidR="00F22F53">
        <w:rPr>
          <w:color w:val="000000"/>
          <w:lang w:val="en-GB"/>
        </w:rPr>
        <w:t>ing</w:t>
      </w:r>
      <w:r w:rsidRPr="008941BB">
        <w:rPr>
          <w:color w:val="000000"/>
          <w:lang w:val="en-GB"/>
        </w:rPr>
        <w:t xml:space="preserve"> progress on </w:t>
      </w:r>
      <w:r w:rsidR="009E1F5E">
        <w:rPr>
          <w:color w:val="000000"/>
          <w:lang w:val="en-GB"/>
        </w:rPr>
        <w:t xml:space="preserve">the </w:t>
      </w:r>
      <w:r w:rsidR="00F22F53" w:rsidRPr="003E358C">
        <w:rPr>
          <w:color w:val="000000"/>
          <w:lang w:val="en-GB"/>
        </w:rPr>
        <w:t>implementation</w:t>
      </w:r>
      <w:r w:rsidR="00F22F53">
        <w:rPr>
          <w:color w:val="000000"/>
          <w:lang w:val="en-GB"/>
        </w:rPr>
        <w:t xml:space="preserve"> of</w:t>
      </w:r>
      <w:r w:rsidR="00F22F53" w:rsidRPr="00F22F53">
        <w:rPr>
          <w:color w:val="000000"/>
          <w:lang w:val="en-GB"/>
        </w:rPr>
        <w:t xml:space="preserve"> </w:t>
      </w:r>
      <w:r w:rsidRPr="008941BB">
        <w:rPr>
          <w:color w:val="000000"/>
          <w:lang w:val="en-GB"/>
        </w:rPr>
        <w:t xml:space="preserve">the 2030 Agenda. The </w:t>
      </w:r>
      <w:r w:rsidR="00F22F53">
        <w:rPr>
          <w:color w:val="000000"/>
          <w:lang w:val="en-GB"/>
        </w:rPr>
        <w:t>g</w:t>
      </w:r>
      <w:r w:rsidRPr="008941BB">
        <w:rPr>
          <w:color w:val="000000"/>
          <w:lang w:val="en-GB"/>
        </w:rPr>
        <w:t xml:space="preserve">ender </w:t>
      </w:r>
      <w:r w:rsidR="00F22F53">
        <w:rPr>
          <w:color w:val="000000"/>
          <w:lang w:val="en-GB"/>
        </w:rPr>
        <w:t>m</w:t>
      </w:r>
      <w:r w:rsidRPr="008941BB">
        <w:rPr>
          <w:color w:val="000000"/>
          <w:lang w:val="en-GB"/>
        </w:rPr>
        <w:t xml:space="preserve">arker will be used to </w:t>
      </w:r>
      <w:r w:rsidR="009E1F5E">
        <w:rPr>
          <w:color w:val="000000"/>
          <w:lang w:val="en-GB"/>
        </w:rPr>
        <w:t>en</w:t>
      </w:r>
      <w:r w:rsidR="009E1F5E" w:rsidRPr="008941BB">
        <w:rPr>
          <w:color w:val="000000"/>
          <w:lang w:val="en-GB"/>
        </w:rPr>
        <w:t xml:space="preserve">sure </w:t>
      </w:r>
      <w:r w:rsidRPr="008941BB">
        <w:rPr>
          <w:color w:val="000000"/>
          <w:lang w:val="en-GB"/>
        </w:rPr>
        <w:t xml:space="preserve">adequate tracking of the </w:t>
      </w:r>
      <w:r w:rsidR="00F22F53">
        <w:rPr>
          <w:color w:val="000000"/>
          <w:lang w:val="en-GB"/>
        </w:rPr>
        <w:t>p</w:t>
      </w:r>
      <w:r w:rsidR="00F22F53" w:rsidRPr="008941BB">
        <w:rPr>
          <w:color w:val="000000"/>
          <w:lang w:val="en-GB"/>
        </w:rPr>
        <w:t>rogram</w:t>
      </w:r>
      <w:r w:rsidR="00F22F53">
        <w:rPr>
          <w:color w:val="000000"/>
          <w:lang w:val="en-GB"/>
        </w:rPr>
        <w:t>me</w:t>
      </w:r>
      <w:r w:rsidRPr="008941BB">
        <w:rPr>
          <w:color w:val="000000"/>
          <w:lang w:val="en-GB"/>
        </w:rPr>
        <w:t xml:space="preserve"> contribution to gender results and to support planning and decision-making. </w:t>
      </w:r>
      <w:r w:rsidR="0041061C" w:rsidRPr="008941BB">
        <w:rPr>
          <w:color w:val="000000"/>
          <w:lang w:val="en-GB"/>
        </w:rPr>
        <w:t>Although the explicit resources for gender are contained in th</w:t>
      </w:r>
      <w:r w:rsidR="009E1F5E">
        <w:rPr>
          <w:color w:val="000000"/>
          <w:lang w:val="en-GB"/>
        </w:rPr>
        <w:t>at</w:t>
      </w:r>
      <w:r w:rsidR="0041061C" w:rsidRPr="008941BB">
        <w:rPr>
          <w:color w:val="000000"/>
          <w:lang w:val="en-GB"/>
        </w:rPr>
        <w:t xml:space="preserve"> specific outcome, gender is mainstreamed in all </w:t>
      </w:r>
      <w:r w:rsidR="00A42CE1">
        <w:rPr>
          <w:color w:val="000000"/>
          <w:lang w:val="en-GB"/>
        </w:rPr>
        <w:t>four</w:t>
      </w:r>
      <w:r w:rsidR="00A42CE1" w:rsidRPr="008941BB">
        <w:rPr>
          <w:color w:val="000000"/>
          <w:lang w:val="en-GB"/>
        </w:rPr>
        <w:t xml:space="preserve"> </w:t>
      </w:r>
      <w:r w:rsidR="0041061C" w:rsidRPr="008941BB">
        <w:rPr>
          <w:color w:val="000000"/>
          <w:lang w:val="en-GB"/>
        </w:rPr>
        <w:t xml:space="preserve">outcomes of this document, </w:t>
      </w:r>
      <w:r w:rsidR="00A42CE1">
        <w:rPr>
          <w:color w:val="000000"/>
          <w:lang w:val="en-GB"/>
        </w:rPr>
        <w:t>bringing</w:t>
      </w:r>
      <w:r w:rsidR="00A42CE1" w:rsidRPr="008941BB">
        <w:rPr>
          <w:color w:val="000000"/>
          <w:lang w:val="en-GB"/>
        </w:rPr>
        <w:t xml:space="preserve"> </w:t>
      </w:r>
      <w:r w:rsidR="0041061C" w:rsidRPr="008941BB">
        <w:rPr>
          <w:color w:val="000000"/>
          <w:lang w:val="en-GB"/>
        </w:rPr>
        <w:t xml:space="preserve">the amount dedicated to advance gender equality </w:t>
      </w:r>
      <w:r w:rsidR="009C471C" w:rsidRPr="008941BB">
        <w:rPr>
          <w:color w:val="000000"/>
          <w:lang w:val="en-GB"/>
        </w:rPr>
        <w:t>close</w:t>
      </w:r>
      <w:r w:rsidR="00AC6BF9" w:rsidRPr="008941BB">
        <w:rPr>
          <w:color w:val="000000"/>
          <w:lang w:val="en-GB"/>
        </w:rPr>
        <w:t>r</w:t>
      </w:r>
      <w:r w:rsidR="009C471C" w:rsidRPr="008941BB">
        <w:rPr>
          <w:color w:val="000000"/>
          <w:lang w:val="en-GB"/>
        </w:rPr>
        <w:t xml:space="preserve"> to the </w:t>
      </w:r>
      <w:r w:rsidR="009E1F5E">
        <w:rPr>
          <w:color w:val="000000"/>
          <w:lang w:val="en-GB"/>
        </w:rPr>
        <w:t>institutio</w:t>
      </w:r>
      <w:r w:rsidR="00A42CE1">
        <w:rPr>
          <w:color w:val="000000"/>
          <w:lang w:val="en-GB"/>
        </w:rPr>
        <w:t>nal</w:t>
      </w:r>
      <w:r w:rsidR="00A42CE1" w:rsidRPr="008941BB">
        <w:rPr>
          <w:color w:val="000000"/>
          <w:lang w:val="en-GB"/>
        </w:rPr>
        <w:t xml:space="preserve"> </w:t>
      </w:r>
      <w:r w:rsidR="009C471C" w:rsidRPr="008941BB">
        <w:rPr>
          <w:color w:val="000000"/>
          <w:lang w:val="en-GB"/>
        </w:rPr>
        <w:t>target</w:t>
      </w:r>
      <w:r w:rsidR="0041061C" w:rsidRPr="008941BB">
        <w:rPr>
          <w:color w:val="000000"/>
          <w:lang w:val="en-GB"/>
        </w:rPr>
        <w:t xml:space="preserve">. </w:t>
      </w:r>
    </w:p>
    <w:p w14:paraId="0640340C" w14:textId="5D171F92"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Evaluations of the </w:t>
      </w:r>
      <w:r w:rsidR="00A42CE1">
        <w:rPr>
          <w:color w:val="000000"/>
          <w:lang w:val="en-GB"/>
        </w:rPr>
        <w:t>p</w:t>
      </w:r>
      <w:r w:rsidRPr="008941BB">
        <w:rPr>
          <w:color w:val="000000"/>
          <w:lang w:val="en-GB"/>
        </w:rPr>
        <w:t>rogram</w:t>
      </w:r>
      <w:r w:rsidR="002063C8" w:rsidRPr="008941BB">
        <w:rPr>
          <w:color w:val="000000"/>
          <w:lang w:val="en-GB"/>
        </w:rPr>
        <w:t>me</w:t>
      </w:r>
      <w:r w:rsidRPr="008941BB">
        <w:rPr>
          <w:color w:val="000000"/>
          <w:lang w:val="en-GB"/>
        </w:rPr>
        <w:t xml:space="preserve"> and project results will be </w:t>
      </w:r>
      <w:r w:rsidR="00A42CE1">
        <w:rPr>
          <w:color w:val="000000"/>
          <w:lang w:val="en-GB"/>
        </w:rPr>
        <w:t>undertaken</w:t>
      </w:r>
      <w:r w:rsidR="00A42CE1" w:rsidRPr="008941BB">
        <w:rPr>
          <w:color w:val="000000"/>
          <w:lang w:val="en-GB"/>
        </w:rPr>
        <w:t xml:space="preserve"> </w:t>
      </w:r>
      <w:r w:rsidR="00A42CE1">
        <w:rPr>
          <w:color w:val="000000"/>
          <w:lang w:val="en-GB"/>
        </w:rPr>
        <w:t>in</w:t>
      </w:r>
      <w:r w:rsidRPr="008941BB">
        <w:rPr>
          <w:color w:val="000000"/>
          <w:lang w:val="en-GB"/>
        </w:rPr>
        <w:t xml:space="preserve"> collaboration </w:t>
      </w:r>
      <w:r w:rsidR="00A42CE1">
        <w:rPr>
          <w:color w:val="000000"/>
          <w:lang w:val="en-GB"/>
        </w:rPr>
        <w:t xml:space="preserve">with </w:t>
      </w:r>
      <w:r w:rsidRPr="008941BB">
        <w:rPr>
          <w:color w:val="000000"/>
          <w:lang w:val="en-GB"/>
        </w:rPr>
        <w:t xml:space="preserve">national counterparts and main partners. The </w:t>
      </w:r>
      <w:r w:rsidR="00A42CE1">
        <w:rPr>
          <w:color w:val="000000"/>
          <w:lang w:val="en-GB"/>
        </w:rPr>
        <w:t>p</w:t>
      </w:r>
      <w:r w:rsidRPr="008941BB">
        <w:rPr>
          <w:color w:val="000000"/>
          <w:lang w:val="en-GB"/>
        </w:rPr>
        <w:t>rogram</w:t>
      </w:r>
      <w:r w:rsidR="00A42CE1">
        <w:rPr>
          <w:color w:val="000000"/>
          <w:lang w:val="en-GB"/>
        </w:rPr>
        <w:t>me</w:t>
      </w:r>
      <w:r w:rsidRPr="008941BB">
        <w:rPr>
          <w:color w:val="000000"/>
          <w:lang w:val="en-GB"/>
        </w:rPr>
        <w:t xml:space="preserve"> will be monitored and evaluated in coordination with the institutions </w:t>
      </w:r>
      <w:r w:rsidR="005A4ABF" w:rsidRPr="004068DA">
        <w:rPr>
          <w:color w:val="000000"/>
          <w:lang w:val="en-GB"/>
        </w:rPr>
        <w:t>involved,</w:t>
      </w:r>
      <w:r w:rsidR="009E1F5E" w:rsidRPr="004068DA">
        <w:rPr>
          <w:color w:val="000000"/>
          <w:lang w:val="en-GB"/>
        </w:rPr>
        <w:t xml:space="preserve"> </w:t>
      </w:r>
      <w:r w:rsidRPr="008941BB">
        <w:rPr>
          <w:color w:val="000000"/>
          <w:lang w:val="en-GB"/>
        </w:rPr>
        <w:t xml:space="preserve">and a budget allocation will be encouraged for the projects to fund the monitoring and evaluation processes. Partnerships with academia and civil society will be developed to create integrated information systems and implement new tools and methodologies to work with data, such as </w:t>
      </w:r>
      <w:r w:rsidR="00A42CE1">
        <w:rPr>
          <w:color w:val="000000"/>
          <w:lang w:val="en-GB"/>
        </w:rPr>
        <w:t>‘</w:t>
      </w:r>
      <w:r w:rsidRPr="008941BB">
        <w:rPr>
          <w:color w:val="000000"/>
          <w:lang w:val="en-GB"/>
        </w:rPr>
        <w:t>Big Data</w:t>
      </w:r>
      <w:r w:rsidR="00A42CE1">
        <w:rPr>
          <w:color w:val="000000"/>
          <w:lang w:val="en-GB"/>
        </w:rPr>
        <w:t>’</w:t>
      </w:r>
      <w:r w:rsidRPr="008941BB">
        <w:rPr>
          <w:color w:val="000000"/>
          <w:lang w:val="en-GB"/>
        </w:rPr>
        <w:t xml:space="preserve"> or </w:t>
      </w:r>
      <w:r w:rsidR="00A42CE1">
        <w:rPr>
          <w:color w:val="000000"/>
          <w:lang w:val="en-GB"/>
        </w:rPr>
        <w:t>a</w:t>
      </w:r>
      <w:r w:rsidRPr="008941BB">
        <w:rPr>
          <w:color w:val="000000"/>
          <w:lang w:val="en-GB"/>
        </w:rPr>
        <w:t xml:space="preserve">rtificial </w:t>
      </w:r>
      <w:r w:rsidR="00A42CE1">
        <w:rPr>
          <w:color w:val="000000"/>
          <w:lang w:val="en-GB"/>
        </w:rPr>
        <w:t>i</w:t>
      </w:r>
      <w:r w:rsidRPr="008941BB">
        <w:rPr>
          <w:color w:val="000000"/>
          <w:lang w:val="en-GB"/>
        </w:rPr>
        <w:t>ntelligence.</w:t>
      </w:r>
    </w:p>
    <w:p w14:paraId="68195752" w14:textId="78419745" w:rsidR="000624AC" w:rsidRPr="008941BB" w:rsidRDefault="000624AC" w:rsidP="00FB53BF">
      <w:pPr>
        <w:pStyle w:val="ListParagraph"/>
        <w:numPr>
          <w:ilvl w:val="0"/>
          <w:numId w:val="40"/>
        </w:numPr>
        <w:tabs>
          <w:tab w:val="left" w:pos="1440"/>
        </w:tabs>
        <w:spacing w:after="120"/>
        <w:ind w:left="1166" w:right="1210" w:firstLine="0"/>
        <w:jc w:val="both"/>
        <w:rPr>
          <w:color w:val="000000"/>
          <w:lang w:val="en-GB"/>
        </w:rPr>
      </w:pPr>
      <w:r w:rsidRPr="008941BB">
        <w:rPr>
          <w:color w:val="000000"/>
          <w:lang w:val="en-GB"/>
        </w:rPr>
        <w:t xml:space="preserve">The evaluation plan of the </w:t>
      </w:r>
      <w:r w:rsidR="00A42CE1">
        <w:rPr>
          <w:color w:val="000000"/>
          <w:lang w:val="en-GB"/>
        </w:rPr>
        <w:t>p</w:t>
      </w:r>
      <w:r w:rsidRPr="008941BB">
        <w:rPr>
          <w:color w:val="000000"/>
          <w:lang w:val="en-GB"/>
        </w:rPr>
        <w:t>rogram</w:t>
      </w:r>
      <w:r w:rsidR="00281818">
        <w:rPr>
          <w:color w:val="000000"/>
          <w:lang w:val="en-GB"/>
        </w:rPr>
        <w:t>me</w:t>
      </w:r>
      <w:r w:rsidRPr="008941BB">
        <w:rPr>
          <w:color w:val="000000"/>
          <w:lang w:val="en-GB"/>
        </w:rPr>
        <w:t xml:space="preserve"> and its project portfolio </w:t>
      </w:r>
      <w:r w:rsidR="009E1F5E">
        <w:rPr>
          <w:color w:val="000000"/>
          <w:lang w:val="en-GB"/>
        </w:rPr>
        <w:t>include</w:t>
      </w:r>
      <w:r w:rsidR="009E1F5E" w:rsidRPr="008941BB">
        <w:rPr>
          <w:color w:val="000000"/>
          <w:lang w:val="en-GB"/>
        </w:rPr>
        <w:t xml:space="preserve">s </w:t>
      </w:r>
      <w:r w:rsidRPr="008941BB">
        <w:rPr>
          <w:color w:val="000000"/>
          <w:lang w:val="en-GB"/>
        </w:rPr>
        <w:t>a knowledge management strategy to promote institutional learning and improve project effectiveness and efficiency. Th</w:t>
      </w:r>
      <w:r w:rsidR="009E1F5E">
        <w:rPr>
          <w:color w:val="000000"/>
          <w:lang w:val="en-GB"/>
        </w:rPr>
        <w:t>e</w:t>
      </w:r>
      <w:r w:rsidRPr="008941BB">
        <w:rPr>
          <w:color w:val="000000"/>
          <w:lang w:val="en-GB"/>
        </w:rPr>
        <w:t xml:space="preserve"> strategy considers systematization of lessons learned, risks and issues identified </w:t>
      </w:r>
      <w:r w:rsidR="00A42CE1">
        <w:rPr>
          <w:color w:val="000000"/>
          <w:lang w:val="en-GB"/>
        </w:rPr>
        <w:t>during</w:t>
      </w:r>
      <w:r w:rsidR="00A42CE1" w:rsidRPr="008941BB">
        <w:rPr>
          <w:color w:val="000000"/>
          <w:lang w:val="en-GB"/>
        </w:rPr>
        <w:t xml:space="preserve"> </w:t>
      </w:r>
      <w:r w:rsidRPr="008941BB">
        <w:rPr>
          <w:color w:val="000000"/>
          <w:lang w:val="en-GB"/>
        </w:rPr>
        <w:t xml:space="preserve">project implementation, key information, and evaluation and accountability tools. A results-based communication strategy will be developed to help UNDP positioning in </w:t>
      </w:r>
      <w:bookmarkEnd w:id="0"/>
      <w:bookmarkEnd w:id="1"/>
      <w:r w:rsidR="009E1F5E">
        <w:rPr>
          <w:color w:val="000000"/>
          <w:lang w:val="en-GB"/>
        </w:rPr>
        <w:t>Chile</w:t>
      </w:r>
      <w:r w:rsidRPr="008941BB">
        <w:rPr>
          <w:color w:val="000000"/>
          <w:lang w:val="en-GB"/>
        </w:rPr>
        <w:t>.</w:t>
      </w:r>
    </w:p>
    <w:p w14:paraId="2F37D003" w14:textId="77777777" w:rsidR="00114CF4" w:rsidRPr="008941BB" w:rsidRDefault="00114CF4" w:rsidP="002920DE">
      <w:pPr>
        <w:pBdr>
          <w:top w:val="none" w:sz="0" w:space="0" w:color="7F9698"/>
          <w:left w:val="none" w:sz="0" w:space="0" w:color="7F9698"/>
          <w:bottom w:val="none" w:sz="0" w:space="0" w:color="7F9698"/>
          <w:right w:val="none" w:sz="0" w:space="0" w:color="7F9698"/>
        </w:pBdr>
        <w:tabs>
          <w:tab w:val="left" w:pos="851"/>
        </w:tabs>
        <w:spacing w:after="120"/>
        <w:ind w:left="1080" w:right="1195"/>
        <w:jc w:val="both"/>
        <w:rPr>
          <w:color w:val="000000"/>
          <w:lang w:val="en-GB"/>
        </w:rPr>
      </w:pPr>
    </w:p>
    <w:p w14:paraId="0B33DA29" w14:textId="77777777" w:rsidR="002920DE" w:rsidRPr="008941BB" w:rsidRDefault="002920DE" w:rsidP="002920DE">
      <w:pPr>
        <w:pBdr>
          <w:top w:val="none" w:sz="0" w:space="0" w:color="7F9698"/>
          <w:left w:val="none" w:sz="0" w:space="0" w:color="7F9698"/>
          <w:bottom w:val="none" w:sz="0" w:space="0" w:color="7F9698"/>
          <w:right w:val="none" w:sz="0" w:space="0" w:color="7F9698"/>
        </w:pBdr>
        <w:tabs>
          <w:tab w:val="left" w:pos="851"/>
        </w:tabs>
        <w:spacing w:after="120"/>
        <w:ind w:left="1080" w:right="1195"/>
        <w:jc w:val="both"/>
        <w:rPr>
          <w:color w:val="000000"/>
          <w:lang w:val="en-GB"/>
        </w:rPr>
      </w:pPr>
    </w:p>
    <w:p w14:paraId="5F450CEB" w14:textId="77777777" w:rsidR="002920DE" w:rsidRPr="008941BB" w:rsidRDefault="002920DE" w:rsidP="002920DE">
      <w:pPr>
        <w:pBdr>
          <w:top w:val="none" w:sz="0" w:space="0" w:color="7F9698"/>
          <w:left w:val="none" w:sz="0" w:space="0" w:color="7F9698"/>
          <w:bottom w:val="none" w:sz="0" w:space="0" w:color="7F9698"/>
          <w:right w:val="none" w:sz="0" w:space="0" w:color="7F9698"/>
        </w:pBdr>
        <w:tabs>
          <w:tab w:val="left" w:pos="851"/>
        </w:tabs>
        <w:spacing w:after="120"/>
        <w:ind w:left="1080" w:right="1195"/>
        <w:jc w:val="both"/>
        <w:rPr>
          <w:color w:val="000000"/>
          <w:lang w:val="en-GB"/>
        </w:rPr>
        <w:sectPr w:rsidR="002920DE" w:rsidRPr="008941BB" w:rsidSect="00C4319B">
          <w:headerReference w:type="even" r:id="rId19"/>
          <w:footerReference w:type="even" r:id="rId20"/>
          <w:footerReference w:type="default" r:id="rId21"/>
          <w:pgSz w:w="12240" w:h="15840"/>
          <w:pgMar w:top="1166" w:right="1196" w:bottom="1440" w:left="1196" w:header="720" w:footer="720" w:gutter="0"/>
          <w:cols w:space="720"/>
          <w:docGrid w:linePitch="272"/>
        </w:sectPr>
      </w:pPr>
    </w:p>
    <w:p w14:paraId="770D6BC9" w14:textId="77777777" w:rsidR="00C853CA" w:rsidRPr="008941BB" w:rsidRDefault="00207494" w:rsidP="00C853CA">
      <w:pPr>
        <w:pStyle w:val="Heading4"/>
        <w:spacing w:after="120"/>
        <w:rPr>
          <w:rFonts w:ascii="Times New Roman" w:hAnsi="Times New Roman"/>
          <w:bCs/>
          <w:color w:val="000000"/>
          <w:sz w:val="24"/>
          <w:szCs w:val="24"/>
          <w:lang w:val="en-GB"/>
        </w:rPr>
      </w:pPr>
      <w:r w:rsidRPr="008941BB">
        <w:rPr>
          <w:rFonts w:ascii="Times New Roman" w:hAnsi="Times New Roman"/>
          <w:bCs/>
          <w:color w:val="000000"/>
          <w:sz w:val="24"/>
          <w:szCs w:val="24"/>
          <w:lang w:val="en-GB"/>
        </w:rPr>
        <w:lastRenderedPageBreak/>
        <w:t>Annex</w:t>
      </w:r>
      <w:r w:rsidR="00892A8B" w:rsidRPr="008941BB">
        <w:rPr>
          <w:rFonts w:ascii="Times New Roman" w:hAnsi="Times New Roman"/>
          <w:bCs/>
          <w:color w:val="000000"/>
          <w:sz w:val="24"/>
          <w:szCs w:val="24"/>
          <w:lang w:val="en-GB"/>
        </w:rPr>
        <w:t xml:space="preserve">. </w:t>
      </w:r>
      <w:r w:rsidRPr="008941BB">
        <w:rPr>
          <w:rFonts w:ascii="Times New Roman" w:hAnsi="Times New Roman"/>
          <w:bCs/>
          <w:color w:val="000000"/>
          <w:sz w:val="24"/>
          <w:szCs w:val="24"/>
          <w:lang w:val="en-GB"/>
        </w:rPr>
        <w:t>Results and resources framework</w:t>
      </w:r>
      <w:r w:rsidRPr="008941BB">
        <w:rPr>
          <w:rFonts w:ascii="Times New Roman" w:hAnsi="Times New Roman"/>
          <w:bCs/>
          <w:i/>
          <w:color w:val="000000"/>
          <w:sz w:val="24"/>
          <w:szCs w:val="24"/>
          <w:lang w:val="en-GB"/>
        </w:rPr>
        <w:t xml:space="preserve"> </w:t>
      </w:r>
      <w:r w:rsidRPr="008941BB">
        <w:rPr>
          <w:rFonts w:ascii="Times New Roman" w:hAnsi="Times New Roman"/>
          <w:bCs/>
          <w:color w:val="000000"/>
          <w:sz w:val="24"/>
          <w:szCs w:val="24"/>
          <w:lang w:val="en-GB"/>
        </w:rPr>
        <w:t>for Chile</w:t>
      </w:r>
      <w:r w:rsidR="002920DE" w:rsidRPr="008941BB">
        <w:rPr>
          <w:rFonts w:ascii="Times New Roman" w:hAnsi="Times New Roman"/>
          <w:bCs/>
          <w:color w:val="000000"/>
          <w:sz w:val="24"/>
          <w:szCs w:val="24"/>
          <w:lang w:val="en-GB"/>
        </w:rPr>
        <w:t xml:space="preserve"> (2019-2022)</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01"/>
        <w:gridCol w:w="174"/>
        <w:gridCol w:w="1939"/>
        <w:gridCol w:w="45"/>
        <w:gridCol w:w="3965"/>
        <w:gridCol w:w="87"/>
        <w:gridCol w:w="2321"/>
        <w:gridCol w:w="24"/>
        <w:gridCol w:w="1731"/>
        <w:gridCol w:w="87"/>
      </w:tblGrid>
      <w:tr w:rsidR="00C853CA" w:rsidRPr="00172A7A" w14:paraId="13104E6D" w14:textId="77777777" w:rsidTr="00892A8B">
        <w:trPr>
          <w:gridAfter w:val="1"/>
          <w:wAfter w:w="33" w:type="pct"/>
          <w:trHeight w:val="25"/>
        </w:trPr>
        <w:tc>
          <w:tcPr>
            <w:tcW w:w="4967" w:type="pct"/>
            <w:gridSpan w:val="9"/>
            <w:shd w:val="clear" w:color="auto" w:fill="auto"/>
            <w:tcMar>
              <w:top w:w="72" w:type="dxa"/>
              <w:left w:w="144" w:type="dxa"/>
              <w:bottom w:w="72" w:type="dxa"/>
              <w:right w:w="144" w:type="dxa"/>
            </w:tcMar>
          </w:tcPr>
          <w:p w14:paraId="58ECE4BF" w14:textId="0EE61C4E" w:rsidR="00C853CA" w:rsidRPr="008941BB" w:rsidRDefault="00220598" w:rsidP="004836EC">
            <w:pPr>
              <w:rPr>
                <w:color w:val="000000"/>
                <w:sz w:val="18"/>
                <w:szCs w:val="18"/>
                <w:lang w:val="en-GB"/>
              </w:rPr>
            </w:pPr>
            <w:bookmarkStart w:id="3" w:name="_Hlk521339345"/>
            <w:bookmarkStart w:id="4" w:name="_Hlk521338498"/>
            <w:r w:rsidRPr="00087A83">
              <w:rPr>
                <w:b/>
                <w:bCs/>
                <w:color w:val="000000"/>
                <w:sz w:val="18"/>
                <w:szCs w:val="18"/>
                <w:lang w:val="en-GB"/>
              </w:rPr>
              <w:t>National priority</w:t>
            </w:r>
            <w:r w:rsidR="00C853CA" w:rsidRPr="008941BB">
              <w:rPr>
                <w:b/>
                <w:bCs/>
                <w:color w:val="000000"/>
                <w:sz w:val="18"/>
                <w:szCs w:val="18"/>
                <w:lang w:val="en-GB"/>
              </w:rPr>
              <w:t xml:space="preserve">: </w:t>
            </w:r>
            <w:r w:rsidR="00BA3ACF">
              <w:rPr>
                <w:b/>
                <w:bCs/>
                <w:color w:val="000000"/>
                <w:sz w:val="18"/>
                <w:szCs w:val="18"/>
                <w:lang w:val="en-GB"/>
              </w:rPr>
              <w:t>Sustainable development goals (</w:t>
            </w:r>
            <w:r w:rsidR="00C853CA" w:rsidRPr="008941BB">
              <w:rPr>
                <w:b/>
                <w:sz w:val="18"/>
                <w:szCs w:val="18"/>
                <w:lang w:val="en-GB"/>
              </w:rPr>
              <w:t>SDGs</w:t>
            </w:r>
            <w:r w:rsidR="00BA3ACF">
              <w:rPr>
                <w:b/>
                <w:sz w:val="18"/>
                <w:szCs w:val="18"/>
                <w:lang w:val="en-GB"/>
              </w:rPr>
              <w:t>)</w:t>
            </w:r>
            <w:r w:rsidR="00C853CA" w:rsidRPr="008941BB">
              <w:rPr>
                <w:b/>
                <w:sz w:val="18"/>
                <w:szCs w:val="18"/>
                <w:lang w:val="en-GB"/>
              </w:rPr>
              <w:t xml:space="preserve"> 1, 4, 5, 8, 9, 10, 11</w:t>
            </w:r>
            <w:r>
              <w:rPr>
                <w:b/>
                <w:sz w:val="18"/>
                <w:szCs w:val="18"/>
                <w:lang w:val="en-GB"/>
              </w:rPr>
              <w:t xml:space="preserve"> and</w:t>
            </w:r>
            <w:r w:rsidR="00C853CA" w:rsidRPr="008941BB">
              <w:rPr>
                <w:b/>
                <w:sz w:val="18"/>
                <w:szCs w:val="18"/>
                <w:lang w:val="en-GB"/>
              </w:rPr>
              <w:t xml:space="preserve"> 17</w:t>
            </w:r>
          </w:p>
        </w:tc>
      </w:tr>
      <w:tr w:rsidR="00C853CA" w:rsidRPr="00172A7A" w14:paraId="7B519FA9" w14:textId="77777777" w:rsidTr="00892A8B">
        <w:trPr>
          <w:gridAfter w:val="1"/>
          <w:wAfter w:w="33" w:type="pct"/>
          <w:trHeight w:val="124"/>
        </w:trPr>
        <w:tc>
          <w:tcPr>
            <w:tcW w:w="4967" w:type="pct"/>
            <w:gridSpan w:val="9"/>
            <w:shd w:val="clear" w:color="auto" w:fill="auto"/>
            <w:tcMar>
              <w:top w:w="72" w:type="dxa"/>
              <w:left w:w="144" w:type="dxa"/>
              <w:bottom w:w="72" w:type="dxa"/>
              <w:right w:w="144" w:type="dxa"/>
            </w:tcMar>
          </w:tcPr>
          <w:p w14:paraId="739D79AC" w14:textId="3EC6402A" w:rsidR="00C853CA" w:rsidRPr="008941BB" w:rsidRDefault="009957C2" w:rsidP="009957C2">
            <w:pPr>
              <w:rPr>
                <w:b/>
                <w:bCs/>
                <w:color w:val="000000"/>
                <w:sz w:val="18"/>
                <w:szCs w:val="18"/>
                <w:lang w:val="en-GB"/>
              </w:rPr>
            </w:pPr>
            <w:r w:rsidRPr="008941BB">
              <w:rPr>
                <w:b/>
                <w:color w:val="000000"/>
                <w:lang w:val="en-GB"/>
              </w:rPr>
              <w:t>United Nations Development Assistance Framework</w:t>
            </w:r>
            <w:r w:rsidRPr="008941BB">
              <w:rPr>
                <w:color w:val="000000"/>
                <w:lang w:val="en-GB"/>
              </w:rPr>
              <w:t xml:space="preserve"> (</w:t>
            </w:r>
            <w:r w:rsidR="00C853CA" w:rsidRPr="008941BB">
              <w:rPr>
                <w:b/>
                <w:bCs/>
                <w:color w:val="000000"/>
                <w:sz w:val="18"/>
                <w:szCs w:val="18"/>
                <w:lang w:val="en-GB"/>
              </w:rPr>
              <w:t>UNDAF</w:t>
            </w:r>
            <w:r w:rsidRPr="008941BB">
              <w:rPr>
                <w:b/>
                <w:bCs/>
                <w:color w:val="000000"/>
                <w:sz w:val="18"/>
                <w:szCs w:val="18"/>
                <w:lang w:val="en-GB"/>
              </w:rPr>
              <w:t>)</w:t>
            </w:r>
            <w:r w:rsidR="00C853CA" w:rsidRPr="008941BB">
              <w:rPr>
                <w:b/>
                <w:bCs/>
                <w:color w:val="000000"/>
                <w:sz w:val="18"/>
                <w:szCs w:val="18"/>
                <w:lang w:val="en-GB"/>
              </w:rPr>
              <w:t xml:space="preserve"> </w:t>
            </w:r>
            <w:r w:rsidRPr="008941BB">
              <w:rPr>
                <w:b/>
                <w:bCs/>
                <w:color w:val="000000"/>
                <w:sz w:val="18"/>
                <w:szCs w:val="18"/>
                <w:lang w:val="en-GB"/>
              </w:rPr>
              <w:t>outcome</w:t>
            </w:r>
            <w:r w:rsidR="00C853CA" w:rsidRPr="008941BB">
              <w:rPr>
                <w:b/>
                <w:bCs/>
                <w:color w:val="000000"/>
                <w:sz w:val="18"/>
                <w:szCs w:val="18"/>
                <w:lang w:val="en-GB"/>
              </w:rPr>
              <w:t>: By 2022, institutions and so</w:t>
            </w:r>
            <w:r w:rsidR="00CB5044" w:rsidRPr="008941BB">
              <w:rPr>
                <w:b/>
                <w:bCs/>
                <w:color w:val="000000"/>
                <w:sz w:val="18"/>
                <w:szCs w:val="18"/>
                <w:lang w:val="en-GB"/>
              </w:rPr>
              <w:t>cial actors work cross-sectoral</w:t>
            </w:r>
            <w:r w:rsidR="00C853CA" w:rsidRPr="008941BB">
              <w:rPr>
                <w:b/>
                <w:bCs/>
                <w:color w:val="000000"/>
                <w:sz w:val="18"/>
                <w:szCs w:val="18"/>
                <w:lang w:val="en-GB"/>
              </w:rPr>
              <w:t xml:space="preserve"> to develop and implement public policies that address inequality, vulnerability and social exclusion issues </w:t>
            </w:r>
          </w:p>
        </w:tc>
      </w:tr>
      <w:tr w:rsidR="00C853CA" w:rsidRPr="00172A7A" w14:paraId="5E0606E6" w14:textId="77777777" w:rsidTr="00892A8B">
        <w:trPr>
          <w:gridAfter w:val="1"/>
          <w:wAfter w:w="33" w:type="pct"/>
          <w:trHeight w:val="124"/>
        </w:trPr>
        <w:tc>
          <w:tcPr>
            <w:tcW w:w="4967" w:type="pct"/>
            <w:gridSpan w:val="9"/>
            <w:shd w:val="clear" w:color="auto" w:fill="auto"/>
            <w:tcMar>
              <w:top w:w="72" w:type="dxa"/>
              <w:left w:w="144" w:type="dxa"/>
              <w:bottom w:w="72" w:type="dxa"/>
              <w:right w:w="144" w:type="dxa"/>
            </w:tcMar>
          </w:tcPr>
          <w:p w14:paraId="0567110E" w14:textId="2C3AE67C" w:rsidR="00C853CA" w:rsidRPr="008941BB" w:rsidRDefault="00C853CA" w:rsidP="009957C2">
            <w:pPr>
              <w:rPr>
                <w:b/>
                <w:bCs/>
                <w:color w:val="000000"/>
                <w:sz w:val="18"/>
                <w:szCs w:val="18"/>
                <w:lang w:val="en-GB"/>
              </w:rPr>
            </w:pPr>
            <w:r w:rsidRPr="008941BB">
              <w:rPr>
                <w:b/>
                <w:bCs/>
                <w:color w:val="000000"/>
                <w:sz w:val="18"/>
                <w:szCs w:val="18"/>
                <w:lang w:val="en-GB"/>
              </w:rPr>
              <w:t>S</w:t>
            </w:r>
            <w:r w:rsidR="009957C2" w:rsidRPr="008941BB">
              <w:rPr>
                <w:b/>
                <w:bCs/>
                <w:color w:val="000000"/>
                <w:sz w:val="18"/>
                <w:szCs w:val="18"/>
                <w:lang w:val="en-GB"/>
              </w:rPr>
              <w:t>trategic Plan,</w:t>
            </w:r>
            <w:r w:rsidRPr="008941BB">
              <w:rPr>
                <w:b/>
                <w:bCs/>
                <w:color w:val="000000"/>
                <w:sz w:val="18"/>
                <w:szCs w:val="18"/>
                <w:lang w:val="en-GB"/>
              </w:rPr>
              <w:t xml:space="preserve"> 2018-2</w:t>
            </w:r>
            <w:r w:rsidR="00CB5044" w:rsidRPr="008941BB">
              <w:rPr>
                <w:b/>
                <w:bCs/>
                <w:color w:val="000000"/>
                <w:sz w:val="18"/>
                <w:szCs w:val="18"/>
                <w:lang w:val="en-GB"/>
              </w:rPr>
              <w:t xml:space="preserve">021 </w:t>
            </w:r>
            <w:r w:rsidR="009957C2" w:rsidRPr="008941BB">
              <w:rPr>
                <w:b/>
                <w:bCs/>
                <w:color w:val="000000"/>
                <w:sz w:val="18"/>
                <w:szCs w:val="18"/>
                <w:lang w:val="en-GB"/>
              </w:rPr>
              <w:t>outcome</w:t>
            </w:r>
            <w:r w:rsidR="00CB5044" w:rsidRPr="008941BB">
              <w:rPr>
                <w:b/>
                <w:bCs/>
                <w:color w:val="000000"/>
                <w:sz w:val="18"/>
                <w:szCs w:val="18"/>
                <w:lang w:val="en-GB"/>
              </w:rPr>
              <w:t>: Advance poverty er</w:t>
            </w:r>
            <w:r w:rsidRPr="008941BB">
              <w:rPr>
                <w:b/>
                <w:bCs/>
                <w:color w:val="000000"/>
                <w:sz w:val="18"/>
                <w:szCs w:val="18"/>
                <w:lang w:val="en-GB"/>
              </w:rPr>
              <w:t>adication in all its forms and dimensions</w:t>
            </w:r>
          </w:p>
        </w:tc>
      </w:tr>
      <w:tr w:rsidR="00C853CA" w:rsidRPr="00172A7A" w14:paraId="71575287" w14:textId="77777777" w:rsidTr="00892A8B">
        <w:trPr>
          <w:gridAfter w:val="1"/>
          <w:wAfter w:w="33" w:type="pct"/>
          <w:trHeight w:val="322"/>
        </w:trPr>
        <w:tc>
          <w:tcPr>
            <w:tcW w:w="1063" w:type="pct"/>
            <w:shd w:val="clear" w:color="auto" w:fill="auto"/>
            <w:tcMar>
              <w:top w:w="72" w:type="dxa"/>
              <w:left w:w="144" w:type="dxa"/>
              <w:bottom w:w="72" w:type="dxa"/>
              <w:right w:w="144" w:type="dxa"/>
            </w:tcMar>
            <w:vAlign w:val="center"/>
          </w:tcPr>
          <w:p w14:paraId="284383F7" w14:textId="77777777" w:rsidR="00C853CA" w:rsidRPr="008941BB" w:rsidRDefault="00207494" w:rsidP="00892A8B">
            <w:pPr>
              <w:jc w:val="center"/>
              <w:rPr>
                <w:color w:val="000000"/>
                <w:sz w:val="18"/>
                <w:szCs w:val="18"/>
                <w:lang w:val="en-GB"/>
              </w:rPr>
            </w:pPr>
            <w:r w:rsidRPr="008941BB">
              <w:rPr>
                <w:b/>
                <w:bCs/>
                <w:color w:val="000000"/>
                <w:sz w:val="18"/>
                <w:szCs w:val="18"/>
                <w:lang w:val="en-GB"/>
              </w:rPr>
              <w:t>UNDAF outcome, indicators baselines, targets</w:t>
            </w:r>
          </w:p>
        </w:tc>
        <w:tc>
          <w:tcPr>
            <w:tcW w:w="802" w:type="pct"/>
            <w:gridSpan w:val="2"/>
            <w:shd w:val="clear" w:color="auto" w:fill="auto"/>
            <w:vAlign w:val="center"/>
          </w:tcPr>
          <w:p w14:paraId="412A6F7A" w14:textId="77777777" w:rsidR="00C853CA" w:rsidRPr="008941BB" w:rsidRDefault="00207494" w:rsidP="00892A8B">
            <w:pPr>
              <w:jc w:val="center"/>
              <w:rPr>
                <w:b/>
                <w:color w:val="000000"/>
                <w:sz w:val="18"/>
                <w:szCs w:val="18"/>
                <w:lang w:val="en-GB"/>
              </w:rPr>
            </w:pPr>
            <w:r w:rsidRPr="008941BB">
              <w:rPr>
                <w:b/>
                <w:color w:val="000000"/>
                <w:sz w:val="18"/>
                <w:szCs w:val="18"/>
                <w:lang w:val="en-GB"/>
              </w:rPr>
              <w:t>Data source, frequency of data collection, responsibilities</w:t>
            </w:r>
          </w:p>
        </w:tc>
        <w:tc>
          <w:tcPr>
            <w:tcW w:w="1555" w:type="pct"/>
            <w:gridSpan w:val="3"/>
            <w:shd w:val="clear" w:color="auto" w:fill="auto"/>
            <w:tcMar>
              <w:top w:w="72" w:type="dxa"/>
              <w:left w:w="144" w:type="dxa"/>
              <w:bottom w:w="72" w:type="dxa"/>
              <w:right w:w="144" w:type="dxa"/>
            </w:tcMar>
            <w:vAlign w:val="center"/>
          </w:tcPr>
          <w:p w14:paraId="14035F82" w14:textId="77777777" w:rsidR="00C853CA" w:rsidRPr="008941BB" w:rsidRDefault="00207494" w:rsidP="00892A8B">
            <w:pPr>
              <w:jc w:val="center"/>
              <w:rPr>
                <w:color w:val="000000"/>
                <w:sz w:val="18"/>
                <w:szCs w:val="18"/>
                <w:lang w:val="en-GB"/>
              </w:rPr>
            </w:pPr>
            <w:r w:rsidRPr="008941BB">
              <w:rPr>
                <w:b/>
                <w:bCs/>
                <w:color w:val="000000"/>
                <w:sz w:val="18"/>
                <w:szCs w:val="18"/>
                <w:lang w:val="en-GB"/>
              </w:rPr>
              <w:t>Indicative outputs</w:t>
            </w:r>
          </w:p>
        </w:tc>
        <w:tc>
          <w:tcPr>
            <w:tcW w:w="890" w:type="pct"/>
            <w:gridSpan w:val="2"/>
            <w:shd w:val="clear" w:color="auto" w:fill="auto"/>
            <w:vAlign w:val="center"/>
          </w:tcPr>
          <w:p w14:paraId="6073BCF1" w14:textId="6AA8E98D" w:rsidR="00C853CA" w:rsidRPr="00172A7A" w:rsidRDefault="00207494" w:rsidP="00892A8B">
            <w:pPr>
              <w:jc w:val="center"/>
              <w:rPr>
                <w:b/>
                <w:bCs/>
                <w:color w:val="000000"/>
                <w:sz w:val="18"/>
                <w:szCs w:val="18"/>
                <w:lang w:val="en-GB"/>
              </w:rPr>
            </w:pPr>
            <w:r w:rsidRPr="00172A7A">
              <w:rPr>
                <w:b/>
                <w:bCs/>
                <w:color w:val="000000"/>
                <w:sz w:val="18"/>
                <w:szCs w:val="18"/>
                <w:lang w:val="en-GB"/>
              </w:rPr>
              <w:t>Partnerships/frameworks</w:t>
            </w:r>
          </w:p>
          <w:p w14:paraId="532444AA" w14:textId="77777777" w:rsidR="00C853CA" w:rsidRPr="00172A7A" w:rsidRDefault="00C853CA" w:rsidP="00892A8B">
            <w:pPr>
              <w:jc w:val="center"/>
              <w:rPr>
                <w:b/>
                <w:bCs/>
                <w:color w:val="000000"/>
                <w:sz w:val="18"/>
                <w:szCs w:val="18"/>
                <w:lang w:val="en-GB"/>
              </w:rPr>
            </w:pPr>
          </w:p>
        </w:tc>
        <w:tc>
          <w:tcPr>
            <w:tcW w:w="657" w:type="pct"/>
            <w:shd w:val="clear" w:color="auto" w:fill="auto"/>
            <w:tcMar>
              <w:top w:w="15" w:type="dxa"/>
              <w:left w:w="108" w:type="dxa"/>
              <w:bottom w:w="0" w:type="dxa"/>
              <w:right w:w="108" w:type="dxa"/>
            </w:tcMar>
            <w:vAlign w:val="center"/>
          </w:tcPr>
          <w:p w14:paraId="316B02CD" w14:textId="77777777" w:rsidR="00C853CA" w:rsidRPr="008941BB" w:rsidRDefault="00207494" w:rsidP="00892A8B">
            <w:pPr>
              <w:jc w:val="center"/>
              <w:rPr>
                <w:i/>
                <w:color w:val="0000FF"/>
                <w:sz w:val="18"/>
                <w:szCs w:val="18"/>
                <w:lang w:val="en-GB"/>
              </w:rPr>
            </w:pPr>
            <w:r w:rsidRPr="008941BB">
              <w:rPr>
                <w:b/>
                <w:bCs/>
                <w:color w:val="000000"/>
                <w:sz w:val="18"/>
                <w:szCs w:val="18"/>
                <w:lang w:val="en-GB"/>
              </w:rPr>
              <w:t>Indicative resources by outcome ($)</w:t>
            </w:r>
          </w:p>
        </w:tc>
      </w:tr>
      <w:tr w:rsidR="00C853CA" w:rsidRPr="00172A7A" w14:paraId="4BC56B05" w14:textId="77777777" w:rsidTr="00207494">
        <w:trPr>
          <w:gridAfter w:val="1"/>
          <w:wAfter w:w="33" w:type="pct"/>
          <w:trHeight w:val="133"/>
        </w:trPr>
        <w:tc>
          <w:tcPr>
            <w:tcW w:w="1063" w:type="pct"/>
            <w:vMerge w:val="restart"/>
            <w:tcMar>
              <w:top w:w="72" w:type="dxa"/>
              <w:left w:w="144" w:type="dxa"/>
              <w:bottom w:w="72" w:type="dxa"/>
              <w:right w:w="144" w:type="dxa"/>
            </w:tcMar>
          </w:tcPr>
          <w:p w14:paraId="3E060000" w14:textId="77777777" w:rsidR="00C853CA" w:rsidRPr="008941BB" w:rsidRDefault="00C853CA" w:rsidP="008941BB">
            <w:pPr>
              <w:rPr>
                <w:iCs/>
                <w:sz w:val="18"/>
                <w:szCs w:val="18"/>
                <w:lang w:val="en-GB"/>
              </w:rPr>
            </w:pPr>
            <w:r w:rsidRPr="008941BB">
              <w:rPr>
                <w:iCs/>
                <w:sz w:val="18"/>
                <w:szCs w:val="18"/>
                <w:lang w:val="en-GB"/>
              </w:rPr>
              <w:t>Indicator: Income poverty rate</w:t>
            </w:r>
          </w:p>
          <w:p w14:paraId="073ADCB1" w14:textId="77777777" w:rsidR="00C853CA" w:rsidRPr="008941BB" w:rsidRDefault="00C853CA" w:rsidP="008941BB">
            <w:pPr>
              <w:rPr>
                <w:iCs/>
                <w:sz w:val="18"/>
                <w:szCs w:val="18"/>
                <w:lang w:val="en-GB"/>
              </w:rPr>
            </w:pPr>
            <w:r w:rsidRPr="008941BB">
              <w:rPr>
                <w:iCs/>
                <w:sz w:val="18"/>
                <w:szCs w:val="18"/>
                <w:lang w:val="en-GB"/>
              </w:rPr>
              <w:t xml:space="preserve">Baseline: 11,7 (2015)  </w:t>
            </w:r>
          </w:p>
          <w:p w14:paraId="783119DC" w14:textId="6D14C380" w:rsidR="00C853CA" w:rsidRPr="008941BB" w:rsidRDefault="00C853CA" w:rsidP="008941BB">
            <w:pPr>
              <w:rPr>
                <w:iCs/>
                <w:sz w:val="18"/>
                <w:szCs w:val="18"/>
                <w:lang w:val="en-GB"/>
              </w:rPr>
            </w:pPr>
            <w:r w:rsidRPr="008941BB">
              <w:rPr>
                <w:iCs/>
                <w:sz w:val="18"/>
                <w:szCs w:val="18"/>
                <w:lang w:val="en-GB"/>
              </w:rPr>
              <w:t xml:space="preserve">Target: 7,8 (Government </w:t>
            </w:r>
            <w:r w:rsidR="00A42CE1">
              <w:rPr>
                <w:iCs/>
                <w:sz w:val="18"/>
                <w:szCs w:val="18"/>
                <w:lang w:val="en-GB"/>
              </w:rPr>
              <w:t>p</w:t>
            </w:r>
            <w:r w:rsidRPr="008941BB">
              <w:rPr>
                <w:iCs/>
                <w:sz w:val="18"/>
                <w:szCs w:val="18"/>
                <w:lang w:val="en-GB"/>
              </w:rPr>
              <w:t>rogramme</w:t>
            </w:r>
            <w:r w:rsidR="00A42CE1">
              <w:rPr>
                <w:iCs/>
                <w:sz w:val="18"/>
                <w:szCs w:val="18"/>
                <w:lang w:val="en-GB"/>
              </w:rPr>
              <w:t>,</w:t>
            </w:r>
            <w:r w:rsidRPr="008941BB">
              <w:rPr>
                <w:iCs/>
                <w:sz w:val="18"/>
                <w:szCs w:val="18"/>
                <w:lang w:val="en-GB"/>
              </w:rPr>
              <w:t xml:space="preserve"> 2018-2021)</w:t>
            </w:r>
          </w:p>
          <w:p w14:paraId="0EBA0988" w14:textId="77777777" w:rsidR="00C853CA" w:rsidRPr="008941BB" w:rsidRDefault="00C853CA" w:rsidP="008941BB">
            <w:pPr>
              <w:rPr>
                <w:iCs/>
                <w:sz w:val="18"/>
                <w:szCs w:val="18"/>
                <w:lang w:val="en-GB"/>
              </w:rPr>
            </w:pPr>
          </w:p>
          <w:p w14:paraId="120C5C95" w14:textId="509CFA50" w:rsidR="00C853CA" w:rsidRPr="008941BB" w:rsidRDefault="00C853CA" w:rsidP="008941BB">
            <w:pPr>
              <w:spacing w:before="200" w:line="216" w:lineRule="auto"/>
              <w:rPr>
                <w:iCs/>
                <w:sz w:val="18"/>
                <w:szCs w:val="18"/>
                <w:lang w:val="en-GB"/>
              </w:rPr>
            </w:pPr>
            <w:r w:rsidRPr="008941BB">
              <w:rPr>
                <w:iCs/>
                <w:sz w:val="18"/>
                <w:szCs w:val="18"/>
                <w:lang w:val="en-GB"/>
              </w:rPr>
              <w:t xml:space="preserve">Indicator: Number of policies, strategies and budgets developed by institutions to address inequalities, vulnerabilities and social </w:t>
            </w:r>
            <w:r w:rsidR="00A42CE1">
              <w:rPr>
                <w:iCs/>
                <w:sz w:val="18"/>
                <w:szCs w:val="18"/>
                <w:lang w:val="en-GB"/>
              </w:rPr>
              <w:t>ex</w:t>
            </w:r>
            <w:r w:rsidRPr="008941BB">
              <w:rPr>
                <w:iCs/>
                <w:sz w:val="18"/>
                <w:szCs w:val="18"/>
                <w:lang w:val="en-GB"/>
              </w:rPr>
              <w:t>clusion</w:t>
            </w:r>
          </w:p>
          <w:p w14:paraId="7F48801D" w14:textId="77777777" w:rsidR="00C853CA" w:rsidRPr="008941BB" w:rsidRDefault="00C853CA" w:rsidP="008941BB">
            <w:pPr>
              <w:spacing w:before="200" w:line="216" w:lineRule="auto"/>
              <w:rPr>
                <w:iCs/>
                <w:sz w:val="18"/>
                <w:szCs w:val="18"/>
                <w:lang w:val="en-GB"/>
              </w:rPr>
            </w:pPr>
            <w:r w:rsidRPr="008941BB">
              <w:rPr>
                <w:iCs/>
                <w:sz w:val="18"/>
                <w:szCs w:val="18"/>
                <w:lang w:val="en-GB"/>
              </w:rPr>
              <w:t>Baseline: 1</w:t>
            </w:r>
          </w:p>
          <w:p w14:paraId="1B67DD63" w14:textId="77777777" w:rsidR="00C853CA" w:rsidRPr="008941BB" w:rsidRDefault="00C853CA" w:rsidP="008941BB">
            <w:pPr>
              <w:spacing w:before="200" w:line="216" w:lineRule="auto"/>
              <w:rPr>
                <w:iCs/>
                <w:sz w:val="18"/>
                <w:szCs w:val="18"/>
                <w:lang w:val="en-GB"/>
              </w:rPr>
            </w:pPr>
            <w:r w:rsidRPr="008941BB">
              <w:rPr>
                <w:iCs/>
                <w:sz w:val="18"/>
                <w:szCs w:val="18"/>
                <w:lang w:val="en-GB"/>
              </w:rPr>
              <w:t>Target: 3</w:t>
            </w:r>
          </w:p>
        </w:tc>
        <w:tc>
          <w:tcPr>
            <w:tcW w:w="802" w:type="pct"/>
            <w:gridSpan w:val="2"/>
            <w:vMerge w:val="restart"/>
          </w:tcPr>
          <w:p w14:paraId="7AA4D463" w14:textId="313BAFCC" w:rsidR="00C853CA" w:rsidRPr="008941BB" w:rsidRDefault="00AB49F1" w:rsidP="008941BB">
            <w:pPr>
              <w:rPr>
                <w:bCs/>
                <w:color w:val="000000"/>
                <w:sz w:val="18"/>
                <w:szCs w:val="18"/>
                <w:lang w:val="en-GB"/>
              </w:rPr>
            </w:pPr>
            <w:r w:rsidRPr="008941BB">
              <w:rPr>
                <w:bCs/>
                <w:color w:val="000000"/>
                <w:sz w:val="18"/>
                <w:szCs w:val="18"/>
                <w:lang w:val="en-GB"/>
              </w:rPr>
              <w:t>National Socioeconomic Characterization Survey</w:t>
            </w:r>
          </w:p>
          <w:p w14:paraId="2074C75D" w14:textId="77777777" w:rsidR="00C853CA" w:rsidRPr="008941BB" w:rsidRDefault="00C853CA" w:rsidP="008941BB">
            <w:pPr>
              <w:rPr>
                <w:bCs/>
                <w:color w:val="000000"/>
                <w:sz w:val="18"/>
                <w:szCs w:val="18"/>
                <w:lang w:val="en-GB"/>
              </w:rPr>
            </w:pPr>
            <w:r w:rsidRPr="008941BB">
              <w:rPr>
                <w:bCs/>
                <w:color w:val="000000"/>
                <w:sz w:val="18"/>
                <w:szCs w:val="18"/>
                <w:lang w:val="en-GB"/>
              </w:rPr>
              <w:t>Social Observatory</w:t>
            </w:r>
          </w:p>
          <w:p w14:paraId="3B10F5C1" w14:textId="77777777" w:rsidR="00C853CA" w:rsidRPr="008941BB" w:rsidRDefault="00C853CA" w:rsidP="008941BB">
            <w:pPr>
              <w:rPr>
                <w:bCs/>
                <w:color w:val="000000"/>
                <w:sz w:val="18"/>
                <w:szCs w:val="18"/>
                <w:lang w:val="en-GB"/>
              </w:rPr>
            </w:pPr>
            <w:r w:rsidRPr="008941BB">
              <w:rPr>
                <w:bCs/>
                <w:color w:val="000000"/>
                <w:sz w:val="18"/>
                <w:szCs w:val="18"/>
                <w:lang w:val="en-GB"/>
              </w:rPr>
              <w:t>Ministry of Social Development</w:t>
            </w:r>
          </w:p>
          <w:p w14:paraId="14B0C515" w14:textId="77777777" w:rsidR="00C853CA" w:rsidRPr="008941BB" w:rsidRDefault="00C853CA" w:rsidP="008941BB">
            <w:pPr>
              <w:rPr>
                <w:bCs/>
                <w:color w:val="000000"/>
                <w:sz w:val="18"/>
                <w:szCs w:val="18"/>
                <w:lang w:val="en-GB"/>
              </w:rPr>
            </w:pPr>
          </w:p>
          <w:p w14:paraId="5C85738B" w14:textId="77777777" w:rsidR="00C853CA" w:rsidRPr="008941BB" w:rsidRDefault="00C853CA" w:rsidP="008941BB">
            <w:pPr>
              <w:rPr>
                <w:bCs/>
                <w:color w:val="000000"/>
                <w:sz w:val="18"/>
                <w:szCs w:val="18"/>
                <w:lang w:val="en-GB"/>
              </w:rPr>
            </w:pPr>
          </w:p>
          <w:p w14:paraId="06AE8F30" w14:textId="77777777" w:rsidR="00C853CA" w:rsidRPr="008941BB" w:rsidRDefault="00C853CA" w:rsidP="008941BB">
            <w:pPr>
              <w:rPr>
                <w:b/>
                <w:bCs/>
                <w:color w:val="000000"/>
                <w:sz w:val="18"/>
                <w:szCs w:val="18"/>
                <w:lang w:val="en-GB"/>
              </w:rPr>
            </w:pPr>
            <w:r w:rsidRPr="008941BB">
              <w:rPr>
                <w:bCs/>
                <w:color w:val="000000"/>
                <w:sz w:val="18"/>
                <w:szCs w:val="18"/>
                <w:lang w:val="en-GB"/>
              </w:rPr>
              <w:t xml:space="preserve">Library of the National Congress </w:t>
            </w:r>
          </w:p>
        </w:tc>
        <w:tc>
          <w:tcPr>
            <w:tcW w:w="1555" w:type="pct"/>
            <w:gridSpan w:val="3"/>
            <w:vMerge w:val="restart"/>
            <w:tcMar>
              <w:top w:w="72" w:type="dxa"/>
              <w:left w:w="144" w:type="dxa"/>
              <w:bottom w:w="72" w:type="dxa"/>
              <w:right w:w="144" w:type="dxa"/>
            </w:tcMar>
          </w:tcPr>
          <w:p w14:paraId="71B7E94B" w14:textId="3205C330" w:rsidR="00C853CA" w:rsidRPr="008941BB" w:rsidRDefault="00C853CA" w:rsidP="004836EC">
            <w:pPr>
              <w:jc w:val="both"/>
              <w:rPr>
                <w:b/>
                <w:color w:val="000000"/>
                <w:sz w:val="18"/>
                <w:szCs w:val="18"/>
                <w:lang w:val="en-GB" w:eastAsia="es-ES"/>
              </w:rPr>
            </w:pPr>
            <w:r w:rsidRPr="008941BB">
              <w:rPr>
                <w:b/>
                <w:iCs/>
                <w:color w:val="000000"/>
                <w:sz w:val="18"/>
                <w:szCs w:val="18"/>
                <w:lang w:val="en-GB"/>
              </w:rPr>
              <w:t>1.1</w:t>
            </w:r>
            <w:r w:rsidR="00A42CE1">
              <w:rPr>
                <w:b/>
                <w:iCs/>
                <w:color w:val="000000"/>
                <w:sz w:val="18"/>
                <w:szCs w:val="18"/>
                <w:lang w:val="en-GB"/>
              </w:rPr>
              <w:t>.</w:t>
            </w:r>
            <w:r w:rsidRPr="008941BB">
              <w:rPr>
                <w:b/>
                <w:iCs/>
                <w:color w:val="000000"/>
                <w:sz w:val="18"/>
                <w:szCs w:val="18"/>
                <w:lang w:val="en-GB"/>
              </w:rPr>
              <w:t xml:space="preserve"> State capacities, at all levels, strengthened to design social policies and integral solutions to address sustainable development challenges </w:t>
            </w:r>
          </w:p>
          <w:p w14:paraId="377DDFAD" w14:textId="035A452B" w:rsidR="00C853CA" w:rsidRPr="008941BB" w:rsidRDefault="00C853CA" w:rsidP="00814105">
            <w:pPr>
              <w:spacing w:before="120"/>
              <w:jc w:val="both"/>
              <w:rPr>
                <w:b/>
                <w:color w:val="000000"/>
                <w:sz w:val="18"/>
                <w:szCs w:val="18"/>
                <w:lang w:val="en-GB" w:eastAsia="es-ES"/>
              </w:rPr>
            </w:pPr>
            <w:r w:rsidRPr="008941BB">
              <w:rPr>
                <w:color w:val="000000"/>
                <w:sz w:val="18"/>
                <w:szCs w:val="18"/>
                <w:lang w:val="en-GB" w:eastAsia="es-ES"/>
              </w:rPr>
              <w:t>Indicator 1.1.1</w:t>
            </w:r>
            <w:r w:rsidR="00A42CE1">
              <w:rPr>
                <w:color w:val="000000"/>
                <w:sz w:val="18"/>
                <w:szCs w:val="18"/>
                <w:lang w:val="en-GB" w:eastAsia="es-ES"/>
              </w:rPr>
              <w:t>.</w:t>
            </w:r>
            <w:r w:rsidRPr="008941BB">
              <w:rPr>
                <w:color w:val="000000"/>
                <w:sz w:val="18"/>
                <w:szCs w:val="18"/>
                <w:lang w:val="en-GB" w:eastAsia="es-ES"/>
              </w:rPr>
              <w:t xml:space="preserve"> Number of knowledge products and tools adopted by institutional actors for an integrated analysis and monitoring of the </w:t>
            </w:r>
            <w:r w:rsidR="00A42CE1">
              <w:rPr>
                <w:color w:val="000000"/>
                <w:sz w:val="18"/>
                <w:szCs w:val="18"/>
                <w:lang w:val="en-GB" w:eastAsia="es-ES"/>
              </w:rPr>
              <w:t>sustainable development goals</w:t>
            </w:r>
            <w:r w:rsidRPr="008941BB">
              <w:rPr>
                <w:color w:val="000000"/>
                <w:sz w:val="18"/>
                <w:szCs w:val="18"/>
                <w:lang w:val="en-GB" w:eastAsia="es-ES"/>
              </w:rPr>
              <w:t xml:space="preserve"> focusing on vulnerable groups and women </w:t>
            </w:r>
          </w:p>
          <w:p w14:paraId="72FACC62" w14:textId="77777777" w:rsidR="00C853CA" w:rsidRPr="008941BB" w:rsidRDefault="00C853CA" w:rsidP="00C4319B">
            <w:pPr>
              <w:jc w:val="both"/>
              <w:rPr>
                <w:b/>
                <w:color w:val="000000"/>
                <w:sz w:val="18"/>
                <w:szCs w:val="18"/>
                <w:lang w:val="en-GB"/>
              </w:rPr>
            </w:pPr>
            <w:r w:rsidRPr="008941BB">
              <w:rPr>
                <w:color w:val="000000"/>
                <w:sz w:val="18"/>
                <w:szCs w:val="18"/>
                <w:lang w:val="en-GB" w:eastAsia="es-ES"/>
              </w:rPr>
              <w:t>Baseline: 0</w:t>
            </w:r>
          </w:p>
          <w:p w14:paraId="1A7FB1F5" w14:textId="77777777" w:rsidR="00C853CA" w:rsidRPr="008941BB" w:rsidRDefault="00C853CA" w:rsidP="004836EC">
            <w:pPr>
              <w:jc w:val="both"/>
              <w:rPr>
                <w:color w:val="000000"/>
                <w:sz w:val="18"/>
                <w:szCs w:val="18"/>
                <w:lang w:val="en-GB" w:eastAsia="es-ES"/>
              </w:rPr>
            </w:pPr>
            <w:r w:rsidRPr="008941BB">
              <w:rPr>
                <w:color w:val="000000"/>
                <w:sz w:val="18"/>
                <w:szCs w:val="18"/>
                <w:lang w:val="en-GB" w:eastAsia="es-ES"/>
              </w:rPr>
              <w:t xml:space="preserve">Target: 2 </w:t>
            </w:r>
          </w:p>
          <w:p w14:paraId="2FDABC47" w14:textId="49CF031D" w:rsidR="00C853CA" w:rsidRPr="008941BB" w:rsidRDefault="00C853CA" w:rsidP="004836EC">
            <w:pPr>
              <w:spacing w:before="200" w:after="160" w:line="216" w:lineRule="auto"/>
              <w:jc w:val="both"/>
              <w:rPr>
                <w:b/>
                <w:color w:val="000000"/>
                <w:sz w:val="18"/>
                <w:szCs w:val="18"/>
                <w:lang w:val="en-GB" w:eastAsia="es-ES"/>
              </w:rPr>
            </w:pPr>
            <w:r w:rsidRPr="008941BB">
              <w:rPr>
                <w:b/>
                <w:color w:val="000000"/>
                <w:sz w:val="18"/>
                <w:szCs w:val="18"/>
                <w:lang w:val="en-GB" w:eastAsia="es-ES"/>
              </w:rPr>
              <w:t>1.2</w:t>
            </w:r>
            <w:r w:rsidR="00A42CE1">
              <w:rPr>
                <w:b/>
                <w:color w:val="000000"/>
                <w:sz w:val="18"/>
                <w:szCs w:val="18"/>
                <w:lang w:val="en-GB" w:eastAsia="es-ES"/>
              </w:rPr>
              <w:t>.</w:t>
            </w:r>
            <w:r w:rsidRPr="008941BB">
              <w:rPr>
                <w:b/>
                <w:color w:val="000000"/>
                <w:sz w:val="18"/>
                <w:szCs w:val="18"/>
                <w:lang w:val="en-GB" w:eastAsia="es-ES"/>
              </w:rPr>
              <w:t xml:space="preserve"> </w:t>
            </w:r>
            <w:r w:rsidR="00A42CE1">
              <w:rPr>
                <w:b/>
                <w:color w:val="000000"/>
                <w:sz w:val="18"/>
                <w:szCs w:val="18"/>
                <w:lang w:val="en-GB" w:eastAsia="es-ES"/>
              </w:rPr>
              <w:t>C</w:t>
            </w:r>
            <w:r w:rsidR="00A42CE1" w:rsidRPr="003E358C">
              <w:rPr>
                <w:b/>
                <w:color w:val="000000"/>
                <w:sz w:val="18"/>
                <w:szCs w:val="18"/>
                <w:lang w:val="en-GB" w:eastAsia="es-ES"/>
              </w:rPr>
              <w:t xml:space="preserve">oordination and integral planning capacities for sustainable development </w:t>
            </w:r>
            <w:r w:rsidR="00B52957">
              <w:rPr>
                <w:b/>
                <w:color w:val="000000"/>
                <w:sz w:val="18"/>
                <w:szCs w:val="18"/>
                <w:lang w:val="en-GB" w:eastAsia="es-ES"/>
              </w:rPr>
              <w:t xml:space="preserve">improved </w:t>
            </w:r>
            <w:r w:rsidR="00A42CE1">
              <w:rPr>
                <w:b/>
                <w:color w:val="000000"/>
                <w:sz w:val="18"/>
                <w:szCs w:val="18"/>
                <w:lang w:val="en-GB" w:eastAsia="es-ES"/>
              </w:rPr>
              <w:t>in m</w:t>
            </w:r>
            <w:r w:rsidRPr="008941BB">
              <w:rPr>
                <w:b/>
                <w:color w:val="000000"/>
                <w:sz w:val="18"/>
                <w:szCs w:val="18"/>
                <w:lang w:val="en-GB" w:eastAsia="es-ES"/>
              </w:rPr>
              <w:t xml:space="preserve">inistries and central services, subnational governments and other key actors at the local level (private sector, civil society, community-based organizations) </w:t>
            </w:r>
          </w:p>
          <w:p w14:paraId="7575B313" w14:textId="03AEF7BE" w:rsidR="00C853CA" w:rsidRPr="008941BB" w:rsidRDefault="00C853CA" w:rsidP="004836EC">
            <w:pPr>
              <w:spacing w:line="216" w:lineRule="auto"/>
              <w:jc w:val="both"/>
              <w:rPr>
                <w:b/>
                <w:color w:val="000000"/>
                <w:sz w:val="18"/>
                <w:szCs w:val="18"/>
                <w:lang w:val="en-GB" w:eastAsia="es-ES"/>
              </w:rPr>
            </w:pPr>
            <w:r w:rsidRPr="008941BB">
              <w:rPr>
                <w:color w:val="000000"/>
                <w:sz w:val="18"/>
                <w:szCs w:val="18"/>
                <w:lang w:val="en-GB" w:eastAsia="es-ES"/>
              </w:rPr>
              <w:t>Indicator 1.2.1</w:t>
            </w:r>
            <w:r w:rsidR="00B52957">
              <w:rPr>
                <w:color w:val="000000"/>
                <w:sz w:val="18"/>
                <w:szCs w:val="18"/>
                <w:lang w:val="en-GB" w:eastAsia="es-ES"/>
              </w:rPr>
              <w:t>.</w:t>
            </w:r>
            <w:r w:rsidRPr="008941BB">
              <w:rPr>
                <w:color w:val="000000"/>
                <w:sz w:val="18"/>
                <w:szCs w:val="18"/>
                <w:lang w:val="en-GB" w:eastAsia="es-ES"/>
              </w:rPr>
              <w:t xml:space="preserve"> Number of planning tools/</w:t>
            </w:r>
            <w:r w:rsidR="00087A83">
              <w:rPr>
                <w:color w:val="000000"/>
                <w:sz w:val="18"/>
                <w:szCs w:val="18"/>
                <w:lang w:val="en-GB" w:eastAsia="es-ES"/>
              </w:rPr>
              <w:t xml:space="preserve"> </w:t>
            </w:r>
            <w:r w:rsidRPr="008941BB">
              <w:rPr>
                <w:color w:val="000000"/>
                <w:sz w:val="18"/>
                <w:szCs w:val="18"/>
                <w:lang w:val="en-GB" w:eastAsia="es-ES"/>
              </w:rPr>
              <w:t xml:space="preserve">methodologies </w:t>
            </w:r>
            <w:r w:rsidR="00B52957" w:rsidRPr="008941BB">
              <w:rPr>
                <w:color w:val="000000"/>
                <w:sz w:val="18"/>
                <w:szCs w:val="18"/>
                <w:lang w:val="en-GB" w:eastAsia="es-ES"/>
              </w:rPr>
              <w:t>u</w:t>
            </w:r>
            <w:r w:rsidR="00B52957">
              <w:rPr>
                <w:color w:val="000000"/>
                <w:sz w:val="18"/>
                <w:szCs w:val="18"/>
                <w:lang w:val="en-GB" w:eastAsia="es-ES"/>
              </w:rPr>
              <w:t>s</w:t>
            </w:r>
            <w:r w:rsidR="00B52957" w:rsidRPr="008941BB">
              <w:rPr>
                <w:color w:val="000000"/>
                <w:sz w:val="18"/>
                <w:szCs w:val="18"/>
                <w:lang w:val="en-GB" w:eastAsia="es-ES"/>
              </w:rPr>
              <w:t xml:space="preserve">ed </w:t>
            </w:r>
            <w:r w:rsidRPr="008941BB">
              <w:rPr>
                <w:color w:val="000000"/>
                <w:sz w:val="18"/>
                <w:szCs w:val="18"/>
                <w:lang w:val="en-GB" w:eastAsia="es-ES"/>
              </w:rPr>
              <w:t xml:space="preserve">by public or private actors to address the challenges of the 2030 Agenda </w:t>
            </w:r>
          </w:p>
          <w:p w14:paraId="3F63E473" w14:textId="77777777" w:rsidR="00C853CA" w:rsidRPr="008941BB" w:rsidRDefault="00C853CA" w:rsidP="004836EC">
            <w:pPr>
              <w:spacing w:line="216" w:lineRule="auto"/>
              <w:jc w:val="both"/>
              <w:rPr>
                <w:color w:val="000000"/>
                <w:sz w:val="18"/>
                <w:szCs w:val="18"/>
                <w:lang w:val="en-GB" w:eastAsia="es-ES"/>
              </w:rPr>
            </w:pPr>
            <w:r w:rsidRPr="008941BB">
              <w:rPr>
                <w:color w:val="000000"/>
                <w:sz w:val="18"/>
                <w:szCs w:val="18"/>
                <w:lang w:val="en-GB" w:eastAsia="es-ES"/>
              </w:rPr>
              <w:t>Baseline: 3</w:t>
            </w:r>
          </w:p>
          <w:p w14:paraId="763FF60D" w14:textId="77777777" w:rsidR="00C853CA" w:rsidRPr="008941BB" w:rsidRDefault="00C853CA" w:rsidP="004836EC">
            <w:pPr>
              <w:spacing w:after="160" w:line="216" w:lineRule="auto"/>
              <w:jc w:val="both"/>
              <w:rPr>
                <w:b/>
                <w:color w:val="000000"/>
                <w:sz w:val="18"/>
                <w:szCs w:val="18"/>
                <w:lang w:val="en-GB" w:eastAsia="es-ES"/>
              </w:rPr>
            </w:pPr>
            <w:r w:rsidRPr="008941BB">
              <w:rPr>
                <w:color w:val="000000"/>
                <w:sz w:val="18"/>
                <w:szCs w:val="18"/>
                <w:lang w:val="en-GB" w:eastAsia="es-ES"/>
              </w:rPr>
              <w:t>Target: 4</w:t>
            </w:r>
          </w:p>
          <w:p w14:paraId="0ECF4E9B" w14:textId="6C610D50" w:rsidR="00C853CA" w:rsidRPr="008941BB" w:rsidRDefault="00C853CA" w:rsidP="004836EC">
            <w:pPr>
              <w:jc w:val="both"/>
              <w:rPr>
                <w:color w:val="000000"/>
                <w:sz w:val="18"/>
                <w:szCs w:val="18"/>
                <w:lang w:val="en-GB" w:eastAsia="es-ES"/>
              </w:rPr>
            </w:pPr>
            <w:r w:rsidRPr="008941BB">
              <w:rPr>
                <w:color w:val="000000"/>
                <w:sz w:val="18"/>
                <w:szCs w:val="18"/>
                <w:lang w:val="en-GB" w:eastAsia="es-ES"/>
              </w:rPr>
              <w:t>Indicator 1.2.2</w:t>
            </w:r>
            <w:r w:rsidR="00B52957">
              <w:rPr>
                <w:color w:val="000000"/>
                <w:sz w:val="18"/>
                <w:szCs w:val="18"/>
                <w:lang w:val="en-GB" w:eastAsia="es-ES"/>
              </w:rPr>
              <w:t>.</w:t>
            </w:r>
            <w:r w:rsidRPr="008941BB">
              <w:rPr>
                <w:color w:val="000000"/>
                <w:sz w:val="18"/>
                <w:szCs w:val="18"/>
                <w:lang w:val="en-GB" w:eastAsia="es-ES"/>
              </w:rPr>
              <w:t xml:space="preserve"> Number of actors/sectors taking part in a platform to jointly address development challenges at the territorial level </w:t>
            </w:r>
          </w:p>
          <w:p w14:paraId="420749C7" w14:textId="62489D3D" w:rsidR="00C853CA" w:rsidRPr="008941BB" w:rsidRDefault="00C853CA" w:rsidP="004836EC">
            <w:pPr>
              <w:jc w:val="both"/>
              <w:rPr>
                <w:color w:val="000000"/>
                <w:sz w:val="18"/>
                <w:szCs w:val="18"/>
                <w:lang w:val="en-GB" w:eastAsia="es-ES"/>
              </w:rPr>
            </w:pPr>
            <w:r w:rsidRPr="008941BB">
              <w:rPr>
                <w:color w:val="000000"/>
                <w:sz w:val="18"/>
                <w:szCs w:val="18"/>
                <w:lang w:val="en-GB" w:eastAsia="es-ES"/>
              </w:rPr>
              <w:t>Baseline: N</w:t>
            </w:r>
            <w:r w:rsidR="00B52957">
              <w:rPr>
                <w:color w:val="000000"/>
                <w:sz w:val="18"/>
                <w:szCs w:val="18"/>
                <w:lang w:val="en-GB" w:eastAsia="es-ES"/>
              </w:rPr>
              <w:t>ot applicable</w:t>
            </w:r>
          </w:p>
          <w:p w14:paraId="2CA63D59" w14:textId="77777777" w:rsidR="00C853CA" w:rsidRPr="008941BB" w:rsidRDefault="00C853CA" w:rsidP="004836EC">
            <w:pPr>
              <w:jc w:val="both"/>
              <w:rPr>
                <w:color w:val="000000"/>
                <w:sz w:val="18"/>
                <w:szCs w:val="18"/>
                <w:lang w:val="en-GB" w:eastAsia="es-ES"/>
              </w:rPr>
            </w:pPr>
            <w:r w:rsidRPr="008941BB">
              <w:rPr>
                <w:color w:val="000000"/>
                <w:sz w:val="18"/>
                <w:szCs w:val="18"/>
                <w:lang w:val="en-GB" w:eastAsia="es-ES"/>
              </w:rPr>
              <w:t>Target: 20</w:t>
            </w:r>
          </w:p>
          <w:p w14:paraId="008C41F3" w14:textId="77777777" w:rsidR="00C853CA" w:rsidRPr="008941BB" w:rsidRDefault="00C853CA" w:rsidP="004836EC">
            <w:pPr>
              <w:jc w:val="both"/>
              <w:rPr>
                <w:color w:val="000000"/>
                <w:sz w:val="18"/>
                <w:szCs w:val="18"/>
                <w:lang w:val="en-GB" w:eastAsia="es-ES"/>
              </w:rPr>
            </w:pPr>
          </w:p>
          <w:p w14:paraId="1FCAA6C0" w14:textId="205C94A8" w:rsidR="00C853CA" w:rsidRPr="008941BB" w:rsidRDefault="00C853CA" w:rsidP="004836EC">
            <w:pPr>
              <w:jc w:val="both"/>
              <w:rPr>
                <w:color w:val="000000"/>
                <w:sz w:val="18"/>
                <w:szCs w:val="18"/>
                <w:lang w:val="en-GB" w:eastAsia="es-ES"/>
              </w:rPr>
            </w:pPr>
            <w:r w:rsidRPr="008941BB">
              <w:rPr>
                <w:color w:val="000000"/>
                <w:sz w:val="18"/>
                <w:szCs w:val="18"/>
                <w:lang w:val="en-GB" w:eastAsia="es-ES"/>
              </w:rPr>
              <w:lastRenderedPageBreak/>
              <w:t>Indicator 1.2.3</w:t>
            </w:r>
            <w:r w:rsidR="00B52957">
              <w:rPr>
                <w:color w:val="000000"/>
                <w:sz w:val="18"/>
                <w:szCs w:val="18"/>
                <w:lang w:val="en-GB" w:eastAsia="es-ES"/>
              </w:rPr>
              <w:t>.</w:t>
            </w:r>
            <w:r w:rsidRPr="008941BB">
              <w:rPr>
                <w:color w:val="000000"/>
                <w:sz w:val="18"/>
                <w:szCs w:val="18"/>
                <w:lang w:val="en-GB" w:eastAsia="es-ES"/>
              </w:rPr>
              <w:t xml:space="preserve"> Volume of resources leveraged through financing for sustainable development at the national or subnational level (IRRF 1.2.2.2)</w:t>
            </w:r>
          </w:p>
          <w:p w14:paraId="3C6BD251" w14:textId="1ABFB119" w:rsidR="00C853CA" w:rsidRPr="008941BB" w:rsidRDefault="00C853CA" w:rsidP="004836EC">
            <w:pPr>
              <w:jc w:val="both"/>
              <w:rPr>
                <w:color w:val="000000"/>
                <w:sz w:val="18"/>
                <w:szCs w:val="18"/>
                <w:lang w:val="en-GB" w:eastAsia="es-ES"/>
              </w:rPr>
            </w:pPr>
            <w:r w:rsidRPr="008941BB">
              <w:rPr>
                <w:color w:val="000000"/>
                <w:sz w:val="18"/>
                <w:szCs w:val="18"/>
                <w:lang w:val="en-GB" w:eastAsia="es-ES"/>
              </w:rPr>
              <w:t>Baseline: N</w:t>
            </w:r>
            <w:r w:rsidR="00B52957">
              <w:rPr>
                <w:color w:val="000000"/>
                <w:sz w:val="18"/>
                <w:szCs w:val="18"/>
                <w:lang w:val="en-GB" w:eastAsia="es-ES"/>
              </w:rPr>
              <w:t>ot applicable</w:t>
            </w:r>
          </w:p>
          <w:p w14:paraId="0F70461B" w14:textId="46F9CB2C" w:rsidR="00C853CA" w:rsidRPr="008941BB" w:rsidRDefault="00C853CA" w:rsidP="004836EC">
            <w:pPr>
              <w:jc w:val="both"/>
              <w:rPr>
                <w:color w:val="000000"/>
                <w:sz w:val="18"/>
                <w:szCs w:val="18"/>
                <w:lang w:val="en-GB" w:eastAsia="es-ES"/>
              </w:rPr>
            </w:pPr>
            <w:r w:rsidRPr="008941BB">
              <w:rPr>
                <w:color w:val="000000"/>
                <w:sz w:val="18"/>
                <w:szCs w:val="18"/>
                <w:lang w:val="en-GB" w:eastAsia="es-ES"/>
              </w:rPr>
              <w:t xml:space="preserve">Target: </w:t>
            </w:r>
            <w:r w:rsidR="00B52957">
              <w:rPr>
                <w:color w:val="000000"/>
                <w:sz w:val="18"/>
                <w:szCs w:val="18"/>
                <w:lang w:val="en-GB" w:eastAsia="es-ES"/>
              </w:rPr>
              <w:t>$</w:t>
            </w:r>
            <w:r w:rsidRPr="008941BB">
              <w:rPr>
                <w:color w:val="000000"/>
                <w:sz w:val="18"/>
                <w:szCs w:val="18"/>
                <w:lang w:val="en-GB" w:eastAsia="es-ES"/>
              </w:rPr>
              <w:t>1,000,000</w:t>
            </w:r>
          </w:p>
          <w:p w14:paraId="613E3F57" w14:textId="77777777" w:rsidR="00C853CA" w:rsidRPr="008941BB" w:rsidRDefault="00C853CA" w:rsidP="004836EC">
            <w:pPr>
              <w:jc w:val="both"/>
              <w:rPr>
                <w:color w:val="000000"/>
                <w:sz w:val="18"/>
                <w:szCs w:val="18"/>
                <w:lang w:val="en-GB" w:eastAsia="es-ES"/>
              </w:rPr>
            </w:pPr>
          </w:p>
          <w:p w14:paraId="2C10DC06" w14:textId="6CC740D2" w:rsidR="00C853CA" w:rsidRPr="008941BB" w:rsidRDefault="00B52957" w:rsidP="008941BB">
            <w:pPr>
              <w:pStyle w:val="ListParagraph"/>
              <w:tabs>
                <w:tab w:val="left" w:pos="182"/>
                <w:tab w:val="left" w:pos="324"/>
              </w:tabs>
              <w:spacing w:after="240"/>
              <w:ind w:left="0"/>
              <w:contextualSpacing/>
              <w:jc w:val="both"/>
              <w:rPr>
                <w:color w:val="000000"/>
                <w:sz w:val="18"/>
                <w:szCs w:val="18"/>
                <w:lang w:val="en-GB" w:eastAsia="es-ES"/>
              </w:rPr>
            </w:pPr>
            <w:r>
              <w:rPr>
                <w:b/>
                <w:color w:val="000000"/>
                <w:sz w:val="18"/>
                <w:szCs w:val="18"/>
                <w:lang w:val="en-GB" w:eastAsia="es-ES"/>
              </w:rPr>
              <w:t>1.3. Capacities of s</w:t>
            </w:r>
            <w:r w:rsidR="00C853CA" w:rsidRPr="008941BB">
              <w:rPr>
                <w:b/>
                <w:color w:val="000000"/>
                <w:sz w:val="18"/>
                <w:szCs w:val="18"/>
                <w:lang w:val="en-GB" w:eastAsia="es-ES"/>
              </w:rPr>
              <w:t xml:space="preserve">ocial institutions enhanced to strengthen the social protection system, including the care system, with a focus on prioritized groups (women, indigenous peoples, people with disabilities, migrants, emerging middle class) </w:t>
            </w:r>
          </w:p>
          <w:p w14:paraId="1DD5AFD8" w14:textId="77777777" w:rsidR="00C853CA" w:rsidRPr="008941BB" w:rsidRDefault="00C853CA" w:rsidP="004836EC">
            <w:pPr>
              <w:pStyle w:val="ListParagraph"/>
              <w:tabs>
                <w:tab w:val="left" w:pos="182"/>
                <w:tab w:val="left" w:pos="324"/>
              </w:tabs>
              <w:spacing w:after="240"/>
              <w:ind w:left="0"/>
              <w:contextualSpacing/>
              <w:jc w:val="both"/>
              <w:rPr>
                <w:color w:val="000000"/>
                <w:sz w:val="18"/>
                <w:szCs w:val="18"/>
                <w:lang w:val="en-GB" w:eastAsia="es-ES"/>
              </w:rPr>
            </w:pPr>
          </w:p>
          <w:p w14:paraId="29C7A6E5" w14:textId="330EA1B7" w:rsidR="00C853CA" w:rsidRPr="008941BB" w:rsidRDefault="00C853CA" w:rsidP="004836EC">
            <w:pPr>
              <w:pStyle w:val="ListParagraph"/>
              <w:tabs>
                <w:tab w:val="left" w:pos="182"/>
                <w:tab w:val="left" w:pos="324"/>
              </w:tabs>
              <w:spacing w:before="240"/>
              <w:ind w:left="0"/>
              <w:contextualSpacing/>
              <w:jc w:val="both"/>
              <w:rPr>
                <w:color w:val="000000"/>
                <w:sz w:val="18"/>
                <w:szCs w:val="18"/>
                <w:lang w:val="en-GB" w:eastAsia="es-ES"/>
              </w:rPr>
            </w:pPr>
            <w:r w:rsidRPr="008941BB">
              <w:rPr>
                <w:color w:val="000000"/>
                <w:sz w:val="18"/>
                <w:szCs w:val="18"/>
                <w:lang w:val="en-GB" w:eastAsia="es-ES"/>
              </w:rPr>
              <w:t>Indicator 1.3.1</w:t>
            </w:r>
            <w:r w:rsidR="00B52957">
              <w:rPr>
                <w:color w:val="000000"/>
                <w:sz w:val="18"/>
                <w:szCs w:val="18"/>
                <w:lang w:val="en-GB" w:eastAsia="es-ES"/>
              </w:rPr>
              <w:t>.</w:t>
            </w:r>
            <w:r w:rsidRPr="008941BB">
              <w:rPr>
                <w:color w:val="000000"/>
                <w:sz w:val="18"/>
                <w:szCs w:val="18"/>
                <w:lang w:val="en-GB" w:eastAsia="es-ES"/>
              </w:rPr>
              <w:t xml:space="preserve"> Number of proposals validated and/or introduced into social programmes (IRRF 2.1.2.1)</w:t>
            </w:r>
          </w:p>
          <w:p w14:paraId="6B5A6639" w14:textId="77777777" w:rsidR="00C853CA" w:rsidRPr="008941BB" w:rsidRDefault="00C853CA" w:rsidP="004836EC">
            <w:pPr>
              <w:jc w:val="both"/>
              <w:rPr>
                <w:color w:val="000000"/>
                <w:sz w:val="18"/>
                <w:szCs w:val="18"/>
                <w:lang w:val="en-GB" w:eastAsia="es-ES"/>
              </w:rPr>
            </w:pPr>
            <w:r w:rsidRPr="008941BB">
              <w:rPr>
                <w:color w:val="000000" w:themeColor="text1"/>
                <w:sz w:val="18"/>
                <w:szCs w:val="18"/>
                <w:lang w:val="en-GB" w:eastAsia="es-ES"/>
              </w:rPr>
              <w:t>Baseline: 2</w:t>
            </w:r>
          </w:p>
          <w:p w14:paraId="06107A0B" w14:textId="77777777" w:rsidR="00C853CA" w:rsidRPr="008941BB" w:rsidRDefault="00C853CA" w:rsidP="004836EC">
            <w:pPr>
              <w:jc w:val="both"/>
              <w:rPr>
                <w:color w:val="000000"/>
                <w:sz w:val="18"/>
                <w:szCs w:val="18"/>
                <w:lang w:val="en-GB" w:eastAsia="es-ES"/>
              </w:rPr>
            </w:pPr>
            <w:r w:rsidRPr="008941BB">
              <w:rPr>
                <w:color w:val="000000"/>
                <w:sz w:val="18"/>
                <w:szCs w:val="18"/>
                <w:lang w:val="en-GB" w:eastAsia="es-ES"/>
              </w:rPr>
              <w:t>Target: 4</w:t>
            </w:r>
          </w:p>
          <w:p w14:paraId="4126A9AC" w14:textId="7EA02FAA" w:rsidR="00C853CA" w:rsidRPr="008941BB" w:rsidRDefault="00C853CA" w:rsidP="004836EC">
            <w:pPr>
              <w:spacing w:before="200" w:after="160" w:line="216" w:lineRule="auto"/>
              <w:jc w:val="both"/>
              <w:rPr>
                <w:b/>
                <w:sz w:val="18"/>
                <w:szCs w:val="18"/>
                <w:lang w:val="en-GB" w:eastAsia="es-ES"/>
              </w:rPr>
            </w:pPr>
            <w:r w:rsidRPr="008941BB">
              <w:rPr>
                <w:b/>
                <w:sz w:val="18"/>
                <w:szCs w:val="18"/>
                <w:lang w:val="en-GB" w:eastAsia="es-ES"/>
              </w:rPr>
              <w:t>1.4</w:t>
            </w:r>
            <w:r w:rsidR="00B52957">
              <w:rPr>
                <w:b/>
                <w:sz w:val="18"/>
                <w:szCs w:val="18"/>
                <w:lang w:val="en-GB" w:eastAsia="es-ES"/>
              </w:rPr>
              <w:t>.</w:t>
            </w:r>
            <w:r w:rsidRPr="008941BB">
              <w:rPr>
                <w:b/>
                <w:sz w:val="18"/>
                <w:szCs w:val="18"/>
                <w:lang w:val="en-GB" w:eastAsia="es-ES"/>
              </w:rPr>
              <w:t xml:space="preserve"> </w:t>
            </w:r>
            <w:r w:rsidR="00B52957">
              <w:rPr>
                <w:b/>
                <w:sz w:val="18"/>
                <w:szCs w:val="18"/>
                <w:lang w:val="en-GB" w:eastAsia="es-ES"/>
              </w:rPr>
              <w:t xml:space="preserve">Capacities of </w:t>
            </w:r>
            <w:r w:rsidR="00087A83">
              <w:rPr>
                <w:b/>
                <w:sz w:val="18"/>
                <w:szCs w:val="18"/>
                <w:lang w:val="en-GB" w:eastAsia="es-ES"/>
              </w:rPr>
              <w:t>i</w:t>
            </w:r>
            <w:r w:rsidRPr="008941BB">
              <w:rPr>
                <w:b/>
                <w:sz w:val="18"/>
                <w:szCs w:val="18"/>
                <w:lang w:val="en-GB" w:eastAsia="es-ES"/>
              </w:rPr>
              <w:t xml:space="preserve">nstitutions and key actors enhanced to address gender-based violence </w:t>
            </w:r>
          </w:p>
          <w:p w14:paraId="034815BD" w14:textId="5DD7E979" w:rsidR="00C853CA" w:rsidRPr="008941BB" w:rsidRDefault="00C853CA" w:rsidP="004836EC">
            <w:pPr>
              <w:spacing w:before="200" w:line="216" w:lineRule="auto"/>
              <w:jc w:val="both"/>
              <w:rPr>
                <w:sz w:val="18"/>
                <w:szCs w:val="18"/>
                <w:lang w:val="en-GB" w:eastAsia="es-ES"/>
              </w:rPr>
            </w:pPr>
            <w:r w:rsidRPr="008941BB">
              <w:rPr>
                <w:sz w:val="18"/>
                <w:szCs w:val="18"/>
                <w:lang w:val="en-GB" w:eastAsia="es-ES"/>
              </w:rPr>
              <w:t xml:space="preserve">Indicator 1.4.1: Number of measures jointly developed and implemented by partners, with </w:t>
            </w:r>
            <w:r w:rsidR="00B52957">
              <w:rPr>
                <w:sz w:val="18"/>
                <w:szCs w:val="18"/>
                <w:lang w:val="en-GB" w:eastAsia="es-ES"/>
              </w:rPr>
              <w:t xml:space="preserve">UNDP </w:t>
            </w:r>
            <w:r w:rsidRPr="008941BB">
              <w:rPr>
                <w:sz w:val="18"/>
                <w:szCs w:val="18"/>
                <w:lang w:val="en-GB" w:eastAsia="es-ES"/>
              </w:rPr>
              <w:t xml:space="preserve">support, to address </w:t>
            </w:r>
            <w:r w:rsidR="00087A83">
              <w:rPr>
                <w:sz w:val="18"/>
                <w:szCs w:val="18"/>
                <w:lang w:val="en-GB" w:eastAsia="es-ES"/>
              </w:rPr>
              <w:t>gender-based violence</w:t>
            </w:r>
          </w:p>
          <w:p w14:paraId="7F769680" w14:textId="77777777" w:rsidR="00C853CA" w:rsidRPr="008941BB" w:rsidRDefault="00C853CA" w:rsidP="004836EC">
            <w:pPr>
              <w:spacing w:line="216" w:lineRule="auto"/>
              <w:jc w:val="both"/>
              <w:rPr>
                <w:sz w:val="18"/>
                <w:szCs w:val="18"/>
                <w:lang w:val="en-GB" w:eastAsia="es-ES"/>
              </w:rPr>
            </w:pPr>
            <w:r w:rsidRPr="008941BB">
              <w:rPr>
                <w:sz w:val="18"/>
                <w:szCs w:val="18"/>
                <w:lang w:val="en-GB" w:eastAsia="es-ES"/>
              </w:rPr>
              <w:t xml:space="preserve">Baseline: 1 </w:t>
            </w:r>
          </w:p>
          <w:p w14:paraId="0378981A" w14:textId="77777777" w:rsidR="00C853CA" w:rsidRPr="008941BB" w:rsidRDefault="00C853CA" w:rsidP="004836EC">
            <w:pPr>
              <w:spacing w:line="216" w:lineRule="auto"/>
              <w:jc w:val="both"/>
              <w:rPr>
                <w:sz w:val="18"/>
                <w:szCs w:val="18"/>
                <w:lang w:val="en-GB" w:eastAsia="es-ES"/>
              </w:rPr>
            </w:pPr>
            <w:r w:rsidRPr="008941BB">
              <w:rPr>
                <w:sz w:val="18"/>
                <w:szCs w:val="18"/>
                <w:lang w:val="en-GB" w:eastAsia="es-ES"/>
              </w:rPr>
              <w:t>Target: 3</w:t>
            </w:r>
          </w:p>
          <w:p w14:paraId="446FE1B4" w14:textId="0ABFDFC6" w:rsidR="00C853CA" w:rsidRPr="008941BB" w:rsidRDefault="00C853CA" w:rsidP="004836EC">
            <w:pPr>
              <w:spacing w:before="200" w:after="160" w:line="216" w:lineRule="auto"/>
              <w:jc w:val="both"/>
              <w:rPr>
                <w:b/>
                <w:sz w:val="18"/>
                <w:szCs w:val="18"/>
                <w:lang w:val="en-GB" w:eastAsia="es-ES"/>
              </w:rPr>
            </w:pPr>
            <w:r w:rsidRPr="008941BB">
              <w:rPr>
                <w:b/>
                <w:sz w:val="18"/>
                <w:szCs w:val="18"/>
                <w:lang w:val="en-GB" w:eastAsia="es-ES"/>
              </w:rPr>
              <w:t>1.5</w:t>
            </w:r>
            <w:r w:rsidR="00B52957">
              <w:rPr>
                <w:b/>
                <w:sz w:val="18"/>
                <w:szCs w:val="18"/>
                <w:lang w:val="en-GB" w:eastAsia="es-ES"/>
              </w:rPr>
              <w:t>.</w:t>
            </w:r>
            <w:r w:rsidRPr="008941BB">
              <w:rPr>
                <w:b/>
                <w:sz w:val="18"/>
                <w:szCs w:val="18"/>
                <w:lang w:val="en-GB" w:eastAsia="es-ES"/>
              </w:rPr>
              <w:t xml:space="preserve"> </w:t>
            </w:r>
            <w:r w:rsidR="00B52957">
              <w:rPr>
                <w:b/>
                <w:sz w:val="18"/>
                <w:szCs w:val="18"/>
                <w:lang w:val="en-GB" w:eastAsia="es-ES"/>
              </w:rPr>
              <w:t>T</w:t>
            </w:r>
            <w:r w:rsidR="00B52957" w:rsidRPr="003E358C">
              <w:rPr>
                <w:b/>
                <w:sz w:val="18"/>
                <w:szCs w:val="18"/>
                <w:lang w:val="en-GB" w:eastAsia="es-ES"/>
              </w:rPr>
              <w:t xml:space="preserve">ools and partnerships </w:t>
            </w:r>
            <w:r w:rsidR="00B52957">
              <w:rPr>
                <w:b/>
                <w:sz w:val="18"/>
                <w:szCs w:val="18"/>
                <w:lang w:val="en-GB" w:eastAsia="es-ES"/>
              </w:rPr>
              <w:t xml:space="preserve">of </w:t>
            </w:r>
            <w:r w:rsidRPr="008941BB">
              <w:rPr>
                <w:b/>
                <w:sz w:val="18"/>
                <w:szCs w:val="18"/>
                <w:lang w:val="en-GB" w:eastAsia="es-ES"/>
              </w:rPr>
              <w:t>State institu</w:t>
            </w:r>
            <w:r w:rsidR="00BA3ACF">
              <w:rPr>
                <w:b/>
                <w:sz w:val="18"/>
                <w:szCs w:val="18"/>
                <w:lang w:val="en-GB" w:eastAsia="es-ES"/>
              </w:rPr>
              <w:t>tions enhanced to promote South-</w:t>
            </w:r>
            <w:r w:rsidRPr="008941BB">
              <w:rPr>
                <w:b/>
                <w:sz w:val="18"/>
                <w:szCs w:val="18"/>
                <w:lang w:val="en-GB" w:eastAsia="es-ES"/>
              </w:rPr>
              <w:t xml:space="preserve">South development solutions </w:t>
            </w:r>
          </w:p>
          <w:p w14:paraId="1332A271" w14:textId="7AB396CE" w:rsidR="00C853CA" w:rsidRPr="008941BB" w:rsidRDefault="00C853CA" w:rsidP="004836EC">
            <w:pPr>
              <w:spacing w:line="216" w:lineRule="auto"/>
              <w:jc w:val="both"/>
              <w:rPr>
                <w:sz w:val="18"/>
                <w:szCs w:val="18"/>
                <w:lang w:val="en-GB" w:eastAsia="es-ES"/>
              </w:rPr>
            </w:pPr>
            <w:r w:rsidRPr="008941BB">
              <w:rPr>
                <w:sz w:val="18"/>
                <w:szCs w:val="18"/>
                <w:lang w:val="en-GB" w:eastAsia="es-ES"/>
              </w:rPr>
              <w:t>Indicator 1.5.1</w:t>
            </w:r>
            <w:r w:rsidR="00B52957">
              <w:rPr>
                <w:sz w:val="18"/>
                <w:szCs w:val="18"/>
                <w:lang w:val="en-GB" w:eastAsia="es-ES"/>
              </w:rPr>
              <w:t>.</w:t>
            </w:r>
            <w:r w:rsidRPr="008941BB">
              <w:rPr>
                <w:sz w:val="18"/>
                <w:szCs w:val="18"/>
                <w:lang w:val="en-GB" w:eastAsia="es-ES"/>
              </w:rPr>
              <w:t xml:space="preserve"> Number of innovative solutions shared through SSM</w:t>
            </w:r>
            <w:r w:rsidR="00B52957">
              <w:rPr>
                <w:sz w:val="18"/>
                <w:szCs w:val="18"/>
                <w:lang w:val="en-GB" w:eastAsia="es-ES"/>
              </w:rPr>
              <w:t>art</w:t>
            </w:r>
            <w:r w:rsidRPr="008941BB">
              <w:rPr>
                <w:sz w:val="18"/>
                <w:szCs w:val="18"/>
                <w:lang w:val="en-GB" w:eastAsia="es-ES"/>
              </w:rPr>
              <w:t xml:space="preserve"> (IRRF 1.1.1.2)</w:t>
            </w:r>
          </w:p>
          <w:p w14:paraId="188E79AF" w14:textId="77777777" w:rsidR="00C853CA" w:rsidRPr="008941BB" w:rsidRDefault="00C853CA" w:rsidP="004836EC">
            <w:pPr>
              <w:spacing w:line="216" w:lineRule="auto"/>
              <w:jc w:val="both"/>
              <w:rPr>
                <w:sz w:val="18"/>
                <w:szCs w:val="18"/>
                <w:lang w:val="en-GB" w:eastAsia="es-ES"/>
              </w:rPr>
            </w:pPr>
            <w:r w:rsidRPr="008941BB">
              <w:rPr>
                <w:sz w:val="18"/>
                <w:szCs w:val="18"/>
                <w:lang w:val="en-GB" w:eastAsia="es-ES"/>
              </w:rPr>
              <w:t xml:space="preserve">Baseline: 0 </w:t>
            </w:r>
          </w:p>
          <w:p w14:paraId="2CDEDDA1" w14:textId="77777777" w:rsidR="00C853CA" w:rsidRPr="008941BB" w:rsidRDefault="00C853CA" w:rsidP="004836EC">
            <w:pPr>
              <w:spacing w:line="216" w:lineRule="auto"/>
              <w:jc w:val="both"/>
              <w:rPr>
                <w:sz w:val="18"/>
                <w:szCs w:val="18"/>
                <w:lang w:val="en-GB" w:eastAsia="es-ES"/>
              </w:rPr>
            </w:pPr>
            <w:r w:rsidRPr="008941BB">
              <w:rPr>
                <w:sz w:val="18"/>
                <w:szCs w:val="18"/>
                <w:lang w:val="en-GB" w:eastAsia="es-ES"/>
              </w:rPr>
              <w:t>Target: 1</w:t>
            </w:r>
          </w:p>
          <w:p w14:paraId="7CE94605" w14:textId="77777777" w:rsidR="00C853CA" w:rsidRPr="008941BB" w:rsidRDefault="00C853CA" w:rsidP="004836EC">
            <w:pPr>
              <w:spacing w:line="216" w:lineRule="auto"/>
              <w:jc w:val="both"/>
              <w:rPr>
                <w:sz w:val="18"/>
                <w:szCs w:val="18"/>
                <w:lang w:val="en-GB" w:eastAsia="es-ES"/>
              </w:rPr>
            </w:pPr>
          </w:p>
          <w:p w14:paraId="1C303A89" w14:textId="05B76BDB" w:rsidR="00C853CA" w:rsidRPr="008941BB" w:rsidRDefault="00C853CA" w:rsidP="004836EC">
            <w:pPr>
              <w:spacing w:line="216" w:lineRule="auto"/>
              <w:jc w:val="both"/>
              <w:rPr>
                <w:sz w:val="18"/>
                <w:szCs w:val="18"/>
                <w:lang w:val="en-GB" w:eastAsia="es-ES"/>
              </w:rPr>
            </w:pPr>
            <w:r w:rsidRPr="008941BB">
              <w:rPr>
                <w:sz w:val="18"/>
                <w:szCs w:val="18"/>
                <w:lang w:val="en-GB" w:eastAsia="es-ES"/>
              </w:rPr>
              <w:t>Indicator 1.5.2</w:t>
            </w:r>
            <w:r w:rsidR="00B52957">
              <w:rPr>
                <w:sz w:val="18"/>
                <w:szCs w:val="18"/>
                <w:lang w:val="en-GB" w:eastAsia="es-ES"/>
              </w:rPr>
              <w:t>.</w:t>
            </w:r>
            <w:r w:rsidRPr="008941BB">
              <w:rPr>
                <w:sz w:val="18"/>
                <w:szCs w:val="18"/>
                <w:lang w:val="en-GB" w:eastAsia="es-ES"/>
              </w:rPr>
              <w:t xml:space="preserve"> Number of new partnerships established with </w:t>
            </w:r>
            <w:r w:rsidR="00B52957">
              <w:rPr>
                <w:sz w:val="18"/>
                <w:szCs w:val="18"/>
                <w:lang w:val="en-GB" w:eastAsia="es-ES"/>
              </w:rPr>
              <w:t>UNDP</w:t>
            </w:r>
            <w:r w:rsidR="00B52957" w:rsidRPr="008941BB">
              <w:rPr>
                <w:sz w:val="18"/>
                <w:szCs w:val="18"/>
                <w:lang w:val="en-GB" w:eastAsia="es-ES"/>
              </w:rPr>
              <w:t xml:space="preserve"> </w:t>
            </w:r>
            <w:r w:rsidRPr="008941BB">
              <w:rPr>
                <w:sz w:val="18"/>
                <w:szCs w:val="18"/>
                <w:lang w:val="en-GB" w:eastAsia="es-ES"/>
              </w:rPr>
              <w:t xml:space="preserve">support </w:t>
            </w:r>
          </w:p>
          <w:p w14:paraId="0142520B" w14:textId="77777777" w:rsidR="00C853CA" w:rsidRPr="008941BB" w:rsidRDefault="00C853CA" w:rsidP="004836EC">
            <w:pPr>
              <w:spacing w:line="216" w:lineRule="auto"/>
              <w:jc w:val="both"/>
              <w:rPr>
                <w:sz w:val="18"/>
                <w:szCs w:val="18"/>
                <w:lang w:val="en-GB" w:eastAsia="es-ES"/>
              </w:rPr>
            </w:pPr>
            <w:r w:rsidRPr="008941BB">
              <w:rPr>
                <w:sz w:val="18"/>
                <w:szCs w:val="18"/>
                <w:lang w:val="en-GB" w:eastAsia="es-ES"/>
              </w:rPr>
              <w:t>Baseline: 20 (2018)</w:t>
            </w:r>
          </w:p>
          <w:p w14:paraId="68523348" w14:textId="77777777" w:rsidR="00C853CA" w:rsidRPr="008941BB" w:rsidRDefault="00C853CA" w:rsidP="004836EC">
            <w:pPr>
              <w:spacing w:line="216" w:lineRule="auto"/>
              <w:jc w:val="both"/>
              <w:rPr>
                <w:sz w:val="18"/>
                <w:szCs w:val="18"/>
                <w:lang w:val="en-GB" w:eastAsia="es-ES"/>
              </w:rPr>
            </w:pPr>
            <w:r w:rsidRPr="008941BB">
              <w:rPr>
                <w:sz w:val="18"/>
                <w:szCs w:val="18"/>
                <w:lang w:val="en-GB" w:eastAsia="es-ES"/>
              </w:rPr>
              <w:t>Target: 30</w:t>
            </w:r>
          </w:p>
        </w:tc>
        <w:tc>
          <w:tcPr>
            <w:tcW w:w="890" w:type="pct"/>
            <w:gridSpan w:val="2"/>
            <w:vMerge w:val="restart"/>
          </w:tcPr>
          <w:p w14:paraId="34862F58" w14:textId="77777777" w:rsidR="00C853CA" w:rsidRPr="008941BB" w:rsidRDefault="00C853CA" w:rsidP="00B9136C">
            <w:pPr>
              <w:rPr>
                <w:iCs/>
                <w:color w:val="000000"/>
                <w:sz w:val="18"/>
                <w:szCs w:val="18"/>
                <w:lang w:val="en-GB"/>
              </w:rPr>
            </w:pPr>
            <w:r w:rsidRPr="008941BB">
              <w:rPr>
                <w:iCs/>
                <w:color w:val="000000"/>
                <w:sz w:val="18"/>
                <w:szCs w:val="18"/>
                <w:lang w:val="en-GB"/>
              </w:rPr>
              <w:lastRenderedPageBreak/>
              <w:t>Ministry of Social Development</w:t>
            </w:r>
          </w:p>
          <w:p w14:paraId="1AD30E46" w14:textId="77777777" w:rsidR="00C853CA" w:rsidRPr="008941BB" w:rsidRDefault="00C853CA" w:rsidP="00B9136C">
            <w:pPr>
              <w:rPr>
                <w:iCs/>
                <w:color w:val="000000"/>
                <w:sz w:val="18"/>
                <w:szCs w:val="18"/>
                <w:lang w:val="en-GB"/>
              </w:rPr>
            </w:pPr>
            <w:r w:rsidRPr="008941BB">
              <w:rPr>
                <w:iCs/>
                <w:color w:val="000000"/>
                <w:sz w:val="18"/>
                <w:szCs w:val="18"/>
                <w:lang w:val="en-GB"/>
              </w:rPr>
              <w:t>Ministry of Environment</w:t>
            </w:r>
          </w:p>
          <w:p w14:paraId="2DD75BF6" w14:textId="77777777" w:rsidR="00C853CA" w:rsidRPr="008941BB" w:rsidRDefault="00C853CA" w:rsidP="00B9136C">
            <w:pPr>
              <w:rPr>
                <w:iCs/>
                <w:color w:val="000000"/>
                <w:sz w:val="18"/>
                <w:szCs w:val="18"/>
                <w:lang w:val="en-GB"/>
              </w:rPr>
            </w:pPr>
            <w:r w:rsidRPr="008941BB">
              <w:rPr>
                <w:iCs/>
                <w:color w:val="000000"/>
                <w:sz w:val="18"/>
                <w:szCs w:val="18"/>
                <w:lang w:val="en-GB"/>
              </w:rPr>
              <w:t>National Institute for Youth</w:t>
            </w:r>
          </w:p>
          <w:p w14:paraId="39EFBF9D" w14:textId="77777777" w:rsidR="00C853CA" w:rsidRPr="008941BB" w:rsidRDefault="00C853CA" w:rsidP="00B9136C">
            <w:pPr>
              <w:rPr>
                <w:iCs/>
                <w:color w:val="000000"/>
                <w:sz w:val="18"/>
                <w:szCs w:val="18"/>
                <w:lang w:val="en-GB"/>
              </w:rPr>
            </w:pPr>
            <w:r w:rsidRPr="008941BB">
              <w:rPr>
                <w:iCs/>
                <w:color w:val="000000"/>
                <w:sz w:val="18"/>
                <w:szCs w:val="18"/>
                <w:lang w:val="en-GB"/>
              </w:rPr>
              <w:t>Ministry of Women</w:t>
            </w:r>
          </w:p>
          <w:p w14:paraId="3D96BC4F" w14:textId="68B163E2" w:rsidR="00C853CA" w:rsidRPr="008941BB" w:rsidRDefault="00C853CA" w:rsidP="00B9136C">
            <w:pPr>
              <w:rPr>
                <w:iCs/>
                <w:color w:val="000000"/>
                <w:sz w:val="18"/>
                <w:szCs w:val="18"/>
                <w:lang w:val="en-GB"/>
              </w:rPr>
            </w:pPr>
            <w:r w:rsidRPr="008941BB">
              <w:rPr>
                <w:iCs/>
                <w:color w:val="000000"/>
                <w:sz w:val="18"/>
                <w:szCs w:val="18"/>
                <w:lang w:val="en-GB"/>
              </w:rPr>
              <w:t>Acci</w:t>
            </w:r>
            <w:r w:rsidR="00087A83">
              <w:rPr>
                <w:iCs/>
                <w:color w:val="000000"/>
                <w:sz w:val="18"/>
                <w:szCs w:val="18"/>
                <w:lang w:val="en-GB"/>
              </w:rPr>
              <w:t>ó</w:t>
            </w:r>
            <w:r w:rsidRPr="008941BB">
              <w:rPr>
                <w:iCs/>
                <w:color w:val="000000"/>
                <w:sz w:val="18"/>
                <w:szCs w:val="18"/>
                <w:lang w:val="en-GB"/>
              </w:rPr>
              <w:t>n Empresas</w:t>
            </w:r>
          </w:p>
          <w:p w14:paraId="5AC2E71C" w14:textId="77777777" w:rsidR="00C853CA" w:rsidRPr="008941BB" w:rsidRDefault="00C853CA" w:rsidP="00B9136C">
            <w:pPr>
              <w:rPr>
                <w:iCs/>
                <w:color w:val="000000"/>
                <w:sz w:val="18"/>
                <w:szCs w:val="18"/>
                <w:lang w:val="en-GB"/>
              </w:rPr>
            </w:pPr>
            <w:r w:rsidRPr="008941BB">
              <w:rPr>
                <w:iCs/>
                <w:color w:val="000000"/>
                <w:sz w:val="18"/>
                <w:szCs w:val="18"/>
                <w:lang w:val="en-GB"/>
              </w:rPr>
              <w:t xml:space="preserve">Global Compact Chile </w:t>
            </w:r>
          </w:p>
          <w:p w14:paraId="0228F0CC" w14:textId="77777777" w:rsidR="00C853CA" w:rsidRPr="008941BB" w:rsidRDefault="00C853CA" w:rsidP="00B9136C">
            <w:pPr>
              <w:rPr>
                <w:iCs/>
                <w:color w:val="000000"/>
                <w:sz w:val="18"/>
                <w:szCs w:val="18"/>
                <w:lang w:val="en-GB"/>
              </w:rPr>
            </w:pPr>
            <w:r w:rsidRPr="008941BB">
              <w:rPr>
                <w:iCs/>
                <w:color w:val="000000"/>
                <w:sz w:val="18"/>
                <w:szCs w:val="18"/>
                <w:lang w:val="en-GB"/>
              </w:rPr>
              <w:t>Ministry Secretary General of the Presidency</w:t>
            </w:r>
          </w:p>
          <w:p w14:paraId="77AA6A7E" w14:textId="77777777" w:rsidR="00C853CA" w:rsidRPr="008941BB" w:rsidRDefault="00C853CA" w:rsidP="00B9136C">
            <w:pPr>
              <w:rPr>
                <w:iCs/>
                <w:color w:val="000000"/>
                <w:sz w:val="18"/>
                <w:szCs w:val="18"/>
                <w:lang w:val="en-GB"/>
              </w:rPr>
            </w:pPr>
            <w:r w:rsidRPr="008941BB">
              <w:rPr>
                <w:iCs/>
                <w:color w:val="000000"/>
                <w:sz w:val="18"/>
                <w:szCs w:val="18"/>
                <w:lang w:val="en-GB"/>
              </w:rPr>
              <w:t>Ministry of Education</w:t>
            </w:r>
          </w:p>
          <w:p w14:paraId="5FC4604E" w14:textId="77777777" w:rsidR="00C853CA" w:rsidRPr="008941BB" w:rsidRDefault="00C853CA" w:rsidP="00B9136C">
            <w:pPr>
              <w:rPr>
                <w:iCs/>
                <w:color w:val="000000"/>
                <w:sz w:val="18"/>
                <w:szCs w:val="18"/>
                <w:lang w:val="en-GB"/>
              </w:rPr>
            </w:pPr>
            <w:r w:rsidRPr="008941BB">
              <w:rPr>
                <w:iCs/>
                <w:color w:val="000000"/>
                <w:sz w:val="18"/>
                <w:szCs w:val="18"/>
                <w:lang w:val="en-GB"/>
              </w:rPr>
              <w:t>Ministry of Foreign Affairs</w:t>
            </w:r>
          </w:p>
          <w:p w14:paraId="0BAF7CE9" w14:textId="77777777" w:rsidR="00C853CA" w:rsidRPr="008941BB" w:rsidRDefault="00C853CA" w:rsidP="00B9136C">
            <w:pPr>
              <w:rPr>
                <w:iCs/>
                <w:color w:val="000000"/>
                <w:sz w:val="18"/>
                <w:szCs w:val="18"/>
                <w:lang w:val="en-GB"/>
              </w:rPr>
            </w:pPr>
            <w:r w:rsidRPr="008941BB">
              <w:rPr>
                <w:iCs/>
                <w:color w:val="000000"/>
                <w:sz w:val="18"/>
                <w:szCs w:val="18"/>
                <w:lang w:val="en-GB"/>
              </w:rPr>
              <w:t>Agency for international Cooperation</w:t>
            </w:r>
          </w:p>
          <w:p w14:paraId="6657B1B0" w14:textId="77777777" w:rsidR="00C853CA" w:rsidRPr="008941BB" w:rsidRDefault="00C853CA" w:rsidP="00B9136C">
            <w:pPr>
              <w:rPr>
                <w:iCs/>
                <w:color w:val="000000"/>
                <w:sz w:val="18"/>
                <w:szCs w:val="18"/>
                <w:lang w:val="en-GB"/>
              </w:rPr>
            </w:pPr>
            <w:r w:rsidRPr="008941BB">
              <w:rPr>
                <w:iCs/>
                <w:color w:val="000000"/>
                <w:sz w:val="18"/>
                <w:szCs w:val="18"/>
                <w:lang w:val="en-GB"/>
              </w:rPr>
              <w:t>UNICEF</w:t>
            </w:r>
          </w:p>
          <w:p w14:paraId="4D488BDF" w14:textId="77777777" w:rsidR="00C853CA" w:rsidRPr="008941BB" w:rsidRDefault="00C853CA" w:rsidP="00B9136C">
            <w:pPr>
              <w:rPr>
                <w:iCs/>
                <w:color w:val="000000"/>
                <w:sz w:val="18"/>
                <w:szCs w:val="18"/>
                <w:lang w:val="en-GB"/>
              </w:rPr>
            </w:pPr>
            <w:r w:rsidRPr="008941BB">
              <w:rPr>
                <w:iCs/>
                <w:color w:val="000000"/>
                <w:sz w:val="18"/>
                <w:szCs w:val="18"/>
                <w:lang w:val="en-GB"/>
              </w:rPr>
              <w:t>ILO</w:t>
            </w:r>
          </w:p>
          <w:p w14:paraId="732AC92B" w14:textId="77777777" w:rsidR="00C853CA" w:rsidRPr="008941BB" w:rsidRDefault="00C853CA" w:rsidP="00B9136C">
            <w:pPr>
              <w:rPr>
                <w:iCs/>
                <w:color w:val="000000"/>
                <w:sz w:val="18"/>
                <w:szCs w:val="18"/>
                <w:lang w:val="en-GB"/>
              </w:rPr>
            </w:pPr>
            <w:r w:rsidRPr="008941BB">
              <w:rPr>
                <w:iCs/>
                <w:color w:val="000000"/>
                <w:sz w:val="18"/>
                <w:szCs w:val="18"/>
                <w:lang w:val="en-GB"/>
              </w:rPr>
              <w:t>UNHCHR</w:t>
            </w:r>
          </w:p>
          <w:p w14:paraId="4B746AAF" w14:textId="77777777" w:rsidR="00C853CA" w:rsidRPr="008941BB" w:rsidRDefault="00C853CA" w:rsidP="00B9136C">
            <w:pPr>
              <w:rPr>
                <w:iCs/>
                <w:color w:val="000000"/>
                <w:sz w:val="18"/>
                <w:szCs w:val="18"/>
                <w:lang w:val="en-GB"/>
              </w:rPr>
            </w:pPr>
            <w:r w:rsidRPr="008941BB">
              <w:rPr>
                <w:iCs/>
                <w:color w:val="000000"/>
                <w:sz w:val="18"/>
                <w:szCs w:val="18"/>
                <w:lang w:val="en-GB"/>
              </w:rPr>
              <w:t>UNFPA</w:t>
            </w:r>
          </w:p>
          <w:p w14:paraId="4C2DA359" w14:textId="77777777" w:rsidR="00C853CA" w:rsidRPr="008941BB" w:rsidRDefault="00C853CA" w:rsidP="00B9136C">
            <w:pPr>
              <w:rPr>
                <w:iCs/>
                <w:color w:val="000000"/>
                <w:sz w:val="18"/>
                <w:szCs w:val="18"/>
                <w:lang w:val="en-GB"/>
              </w:rPr>
            </w:pPr>
            <w:r w:rsidRPr="008941BB">
              <w:rPr>
                <w:iCs/>
                <w:color w:val="000000"/>
                <w:sz w:val="18"/>
                <w:szCs w:val="18"/>
                <w:lang w:val="en-GB"/>
              </w:rPr>
              <w:t>UNESCO</w:t>
            </w:r>
          </w:p>
          <w:p w14:paraId="0DE07D21" w14:textId="77777777" w:rsidR="00C853CA" w:rsidRPr="008941BB" w:rsidRDefault="00C853CA" w:rsidP="004836EC">
            <w:pPr>
              <w:jc w:val="both"/>
              <w:rPr>
                <w:iCs/>
                <w:color w:val="000000"/>
                <w:sz w:val="18"/>
                <w:szCs w:val="18"/>
                <w:lang w:val="en-GB"/>
              </w:rPr>
            </w:pPr>
          </w:p>
        </w:tc>
        <w:tc>
          <w:tcPr>
            <w:tcW w:w="657" w:type="pct"/>
            <w:tcMar>
              <w:top w:w="15" w:type="dxa"/>
              <w:left w:w="108" w:type="dxa"/>
              <w:bottom w:w="0" w:type="dxa"/>
              <w:right w:w="108" w:type="dxa"/>
            </w:tcMar>
          </w:tcPr>
          <w:p w14:paraId="782D0EC3" w14:textId="77777777" w:rsidR="00C853CA" w:rsidRDefault="00C853CA" w:rsidP="004836EC">
            <w:pPr>
              <w:jc w:val="both"/>
              <w:rPr>
                <w:b/>
                <w:color w:val="000000"/>
                <w:sz w:val="18"/>
                <w:szCs w:val="18"/>
                <w:lang w:val="en-GB"/>
              </w:rPr>
            </w:pPr>
            <w:r w:rsidRPr="008941BB">
              <w:rPr>
                <w:b/>
                <w:color w:val="000000"/>
                <w:sz w:val="18"/>
                <w:szCs w:val="18"/>
                <w:lang w:val="en-GB"/>
              </w:rPr>
              <w:t>Regular</w:t>
            </w:r>
          </w:p>
          <w:p w14:paraId="739C3C62" w14:textId="77777777" w:rsidR="00220598" w:rsidRPr="008941BB" w:rsidRDefault="00220598" w:rsidP="004836EC">
            <w:pPr>
              <w:jc w:val="both"/>
              <w:rPr>
                <w:b/>
                <w:color w:val="000000"/>
                <w:sz w:val="18"/>
                <w:szCs w:val="18"/>
                <w:lang w:val="en-GB"/>
              </w:rPr>
            </w:pPr>
            <w:r>
              <w:rPr>
                <w:b/>
                <w:color w:val="000000"/>
                <w:sz w:val="18"/>
                <w:szCs w:val="18"/>
                <w:lang w:val="en-GB"/>
              </w:rPr>
              <w:t>0</w:t>
            </w:r>
          </w:p>
        </w:tc>
      </w:tr>
      <w:tr w:rsidR="00C853CA" w:rsidRPr="00172A7A" w14:paraId="41F7076C" w14:textId="77777777" w:rsidTr="00207494">
        <w:trPr>
          <w:gridAfter w:val="1"/>
          <w:wAfter w:w="33" w:type="pct"/>
          <w:trHeight w:val="133"/>
        </w:trPr>
        <w:tc>
          <w:tcPr>
            <w:tcW w:w="1063" w:type="pct"/>
            <w:vMerge/>
            <w:tcMar>
              <w:top w:w="72" w:type="dxa"/>
              <w:left w:w="144" w:type="dxa"/>
              <w:bottom w:w="72" w:type="dxa"/>
              <w:right w:w="144" w:type="dxa"/>
            </w:tcMar>
          </w:tcPr>
          <w:p w14:paraId="6FA77C8D" w14:textId="77777777" w:rsidR="00C853CA" w:rsidRPr="008941BB" w:rsidRDefault="00C853CA" w:rsidP="004836EC">
            <w:pPr>
              <w:jc w:val="both"/>
              <w:rPr>
                <w:iCs/>
                <w:sz w:val="18"/>
                <w:szCs w:val="18"/>
                <w:lang w:val="en-GB"/>
              </w:rPr>
            </w:pPr>
          </w:p>
        </w:tc>
        <w:tc>
          <w:tcPr>
            <w:tcW w:w="802" w:type="pct"/>
            <w:gridSpan w:val="2"/>
            <w:vMerge/>
          </w:tcPr>
          <w:p w14:paraId="07620FFB" w14:textId="77777777" w:rsidR="00C853CA" w:rsidRPr="008941BB" w:rsidRDefault="00C853CA" w:rsidP="004836EC">
            <w:pPr>
              <w:jc w:val="both"/>
              <w:rPr>
                <w:b/>
                <w:bCs/>
                <w:color w:val="000000"/>
                <w:sz w:val="18"/>
                <w:szCs w:val="18"/>
                <w:lang w:val="en-GB"/>
              </w:rPr>
            </w:pPr>
          </w:p>
        </w:tc>
        <w:tc>
          <w:tcPr>
            <w:tcW w:w="1555" w:type="pct"/>
            <w:gridSpan w:val="3"/>
            <w:vMerge/>
            <w:tcMar>
              <w:top w:w="72" w:type="dxa"/>
              <w:left w:w="144" w:type="dxa"/>
              <w:bottom w:w="72" w:type="dxa"/>
              <w:right w:w="144" w:type="dxa"/>
            </w:tcMar>
          </w:tcPr>
          <w:p w14:paraId="580BD33E" w14:textId="77777777" w:rsidR="00C853CA" w:rsidRPr="008941BB" w:rsidRDefault="00C853CA" w:rsidP="004836EC">
            <w:pPr>
              <w:jc w:val="both"/>
              <w:rPr>
                <w:iCs/>
                <w:color w:val="000000"/>
                <w:sz w:val="18"/>
                <w:szCs w:val="18"/>
                <w:lang w:val="en-GB"/>
              </w:rPr>
            </w:pPr>
          </w:p>
        </w:tc>
        <w:tc>
          <w:tcPr>
            <w:tcW w:w="890" w:type="pct"/>
            <w:gridSpan w:val="2"/>
            <w:vMerge/>
          </w:tcPr>
          <w:p w14:paraId="58B3E12A" w14:textId="77777777" w:rsidR="00C853CA" w:rsidRPr="008941BB" w:rsidRDefault="00C853CA" w:rsidP="004836EC">
            <w:pPr>
              <w:jc w:val="both"/>
              <w:rPr>
                <w:iCs/>
                <w:color w:val="000000"/>
                <w:sz w:val="18"/>
                <w:szCs w:val="18"/>
                <w:lang w:val="en-GB"/>
              </w:rPr>
            </w:pPr>
          </w:p>
        </w:tc>
        <w:tc>
          <w:tcPr>
            <w:tcW w:w="657" w:type="pct"/>
            <w:tcMar>
              <w:top w:w="15" w:type="dxa"/>
              <w:left w:w="108" w:type="dxa"/>
              <w:bottom w:w="0" w:type="dxa"/>
              <w:right w:w="108" w:type="dxa"/>
            </w:tcMar>
          </w:tcPr>
          <w:p w14:paraId="07D1FAD4" w14:textId="77777777" w:rsidR="00C853CA" w:rsidRPr="008941BB" w:rsidRDefault="00C853CA" w:rsidP="004836EC">
            <w:pPr>
              <w:jc w:val="both"/>
              <w:rPr>
                <w:b/>
                <w:color w:val="000000"/>
                <w:sz w:val="18"/>
                <w:szCs w:val="18"/>
                <w:lang w:val="en-GB"/>
              </w:rPr>
            </w:pPr>
            <w:r w:rsidRPr="008941BB">
              <w:rPr>
                <w:b/>
                <w:color w:val="000000"/>
                <w:sz w:val="18"/>
                <w:szCs w:val="18"/>
                <w:lang w:val="en-GB"/>
              </w:rPr>
              <w:t>Other</w:t>
            </w:r>
          </w:p>
          <w:p w14:paraId="1D904014" w14:textId="77777777" w:rsidR="00C853CA" w:rsidRPr="008941BB" w:rsidRDefault="00C853CA" w:rsidP="004836EC">
            <w:pPr>
              <w:jc w:val="both"/>
              <w:rPr>
                <w:b/>
                <w:color w:val="000000"/>
                <w:sz w:val="18"/>
                <w:szCs w:val="18"/>
                <w:lang w:val="en-GB"/>
              </w:rPr>
            </w:pPr>
            <w:r w:rsidRPr="008941BB">
              <w:rPr>
                <w:b/>
                <w:bCs/>
                <w:color w:val="000000"/>
                <w:sz w:val="18"/>
                <w:szCs w:val="18"/>
                <w:lang w:val="en-GB" w:eastAsia="es-CL"/>
              </w:rPr>
              <w:t>31,729,076</w:t>
            </w:r>
          </w:p>
        </w:tc>
      </w:tr>
      <w:tr w:rsidR="00C853CA" w:rsidRPr="00172A7A" w14:paraId="7940476E" w14:textId="77777777" w:rsidTr="00892A8B">
        <w:trPr>
          <w:gridAfter w:val="1"/>
          <w:wAfter w:w="33" w:type="pct"/>
          <w:trHeight w:val="461"/>
        </w:trPr>
        <w:tc>
          <w:tcPr>
            <w:tcW w:w="1063" w:type="pct"/>
            <w:vMerge/>
            <w:tcBorders>
              <w:bottom w:val="single" w:sz="4" w:space="0" w:color="auto"/>
            </w:tcBorders>
            <w:tcMar>
              <w:top w:w="72" w:type="dxa"/>
              <w:left w:w="144" w:type="dxa"/>
              <w:bottom w:w="72" w:type="dxa"/>
              <w:right w:w="144" w:type="dxa"/>
            </w:tcMar>
          </w:tcPr>
          <w:p w14:paraId="3CE49100" w14:textId="77777777" w:rsidR="00C853CA" w:rsidRPr="008941BB" w:rsidRDefault="00C853CA" w:rsidP="004836EC">
            <w:pPr>
              <w:jc w:val="both"/>
              <w:rPr>
                <w:i/>
                <w:iCs/>
                <w:color w:val="000000"/>
                <w:sz w:val="18"/>
                <w:szCs w:val="18"/>
                <w:lang w:val="en-GB"/>
              </w:rPr>
            </w:pPr>
          </w:p>
        </w:tc>
        <w:tc>
          <w:tcPr>
            <w:tcW w:w="802" w:type="pct"/>
            <w:gridSpan w:val="2"/>
            <w:vMerge/>
            <w:tcBorders>
              <w:bottom w:val="single" w:sz="4" w:space="0" w:color="auto"/>
            </w:tcBorders>
          </w:tcPr>
          <w:p w14:paraId="279B93E1" w14:textId="77777777" w:rsidR="00C853CA" w:rsidRPr="008941BB" w:rsidRDefault="00C853CA" w:rsidP="004836EC">
            <w:pPr>
              <w:jc w:val="both"/>
              <w:rPr>
                <w:i/>
                <w:iCs/>
                <w:color w:val="000000"/>
                <w:sz w:val="18"/>
                <w:szCs w:val="18"/>
                <w:lang w:val="en-GB"/>
              </w:rPr>
            </w:pPr>
          </w:p>
        </w:tc>
        <w:tc>
          <w:tcPr>
            <w:tcW w:w="1555" w:type="pct"/>
            <w:gridSpan w:val="3"/>
            <w:vMerge/>
            <w:tcBorders>
              <w:bottom w:val="single" w:sz="4" w:space="0" w:color="auto"/>
            </w:tcBorders>
            <w:tcMar>
              <w:top w:w="72" w:type="dxa"/>
              <w:left w:w="144" w:type="dxa"/>
              <w:bottom w:w="72" w:type="dxa"/>
              <w:right w:w="144" w:type="dxa"/>
            </w:tcMar>
          </w:tcPr>
          <w:p w14:paraId="1684E147" w14:textId="77777777" w:rsidR="00C853CA" w:rsidRPr="008941BB" w:rsidRDefault="00C853CA" w:rsidP="004836EC">
            <w:pPr>
              <w:jc w:val="both"/>
              <w:rPr>
                <w:i/>
                <w:iCs/>
                <w:color w:val="000000"/>
                <w:sz w:val="18"/>
                <w:szCs w:val="18"/>
                <w:lang w:val="en-GB"/>
              </w:rPr>
            </w:pPr>
          </w:p>
        </w:tc>
        <w:tc>
          <w:tcPr>
            <w:tcW w:w="890" w:type="pct"/>
            <w:gridSpan w:val="2"/>
            <w:vMerge/>
            <w:tcBorders>
              <w:bottom w:val="single" w:sz="4" w:space="0" w:color="auto"/>
            </w:tcBorders>
          </w:tcPr>
          <w:p w14:paraId="02C31FA9" w14:textId="77777777" w:rsidR="00C853CA" w:rsidRPr="008941BB" w:rsidRDefault="00C853CA" w:rsidP="004836EC">
            <w:pPr>
              <w:jc w:val="both"/>
              <w:rPr>
                <w:i/>
                <w:iCs/>
                <w:color w:val="000000"/>
                <w:sz w:val="18"/>
                <w:szCs w:val="18"/>
                <w:lang w:val="en-GB"/>
              </w:rPr>
            </w:pPr>
          </w:p>
        </w:tc>
        <w:tc>
          <w:tcPr>
            <w:tcW w:w="657" w:type="pct"/>
            <w:tcBorders>
              <w:bottom w:val="single" w:sz="4" w:space="0" w:color="auto"/>
            </w:tcBorders>
            <w:tcMar>
              <w:top w:w="15" w:type="dxa"/>
              <w:left w:w="108" w:type="dxa"/>
              <w:bottom w:w="0" w:type="dxa"/>
              <w:right w:w="108" w:type="dxa"/>
            </w:tcMar>
          </w:tcPr>
          <w:p w14:paraId="12A25915" w14:textId="77777777" w:rsidR="00C853CA" w:rsidRPr="008941BB" w:rsidRDefault="00C853CA" w:rsidP="004836EC">
            <w:pPr>
              <w:jc w:val="both"/>
              <w:rPr>
                <w:b/>
                <w:color w:val="000000"/>
                <w:sz w:val="18"/>
                <w:szCs w:val="18"/>
                <w:lang w:val="en-GB"/>
              </w:rPr>
            </w:pPr>
          </w:p>
        </w:tc>
      </w:tr>
      <w:tr w:rsidR="00C853CA" w:rsidRPr="00172A7A" w14:paraId="74D1F67C" w14:textId="77777777" w:rsidTr="00892A8B">
        <w:trPr>
          <w:gridAfter w:val="1"/>
          <w:wAfter w:w="33" w:type="pct"/>
          <w:trHeight w:val="25"/>
        </w:trPr>
        <w:tc>
          <w:tcPr>
            <w:tcW w:w="4967" w:type="pct"/>
            <w:gridSpan w:val="9"/>
            <w:shd w:val="clear" w:color="auto" w:fill="auto"/>
            <w:tcMar>
              <w:top w:w="72" w:type="dxa"/>
              <w:left w:w="144" w:type="dxa"/>
              <w:bottom w:w="72" w:type="dxa"/>
              <w:right w:w="144" w:type="dxa"/>
            </w:tcMar>
          </w:tcPr>
          <w:p w14:paraId="32013EC6" w14:textId="7851BF32" w:rsidR="00C853CA" w:rsidRPr="008941BB" w:rsidRDefault="00B52957" w:rsidP="004836EC">
            <w:pPr>
              <w:jc w:val="both"/>
              <w:rPr>
                <w:b/>
                <w:bCs/>
                <w:color w:val="000000"/>
                <w:sz w:val="18"/>
                <w:szCs w:val="18"/>
                <w:lang w:val="en-GB"/>
              </w:rPr>
            </w:pPr>
            <w:r w:rsidRPr="00B52957">
              <w:rPr>
                <w:b/>
                <w:bCs/>
                <w:color w:val="000000"/>
                <w:sz w:val="18"/>
                <w:szCs w:val="18"/>
                <w:lang w:val="en-GB"/>
              </w:rPr>
              <w:t>National priority</w:t>
            </w:r>
            <w:r w:rsidR="00C853CA" w:rsidRPr="008941BB">
              <w:rPr>
                <w:b/>
                <w:bCs/>
                <w:color w:val="000000"/>
                <w:sz w:val="18"/>
                <w:szCs w:val="18"/>
                <w:lang w:val="en-GB"/>
              </w:rPr>
              <w:t>: SDGs 4, 5</w:t>
            </w:r>
            <w:r>
              <w:rPr>
                <w:b/>
                <w:bCs/>
                <w:color w:val="000000"/>
                <w:sz w:val="18"/>
                <w:szCs w:val="18"/>
                <w:lang w:val="en-GB"/>
              </w:rPr>
              <w:t xml:space="preserve"> and </w:t>
            </w:r>
            <w:r w:rsidR="00C853CA" w:rsidRPr="008941BB">
              <w:rPr>
                <w:b/>
                <w:bCs/>
                <w:color w:val="000000"/>
                <w:sz w:val="18"/>
                <w:szCs w:val="18"/>
                <w:lang w:val="en-GB"/>
              </w:rPr>
              <w:t>10</w:t>
            </w:r>
          </w:p>
        </w:tc>
      </w:tr>
      <w:tr w:rsidR="00C853CA" w:rsidRPr="00172A7A" w14:paraId="6C4DC2C0" w14:textId="77777777" w:rsidTr="00892A8B">
        <w:trPr>
          <w:gridAfter w:val="1"/>
          <w:wAfter w:w="33" w:type="pct"/>
          <w:trHeight w:val="25"/>
        </w:trPr>
        <w:tc>
          <w:tcPr>
            <w:tcW w:w="4967" w:type="pct"/>
            <w:gridSpan w:val="9"/>
            <w:shd w:val="clear" w:color="auto" w:fill="auto"/>
            <w:tcMar>
              <w:top w:w="72" w:type="dxa"/>
              <w:left w:w="144" w:type="dxa"/>
              <w:bottom w:w="72" w:type="dxa"/>
              <w:right w:w="144" w:type="dxa"/>
            </w:tcMar>
          </w:tcPr>
          <w:p w14:paraId="35E9FAF8" w14:textId="77777777" w:rsidR="00C853CA" w:rsidRPr="008941BB" w:rsidRDefault="00C853CA" w:rsidP="004836EC">
            <w:pPr>
              <w:jc w:val="both"/>
              <w:rPr>
                <w:b/>
                <w:bCs/>
                <w:color w:val="000000"/>
                <w:sz w:val="18"/>
                <w:szCs w:val="18"/>
                <w:lang w:val="en-GB"/>
              </w:rPr>
            </w:pPr>
            <w:r w:rsidRPr="008941BB">
              <w:rPr>
                <w:b/>
                <w:bCs/>
                <w:color w:val="000000"/>
                <w:sz w:val="18"/>
                <w:szCs w:val="18"/>
                <w:lang w:val="en-GB"/>
              </w:rPr>
              <w:t xml:space="preserve">UNDAF </w:t>
            </w:r>
            <w:r w:rsidR="00B52957" w:rsidRPr="00B52957">
              <w:rPr>
                <w:b/>
                <w:bCs/>
                <w:color w:val="000000"/>
                <w:sz w:val="18"/>
                <w:szCs w:val="18"/>
                <w:lang w:val="en-GB"/>
              </w:rPr>
              <w:t>outcome</w:t>
            </w:r>
            <w:r w:rsidRPr="008941BB">
              <w:rPr>
                <w:b/>
                <w:bCs/>
                <w:color w:val="000000"/>
                <w:sz w:val="18"/>
                <w:szCs w:val="18"/>
                <w:lang w:val="en-GB"/>
              </w:rPr>
              <w:t xml:space="preserve">: </w:t>
            </w:r>
            <w:r w:rsidRPr="008941BB">
              <w:rPr>
                <w:b/>
                <w:bCs/>
                <w:sz w:val="18"/>
                <w:szCs w:val="18"/>
                <w:lang w:val="en-GB"/>
              </w:rPr>
              <w:t>By 2022, gaps for economic integration of people, focusing on women, youth and persons with disabilities are reduced</w:t>
            </w:r>
            <w:r w:rsidRPr="008941BB">
              <w:rPr>
                <w:bCs/>
                <w:sz w:val="18"/>
                <w:szCs w:val="18"/>
                <w:lang w:val="en-GB"/>
              </w:rPr>
              <w:t xml:space="preserve">  </w:t>
            </w:r>
          </w:p>
        </w:tc>
      </w:tr>
      <w:tr w:rsidR="00C853CA" w:rsidRPr="00172A7A" w14:paraId="57CA14AA" w14:textId="77777777" w:rsidTr="00892A8B">
        <w:trPr>
          <w:gridAfter w:val="1"/>
          <w:wAfter w:w="33" w:type="pct"/>
          <w:trHeight w:val="25"/>
        </w:trPr>
        <w:tc>
          <w:tcPr>
            <w:tcW w:w="4967" w:type="pct"/>
            <w:gridSpan w:val="9"/>
            <w:shd w:val="clear" w:color="auto" w:fill="auto"/>
            <w:tcMar>
              <w:top w:w="72" w:type="dxa"/>
              <w:left w:w="144" w:type="dxa"/>
              <w:bottom w:w="72" w:type="dxa"/>
              <w:right w:w="144" w:type="dxa"/>
            </w:tcMar>
          </w:tcPr>
          <w:p w14:paraId="7E35249A" w14:textId="14962EBC" w:rsidR="00C853CA" w:rsidRPr="008941BB" w:rsidRDefault="00C853CA" w:rsidP="004836EC">
            <w:pPr>
              <w:jc w:val="both"/>
              <w:rPr>
                <w:b/>
                <w:bCs/>
                <w:color w:val="000000"/>
                <w:sz w:val="18"/>
                <w:szCs w:val="18"/>
                <w:lang w:val="en-GB"/>
              </w:rPr>
            </w:pPr>
            <w:r w:rsidRPr="008941BB">
              <w:rPr>
                <w:b/>
                <w:bCs/>
                <w:color w:val="000000"/>
                <w:sz w:val="18"/>
                <w:szCs w:val="18"/>
                <w:lang w:val="en-GB"/>
              </w:rPr>
              <w:t>S</w:t>
            </w:r>
            <w:r w:rsidR="00B52957">
              <w:rPr>
                <w:b/>
                <w:bCs/>
                <w:color w:val="000000"/>
                <w:sz w:val="18"/>
                <w:szCs w:val="18"/>
                <w:lang w:val="en-GB"/>
              </w:rPr>
              <w:t xml:space="preserve">trategic Plan, </w:t>
            </w:r>
            <w:r w:rsidRPr="008941BB">
              <w:rPr>
                <w:b/>
                <w:bCs/>
                <w:color w:val="000000"/>
                <w:sz w:val="18"/>
                <w:szCs w:val="18"/>
                <w:lang w:val="en-GB"/>
              </w:rPr>
              <w:t xml:space="preserve">2018-2021 </w:t>
            </w:r>
            <w:r w:rsidR="00B52957" w:rsidRPr="00B52957">
              <w:rPr>
                <w:b/>
                <w:bCs/>
                <w:color w:val="000000"/>
                <w:sz w:val="18"/>
                <w:szCs w:val="18"/>
                <w:lang w:val="en-GB"/>
              </w:rPr>
              <w:t>outcome</w:t>
            </w:r>
            <w:r w:rsidRPr="008941BB">
              <w:rPr>
                <w:b/>
                <w:bCs/>
                <w:color w:val="000000"/>
                <w:sz w:val="18"/>
                <w:szCs w:val="18"/>
                <w:lang w:val="en-GB"/>
              </w:rPr>
              <w:t>: Advance poverty eradication in all its forms and dimensions</w:t>
            </w:r>
          </w:p>
        </w:tc>
      </w:tr>
      <w:tr w:rsidR="00C853CA" w:rsidRPr="00172A7A" w14:paraId="2AA83E2E" w14:textId="77777777" w:rsidTr="00892A8B">
        <w:trPr>
          <w:gridAfter w:val="1"/>
          <w:wAfter w:w="33" w:type="pct"/>
          <w:trHeight w:val="1903"/>
        </w:trPr>
        <w:tc>
          <w:tcPr>
            <w:tcW w:w="1063" w:type="pct"/>
            <w:tcBorders>
              <w:bottom w:val="single" w:sz="4" w:space="0" w:color="auto"/>
            </w:tcBorders>
            <w:tcMar>
              <w:top w:w="72" w:type="dxa"/>
              <w:left w:w="144" w:type="dxa"/>
              <w:bottom w:w="72" w:type="dxa"/>
              <w:right w:w="144" w:type="dxa"/>
            </w:tcMar>
          </w:tcPr>
          <w:p w14:paraId="7E87AD2C" w14:textId="48C7CA41" w:rsidR="00C853CA" w:rsidRPr="008941BB" w:rsidRDefault="00C853CA" w:rsidP="008941BB">
            <w:pPr>
              <w:spacing w:after="160" w:line="216" w:lineRule="auto"/>
              <w:rPr>
                <w:color w:val="000000"/>
                <w:sz w:val="18"/>
                <w:szCs w:val="18"/>
                <w:lang w:val="en-GB" w:eastAsia="es-ES"/>
              </w:rPr>
            </w:pPr>
            <w:r w:rsidRPr="008941BB">
              <w:rPr>
                <w:color w:val="000000"/>
                <w:sz w:val="18"/>
                <w:szCs w:val="18"/>
                <w:lang w:val="en-GB" w:eastAsia="es-ES"/>
              </w:rPr>
              <w:lastRenderedPageBreak/>
              <w:t xml:space="preserve">Indicator: Number of laws and public policies formulated by sectoral institutions for the empowerment of women </w:t>
            </w:r>
          </w:p>
          <w:p w14:paraId="360B7502" w14:textId="77777777" w:rsidR="00C853CA" w:rsidRPr="008941BB" w:rsidRDefault="00C853CA" w:rsidP="004836EC">
            <w:pPr>
              <w:spacing w:before="200" w:after="160" w:line="216" w:lineRule="auto"/>
              <w:jc w:val="both"/>
              <w:rPr>
                <w:color w:val="000000"/>
                <w:sz w:val="18"/>
                <w:szCs w:val="18"/>
                <w:lang w:val="en-GB" w:eastAsia="es-ES"/>
              </w:rPr>
            </w:pPr>
            <w:r w:rsidRPr="008941BB">
              <w:rPr>
                <w:color w:val="000000"/>
                <w:sz w:val="18"/>
                <w:szCs w:val="18"/>
                <w:lang w:val="en-GB" w:eastAsia="es-ES"/>
              </w:rPr>
              <w:t>Baseline: 16 (2018)</w:t>
            </w:r>
          </w:p>
          <w:p w14:paraId="7094A9A9" w14:textId="77777777" w:rsidR="00C853CA" w:rsidRPr="008941BB" w:rsidRDefault="00C853CA" w:rsidP="004836EC">
            <w:pPr>
              <w:spacing w:before="200" w:after="160" w:line="216" w:lineRule="auto"/>
              <w:jc w:val="both"/>
              <w:rPr>
                <w:sz w:val="18"/>
                <w:szCs w:val="18"/>
                <w:lang w:val="en-GB" w:eastAsia="es-ES"/>
              </w:rPr>
            </w:pPr>
            <w:r w:rsidRPr="008941BB">
              <w:rPr>
                <w:color w:val="000000"/>
                <w:sz w:val="18"/>
                <w:szCs w:val="18"/>
                <w:lang w:val="en-GB" w:eastAsia="es-ES"/>
              </w:rPr>
              <w:t xml:space="preserve">Target: 22 (2022) </w:t>
            </w:r>
          </w:p>
          <w:p w14:paraId="123DB3BB" w14:textId="77777777" w:rsidR="00C853CA" w:rsidRPr="008941BB" w:rsidRDefault="00C853CA" w:rsidP="004836EC">
            <w:pPr>
              <w:rPr>
                <w:bCs/>
                <w:color w:val="000000"/>
                <w:sz w:val="18"/>
                <w:szCs w:val="18"/>
                <w:lang w:val="en-GB"/>
              </w:rPr>
            </w:pPr>
          </w:p>
        </w:tc>
        <w:tc>
          <w:tcPr>
            <w:tcW w:w="802" w:type="pct"/>
            <w:gridSpan w:val="2"/>
            <w:tcBorders>
              <w:bottom w:val="single" w:sz="4" w:space="0" w:color="auto"/>
            </w:tcBorders>
          </w:tcPr>
          <w:p w14:paraId="6424BFCF" w14:textId="77777777" w:rsidR="00C853CA" w:rsidRPr="008941BB" w:rsidRDefault="00C853CA" w:rsidP="008941BB">
            <w:pPr>
              <w:rPr>
                <w:bCs/>
                <w:color w:val="000000"/>
                <w:sz w:val="18"/>
                <w:szCs w:val="18"/>
                <w:lang w:val="en-GB"/>
              </w:rPr>
            </w:pPr>
            <w:r w:rsidRPr="008941BB">
              <w:rPr>
                <w:bCs/>
                <w:color w:val="000000"/>
                <w:sz w:val="18"/>
                <w:szCs w:val="18"/>
                <w:lang w:val="en-GB"/>
              </w:rPr>
              <w:t xml:space="preserve">Library of the National Congress </w:t>
            </w:r>
          </w:p>
          <w:p w14:paraId="70DF4ED9" w14:textId="77777777" w:rsidR="00C853CA" w:rsidRPr="008941BB" w:rsidRDefault="00C853CA" w:rsidP="004836EC">
            <w:pPr>
              <w:jc w:val="both"/>
              <w:rPr>
                <w:bCs/>
                <w:color w:val="000000"/>
                <w:sz w:val="18"/>
                <w:szCs w:val="18"/>
                <w:lang w:val="en-GB"/>
              </w:rPr>
            </w:pPr>
            <w:r w:rsidRPr="008941BB">
              <w:rPr>
                <w:bCs/>
                <w:color w:val="000000"/>
                <w:sz w:val="18"/>
                <w:szCs w:val="18"/>
                <w:lang w:val="en-GB"/>
              </w:rPr>
              <w:t>Ministry of Women</w:t>
            </w:r>
          </w:p>
          <w:p w14:paraId="41E0D531" w14:textId="77777777" w:rsidR="00C853CA" w:rsidRPr="008941BB" w:rsidRDefault="00C853CA" w:rsidP="004836EC">
            <w:pPr>
              <w:jc w:val="both"/>
              <w:rPr>
                <w:bCs/>
                <w:color w:val="000000"/>
                <w:sz w:val="18"/>
                <w:szCs w:val="18"/>
                <w:lang w:val="en-GB"/>
              </w:rPr>
            </w:pPr>
            <w:r w:rsidRPr="008941BB">
              <w:rPr>
                <w:bCs/>
                <w:color w:val="000000"/>
                <w:sz w:val="18"/>
                <w:szCs w:val="18"/>
                <w:lang w:val="en-GB"/>
              </w:rPr>
              <w:t>Ministry of Labor</w:t>
            </w:r>
          </w:p>
        </w:tc>
        <w:tc>
          <w:tcPr>
            <w:tcW w:w="1555" w:type="pct"/>
            <w:gridSpan w:val="3"/>
            <w:tcBorders>
              <w:bottom w:val="single" w:sz="4" w:space="0" w:color="auto"/>
            </w:tcBorders>
            <w:tcMar>
              <w:top w:w="72" w:type="dxa"/>
              <w:left w:w="144" w:type="dxa"/>
              <w:bottom w:w="72" w:type="dxa"/>
              <w:right w:w="144" w:type="dxa"/>
            </w:tcMar>
          </w:tcPr>
          <w:p w14:paraId="695F841A" w14:textId="33A6F149" w:rsidR="00C853CA" w:rsidRPr="008941BB" w:rsidRDefault="00C853CA" w:rsidP="00B9136C">
            <w:pPr>
              <w:pStyle w:val="ListParagraph"/>
              <w:tabs>
                <w:tab w:val="left" w:pos="0"/>
              </w:tabs>
              <w:spacing w:line="216" w:lineRule="auto"/>
              <w:ind w:left="0"/>
              <w:contextualSpacing/>
              <w:jc w:val="both"/>
              <w:rPr>
                <w:color w:val="000000"/>
                <w:sz w:val="18"/>
                <w:szCs w:val="18"/>
                <w:lang w:val="en-GB" w:eastAsia="es-ES"/>
              </w:rPr>
            </w:pPr>
            <w:r w:rsidRPr="008941BB">
              <w:rPr>
                <w:b/>
                <w:sz w:val="18"/>
                <w:szCs w:val="18"/>
                <w:lang w:val="en-GB" w:eastAsia="es-ES"/>
              </w:rPr>
              <w:t>2.1</w:t>
            </w:r>
            <w:r w:rsidR="00B52957">
              <w:rPr>
                <w:b/>
                <w:sz w:val="18"/>
                <w:szCs w:val="18"/>
                <w:lang w:val="en-GB" w:eastAsia="es-ES"/>
              </w:rPr>
              <w:t>.</w:t>
            </w:r>
            <w:r w:rsidRPr="008941BB">
              <w:rPr>
                <w:b/>
                <w:sz w:val="18"/>
                <w:szCs w:val="18"/>
                <w:lang w:val="en-GB" w:eastAsia="es-ES"/>
              </w:rPr>
              <w:t xml:space="preserve"> </w:t>
            </w:r>
            <w:r w:rsidR="00B52957">
              <w:rPr>
                <w:b/>
                <w:sz w:val="18"/>
                <w:szCs w:val="18"/>
                <w:lang w:val="en-GB" w:eastAsia="es-ES"/>
              </w:rPr>
              <w:t xml:space="preserve">Capacities of </w:t>
            </w:r>
            <w:r w:rsidRPr="008941BB">
              <w:rPr>
                <w:b/>
                <w:sz w:val="18"/>
                <w:szCs w:val="18"/>
                <w:lang w:val="en-GB" w:eastAsia="es-ES"/>
              </w:rPr>
              <w:t>State institutions and other key actors strengthened to reduce gender inequality gaps in social and labo</w:t>
            </w:r>
            <w:r w:rsidR="00B52957">
              <w:rPr>
                <w:b/>
                <w:sz w:val="18"/>
                <w:szCs w:val="18"/>
                <w:lang w:val="en-GB" w:eastAsia="es-ES"/>
              </w:rPr>
              <w:t>u</w:t>
            </w:r>
            <w:r w:rsidRPr="008941BB">
              <w:rPr>
                <w:b/>
                <w:sz w:val="18"/>
                <w:szCs w:val="18"/>
                <w:lang w:val="en-GB" w:eastAsia="es-ES"/>
              </w:rPr>
              <w:t xml:space="preserve">r-related issues, at the national and subnational levels </w:t>
            </w:r>
          </w:p>
          <w:p w14:paraId="105BC858" w14:textId="77777777" w:rsidR="00C853CA" w:rsidRPr="008941BB" w:rsidRDefault="00C853CA" w:rsidP="004836EC">
            <w:pPr>
              <w:pStyle w:val="ListParagraph"/>
              <w:tabs>
                <w:tab w:val="left" w:pos="0"/>
              </w:tabs>
              <w:spacing w:before="200" w:line="216" w:lineRule="auto"/>
              <w:ind w:left="0"/>
              <w:contextualSpacing/>
              <w:jc w:val="both"/>
              <w:rPr>
                <w:color w:val="000000"/>
                <w:sz w:val="18"/>
                <w:szCs w:val="18"/>
                <w:lang w:val="en-GB" w:eastAsia="es-ES"/>
              </w:rPr>
            </w:pPr>
          </w:p>
          <w:p w14:paraId="2C2184DA" w14:textId="17A9F6DF" w:rsidR="00C853CA" w:rsidRPr="008941BB" w:rsidRDefault="00C853CA" w:rsidP="004836EC">
            <w:pPr>
              <w:pStyle w:val="ListParagraph"/>
              <w:tabs>
                <w:tab w:val="left" w:pos="0"/>
              </w:tabs>
              <w:spacing w:line="216" w:lineRule="auto"/>
              <w:ind w:left="0"/>
              <w:contextualSpacing/>
              <w:jc w:val="both"/>
              <w:rPr>
                <w:color w:val="000000"/>
                <w:sz w:val="18"/>
                <w:szCs w:val="18"/>
                <w:lang w:val="en-GB" w:eastAsia="es-ES"/>
              </w:rPr>
            </w:pPr>
            <w:r w:rsidRPr="008941BB">
              <w:rPr>
                <w:color w:val="000000"/>
                <w:sz w:val="18"/>
                <w:szCs w:val="18"/>
                <w:lang w:val="en-GB" w:eastAsia="es-ES"/>
              </w:rPr>
              <w:t>Indicator 2.1.1</w:t>
            </w:r>
            <w:r w:rsidR="00B52957">
              <w:rPr>
                <w:color w:val="000000"/>
                <w:sz w:val="18"/>
                <w:szCs w:val="18"/>
                <w:lang w:val="en-GB" w:eastAsia="es-ES"/>
              </w:rPr>
              <w:t>.</w:t>
            </w:r>
            <w:r w:rsidRPr="008941BB">
              <w:rPr>
                <w:color w:val="000000"/>
                <w:sz w:val="18"/>
                <w:szCs w:val="18"/>
                <w:lang w:val="en-GB" w:eastAsia="es-ES"/>
              </w:rPr>
              <w:t xml:space="preserve"> Number of tools/inputs developed </w:t>
            </w:r>
            <w:r w:rsidR="00B52957" w:rsidRPr="003E358C">
              <w:rPr>
                <w:color w:val="000000"/>
                <w:sz w:val="18"/>
                <w:szCs w:val="18"/>
                <w:lang w:val="en-GB" w:eastAsia="es-ES"/>
              </w:rPr>
              <w:t>and/or validated</w:t>
            </w:r>
            <w:r w:rsidR="00B52957" w:rsidRPr="00B52957">
              <w:rPr>
                <w:color w:val="000000"/>
                <w:sz w:val="18"/>
                <w:szCs w:val="18"/>
                <w:lang w:val="en-GB" w:eastAsia="es-ES"/>
              </w:rPr>
              <w:t xml:space="preserve"> </w:t>
            </w:r>
            <w:r w:rsidRPr="008941BB">
              <w:rPr>
                <w:color w:val="000000"/>
                <w:sz w:val="18"/>
                <w:szCs w:val="18"/>
                <w:lang w:val="en-GB" w:eastAsia="es-ES"/>
              </w:rPr>
              <w:t xml:space="preserve">by UNDP </w:t>
            </w:r>
          </w:p>
          <w:p w14:paraId="1CF27178" w14:textId="77777777" w:rsidR="00C853CA" w:rsidRPr="008941BB" w:rsidRDefault="00C853CA" w:rsidP="004836EC">
            <w:pPr>
              <w:pStyle w:val="ListParagraph"/>
              <w:spacing w:line="216" w:lineRule="auto"/>
              <w:ind w:left="0"/>
              <w:jc w:val="both"/>
              <w:rPr>
                <w:color w:val="000000"/>
                <w:sz w:val="18"/>
                <w:szCs w:val="18"/>
                <w:lang w:val="en-GB" w:eastAsia="es-ES"/>
              </w:rPr>
            </w:pPr>
            <w:r w:rsidRPr="008941BB">
              <w:rPr>
                <w:color w:val="000000"/>
                <w:sz w:val="18"/>
                <w:szCs w:val="18"/>
                <w:lang w:val="en-GB" w:eastAsia="es-ES"/>
              </w:rPr>
              <w:t>Baseline: 3</w:t>
            </w:r>
          </w:p>
          <w:p w14:paraId="1BF7CD01" w14:textId="77777777" w:rsidR="00C853CA" w:rsidRPr="008941BB" w:rsidRDefault="00C853CA" w:rsidP="004836EC">
            <w:pPr>
              <w:pStyle w:val="ListParagraph"/>
              <w:spacing w:line="216" w:lineRule="auto"/>
              <w:ind w:left="0"/>
              <w:jc w:val="both"/>
              <w:rPr>
                <w:color w:val="000000"/>
                <w:sz w:val="18"/>
                <w:szCs w:val="18"/>
                <w:lang w:val="en-GB" w:eastAsia="es-ES"/>
              </w:rPr>
            </w:pPr>
            <w:r w:rsidRPr="008941BB">
              <w:rPr>
                <w:color w:val="000000"/>
                <w:sz w:val="18"/>
                <w:szCs w:val="18"/>
                <w:lang w:val="en-GB" w:eastAsia="es-ES"/>
              </w:rPr>
              <w:t>Target: 5</w:t>
            </w:r>
          </w:p>
          <w:p w14:paraId="0C8072FD" w14:textId="77777777" w:rsidR="00C853CA" w:rsidRPr="008941BB" w:rsidRDefault="00C853CA" w:rsidP="004836EC">
            <w:pPr>
              <w:jc w:val="both"/>
              <w:rPr>
                <w:iCs/>
                <w:color w:val="000000"/>
                <w:sz w:val="18"/>
                <w:szCs w:val="18"/>
                <w:lang w:val="en-GB"/>
              </w:rPr>
            </w:pPr>
          </w:p>
          <w:p w14:paraId="36C7FC4C" w14:textId="77777777" w:rsidR="00C853CA" w:rsidRPr="008941BB" w:rsidRDefault="00C853CA" w:rsidP="004836EC">
            <w:pPr>
              <w:jc w:val="both"/>
              <w:rPr>
                <w:b/>
                <w:iCs/>
                <w:color w:val="000000"/>
                <w:sz w:val="18"/>
                <w:szCs w:val="18"/>
                <w:lang w:val="en-GB"/>
              </w:rPr>
            </w:pPr>
            <w:bookmarkStart w:id="5" w:name="_Hlk522713509"/>
            <w:r w:rsidRPr="008941BB">
              <w:rPr>
                <w:b/>
                <w:iCs/>
                <w:color w:val="000000"/>
                <w:sz w:val="18"/>
                <w:szCs w:val="18"/>
                <w:lang w:val="en-GB"/>
              </w:rPr>
              <w:t>2.2</w:t>
            </w:r>
            <w:r w:rsidR="00B52957">
              <w:rPr>
                <w:b/>
                <w:iCs/>
                <w:color w:val="000000"/>
                <w:sz w:val="18"/>
                <w:szCs w:val="18"/>
                <w:lang w:val="en-GB"/>
              </w:rPr>
              <w:t>.</w:t>
            </w:r>
            <w:r w:rsidRPr="008941BB">
              <w:rPr>
                <w:b/>
                <w:iCs/>
                <w:color w:val="000000"/>
                <w:sz w:val="18"/>
                <w:szCs w:val="18"/>
                <w:lang w:val="en-GB"/>
              </w:rPr>
              <w:t xml:space="preserve"> Institutions and businesses, mainly small and medium-sized, improve their capacities to integrate standards for gender equality certification </w:t>
            </w:r>
          </w:p>
          <w:p w14:paraId="3126C5C7" w14:textId="0343938F" w:rsidR="00C853CA" w:rsidRPr="008941BB" w:rsidRDefault="00C853CA" w:rsidP="004836EC">
            <w:pPr>
              <w:jc w:val="both"/>
              <w:rPr>
                <w:iCs/>
                <w:color w:val="000000"/>
                <w:sz w:val="18"/>
                <w:szCs w:val="18"/>
                <w:lang w:val="en-GB"/>
              </w:rPr>
            </w:pPr>
            <w:r w:rsidRPr="008941BB">
              <w:rPr>
                <w:iCs/>
                <w:color w:val="000000"/>
                <w:sz w:val="18"/>
                <w:szCs w:val="18"/>
                <w:lang w:val="en-GB"/>
              </w:rPr>
              <w:t>Indicator 2.2.1</w:t>
            </w:r>
            <w:r w:rsidR="00B52957">
              <w:rPr>
                <w:iCs/>
                <w:color w:val="000000"/>
                <w:sz w:val="18"/>
                <w:szCs w:val="18"/>
                <w:lang w:val="en-GB"/>
              </w:rPr>
              <w:t>.</w:t>
            </w:r>
            <w:r w:rsidRPr="008941BB">
              <w:rPr>
                <w:iCs/>
                <w:color w:val="000000"/>
                <w:sz w:val="18"/>
                <w:szCs w:val="18"/>
                <w:lang w:val="en-GB"/>
              </w:rPr>
              <w:t xml:space="preserve"> Number of institutions/businesses certified or recognized by the </w:t>
            </w:r>
            <w:r w:rsidR="00B52957">
              <w:rPr>
                <w:iCs/>
                <w:color w:val="000000"/>
                <w:sz w:val="18"/>
                <w:szCs w:val="18"/>
                <w:lang w:val="en-GB"/>
              </w:rPr>
              <w:t>g</w:t>
            </w:r>
            <w:r w:rsidRPr="008941BB">
              <w:rPr>
                <w:iCs/>
                <w:color w:val="000000"/>
                <w:sz w:val="18"/>
                <w:szCs w:val="18"/>
                <w:lang w:val="en-GB"/>
              </w:rPr>
              <w:t xml:space="preserve">ender </w:t>
            </w:r>
            <w:r w:rsidR="00B52957">
              <w:rPr>
                <w:iCs/>
                <w:color w:val="000000"/>
                <w:sz w:val="18"/>
                <w:szCs w:val="18"/>
                <w:lang w:val="en-GB"/>
              </w:rPr>
              <w:t>s</w:t>
            </w:r>
            <w:r w:rsidRPr="008941BB">
              <w:rPr>
                <w:iCs/>
                <w:color w:val="000000"/>
                <w:sz w:val="18"/>
                <w:szCs w:val="18"/>
                <w:lang w:val="en-GB"/>
              </w:rPr>
              <w:t>eal or similar standard (Win-Win, UN</w:t>
            </w:r>
            <w:r w:rsidR="00B52957">
              <w:rPr>
                <w:iCs/>
                <w:color w:val="000000"/>
                <w:sz w:val="18"/>
                <w:szCs w:val="18"/>
                <w:lang w:val="en-GB"/>
              </w:rPr>
              <w:t>-</w:t>
            </w:r>
            <w:r w:rsidRPr="008941BB">
              <w:rPr>
                <w:iCs/>
                <w:color w:val="000000"/>
                <w:sz w:val="18"/>
                <w:szCs w:val="18"/>
                <w:lang w:val="en-GB"/>
              </w:rPr>
              <w:t xml:space="preserve">Women) </w:t>
            </w:r>
          </w:p>
          <w:p w14:paraId="377E38C9" w14:textId="77777777" w:rsidR="00C853CA" w:rsidRPr="008941BB" w:rsidRDefault="00C853CA" w:rsidP="004836EC">
            <w:pPr>
              <w:jc w:val="both"/>
              <w:rPr>
                <w:iCs/>
                <w:color w:val="000000"/>
                <w:sz w:val="18"/>
                <w:szCs w:val="18"/>
                <w:lang w:val="en-GB"/>
              </w:rPr>
            </w:pPr>
            <w:r w:rsidRPr="008941BB">
              <w:rPr>
                <w:iCs/>
                <w:color w:val="000000"/>
                <w:sz w:val="18"/>
                <w:szCs w:val="18"/>
                <w:lang w:val="en-GB"/>
              </w:rPr>
              <w:t>Baseline: 9 (2017)</w:t>
            </w:r>
          </w:p>
          <w:p w14:paraId="00555A87" w14:textId="77777777" w:rsidR="00C853CA" w:rsidRPr="008941BB" w:rsidRDefault="00C853CA" w:rsidP="004836EC">
            <w:pPr>
              <w:jc w:val="both"/>
              <w:rPr>
                <w:iCs/>
                <w:color w:val="000000"/>
                <w:sz w:val="18"/>
                <w:szCs w:val="18"/>
                <w:lang w:val="en-GB"/>
              </w:rPr>
            </w:pPr>
            <w:r w:rsidRPr="008941BB">
              <w:rPr>
                <w:iCs/>
                <w:color w:val="000000"/>
                <w:sz w:val="18"/>
                <w:szCs w:val="18"/>
                <w:lang w:val="en-GB"/>
              </w:rPr>
              <w:t xml:space="preserve">Target: </w:t>
            </w:r>
            <w:bookmarkEnd w:id="5"/>
            <w:r w:rsidRPr="008941BB">
              <w:rPr>
                <w:iCs/>
                <w:color w:val="000000"/>
                <w:sz w:val="18"/>
                <w:szCs w:val="18"/>
                <w:lang w:val="en-GB"/>
              </w:rPr>
              <w:t>19</w:t>
            </w:r>
          </w:p>
          <w:p w14:paraId="657EA8E9" w14:textId="77777777" w:rsidR="00C853CA" w:rsidRPr="008941BB" w:rsidRDefault="00C853CA" w:rsidP="004836EC">
            <w:pPr>
              <w:jc w:val="both"/>
              <w:rPr>
                <w:b/>
                <w:iCs/>
                <w:color w:val="000000"/>
                <w:sz w:val="18"/>
                <w:szCs w:val="18"/>
                <w:lang w:val="en-GB"/>
              </w:rPr>
            </w:pPr>
          </w:p>
          <w:p w14:paraId="4722D181" w14:textId="0F7BF48E" w:rsidR="00C853CA" w:rsidRPr="008941BB" w:rsidRDefault="00C853CA" w:rsidP="004836EC">
            <w:pPr>
              <w:jc w:val="both"/>
              <w:rPr>
                <w:b/>
                <w:iCs/>
                <w:color w:val="000000"/>
                <w:sz w:val="18"/>
                <w:szCs w:val="18"/>
                <w:lang w:val="en-GB"/>
              </w:rPr>
            </w:pPr>
            <w:r w:rsidRPr="008941BB">
              <w:rPr>
                <w:b/>
                <w:iCs/>
                <w:color w:val="000000"/>
                <w:sz w:val="18"/>
                <w:szCs w:val="18"/>
                <w:lang w:val="en-GB"/>
              </w:rPr>
              <w:t>2.3</w:t>
            </w:r>
            <w:r w:rsidR="00C05D8F">
              <w:rPr>
                <w:b/>
                <w:iCs/>
                <w:color w:val="000000"/>
                <w:sz w:val="18"/>
                <w:szCs w:val="18"/>
                <w:lang w:val="en-GB"/>
              </w:rPr>
              <w:t>.</w:t>
            </w:r>
            <w:r w:rsidRPr="008941BB">
              <w:rPr>
                <w:b/>
                <w:iCs/>
                <w:color w:val="000000"/>
                <w:sz w:val="18"/>
                <w:szCs w:val="18"/>
                <w:lang w:val="en-GB"/>
              </w:rPr>
              <w:t xml:space="preserve"> </w:t>
            </w:r>
            <w:r w:rsidR="00B52957">
              <w:rPr>
                <w:b/>
                <w:iCs/>
                <w:color w:val="000000"/>
                <w:sz w:val="18"/>
                <w:szCs w:val="18"/>
                <w:lang w:val="en-GB"/>
              </w:rPr>
              <w:t>Capacities of r</w:t>
            </w:r>
            <w:r w:rsidRPr="008941BB">
              <w:rPr>
                <w:b/>
                <w:iCs/>
                <w:color w:val="000000"/>
                <w:sz w:val="18"/>
                <w:szCs w:val="18"/>
                <w:lang w:val="en-GB"/>
              </w:rPr>
              <w:t xml:space="preserve">egional institutions strengthened to integrate gender and sustainability approaches into their economic development strategies </w:t>
            </w:r>
          </w:p>
          <w:p w14:paraId="1DCC2871" w14:textId="3AE6318E" w:rsidR="00C853CA" w:rsidRPr="008941BB" w:rsidRDefault="00C853CA" w:rsidP="004836EC">
            <w:pPr>
              <w:spacing w:before="240"/>
              <w:jc w:val="both"/>
              <w:rPr>
                <w:iCs/>
                <w:color w:val="000000"/>
                <w:sz w:val="18"/>
                <w:szCs w:val="18"/>
                <w:lang w:val="en-GB"/>
              </w:rPr>
            </w:pPr>
            <w:r w:rsidRPr="008941BB">
              <w:rPr>
                <w:iCs/>
                <w:color w:val="000000"/>
                <w:sz w:val="18"/>
                <w:szCs w:val="18"/>
                <w:lang w:val="en-GB"/>
              </w:rPr>
              <w:t>Indicator 2.3.1</w:t>
            </w:r>
            <w:r w:rsidR="00C05D8F">
              <w:rPr>
                <w:iCs/>
                <w:color w:val="000000"/>
                <w:sz w:val="18"/>
                <w:szCs w:val="18"/>
                <w:lang w:val="en-GB"/>
              </w:rPr>
              <w:t>.</w:t>
            </w:r>
            <w:r w:rsidRPr="008941BB">
              <w:rPr>
                <w:iCs/>
                <w:color w:val="000000"/>
                <w:sz w:val="18"/>
                <w:szCs w:val="18"/>
                <w:lang w:val="en-GB"/>
              </w:rPr>
              <w:t xml:space="preserve"> Number of regions that integrate gender and sustainability approaches into their strategies</w:t>
            </w:r>
          </w:p>
          <w:p w14:paraId="3C384414" w14:textId="77777777" w:rsidR="00C853CA" w:rsidRPr="008941BB" w:rsidRDefault="00C853CA" w:rsidP="004836EC">
            <w:pPr>
              <w:jc w:val="both"/>
              <w:rPr>
                <w:iCs/>
                <w:color w:val="000000"/>
                <w:sz w:val="18"/>
                <w:szCs w:val="18"/>
                <w:lang w:val="en-GB"/>
              </w:rPr>
            </w:pPr>
            <w:r w:rsidRPr="008941BB">
              <w:rPr>
                <w:iCs/>
                <w:color w:val="000000"/>
                <w:sz w:val="18"/>
                <w:szCs w:val="18"/>
                <w:lang w:val="en-GB"/>
              </w:rPr>
              <w:t>Baseline: 0</w:t>
            </w:r>
          </w:p>
          <w:p w14:paraId="5598829D" w14:textId="77777777" w:rsidR="00C853CA" w:rsidRPr="008941BB" w:rsidRDefault="00C853CA" w:rsidP="004836EC">
            <w:pPr>
              <w:jc w:val="both"/>
              <w:rPr>
                <w:iCs/>
                <w:color w:val="000000"/>
                <w:sz w:val="18"/>
                <w:szCs w:val="18"/>
                <w:lang w:val="en-GB"/>
              </w:rPr>
            </w:pPr>
            <w:r w:rsidRPr="008941BB">
              <w:rPr>
                <w:iCs/>
                <w:color w:val="000000"/>
                <w:sz w:val="18"/>
                <w:szCs w:val="18"/>
                <w:lang w:val="en-GB"/>
              </w:rPr>
              <w:t>Target: 3</w:t>
            </w:r>
          </w:p>
        </w:tc>
        <w:tc>
          <w:tcPr>
            <w:tcW w:w="890" w:type="pct"/>
            <w:gridSpan w:val="2"/>
            <w:tcBorders>
              <w:bottom w:val="single" w:sz="4" w:space="0" w:color="auto"/>
            </w:tcBorders>
          </w:tcPr>
          <w:p w14:paraId="56D7A896" w14:textId="77777777" w:rsidR="00C853CA" w:rsidRPr="008941BB" w:rsidRDefault="00C853CA" w:rsidP="004836EC">
            <w:pPr>
              <w:jc w:val="both"/>
              <w:rPr>
                <w:iCs/>
                <w:color w:val="000000"/>
                <w:sz w:val="18"/>
                <w:szCs w:val="18"/>
                <w:lang w:val="en-GB"/>
              </w:rPr>
            </w:pPr>
            <w:r w:rsidRPr="008941BB">
              <w:rPr>
                <w:iCs/>
                <w:color w:val="000000"/>
                <w:sz w:val="18"/>
                <w:szCs w:val="18"/>
                <w:lang w:val="en-GB"/>
              </w:rPr>
              <w:t>Ministry of Labor</w:t>
            </w:r>
          </w:p>
          <w:p w14:paraId="2A6B5D62" w14:textId="77777777" w:rsidR="00C853CA" w:rsidRPr="008941BB" w:rsidRDefault="00C853CA" w:rsidP="004836EC">
            <w:pPr>
              <w:jc w:val="both"/>
              <w:rPr>
                <w:iCs/>
                <w:color w:val="000000"/>
                <w:sz w:val="18"/>
                <w:szCs w:val="18"/>
                <w:lang w:val="en-GB"/>
              </w:rPr>
            </w:pPr>
            <w:r w:rsidRPr="008941BB">
              <w:rPr>
                <w:iCs/>
                <w:color w:val="000000"/>
                <w:sz w:val="18"/>
                <w:szCs w:val="18"/>
                <w:lang w:val="en-GB"/>
              </w:rPr>
              <w:t>Ministry of Women</w:t>
            </w:r>
          </w:p>
          <w:p w14:paraId="73EA38BD" w14:textId="77777777" w:rsidR="00C853CA" w:rsidRPr="008941BB" w:rsidRDefault="00C853CA" w:rsidP="004836EC">
            <w:pPr>
              <w:jc w:val="both"/>
              <w:rPr>
                <w:iCs/>
                <w:color w:val="000000"/>
                <w:sz w:val="18"/>
                <w:szCs w:val="18"/>
                <w:lang w:val="en-GB"/>
              </w:rPr>
            </w:pPr>
            <w:r w:rsidRPr="008941BB">
              <w:rPr>
                <w:iCs/>
                <w:color w:val="000000"/>
                <w:sz w:val="18"/>
                <w:szCs w:val="18"/>
                <w:lang w:val="en-GB"/>
              </w:rPr>
              <w:t>Ministry Secretary General of the Presidency</w:t>
            </w:r>
          </w:p>
          <w:p w14:paraId="7B8F9714" w14:textId="77777777" w:rsidR="00C853CA" w:rsidRPr="008941BB" w:rsidRDefault="00C853CA" w:rsidP="004836EC">
            <w:pPr>
              <w:jc w:val="both"/>
              <w:rPr>
                <w:iCs/>
                <w:color w:val="000000"/>
                <w:sz w:val="18"/>
                <w:szCs w:val="18"/>
                <w:lang w:val="en-GB"/>
              </w:rPr>
            </w:pPr>
            <w:r w:rsidRPr="008941BB">
              <w:rPr>
                <w:iCs/>
                <w:color w:val="000000"/>
                <w:sz w:val="18"/>
                <w:szCs w:val="18"/>
                <w:lang w:val="en-GB"/>
              </w:rPr>
              <w:t>Ministry of Education</w:t>
            </w:r>
          </w:p>
          <w:p w14:paraId="4EA3D42C" w14:textId="77777777" w:rsidR="00C853CA" w:rsidRPr="008941BB" w:rsidRDefault="00C853CA" w:rsidP="004836EC">
            <w:pPr>
              <w:jc w:val="both"/>
              <w:rPr>
                <w:iCs/>
                <w:color w:val="000000"/>
                <w:sz w:val="18"/>
                <w:szCs w:val="18"/>
                <w:lang w:val="en-GB"/>
              </w:rPr>
            </w:pPr>
            <w:r w:rsidRPr="008941BB">
              <w:rPr>
                <w:iCs/>
                <w:color w:val="000000"/>
                <w:sz w:val="18"/>
                <w:szCs w:val="18"/>
                <w:lang w:val="en-GB"/>
              </w:rPr>
              <w:t>ECLAC</w:t>
            </w:r>
          </w:p>
          <w:p w14:paraId="7E0F8A33" w14:textId="77777777" w:rsidR="00C853CA" w:rsidRPr="008941BB" w:rsidRDefault="00C853CA" w:rsidP="004836EC">
            <w:pPr>
              <w:jc w:val="both"/>
              <w:rPr>
                <w:iCs/>
                <w:color w:val="000000"/>
                <w:sz w:val="18"/>
                <w:szCs w:val="18"/>
                <w:lang w:val="en-GB"/>
              </w:rPr>
            </w:pPr>
            <w:r w:rsidRPr="008941BB">
              <w:rPr>
                <w:iCs/>
                <w:color w:val="000000"/>
                <w:sz w:val="18"/>
                <w:szCs w:val="18"/>
                <w:lang w:val="en-GB"/>
              </w:rPr>
              <w:t>ILO</w:t>
            </w:r>
          </w:p>
          <w:p w14:paraId="3535CE26" w14:textId="77777777" w:rsidR="00C853CA" w:rsidRPr="008941BB" w:rsidRDefault="00C853CA" w:rsidP="004836EC">
            <w:pPr>
              <w:jc w:val="both"/>
              <w:rPr>
                <w:iCs/>
                <w:color w:val="000000"/>
                <w:sz w:val="18"/>
                <w:szCs w:val="18"/>
                <w:lang w:val="en-GB"/>
              </w:rPr>
            </w:pPr>
            <w:r w:rsidRPr="008941BB">
              <w:rPr>
                <w:iCs/>
                <w:color w:val="000000"/>
                <w:sz w:val="18"/>
                <w:szCs w:val="18"/>
                <w:lang w:val="en-GB"/>
              </w:rPr>
              <w:t>UNWOMEN</w:t>
            </w:r>
          </w:p>
          <w:p w14:paraId="6C3258F3" w14:textId="77777777" w:rsidR="00C853CA" w:rsidRPr="008941BB" w:rsidRDefault="00C853CA" w:rsidP="004836EC">
            <w:pPr>
              <w:jc w:val="both"/>
              <w:rPr>
                <w:iCs/>
                <w:color w:val="000000"/>
                <w:sz w:val="18"/>
                <w:szCs w:val="18"/>
                <w:lang w:val="en-GB"/>
              </w:rPr>
            </w:pPr>
          </w:p>
        </w:tc>
        <w:tc>
          <w:tcPr>
            <w:tcW w:w="657" w:type="pct"/>
            <w:tcBorders>
              <w:bottom w:val="single" w:sz="4" w:space="0" w:color="auto"/>
            </w:tcBorders>
            <w:tcMar>
              <w:top w:w="15" w:type="dxa"/>
              <w:left w:w="108" w:type="dxa"/>
              <w:bottom w:w="0" w:type="dxa"/>
              <w:right w:w="108" w:type="dxa"/>
            </w:tcMar>
          </w:tcPr>
          <w:p w14:paraId="628B579D" w14:textId="77777777" w:rsidR="00C853CA" w:rsidRDefault="00C853CA" w:rsidP="004836EC">
            <w:pPr>
              <w:jc w:val="both"/>
              <w:rPr>
                <w:b/>
                <w:color w:val="000000"/>
                <w:sz w:val="18"/>
                <w:szCs w:val="18"/>
                <w:lang w:val="en-GB"/>
              </w:rPr>
            </w:pPr>
            <w:r w:rsidRPr="008941BB">
              <w:rPr>
                <w:b/>
                <w:color w:val="000000"/>
                <w:sz w:val="18"/>
                <w:szCs w:val="18"/>
                <w:lang w:val="en-GB"/>
              </w:rPr>
              <w:t xml:space="preserve">Regular </w:t>
            </w:r>
          </w:p>
          <w:p w14:paraId="16AD0D43" w14:textId="77777777" w:rsidR="00087A83" w:rsidRPr="008941BB" w:rsidRDefault="00087A83" w:rsidP="004836EC">
            <w:pPr>
              <w:jc w:val="both"/>
              <w:rPr>
                <w:b/>
                <w:color w:val="000000"/>
                <w:sz w:val="18"/>
                <w:szCs w:val="18"/>
                <w:lang w:val="en-GB"/>
              </w:rPr>
            </w:pPr>
            <w:r>
              <w:rPr>
                <w:b/>
                <w:color w:val="000000"/>
                <w:sz w:val="18"/>
                <w:szCs w:val="18"/>
                <w:lang w:val="en-GB"/>
              </w:rPr>
              <w:t>0</w:t>
            </w:r>
          </w:p>
          <w:p w14:paraId="07E2740C" w14:textId="77777777" w:rsidR="00C853CA" w:rsidRPr="008941BB" w:rsidRDefault="00C853CA" w:rsidP="004836EC">
            <w:pPr>
              <w:jc w:val="both"/>
              <w:rPr>
                <w:b/>
                <w:color w:val="000000"/>
                <w:sz w:val="18"/>
                <w:szCs w:val="18"/>
                <w:lang w:val="en-GB"/>
              </w:rPr>
            </w:pPr>
          </w:p>
          <w:p w14:paraId="158AA663" w14:textId="77777777" w:rsidR="00C853CA" w:rsidRPr="008941BB" w:rsidRDefault="00C853CA" w:rsidP="004836EC">
            <w:pPr>
              <w:jc w:val="both"/>
              <w:rPr>
                <w:b/>
                <w:color w:val="000000"/>
                <w:sz w:val="18"/>
                <w:szCs w:val="18"/>
                <w:lang w:val="en-GB"/>
              </w:rPr>
            </w:pPr>
            <w:r w:rsidRPr="008941BB">
              <w:rPr>
                <w:b/>
                <w:color w:val="000000"/>
                <w:sz w:val="18"/>
                <w:szCs w:val="18"/>
                <w:lang w:val="en-GB"/>
              </w:rPr>
              <w:t>Other</w:t>
            </w:r>
          </w:p>
          <w:p w14:paraId="031DD605" w14:textId="77777777" w:rsidR="00C853CA" w:rsidRPr="008941BB" w:rsidRDefault="00C853CA" w:rsidP="004836EC">
            <w:pPr>
              <w:jc w:val="both"/>
              <w:rPr>
                <w:b/>
                <w:color w:val="000000"/>
                <w:sz w:val="18"/>
                <w:szCs w:val="18"/>
                <w:lang w:val="en-GB"/>
              </w:rPr>
            </w:pPr>
            <w:r w:rsidRPr="008941BB">
              <w:rPr>
                <w:b/>
                <w:color w:val="000000"/>
                <w:sz w:val="18"/>
                <w:szCs w:val="18"/>
                <w:lang w:val="en-GB"/>
              </w:rPr>
              <w:t>1,100,000</w:t>
            </w:r>
          </w:p>
        </w:tc>
      </w:tr>
      <w:tr w:rsidR="00C853CA" w:rsidRPr="00172A7A" w14:paraId="558BDBF5" w14:textId="77777777" w:rsidTr="00892A8B">
        <w:trPr>
          <w:gridAfter w:val="1"/>
          <w:wAfter w:w="33" w:type="pct"/>
          <w:trHeight w:val="124"/>
        </w:trPr>
        <w:tc>
          <w:tcPr>
            <w:tcW w:w="4967" w:type="pct"/>
            <w:gridSpan w:val="9"/>
            <w:shd w:val="clear" w:color="auto" w:fill="auto"/>
            <w:tcMar>
              <w:top w:w="72" w:type="dxa"/>
              <w:left w:w="144" w:type="dxa"/>
              <w:bottom w:w="72" w:type="dxa"/>
              <w:right w:w="144" w:type="dxa"/>
            </w:tcMar>
          </w:tcPr>
          <w:p w14:paraId="136645AE" w14:textId="2C07D750" w:rsidR="00C853CA" w:rsidRPr="008941BB" w:rsidRDefault="00C05D8F" w:rsidP="004836EC">
            <w:pPr>
              <w:contextualSpacing/>
              <w:jc w:val="both"/>
              <w:rPr>
                <w:b/>
                <w:bCs/>
                <w:color w:val="000000"/>
                <w:sz w:val="18"/>
                <w:szCs w:val="18"/>
                <w:lang w:val="en-GB"/>
              </w:rPr>
            </w:pPr>
            <w:r w:rsidRPr="00C05D8F">
              <w:rPr>
                <w:b/>
                <w:bCs/>
                <w:color w:val="000000"/>
                <w:sz w:val="18"/>
                <w:szCs w:val="18"/>
                <w:lang w:val="en-GB"/>
              </w:rPr>
              <w:t>National priority</w:t>
            </w:r>
            <w:r w:rsidR="00C853CA" w:rsidRPr="008941BB">
              <w:rPr>
                <w:b/>
                <w:bCs/>
                <w:color w:val="000000"/>
                <w:sz w:val="18"/>
                <w:szCs w:val="18"/>
                <w:lang w:val="en-GB"/>
              </w:rPr>
              <w:t xml:space="preserve">: SDGs 10, 16 </w:t>
            </w:r>
            <w:r>
              <w:rPr>
                <w:b/>
                <w:bCs/>
                <w:color w:val="000000"/>
                <w:sz w:val="18"/>
                <w:szCs w:val="18"/>
                <w:lang w:val="en-GB"/>
              </w:rPr>
              <w:t>and</w:t>
            </w:r>
            <w:r w:rsidR="00C853CA" w:rsidRPr="008941BB">
              <w:rPr>
                <w:b/>
                <w:bCs/>
                <w:color w:val="000000"/>
                <w:sz w:val="18"/>
                <w:szCs w:val="18"/>
                <w:lang w:val="en-GB"/>
              </w:rPr>
              <w:t xml:space="preserve"> 17</w:t>
            </w:r>
          </w:p>
        </w:tc>
      </w:tr>
      <w:tr w:rsidR="00C853CA" w:rsidRPr="00172A7A" w14:paraId="28DB69D5" w14:textId="77777777" w:rsidTr="00892A8B">
        <w:trPr>
          <w:gridAfter w:val="1"/>
          <w:wAfter w:w="33" w:type="pct"/>
          <w:trHeight w:val="124"/>
        </w:trPr>
        <w:tc>
          <w:tcPr>
            <w:tcW w:w="4967" w:type="pct"/>
            <w:gridSpan w:val="9"/>
            <w:shd w:val="clear" w:color="auto" w:fill="auto"/>
            <w:tcMar>
              <w:top w:w="72" w:type="dxa"/>
              <w:left w:w="144" w:type="dxa"/>
              <w:bottom w:w="72" w:type="dxa"/>
              <w:right w:w="144" w:type="dxa"/>
            </w:tcMar>
          </w:tcPr>
          <w:p w14:paraId="7182253C" w14:textId="44AE6F74" w:rsidR="00C853CA" w:rsidRPr="008941BB" w:rsidRDefault="00C853CA" w:rsidP="00087A83">
            <w:pPr>
              <w:contextualSpacing/>
              <w:jc w:val="both"/>
              <w:rPr>
                <w:bCs/>
                <w:sz w:val="18"/>
                <w:szCs w:val="18"/>
                <w:lang w:val="en-GB"/>
              </w:rPr>
            </w:pPr>
            <w:r w:rsidRPr="008941BB">
              <w:rPr>
                <w:b/>
                <w:bCs/>
                <w:color w:val="000000"/>
                <w:sz w:val="18"/>
                <w:szCs w:val="18"/>
                <w:lang w:val="en-GB"/>
              </w:rPr>
              <w:t xml:space="preserve">UNDAF </w:t>
            </w:r>
            <w:r w:rsidR="00C05D8F" w:rsidRPr="00C05D8F">
              <w:rPr>
                <w:b/>
                <w:bCs/>
                <w:color w:val="000000"/>
                <w:sz w:val="18"/>
                <w:szCs w:val="18"/>
                <w:lang w:val="en-GB"/>
              </w:rPr>
              <w:t>outcome</w:t>
            </w:r>
            <w:r w:rsidRPr="008941BB">
              <w:rPr>
                <w:b/>
                <w:bCs/>
                <w:color w:val="000000"/>
                <w:sz w:val="18"/>
                <w:szCs w:val="18"/>
                <w:lang w:val="en-GB"/>
              </w:rPr>
              <w:t xml:space="preserve">: </w:t>
            </w:r>
            <w:r w:rsidRPr="008941BB">
              <w:rPr>
                <w:b/>
                <w:bCs/>
                <w:sz w:val="18"/>
                <w:szCs w:val="18"/>
                <w:lang w:val="en-GB"/>
              </w:rPr>
              <w:t xml:space="preserve">By 2022, </w:t>
            </w:r>
            <w:r w:rsidR="00087A83">
              <w:rPr>
                <w:b/>
                <w:bCs/>
                <w:sz w:val="18"/>
                <w:szCs w:val="18"/>
                <w:lang w:val="en-GB"/>
              </w:rPr>
              <w:t>m</w:t>
            </w:r>
            <w:r w:rsidRPr="008941BB">
              <w:rPr>
                <w:b/>
                <w:bCs/>
                <w:sz w:val="18"/>
                <w:szCs w:val="18"/>
                <w:lang w:val="en-GB"/>
              </w:rPr>
              <w:t>odernized State institutions design and implement (at national and local levels) policies that are transparent, cross-sectoral, leave no on behind</w:t>
            </w:r>
            <w:r w:rsidR="00087A83">
              <w:rPr>
                <w:b/>
                <w:bCs/>
                <w:sz w:val="18"/>
                <w:szCs w:val="18"/>
                <w:lang w:val="en-GB"/>
              </w:rPr>
              <w:t>,</w:t>
            </w:r>
            <w:r w:rsidRPr="008941BB">
              <w:rPr>
                <w:b/>
                <w:bCs/>
                <w:sz w:val="18"/>
                <w:szCs w:val="18"/>
                <w:lang w:val="en-GB"/>
              </w:rPr>
              <w:t xml:space="preserve"> and </w:t>
            </w:r>
            <w:r w:rsidR="00087A83">
              <w:rPr>
                <w:b/>
                <w:bCs/>
                <w:sz w:val="18"/>
                <w:szCs w:val="18"/>
                <w:lang w:val="en-GB"/>
              </w:rPr>
              <w:t>have</w:t>
            </w:r>
            <w:r w:rsidR="00087A83" w:rsidRPr="008941BB">
              <w:rPr>
                <w:b/>
                <w:bCs/>
                <w:sz w:val="18"/>
                <w:szCs w:val="18"/>
                <w:lang w:val="en-GB"/>
              </w:rPr>
              <w:t xml:space="preserve"> </w:t>
            </w:r>
            <w:r w:rsidRPr="008941BB">
              <w:rPr>
                <w:b/>
                <w:bCs/>
                <w:sz w:val="18"/>
                <w:szCs w:val="18"/>
                <w:lang w:val="en-GB"/>
              </w:rPr>
              <w:t>participatory and accountability mechanisms.</w:t>
            </w:r>
            <w:r w:rsidRPr="008941BB">
              <w:rPr>
                <w:bCs/>
                <w:sz w:val="18"/>
                <w:szCs w:val="18"/>
                <w:lang w:val="en-GB"/>
              </w:rPr>
              <w:t xml:space="preserve"> </w:t>
            </w:r>
          </w:p>
        </w:tc>
      </w:tr>
      <w:tr w:rsidR="00C853CA" w:rsidRPr="00172A7A" w14:paraId="031CE92A" w14:textId="77777777" w:rsidTr="00892A8B">
        <w:trPr>
          <w:gridAfter w:val="1"/>
          <w:wAfter w:w="33" w:type="pct"/>
          <w:trHeight w:val="124"/>
        </w:trPr>
        <w:tc>
          <w:tcPr>
            <w:tcW w:w="4967" w:type="pct"/>
            <w:gridSpan w:val="9"/>
            <w:shd w:val="clear" w:color="auto" w:fill="auto"/>
            <w:tcMar>
              <w:top w:w="72" w:type="dxa"/>
              <w:left w:w="144" w:type="dxa"/>
              <w:bottom w:w="72" w:type="dxa"/>
              <w:right w:w="144" w:type="dxa"/>
            </w:tcMar>
          </w:tcPr>
          <w:p w14:paraId="0477CDC0" w14:textId="72F686F6" w:rsidR="00C853CA" w:rsidRPr="008941BB" w:rsidRDefault="00C853CA" w:rsidP="004836EC">
            <w:pPr>
              <w:jc w:val="both"/>
              <w:rPr>
                <w:b/>
                <w:bCs/>
                <w:color w:val="000000"/>
                <w:sz w:val="18"/>
                <w:szCs w:val="18"/>
                <w:lang w:val="en-GB"/>
              </w:rPr>
            </w:pPr>
            <w:r w:rsidRPr="008941BB">
              <w:rPr>
                <w:b/>
                <w:bCs/>
                <w:color w:val="000000"/>
                <w:sz w:val="18"/>
                <w:szCs w:val="18"/>
                <w:lang w:val="en-GB"/>
              </w:rPr>
              <w:t>S</w:t>
            </w:r>
            <w:r w:rsidR="00C05D8F">
              <w:rPr>
                <w:b/>
                <w:bCs/>
                <w:color w:val="000000"/>
                <w:sz w:val="18"/>
                <w:szCs w:val="18"/>
                <w:lang w:val="en-GB"/>
              </w:rPr>
              <w:t>trategic plan,</w:t>
            </w:r>
            <w:r w:rsidRPr="008941BB">
              <w:rPr>
                <w:b/>
                <w:bCs/>
                <w:color w:val="000000"/>
                <w:sz w:val="18"/>
                <w:szCs w:val="18"/>
                <w:lang w:val="en-GB"/>
              </w:rPr>
              <w:t xml:space="preserve"> 2018-2021 </w:t>
            </w:r>
            <w:r w:rsidR="00C05D8F" w:rsidRPr="00C05D8F">
              <w:rPr>
                <w:b/>
                <w:bCs/>
                <w:color w:val="000000"/>
                <w:sz w:val="18"/>
                <w:szCs w:val="18"/>
                <w:lang w:val="en-GB"/>
              </w:rPr>
              <w:t>outcome</w:t>
            </w:r>
            <w:r w:rsidRPr="008941BB">
              <w:rPr>
                <w:b/>
                <w:bCs/>
                <w:color w:val="000000"/>
                <w:sz w:val="18"/>
                <w:szCs w:val="18"/>
                <w:lang w:val="en-GB"/>
              </w:rPr>
              <w:t xml:space="preserve">: Structural transformations for sustainable development </w:t>
            </w:r>
          </w:p>
        </w:tc>
      </w:tr>
      <w:tr w:rsidR="00C853CA" w:rsidRPr="00172A7A" w14:paraId="160A1358" w14:textId="77777777" w:rsidTr="00B9136C">
        <w:trPr>
          <w:gridAfter w:val="1"/>
          <w:wAfter w:w="33" w:type="pct"/>
          <w:trHeight w:val="278"/>
        </w:trPr>
        <w:tc>
          <w:tcPr>
            <w:tcW w:w="1063" w:type="pct"/>
            <w:vMerge w:val="restart"/>
            <w:tcMar>
              <w:top w:w="72" w:type="dxa"/>
              <w:left w:w="144" w:type="dxa"/>
              <w:bottom w:w="72" w:type="dxa"/>
              <w:right w:w="144" w:type="dxa"/>
            </w:tcMar>
          </w:tcPr>
          <w:p w14:paraId="07299C65" w14:textId="76A489B1" w:rsidR="00C853CA" w:rsidRPr="008941BB" w:rsidRDefault="00C853CA" w:rsidP="004836EC">
            <w:pPr>
              <w:rPr>
                <w:iCs/>
                <w:color w:val="000000"/>
                <w:sz w:val="18"/>
                <w:szCs w:val="18"/>
                <w:lang w:val="en-GB"/>
              </w:rPr>
            </w:pPr>
            <w:r w:rsidRPr="008941BB">
              <w:rPr>
                <w:iCs/>
                <w:color w:val="000000"/>
                <w:sz w:val="18"/>
                <w:szCs w:val="18"/>
                <w:lang w:val="en-GB"/>
              </w:rPr>
              <w:t xml:space="preserve">Indicator: Number of planning instruments for development at the subnational level </w:t>
            </w:r>
            <w:r w:rsidR="00C05D8F">
              <w:rPr>
                <w:iCs/>
                <w:color w:val="000000"/>
                <w:sz w:val="18"/>
                <w:szCs w:val="18"/>
                <w:lang w:val="en-GB"/>
              </w:rPr>
              <w:t xml:space="preserve">that </w:t>
            </w:r>
            <w:r w:rsidRPr="008941BB">
              <w:rPr>
                <w:iCs/>
                <w:color w:val="000000"/>
                <w:sz w:val="18"/>
                <w:szCs w:val="18"/>
                <w:lang w:val="en-GB"/>
              </w:rPr>
              <w:t xml:space="preserve">integrate the concept of sustainable </w:t>
            </w:r>
            <w:r w:rsidRPr="008941BB">
              <w:rPr>
                <w:iCs/>
                <w:color w:val="000000"/>
                <w:sz w:val="18"/>
                <w:szCs w:val="18"/>
                <w:lang w:val="en-GB"/>
              </w:rPr>
              <w:lastRenderedPageBreak/>
              <w:t xml:space="preserve">development and/or the 2030 Agenda </w:t>
            </w:r>
            <w:r w:rsidR="00C05D8F">
              <w:rPr>
                <w:iCs/>
                <w:color w:val="000000"/>
                <w:sz w:val="18"/>
                <w:szCs w:val="18"/>
                <w:lang w:val="en-GB"/>
              </w:rPr>
              <w:t>into</w:t>
            </w:r>
            <w:r w:rsidR="00C05D8F" w:rsidRPr="008941BB">
              <w:rPr>
                <w:iCs/>
                <w:color w:val="000000"/>
                <w:sz w:val="18"/>
                <w:szCs w:val="18"/>
                <w:lang w:val="en-GB"/>
              </w:rPr>
              <w:t xml:space="preserve"> </w:t>
            </w:r>
            <w:r w:rsidRPr="008941BB">
              <w:rPr>
                <w:iCs/>
                <w:color w:val="000000"/>
                <w:sz w:val="18"/>
                <w:szCs w:val="18"/>
                <w:lang w:val="en-GB"/>
              </w:rPr>
              <w:t xml:space="preserve">their framework </w:t>
            </w:r>
          </w:p>
          <w:p w14:paraId="626181A5" w14:textId="77777777" w:rsidR="00C853CA" w:rsidRPr="008941BB" w:rsidRDefault="00C853CA" w:rsidP="004836EC">
            <w:pPr>
              <w:rPr>
                <w:iCs/>
                <w:color w:val="000000"/>
                <w:sz w:val="18"/>
                <w:szCs w:val="18"/>
                <w:lang w:val="en-GB"/>
              </w:rPr>
            </w:pPr>
            <w:r w:rsidRPr="008941BB">
              <w:rPr>
                <w:iCs/>
                <w:color w:val="000000"/>
                <w:sz w:val="18"/>
                <w:szCs w:val="18"/>
                <w:lang w:val="en-GB"/>
              </w:rPr>
              <w:t>Baseline: 0</w:t>
            </w:r>
          </w:p>
          <w:p w14:paraId="51B77531" w14:textId="77777777" w:rsidR="00C853CA" w:rsidRPr="008941BB" w:rsidRDefault="00C853CA" w:rsidP="004836EC">
            <w:pPr>
              <w:jc w:val="both"/>
              <w:rPr>
                <w:iCs/>
                <w:color w:val="000000"/>
                <w:sz w:val="18"/>
                <w:szCs w:val="18"/>
                <w:lang w:val="en-GB"/>
              </w:rPr>
            </w:pPr>
            <w:r w:rsidRPr="008941BB">
              <w:rPr>
                <w:iCs/>
                <w:color w:val="000000"/>
                <w:sz w:val="18"/>
                <w:szCs w:val="18"/>
                <w:lang w:val="en-GB"/>
              </w:rPr>
              <w:t>Target: 5</w:t>
            </w:r>
          </w:p>
          <w:p w14:paraId="0617B6B1" w14:textId="77777777" w:rsidR="00C853CA" w:rsidRPr="008941BB" w:rsidRDefault="00C853CA" w:rsidP="004836EC">
            <w:pPr>
              <w:rPr>
                <w:bCs/>
                <w:color w:val="000000"/>
                <w:sz w:val="18"/>
                <w:szCs w:val="18"/>
                <w:lang w:val="en-GB"/>
              </w:rPr>
            </w:pPr>
          </w:p>
        </w:tc>
        <w:tc>
          <w:tcPr>
            <w:tcW w:w="802" w:type="pct"/>
            <w:gridSpan w:val="2"/>
            <w:vMerge w:val="restart"/>
          </w:tcPr>
          <w:p w14:paraId="56C84844" w14:textId="77777777" w:rsidR="00C853CA" w:rsidRPr="008941BB" w:rsidRDefault="00C853CA" w:rsidP="008941BB">
            <w:pPr>
              <w:rPr>
                <w:bCs/>
                <w:color w:val="000000"/>
                <w:sz w:val="18"/>
                <w:szCs w:val="18"/>
                <w:lang w:val="en-GB"/>
              </w:rPr>
            </w:pPr>
            <w:r w:rsidRPr="008941BB">
              <w:rPr>
                <w:bCs/>
                <w:color w:val="000000"/>
                <w:sz w:val="18"/>
                <w:szCs w:val="18"/>
                <w:lang w:val="en-GB"/>
              </w:rPr>
              <w:lastRenderedPageBreak/>
              <w:t>Under</w:t>
            </w:r>
            <w:r w:rsidR="00C05D8F">
              <w:rPr>
                <w:bCs/>
                <w:color w:val="000000"/>
                <w:sz w:val="18"/>
                <w:szCs w:val="18"/>
                <w:lang w:val="en-GB"/>
              </w:rPr>
              <w:t>-</w:t>
            </w:r>
            <w:r w:rsidRPr="008941BB">
              <w:rPr>
                <w:bCs/>
                <w:color w:val="000000"/>
                <w:sz w:val="18"/>
                <w:szCs w:val="18"/>
                <w:lang w:val="en-GB"/>
              </w:rPr>
              <w:t>secretary for Regional Development</w:t>
            </w:r>
          </w:p>
        </w:tc>
        <w:tc>
          <w:tcPr>
            <w:tcW w:w="1555" w:type="pct"/>
            <w:gridSpan w:val="3"/>
            <w:vMerge w:val="restart"/>
            <w:tcMar>
              <w:top w:w="72" w:type="dxa"/>
              <w:left w:w="144" w:type="dxa"/>
              <w:bottom w:w="72" w:type="dxa"/>
              <w:right w:w="144" w:type="dxa"/>
            </w:tcMar>
          </w:tcPr>
          <w:p w14:paraId="5C8939BC" w14:textId="77FDD972" w:rsidR="00C853CA" w:rsidRPr="008941BB" w:rsidRDefault="00C853CA" w:rsidP="004836EC">
            <w:pPr>
              <w:jc w:val="both"/>
              <w:rPr>
                <w:iCs/>
                <w:color w:val="000000"/>
                <w:sz w:val="18"/>
                <w:szCs w:val="18"/>
                <w:lang w:val="en-GB"/>
              </w:rPr>
            </w:pPr>
            <w:r w:rsidRPr="008941BB">
              <w:rPr>
                <w:b/>
                <w:iCs/>
                <w:color w:val="000000"/>
                <w:sz w:val="18"/>
                <w:szCs w:val="18"/>
                <w:lang w:val="en-GB"/>
              </w:rPr>
              <w:t>3.1</w:t>
            </w:r>
            <w:r w:rsidR="00C05D8F">
              <w:rPr>
                <w:b/>
                <w:iCs/>
                <w:color w:val="000000"/>
                <w:sz w:val="18"/>
                <w:szCs w:val="18"/>
                <w:lang w:val="en-GB"/>
              </w:rPr>
              <w:t>. Capacities of</w:t>
            </w:r>
            <w:r w:rsidRPr="008941BB">
              <w:rPr>
                <w:iCs/>
                <w:color w:val="000000"/>
                <w:sz w:val="18"/>
                <w:szCs w:val="18"/>
                <w:lang w:val="en-GB"/>
              </w:rPr>
              <w:t xml:space="preserve"> </w:t>
            </w:r>
            <w:r w:rsidRPr="008941BB">
              <w:rPr>
                <w:b/>
                <w:iCs/>
                <w:color w:val="000000"/>
                <w:sz w:val="18"/>
                <w:szCs w:val="18"/>
                <w:lang w:val="en-GB"/>
              </w:rPr>
              <w:t xml:space="preserve">State institutions enhanced to redesign processes and strategies for State modernization at </w:t>
            </w:r>
            <w:r w:rsidR="00C05D8F">
              <w:rPr>
                <w:b/>
                <w:iCs/>
                <w:color w:val="000000"/>
                <w:sz w:val="18"/>
                <w:szCs w:val="18"/>
                <w:lang w:val="en-GB"/>
              </w:rPr>
              <w:t xml:space="preserve">various </w:t>
            </w:r>
            <w:r w:rsidRPr="008941BB">
              <w:rPr>
                <w:b/>
                <w:iCs/>
                <w:color w:val="000000"/>
                <w:sz w:val="18"/>
                <w:szCs w:val="18"/>
                <w:lang w:val="en-GB"/>
              </w:rPr>
              <w:t>levels</w:t>
            </w:r>
            <w:r w:rsidRPr="008941BB">
              <w:rPr>
                <w:iCs/>
                <w:color w:val="000000"/>
                <w:sz w:val="18"/>
                <w:szCs w:val="18"/>
                <w:lang w:val="en-GB"/>
              </w:rPr>
              <w:t xml:space="preserve"> </w:t>
            </w:r>
          </w:p>
          <w:p w14:paraId="1778C3C1" w14:textId="77777777" w:rsidR="00C853CA" w:rsidRPr="008941BB" w:rsidRDefault="00C853CA" w:rsidP="004836EC">
            <w:pPr>
              <w:jc w:val="both"/>
              <w:rPr>
                <w:iCs/>
                <w:color w:val="000000"/>
                <w:sz w:val="18"/>
                <w:szCs w:val="18"/>
                <w:lang w:val="en-GB"/>
              </w:rPr>
            </w:pPr>
          </w:p>
          <w:p w14:paraId="0EFA9084" w14:textId="71898E98" w:rsidR="00C853CA" w:rsidRPr="008941BB" w:rsidRDefault="00C853CA" w:rsidP="004836EC">
            <w:pPr>
              <w:jc w:val="both"/>
              <w:rPr>
                <w:iCs/>
                <w:color w:val="000000"/>
                <w:sz w:val="18"/>
                <w:szCs w:val="18"/>
                <w:lang w:val="en-GB"/>
              </w:rPr>
            </w:pPr>
            <w:r w:rsidRPr="008941BB">
              <w:rPr>
                <w:iCs/>
                <w:color w:val="000000"/>
                <w:sz w:val="18"/>
                <w:szCs w:val="18"/>
                <w:lang w:val="en-GB"/>
              </w:rPr>
              <w:lastRenderedPageBreak/>
              <w:t>Indicator 3.1.1</w:t>
            </w:r>
            <w:r w:rsidR="00C05D8F">
              <w:rPr>
                <w:iCs/>
                <w:color w:val="000000"/>
                <w:sz w:val="18"/>
                <w:szCs w:val="18"/>
                <w:lang w:val="en-GB"/>
              </w:rPr>
              <w:t>.</w:t>
            </w:r>
            <w:r w:rsidRPr="008941BB">
              <w:rPr>
                <w:iCs/>
                <w:color w:val="000000"/>
                <w:sz w:val="18"/>
                <w:szCs w:val="18"/>
                <w:lang w:val="en-GB"/>
              </w:rPr>
              <w:t xml:space="preserve"> Number of technological and/or procedural solutions developed/implemented to improve public service delivery and other government functions at national and subnational levels (IRRF 2.2.1.1)</w:t>
            </w:r>
          </w:p>
          <w:p w14:paraId="3D86E3C8" w14:textId="77777777" w:rsidR="00C853CA" w:rsidRPr="008941BB" w:rsidRDefault="00C853CA" w:rsidP="004836EC">
            <w:pPr>
              <w:jc w:val="both"/>
              <w:rPr>
                <w:iCs/>
                <w:color w:val="000000"/>
                <w:sz w:val="18"/>
                <w:szCs w:val="18"/>
                <w:lang w:val="en-GB"/>
              </w:rPr>
            </w:pPr>
            <w:r w:rsidRPr="008941BB">
              <w:rPr>
                <w:iCs/>
                <w:color w:val="000000"/>
                <w:sz w:val="18"/>
                <w:szCs w:val="18"/>
                <w:lang w:val="en-GB"/>
              </w:rPr>
              <w:t>Baseline: 1</w:t>
            </w:r>
          </w:p>
          <w:p w14:paraId="7ADD4299" w14:textId="77777777" w:rsidR="00C853CA" w:rsidRPr="008941BB" w:rsidRDefault="00C853CA" w:rsidP="004836EC">
            <w:pPr>
              <w:jc w:val="both"/>
              <w:rPr>
                <w:iCs/>
                <w:color w:val="000000"/>
                <w:sz w:val="18"/>
                <w:szCs w:val="18"/>
                <w:lang w:val="en-GB"/>
              </w:rPr>
            </w:pPr>
            <w:r w:rsidRPr="008941BB">
              <w:rPr>
                <w:iCs/>
                <w:color w:val="000000"/>
                <w:sz w:val="18"/>
                <w:szCs w:val="18"/>
                <w:lang w:val="en-GB"/>
              </w:rPr>
              <w:t xml:space="preserve">Target: 3 </w:t>
            </w:r>
          </w:p>
          <w:p w14:paraId="1550EAB6" w14:textId="77777777" w:rsidR="00C853CA" w:rsidRPr="008941BB" w:rsidRDefault="00C853CA" w:rsidP="004836EC">
            <w:pPr>
              <w:jc w:val="both"/>
              <w:rPr>
                <w:iCs/>
                <w:color w:val="000000"/>
                <w:sz w:val="18"/>
                <w:szCs w:val="18"/>
                <w:lang w:val="en-GB"/>
              </w:rPr>
            </w:pPr>
          </w:p>
          <w:p w14:paraId="5C48F6CC" w14:textId="4530442C" w:rsidR="00C853CA" w:rsidRPr="008941BB" w:rsidRDefault="00C853CA" w:rsidP="004836EC">
            <w:pPr>
              <w:jc w:val="both"/>
              <w:rPr>
                <w:b/>
                <w:iCs/>
                <w:color w:val="000000"/>
                <w:sz w:val="18"/>
                <w:szCs w:val="18"/>
                <w:lang w:val="en-GB"/>
              </w:rPr>
            </w:pPr>
            <w:r w:rsidRPr="008941BB">
              <w:rPr>
                <w:b/>
                <w:iCs/>
                <w:color w:val="000000"/>
                <w:sz w:val="18"/>
                <w:szCs w:val="18"/>
                <w:lang w:val="en-GB"/>
              </w:rPr>
              <w:t>3.2</w:t>
            </w:r>
            <w:r w:rsidR="00C05D8F">
              <w:rPr>
                <w:b/>
                <w:iCs/>
                <w:color w:val="000000"/>
                <w:sz w:val="18"/>
                <w:szCs w:val="18"/>
                <w:lang w:val="en-GB"/>
              </w:rPr>
              <w:t>.</w:t>
            </w:r>
            <w:r w:rsidRPr="008941BB">
              <w:rPr>
                <w:iCs/>
                <w:color w:val="000000"/>
                <w:sz w:val="18"/>
                <w:szCs w:val="18"/>
                <w:lang w:val="en-GB"/>
              </w:rPr>
              <w:t xml:space="preserve"> </w:t>
            </w:r>
            <w:r w:rsidRPr="008941BB">
              <w:rPr>
                <w:b/>
                <w:iCs/>
                <w:color w:val="000000"/>
                <w:sz w:val="18"/>
                <w:szCs w:val="18"/>
                <w:lang w:val="en-GB"/>
              </w:rPr>
              <w:t>State institutions, private sector, and civil society organizations access tools and systems to implement anti-corruption awareness-raising, prevention</w:t>
            </w:r>
            <w:r w:rsidR="00C05D8F">
              <w:rPr>
                <w:b/>
                <w:iCs/>
                <w:color w:val="000000"/>
                <w:sz w:val="18"/>
                <w:szCs w:val="18"/>
                <w:lang w:val="en-GB"/>
              </w:rPr>
              <w:t>,</w:t>
            </w:r>
            <w:r w:rsidRPr="008941BB">
              <w:rPr>
                <w:b/>
                <w:iCs/>
                <w:color w:val="000000"/>
                <w:sz w:val="18"/>
                <w:szCs w:val="18"/>
                <w:lang w:val="en-GB"/>
              </w:rPr>
              <w:t xml:space="preserve"> and compliance measures at </w:t>
            </w:r>
            <w:r w:rsidR="00C05D8F">
              <w:rPr>
                <w:b/>
                <w:iCs/>
                <w:color w:val="000000"/>
                <w:sz w:val="18"/>
                <w:szCs w:val="18"/>
                <w:lang w:val="en-GB"/>
              </w:rPr>
              <w:t>various</w:t>
            </w:r>
            <w:r w:rsidR="00C05D8F" w:rsidRPr="008941BB">
              <w:rPr>
                <w:b/>
                <w:iCs/>
                <w:color w:val="000000"/>
                <w:sz w:val="18"/>
                <w:szCs w:val="18"/>
                <w:lang w:val="en-GB"/>
              </w:rPr>
              <w:t xml:space="preserve"> </w:t>
            </w:r>
            <w:r w:rsidRPr="008941BB">
              <w:rPr>
                <w:b/>
                <w:iCs/>
                <w:color w:val="000000"/>
                <w:sz w:val="18"/>
                <w:szCs w:val="18"/>
                <w:lang w:val="en-GB"/>
              </w:rPr>
              <w:t>levels (national, local, sectoral)</w:t>
            </w:r>
          </w:p>
          <w:p w14:paraId="7630D02A" w14:textId="77777777" w:rsidR="00C853CA" w:rsidRPr="008941BB" w:rsidRDefault="00C853CA" w:rsidP="004836EC">
            <w:pPr>
              <w:jc w:val="both"/>
              <w:rPr>
                <w:b/>
                <w:iCs/>
                <w:color w:val="000000"/>
                <w:sz w:val="18"/>
                <w:szCs w:val="18"/>
                <w:lang w:val="en-GB"/>
              </w:rPr>
            </w:pPr>
          </w:p>
          <w:p w14:paraId="49AED637" w14:textId="67B415A3" w:rsidR="00C853CA" w:rsidRPr="008941BB" w:rsidRDefault="00C853CA" w:rsidP="004836EC">
            <w:pPr>
              <w:jc w:val="both"/>
              <w:rPr>
                <w:iCs/>
                <w:color w:val="000000"/>
                <w:sz w:val="18"/>
                <w:szCs w:val="18"/>
                <w:lang w:val="en-GB"/>
              </w:rPr>
            </w:pPr>
            <w:r w:rsidRPr="008941BB">
              <w:rPr>
                <w:iCs/>
                <w:color w:val="000000"/>
                <w:sz w:val="18"/>
                <w:szCs w:val="18"/>
                <w:lang w:val="en-GB"/>
              </w:rPr>
              <w:t>Indicator 3.2.1</w:t>
            </w:r>
            <w:r w:rsidR="00C05D8F">
              <w:rPr>
                <w:iCs/>
                <w:color w:val="000000"/>
                <w:sz w:val="18"/>
                <w:szCs w:val="18"/>
                <w:lang w:val="en-GB"/>
              </w:rPr>
              <w:t>.</w:t>
            </w:r>
            <w:r w:rsidRPr="008941BB">
              <w:rPr>
                <w:iCs/>
                <w:color w:val="000000"/>
                <w:sz w:val="18"/>
                <w:szCs w:val="18"/>
                <w:lang w:val="en-GB"/>
              </w:rPr>
              <w:t xml:space="preserve"> Number of services/sectors/</w:t>
            </w:r>
            <w:r w:rsidR="00C05D8F">
              <w:rPr>
                <w:iCs/>
                <w:color w:val="000000"/>
                <w:sz w:val="18"/>
                <w:szCs w:val="18"/>
                <w:lang w:val="en-GB"/>
              </w:rPr>
              <w:t xml:space="preserve"> </w:t>
            </w:r>
            <w:r w:rsidRPr="008941BB">
              <w:rPr>
                <w:iCs/>
                <w:color w:val="000000"/>
                <w:sz w:val="18"/>
                <w:szCs w:val="18"/>
                <w:lang w:val="en-GB"/>
              </w:rPr>
              <w:t>corporations that integrate measures to mitigate or reduce the risk of corruption at national and subnational levels (IRRF 1.2.3.1)</w:t>
            </w:r>
          </w:p>
          <w:p w14:paraId="535CD8AA" w14:textId="77777777" w:rsidR="00C853CA" w:rsidRPr="008941BB" w:rsidRDefault="00C853CA" w:rsidP="004836EC">
            <w:pPr>
              <w:jc w:val="both"/>
              <w:rPr>
                <w:iCs/>
                <w:color w:val="000000"/>
                <w:sz w:val="18"/>
                <w:szCs w:val="18"/>
                <w:lang w:val="en-GB"/>
              </w:rPr>
            </w:pPr>
            <w:r w:rsidRPr="008941BB">
              <w:rPr>
                <w:iCs/>
                <w:color w:val="000000"/>
                <w:sz w:val="18"/>
                <w:szCs w:val="18"/>
                <w:lang w:val="en-GB"/>
              </w:rPr>
              <w:t xml:space="preserve">Baseline: 257 services </w:t>
            </w:r>
          </w:p>
          <w:p w14:paraId="2BF0E60C" w14:textId="77777777" w:rsidR="00C853CA" w:rsidRPr="008941BB" w:rsidRDefault="00C853CA" w:rsidP="004836EC">
            <w:pPr>
              <w:jc w:val="both"/>
              <w:rPr>
                <w:iCs/>
                <w:color w:val="000000"/>
                <w:sz w:val="18"/>
                <w:szCs w:val="18"/>
                <w:lang w:val="en-GB"/>
              </w:rPr>
            </w:pPr>
            <w:r w:rsidRPr="008941BB">
              <w:rPr>
                <w:iCs/>
                <w:color w:val="000000"/>
                <w:sz w:val="18"/>
                <w:szCs w:val="18"/>
                <w:lang w:val="en-GB"/>
              </w:rPr>
              <w:t>Target: 280 (16 municipalities)</w:t>
            </w:r>
          </w:p>
          <w:p w14:paraId="53B6309A" w14:textId="77777777" w:rsidR="00C853CA" w:rsidRPr="008941BB" w:rsidRDefault="00C853CA" w:rsidP="004836EC">
            <w:pPr>
              <w:jc w:val="both"/>
              <w:rPr>
                <w:b/>
                <w:iCs/>
                <w:color w:val="000000"/>
                <w:sz w:val="18"/>
                <w:szCs w:val="18"/>
                <w:lang w:val="en-GB"/>
              </w:rPr>
            </w:pPr>
          </w:p>
          <w:p w14:paraId="0F736069" w14:textId="02AEFD43" w:rsidR="00C853CA" w:rsidRPr="008941BB" w:rsidRDefault="00C853CA" w:rsidP="004836EC">
            <w:pPr>
              <w:jc w:val="both"/>
              <w:rPr>
                <w:b/>
                <w:iCs/>
                <w:color w:val="000000"/>
                <w:sz w:val="18"/>
                <w:szCs w:val="18"/>
                <w:lang w:val="en-GB"/>
              </w:rPr>
            </w:pPr>
            <w:r w:rsidRPr="008941BB">
              <w:rPr>
                <w:b/>
                <w:iCs/>
                <w:color w:val="000000"/>
                <w:sz w:val="18"/>
                <w:szCs w:val="18"/>
                <w:lang w:val="en-GB"/>
              </w:rPr>
              <w:t>3.3</w:t>
            </w:r>
            <w:r w:rsidR="00C05D8F">
              <w:rPr>
                <w:b/>
                <w:iCs/>
                <w:color w:val="000000"/>
                <w:sz w:val="18"/>
                <w:szCs w:val="18"/>
                <w:lang w:val="en-GB"/>
              </w:rPr>
              <w:t>.</w:t>
            </w:r>
            <w:r w:rsidRPr="008941BB">
              <w:rPr>
                <w:b/>
                <w:iCs/>
                <w:color w:val="000000"/>
                <w:sz w:val="18"/>
                <w:szCs w:val="18"/>
                <w:lang w:val="en-GB"/>
              </w:rPr>
              <w:t xml:space="preserve"> Public spaces</w:t>
            </w:r>
            <w:r w:rsidR="00C05D8F">
              <w:rPr>
                <w:b/>
                <w:iCs/>
                <w:color w:val="000000"/>
                <w:sz w:val="18"/>
                <w:szCs w:val="18"/>
                <w:lang w:val="en-GB"/>
              </w:rPr>
              <w:t xml:space="preserve"> enabled</w:t>
            </w:r>
            <w:r w:rsidRPr="008941BB">
              <w:rPr>
                <w:b/>
                <w:iCs/>
                <w:color w:val="000000"/>
                <w:sz w:val="18"/>
                <w:szCs w:val="18"/>
                <w:lang w:val="en-GB"/>
              </w:rPr>
              <w:t xml:space="preserve"> for participation of institutional actors, civil society and other community leaders</w:t>
            </w:r>
            <w:r w:rsidRPr="008941BB" w:rsidDel="003C0091">
              <w:rPr>
                <w:b/>
                <w:iCs/>
                <w:color w:val="000000"/>
                <w:sz w:val="18"/>
                <w:szCs w:val="18"/>
                <w:lang w:val="en-GB"/>
              </w:rPr>
              <w:t xml:space="preserve"> </w:t>
            </w:r>
            <w:r w:rsidRPr="008941BB">
              <w:rPr>
                <w:b/>
                <w:iCs/>
                <w:color w:val="000000"/>
                <w:sz w:val="18"/>
                <w:szCs w:val="18"/>
                <w:lang w:val="en-GB"/>
              </w:rPr>
              <w:t xml:space="preserve">in the design, implementation and evaluation of public policies and in the legislative process </w:t>
            </w:r>
          </w:p>
          <w:p w14:paraId="5846552A" w14:textId="77777777" w:rsidR="00C853CA" w:rsidRPr="008941BB" w:rsidRDefault="00C853CA" w:rsidP="004836EC">
            <w:pPr>
              <w:jc w:val="both"/>
              <w:rPr>
                <w:iCs/>
                <w:color w:val="000000"/>
                <w:sz w:val="18"/>
                <w:szCs w:val="18"/>
                <w:lang w:val="en-GB"/>
              </w:rPr>
            </w:pPr>
          </w:p>
          <w:p w14:paraId="1D3E0EDE" w14:textId="62C424ED" w:rsidR="00C853CA" w:rsidRPr="008941BB" w:rsidRDefault="00C853CA" w:rsidP="004836EC">
            <w:pPr>
              <w:jc w:val="both"/>
              <w:rPr>
                <w:iCs/>
                <w:color w:val="000000"/>
                <w:sz w:val="18"/>
                <w:szCs w:val="18"/>
                <w:lang w:val="en-GB"/>
              </w:rPr>
            </w:pPr>
            <w:r w:rsidRPr="008941BB">
              <w:rPr>
                <w:iCs/>
                <w:color w:val="000000"/>
                <w:sz w:val="18"/>
                <w:szCs w:val="18"/>
                <w:lang w:val="en-GB"/>
              </w:rPr>
              <w:t>Indicator 3.3.1</w:t>
            </w:r>
            <w:r w:rsidR="00C05D8F">
              <w:rPr>
                <w:iCs/>
                <w:color w:val="000000"/>
                <w:sz w:val="18"/>
                <w:szCs w:val="18"/>
                <w:lang w:val="en-GB"/>
              </w:rPr>
              <w:t>.</w:t>
            </w:r>
            <w:r w:rsidRPr="008941BB">
              <w:rPr>
                <w:iCs/>
                <w:color w:val="000000"/>
                <w:sz w:val="18"/>
                <w:szCs w:val="18"/>
                <w:lang w:val="en-GB"/>
              </w:rPr>
              <w:t xml:space="preserve"> Number of councils for public participation at national and subnational levels enabled (IRRF 2.2.2.4) </w:t>
            </w:r>
          </w:p>
          <w:p w14:paraId="70CD0F9F" w14:textId="19C97443" w:rsidR="00C853CA" w:rsidRPr="008941BB" w:rsidRDefault="00087A83" w:rsidP="004836EC">
            <w:pPr>
              <w:jc w:val="both"/>
              <w:rPr>
                <w:iCs/>
                <w:color w:val="000000"/>
                <w:sz w:val="18"/>
                <w:szCs w:val="18"/>
                <w:lang w:val="en-GB"/>
              </w:rPr>
            </w:pPr>
            <w:r>
              <w:rPr>
                <w:iCs/>
                <w:color w:val="000000"/>
                <w:sz w:val="18"/>
                <w:szCs w:val="18"/>
                <w:lang w:val="en-GB"/>
              </w:rPr>
              <w:t>Baseline</w:t>
            </w:r>
            <w:r w:rsidR="00C853CA" w:rsidRPr="008941BB">
              <w:rPr>
                <w:iCs/>
                <w:color w:val="000000"/>
                <w:sz w:val="18"/>
                <w:szCs w:val="18"/>
                <w:lang w:val="en-GB"/>
              </w:rPr>
              <w:t>: 0</w:t>
            </w:r>
          </w:p>
          <w:p w14:paraId="05DD30B7" w14:textId="5AB404EC" w:rsidR="00C853CA" w:rsidRPr="008941BB" w:rsidRDefault="00087A83" w:rsidP="004836EC">
            <w:pPr>
              <w:jc w:val="both"/>
              <w:rPr>
                <w:iCs/>
                <w:color w:val="000000"/>
                <w:sz w:val="18"/>
                <w:szCs w:val="18"/>
                <w:lang w:val="en-GB"/>
              </w:rPr>
            </w:pPr>
            <w:r>
              <w:rPr>
                <w:iCs/>
                <w:color w:val="000000"/>
                <w:sz w:val="18"/>
                <w:szCs w:val="18"/>
                <w:lang w:val="en-GB"/>
              </w:rPr>
              <w:t>Target</w:t>
            </w:r>
            <w:r w:rsidR="00C853CA" w:rsidRPr="008941BB">
              <w:rPr>
                <w:iCs/>
                <w:color w:val="000000"/>
                <w:sz w:val="18"/>
                <w:szCs w:val="18"/>
                <w:lang w:val="en-GB"/>
              </w:rPr>
              <w:t>: 16 (regional)</w:t>
            </w:r>
            <w:bookmarkStart w:id="6" w:name="_GoBack"/>
            <w:bookmarkEnd w:id="6"/>
          </w:p>
          <w:p w14:paraId="23938606" w14:textId="77777777" w:rsidR="00C853CA" w:rsidRPr="008941BB" w:rsidRDefault="00C853CA" w:rsidP="004836EC">
            <w:pPr>
              <w:jc w:val="both"/>
              <w:rPr>
                <w:iCs/>
                <w:color w:val="000000"/>
                <w:sz w:val="18"/>
                <w:szCs w:val="18"/>
                <w:lang w:val="en-GB"/>
              </w:rPr>
            </w:pPr>
          </w:p>
          <w:p w14:paraId="6D895DFB" w14:textId="5208CA4B" w:rsidR="00C853CA" w:rsidRPr="008941BB" w:rsidRDefault="00C853CA" w:rsidP="004836EC">
            <w:pPr>
              <w:jc w:val="both"/>
              <w:rPr>
                <w:b/>
                <w:iCs/>
                <w:color w:val="000000"/>
                <w:sz w:val="18"/>
                <w:szCs w:val="18"/>
                <w:lang w:val="en-GB"/>
              </w:rPr>
            </w:pPr>
            <w:r w:rsidRPr="008941BB">
              <w:rPr>
                <w:b/>
                <w:iCs/>
                <w:color w:val="000000"/>
                <w:sz w:val="18"/>
                <w:szCs w:val="18"/>
                <w:lang w:val="en-GB"/>
              </w:rPr>
              <w:t>3.4</w:t>
            </w:r>
            <w:r w:rsidR="00C05D8F">
              <w:rPr>
                <w:b/>
                <w:iCs/>
                <w:color w:val="000000"/>
                <w:sz w:val="18"/>
                <w:szCs w:val="18"/>
                <w:lang w:val="en-GB"/>
              </w:rPr>
              <w:t>.</w:t>
            </w:r>
            <w:r w:rsidRPr="008941BB">
              <w:rPr>
                <w:b/>
                <w:iCs/>
                <w:color w:val="000000"/>
                <w:sz w:val="18"/>
                <w:szCs w:val="18"/>
                <w:lang w:val="en-GB"/>
              </w:rPr>
              <w:t xml:space="preserve"> </w:t>
            </w:r>
            <w:r w:rsidR="00C05D8F">
              <w:rPr>
                <w:b/>
                <w:iCs/>
                <w:color w:val="000000"/>
                <w:sz w:val="18"/>
                <w:szCs w:val="18"/>
                <w:lang w:val="en-GB"/>
              </w:rPr>
              <w:t>Capacities of i</w:t>
            </w:r>
            <w:r w:rsidRPr="008941BB">
              <w:rPr>
                <w:b/>
                <w:iCs/>
                <w:color w:val="000000"/>
                <w:sz w:val="18"/>
                <w:szCs w:val="18"/>
                <w:lang w:val="en-GB"/>
              </w:rPr>
              <w:t>nstitutions</w:t>
            </w:r>
            <w:r w:rsidR="00C05D8F">
              <w:rPr>
                <w:b/>
                <w:iCs/>
                <w:color w:val="000000"/>
                <w:sz w:val="18"/>
                <w:szCs w:val="18"/>
                <w:lang w:val="en-GB"/>
              </w:rPr>
              <w:t xml:space="preserve"> </w:t>
            </w:r>
            <w:r w:rsidRPr="008941BB">
              <w:rPr>
                <w:b/>
                <w:iCs/>
                <w:color w:val="000000"/>
                <w:sz w:val="18"/>
                <w:szCs w:val="18"/>
                <w:lang w:val="en-GB"/>
              </w:rPr>
              <w:t xml:space="preserve">enhanced to integrate citizenship education </w:t>
            </w:r>
            <w:r w:rsidR="00C05D8F">
              <w:rPr>
                <w:b/>
                <w:iCs/>
                <w:color w:val="000000"/>
                <w:sz w:val="18"/>
                <w:szCs w:val="18"/>
                <w:lang w:val="en-GB"/>
              </w:rPr>
              <w:t>in</w:t>
            </w:r>
            <w:r w:rsidR="00C05D8F" w:rsidRPr="008941BB">
              <w:rPr>
                <w:b/>
                <w:iCs/>
                <w:color w:val="000000"/>
                <w:sz w:val="18"/>
                <w:szCs w:val="18"/>
                <w:lang w:val="en-GB"/>
              </w:rPr>
              <w:t xml:space="preserve"> </w:t>
            </w:r>
            <w:r w:rsidRPr="008941BB">
              <w:rPr>
                <w:b/>
                <w:iCs/>
                <w:color w:val="000000"/>
                <w:sz w:val="18"/>
                <w:szCs w:val="18"/>
                <w:lang w:val="en-GB"/>
              </w:rPr>
              <w:t xml:space="preserve">educational and citizen spheres </w:t>
            </w:r>
          </w:p>
          <w:p w14:paraId="49E7632A" w14:textId="77777777" w:rsidR="00C853CA" w:rsidRPr="008941BB" w:rsidRDefault="00C853CA" w:rsidP="004836EC">
            <w:pPr>
              <w:jc w:val="both"/>
              <w:rPr>
                <w:iCs/>
                <w:color w:val="000000"/>
                <w:sz w:val="18"/>
                <w:szCs w:val="18"/>
                <w:lang w:val="en-GB"/>
              </w:rPr>
            </w:pPr>
          </w:p>
          <w:p w14:paraId="4CD41B32" w14:textId="208586B6" w:rsidR="00C853CA" w:rsidRPr="008941BB" w:rsidRDefault="00C853CA" w:rsidP="004836EC">
            <w:pPr>
              <w:jc w:val="both"/>
              <w:rPr>
                <w:iCs/>
                <w:color w:val="000000"/>
                <w:sz w:val="18"/>
                <w:szCs w:val="18"/>
                <w:lang w:val="en-GB"/>
              </w:rPr>
            </w:pPr>
            <w:r w:rsidRPr="008941BB">
              <w:rPr>
                <w:iCs/>
                <w:color w:val="000000"/>
                <w:sz w:val="18"/>
                <w:szCs w:val="18"/>
                <w:lang w:val="en-GB"/>
              </w:rPr>
              <w:t>Indicator 3.4.1</w:t>
            </w:r>
            <w:r w:rsidR="00C05D8F">
              <w:rPr>
                <w:iCs/>
                <w:color w:val="000000"/>
                <w:sz w:val="18"/>
                <w:szCs w:val="18"/>
                <w:lang w:val="en-GB"/>
              </w:rPr>
              <w:t>.</w:t>
            </w:r>
            <w:r w:rsidRPr="008941BB">
              <w:rPr>
                <w:iCs/>
                <w:color w:val="000000"/>
                <w:sz w:val="18"/>
                <w:szCs w:val="18"/>
                <w:lang w:val="en-GB"/>
              </w:rPr>
              <w:t xml:space="preserve"> Number of tools and methodologies co-designed by UNDP and partners and implemented by sectoral institutions (Electoral Service, Ministry of Education) </w:t>
            </w:r>
          </w:p>
          <w:p w14:paraId="00243E4F" w14:textId="77777777" w:rsidR="00C853CA" w:rsidRPr="008941BB" w:rsidRDefault="00C853CA" w:rsidP="004836EC">
            <w:pPr>
              <w:jc w:val="both"/>
              <w:rPr>
                <w:iCs/>
                <w:color w:val="000000"/>
                <w:sz w:val="18"/>
                <w:szCs w:val="18"/>
                <w:lang w:val="en-GB"/>
              </w:rPr>
            </w:pPr>
            <w:r w:rsidRPr="008941BB">
              <w:rPr>
                <w:iCs/>
                <w:color w:val="000000"/>
                <w:sz w:val="18"/>
                <w:szCs w:val="18"/>
                <w:lang w:val="en-GB"/>
              </w:rPr>
              <w:t>Baseline: 1</w:t>
            </w:r>
          </w:p>
          <w:p w14:paraId="09771AD2" w14:textId="77777777" w:rsidR="00C853CA" w:rsidRPr="008941BB" w:rsidRDefault="00C853CA" w:rsidP="004836EC">
            <w:pPr>
              <w:jc w:val="both"/>
              <w:rPr>
                <w:iCs/>
                <w:color w:val="000000"/>
                <w:sz w:val="18"/>
                <w:szCs w:val="18"/>
                <w:lang w:val="en-GB"/>
              </w:rPr>
            </w:pPr>
            <w:r w:rsidRPr="008941BB">
              <w:rPr>
                <w:iCs/>
                <w:color w:val="000000"/>
                <w:sz w:val="18"/>
                <w:szCs w:val="18"/>
                <w:lang w:val="en-GB"/>
              </w:rPr>
              <w:lastRenderedPageBreak/>
              <w:t xml:space="preserve">Target: 2 </w:t>
            </w:r>
          </w:p>
          <w:p w14:paraId="394C8DA8" w14:textId="77777777" w:rsidR="00C853CA" w:rsidRPr="008941BB" w:rsidRDefault="00C853CA" w:rsidP="004836EC">
            <w:pPr>
              <w:jc w:val="both"/>
              <w:rPr>
                <w:iCs/>
                <w:color w:val="000000"/>
                <w:sz w:val="18"/>
                <w:szCs w:val="18"/>
                <w:lang w:val="en-GB"/>
              </w:rPr>
            </w:pPr>
          </w:p>
          <w:p w14:paraId="48E3440F" w14:textId="3D8DC018" w:rsidR="00C853CA" w:rsidRPr="008941BB" w:rsidRDefault="00C853CA" w:rsidP="004836EC">
            <w:pPr>
              <w:tabs>
                <w:tab w:val="left" w:pos="466"/>
              </w:tabs>
              <w:contextualSpacing/>
              <w:jc w:val="both"/>
              <w:rPr>
                <w:b/>
                <w:iCs/>
                <w:color w:val="000000"/>
                <w:sz w:val="18"/>
                <w:szCs w:val="18"/>
                <w:lang w:val="en-GB"/>
              </w:rPr>
            </w:pPr>
            <w:r w:rsidRPr="008941BB">
              <w:rPr>
                <w:b/>
                <w:iCs/>
                <w:color w:val="000000"/>
                <w:sz w:val="18"/>
                <w:szCs w:val="18"/>
                <w:lang w:val="en-GB"/>
              </w:rPr>
              <w:t>3.5</w:t>
            </w:r>
            <w:r w:rsidR="00C05D8F">
              <w:rPr>
                <w:b/>
                <w:iCs/>
                <w:color w:val="000000"/>
                <w:sz w:val="18"/>
                <w:szCs w:val="18"/>
                <w:lang w:val="en-GB"/>
              </w:rPr>
              <w:t>.</w:t>
            </w:r>
            <w:r w:rsidRPr="008941BB">
              <w:rPr>
                <w:b/>
                <w:iCs/>
                <w:color w:val="000000"/>
                <w:sz w:val="18"/>
                <w:szCs w:val="18"/>
                <w:lang w:val="en-GB"/>
              </w:rPr>
              <w:t xml:space="preserve"> Indigenous peoples supported in dialogue and consultation processes in the framework of existing agreements </w:t>
            </w:r>
          </w:p>
          <w:p w14:paraId="51B6BC6E" w14:textId="77777777" w:rsidR="00C853CA" w:rsidRPr="008941BB" w:rsidRDefault="00C853CA" w:rsidP="004836EC">
            <w:pPr>
              <w:jc w:val="both"/>
              <w:rPr>
                <w:iCs/>
                <w:color w:val="000000"/>
                <w:sz w:val="18"/>
                <w:szCs w:val="18"/>
                <w:lang w:val="en-GB"/>
              </w:rPr>
            </w:pPr>
          </w:p>
          <w:p w14:paraId="6A679EA7" w14:textId="020F399B" w:rsidR="00C853CA" w:rsidRPr="008941BB" w:rsidRDefault="00C853CA" w:rsidP="004836EC">
            <w:pPr>
              <w:jc w:val="both"/>
              <w:rPr>
                <w:iCs/>
                <w:color w:val="000000"/>
                <w:sz w:val="18"/>
                <w:szCs w:val="18"/>
                <w:lang w:val="en-GB"/>
              </w:rPr>
            </w:pPr>
            <w:r w:rsidRPr="008941BB">
              <w:rPr>
                <w:iCs/>
                <w:color w:val="000000"/>
                <w:sz w:val="18"/>
                <w:szCs w:val="18"/>
                <w:lang w:val="en-GB"/>
              </w:rPr>
              <w:t>Indicator 3.5.1</w:t>
            </w:r>
            <w:r w:rsidR="00C05D8F">
              <w:rPr>
                <w:iCs/>
                <w:color w:val="000000"/>
                <w:sz w:val="18"/>
                <w:szCs w:val="18"/>
                <w:lang w:val="en-GB"/>
              </w:rPr>
              <w:t>.</w:t>
            </w:r>
            <w:r w:rsidRPr="008941BB">
              <w:rPr>
                <w:iCs/>
                <w:color w:val="000000"/>
                <w:sz w:val="18"/>
                <w:szCs w:val="18"/>
                <w:lang w:val="en-GB"/>
              </w:rPr>
              <w:t xml:space="preserve"> Number of processes supported </w:t>
            </w:r>
          </w:p>
          <w:p w14:paraId="243E4C94" w14:textId="77777777" w:rsidR="00C853CA" w:rsidRPr="008941BB" w:rsidRDefault="00C853CA" w:rsidP="004836EC">
            <w:pPr>
              <w:jc w:val="both"/>
              <w:rPr>
                <w:iCs/>
                <w:color w:val="000000"/>
                <w:sz w:val="18"/>
                <w:szCs w:val="18"/>
                <w:lang w:val="en-GB"/>
              </w:rPr>
            </w:pPr>
            <w:r w:rsidRPr="008941BB">
              <w:rPr>
                <w:iCs/>
                <w:color w:val="000000"/>
                <w:sz w:val="18"/>
                <w:szCs w:val="18"/>
                <w:lang w:val="en-GB"/>
              </w:rPr>
              <w:t>Baseline: 2 (2018)</w:t>
            </w:r>
          </w:p>
          <w:p w14:paraId="050C906D" w14:textId="77777777" w:rsidR="00C853CA" w:rsidRPr="008941BB" w:rsidRDefault="00C853CA" w:rsidP="004836EC">
            <w:pPr>
              <w:jc w:val="both"/>
              <w:rPr>
                <w:iCs/>
                <w:color w:val="000000"/>
                <w:sz w:val="18"/>
                <w:szCs w:val="18"/>
                <w:lang w:val="en-GB"/>
              </w:rPr>
            </w:pPr>
            <w:r w:rsidRPr="008941BB">
              <w:rPr>
                <w:iCs/>
                <w:color w:val="000000"/>
                <w:sz w:val="18"/>
                <w:szCs w:val="18"/>
                <w:lang w:val="en-GB"/>
              </w:rPr>
              <w:t>Target: 4</w:t>
            </w:r>
          </w:p>
          <w:p w14:paraId="4E0D6416" w14:textId="77777777" w:rsidR="00C853CA" w:rsidRPr="008941BB" w:rsidRDefault="00C853CA" w:rsidP="004836EC">
            <w:pPr>
              <w:jc w:val="both"/>
              <w:rPr>
                <w:b/>
                <w:iCs/>
                <w:color w:val="000000"/>
                <w:sz w:val="18"/>
                <w:szCs w:val="18"/>
                <w:lang w:val="en-GB"/>
              </w:rPr>
            </w:pPr>
          </w:p>
          <w:p w14:paraId="72C58C8F" w14:textId="6EBE5507" w:rsidR="00C853CA" w:rsidRPr="008941BB" w:rsidRDefault="00C853CA" w:rsidP="004836EC">
            <w:pPr>
              <w:jc w:val="both"/>
              <w:rPr>
                <w:b/>
                <w:iCs/>
                <w:color w:val="000000"/>
                <w:sz w:val="18"/>
                <w:szCs w:val="18"/>
                <w:lang w:val="en-GB"/>
              </w:rPr>
            </w:pPr>
            <w:r w:rsidRPr="008941BB">
              <w:rPr>
                <w:b/>
                <w:iCs/>
                <w:color w:val="000000"/>
                <w:sz w:val="18"/>
                <w:szCs w:val="18"/>
                <w:lang w:val="en-GB"/>
              </w:rPr>
              <w:t>3.6</w:t>
            </w:r>
            <w:r w:rsidR="00C05D8F">
              <w:rPr>
                <w:b/>
                <w:iCs/>
                <w:color w:val="000000"/>
                <w:sz w:val="18"/>
                <w:szCs w:val="18"/>
                <w:lang w:val="en-GB"/>
              </w:rPr>
              <w:t>.</w:t>
            </w:r>
            <w:r w:rsidRPr="008941BB">
              <w:rPr>
                <w:b/>
                <w:iCs/>
                <w:color w:val="000000"/>
                <w:sz w:val="18"/>
                <w:szCs w:val="18"/>
                <w:lang w:val="en-GB"/>
              </w:rPr>
              <w:t xml:space="preserve"> </w:t>
            </w:r>
            <w:r w:rsidR="00FB48CF">
              <w:rPr>
                <w:b/>
                <w:iCs/>
                <w:color w:val="000000"/>
                <w:sz w:val="18"/>
                <w:szCs w:val="18"/>
                <w:lang w:val="en-GB"/>
              </w:rPr>
              <w:t>Capacities of i</w:t>
            </w:r>
            <w:r w:rsidRPr="008941BB">
              <w:rPr>
                <w:b/>
                <w:iCs/>
                <w:color w:val="000000"/>
                <w:sz w:val="18"/>
                <w:szCs w:val="18"/>
                <w:lang w:val="en-GB"/>
              </w:rPr>
              <w:t xml:space="preserve">nstitutions, political parties and </w:t>
            </w:r>
            <w:r w:rsidR="00FB48CF">
              <w:rPr>
                <w:b/>
                <w:iCs/>
                <w:color w:val="000000"/>
                <w:sz w:val="18"/>
                <w:szCs w:val="18"/>
                <w:lang w:val="en-GB"/>
              </w:rPr>
              <w:t>non-governmental organizations (</w:t>
            </w:r>
            <w:r w:rsidRPr="008941BB">
              <w:rPr>
                <w:b/>
                <w:iCs/>
                <w:color w:val="000000"/>
                <w:sz w:val="18"/>
                <w:szCs w:val="18"/>
                <w:lang w:val="en-GB"/>
              </w:rPr>
              <w:t>NGOs</w:t>
            </w:r>
            <w:r w:rsidR="00FB48CF">
              <w:rPr>
                <w:b/>
                <w:iCs/>
                <w:color w:val="000000"/>
                <w:sz w:val="18"/>
                <w:szCs w:val="18"/>
                <w:lang w:val="en-GB"/>
              </w:rPr>
              <w:t>)</w:t>
            </w:r>
            <w:r w:rsidRPr="008941BB">
              <w:rPr>
                <w:b/>
                <w:iCs/>
                <w:color w:val="000000"/>
                <w:sz w:val="18"/>
                <w:szCs w:val="18"/>
                <w:lang w:val="en-GB"/>
              </w:rPr>
              <w:t xml:space="preserve"> strengthened to foster </w:t>
            </w:r>
            <w:r w:rsidR="00C05D8F">
              <w:rPr>
                <w:b/>
                <w:iCs/>
                <w:color w:val="000000"/>
                <w:sz w:val="18"/>
                <w:szCs w:val="18"/>
                <w:lang w:val="en-GB"/>
              </w:rPr>
              <w:t xml:space="preserve">women’s </w:t>
            </w:r>
            <w:r w:rsidRPr="008941BB">
              <w:rPr>
                <w:b/>
                <w:iCs/>
                <w:color w:val="000000"/>
                <w:sz w:val="18"/>
                <w:szCs w:val="18"/>
                <w:lang w:val="en-GB"/>
              </w:rPr>
              <w:t>political participation</w:t>
            </w:r>
            <w:r w:rsidR="00C05D8F">
              <w:rPr>
                <w:b/>
                <w:iCs/>
                <w:color w:val="000000"/>
                <w:sz w:val="18"/>
                <w:szCs w:val="18"/>
                <w:lang w:val="en-GB"/>
              </w:rPr>
              <w:t>,</w:t>
            </w:r>
            <w:r w:rsidRPr="008941BB">
              <w:rPr>
                <w:b/>
                <w:iCs/>
                <w:color w:val="000000"/>
                <w:sz w:val="18"/>
                <w:szCs w:val="18"/>
                <w:lang w:val="en-GB"/>
              </w:rPr>
              <w:t xml:space="preserve"> representation and access to decision-making positions </w:t>
            </w:r>
          </w:p>
          <w:p w14:paraId="1FAE51B9" w14:textId="77777777" w:rsidR="00C853CA" w:rsidRPr="008941BB" w:rsidRDefault="00C853CA" w:rsidP="004836EC">
            <w:pPr>
              <w:jc w:val="both"/>
              <w:rPr>
                <w:iCs/>
                <w:color w:val="000000"/>
                <w:sz w:val="18"/>
                <w:szCs w:val="18"/>
                <w:lang w:val="en-GB"/>
              </w:rPr>
            </w:pPr>
          </w:p>
          <w:p w14:paraId="7D81DEC6" w14:textId="16D0E4FB" w:rsidR="00C853CA" w:rsidRPr="008941BB" w:rsidRDefault="00C853CA" w:rsidP="004836EC">
            <w:pPr>
              <w:jc w:val="both"/>
              <w:rPr>
                <w:iCs/>
                <w:color w:val="000000"/>
                <w:sz w:val="18"/>
                <w:szCs w:val="18"/>
                <w:lang w:val="en-GB"/>
              </w:rPr>
            </w:pPr>
            <w:r w:rsidRPr="008941BB">
              <w:rPr>
                <w:iCs/>
                <w:color w:val="000000"/>
                <w:sz w:val="18"/>
                <w:szCs w:val="18"/>
                <w:lang w:val="en-GB"/>
              </w:rPr>
              <w:t>Indicator 3.6.1</w:t>
            </w:r>
            <w:r w:rsidR="00C05D8F">
              <w:rPr>
                <w:iCs/>
                <w:color w:val="000000"/>
                <w:sz w:val="18"/>
                <w:szCs w:val="18"/>
                <w:lang w:val="en-GB"/>
              </w:rPr>
              <w:t>.</w:t>
            </w:r>
            <w:r w:rsidRPr="008941BB">
              <w:rPr>
                <w:iCs/>
                <w:color w:val="000000"/>
                <w:sz w:val="18"/>
                <w:szCs w:val="18"/>
                <w:lang w:val="en-GB"/>
              </w:rPr>
              <w:t xml:space="preserve"> Number of knowledge products and action plans elaborated and adopted by institutions, political parties and NGOs to increase participation and representation </w:t>
            </w:r>
          </w:p>
          <w:p w14:paraId="7A4C5773" w14:textId="77777777" w:rsidR="00C853CA" w:rsidRPr="008941BB" w:rsidRDefault="00C853CA" w:rsidP="004836EC">
            <w:pPr>
              <w:jc w:val="both"/>
              <w:rPr>
                <w:iCs/>
                <w:color w:val="000000"/>
                <w:sz w:val="18"/>
                <w:szCs w:val="18"/>
                <w:lang w:val="en-GB"/>
              </w:rPr>
            </w:pPr>
            <w:r w:rsidRPr="008941BB">
              <w:rPr>
                <w:iCs/>
                <w:color w:val="000000"/>
                <w:sz w:val="18"/>
                <w:szCs w:val="18"/>
                <w:lang w:val="en-GB"/>
              </w:rPr>
              <w:t>Baseline: 2</w:t>
            </w:r>
          </w:p>
          <w:p w14:paraId="5DC3CAFD" w14:textId="77777777" w:rsidR="00C853CA" w:rsidRPr="008941BB" w:rsidRDefault="00C853CA" w:rsidP="004836EC">
            <w:pPr>
              <w:jc w:val="both"/>
              <w:rPr>
                <w:iCs/>
                <w:color w:val="000000"/>
                <w:sz w:val="18"/>
                <w:szCs w:val="18"/>
                <w:lang w:val="en-GB"/>
              </w:rPr>
            </w:pPr>
            <w:r w:rsidRPr="008941BB">
              <w:rPr>
                <w:iCs/>
                <w:color w:val="000000"/>
                <w:sz w:val="18"/>
                <w:szCs w:val="18"/>
                <w:lang w:val="en-GB"/>
              </w:rPr>
              <w:t>Target: 10</w:t>
            </w:r>
          </w:p>
        </w:tc>
        <w:tc>
          <w:tcPr>
            <w:tcW w:w="890" w:type="pct"/>
            <w:gridSpan w:val="2"/>
            <w:vMerge w:val="restart"/>
          </w:tcPr>
          <w:p w14:paraId="3B4F41A0" w14:textId="77777777" w:rsidR="00C853CA" w:rsidRPr="008941BB" w:rsidRDefault="00C853CA" w:rsidP="004836EC">
            <w:pPr>
              <w:jc w:val="both"/>
              <w:rPr>
                <w:iCs/>
                <w:color w:val="000000"/>
                <w:sz w:val="18"/>
                <w:szCs w:val="18"/>
                <w:lang w:val="en-GB"/>
              </w:rPr>
            </w:pPr>
            <w:r w:rsidRPr="008941BB">
              <w:rPr>
                <w:iCs/>
                <w:color w:val="000000"/>
                <w:sz w:val="18"/>
                <w:szCs w:val="18"/>
                <w:lang w:val="en-GB"/>
              </w:rPr>
              <w:lastRenderedPageBreak/>
              <w:t>Electoral Service</w:t>
            </w:r>
          </w:p>
          <w:p w14:paraId="6A95584F" w14:textId="77777777" w:rsidR="00C853CA" w:rsidRPr="008941BB" w:rsidRDefault="00C853CA" w:rsidP="004836EC">
            <w:pPr>
              <w:jc w:val="both"/>
              <w:rPr>
                <w:iCs/>
                <w:color w:val="000000"/>
                <w:sz w:val="18"/>
                <w:szCs w:val="18"/>
                <w:lang w:val="en-GB"/>
              </w:rPr>
            </w:pPr>
            <w:r w:rsidRPr="008941BB">
              <w:rPr>
                <w:iCs/>
                <w:color w:val="000000"/>
                <w:sz w:val="18"/>
                <w:szCs w:val="18"/>
                <w:lang w:val="en-GB"/>
              </w:rPr>
              <w:t>Ministry of Women</w:t>
            </w:r>
          </w:p>
          <w:p w14:paraId="7E69CFF2" w14:textId="77777777" w:rsidR="00C853CA" w:rsidRPr="008941BB" w:rsidRDefault="00C853CA" w:rsidP="004836EC">
            <w:pPr>
              <w:jc w:val="both"/>
              <w:rPr>
                <w:iCs/>
                <w:color w:val="000000"/>
                <w:sz w:val="18"/>
                <w:szCs w:val="18"/>
                <w:lang w:val="en-GB"/>
              </w:rPr>
            </w:pPr>
            <w:r w:rsidRPr="008941BB">
              <w:rPr>
                <w:iCs/>
                <w:color w:val="000000"/>
                <w:sz w:val="18"/>
                <w:szCs w:val="18"/>
                <w:lang w:val="en-GB"/>
              </w:rPr>
              <w:t>Political parties</w:t>
            </w:r>
          </w:p>
          <w:p w14:paraId="3C5B83C8" w14:textId="77777777" w:rsidR="00C853CA" w:rsidRPr="008941BB" w:rsidRDefault="00C853CA" w:rsidP="004836EC">
            <w:pPr>
              <w:jc w:val="both"/>
              <w:rPr>
                <w:iCs/>
                <w:color w:val="000000"/>
                <w:sz w:val="18"/>
                <w:szCs w:val="18"/>
                <w:lang w:val="en-GB"/>
              </w:rPr>
            </w:pPr>
            <w:r w:rsidRPr="008941BB">
              <w:rPr>
                <w:iCs/>
                <w:color w:val="000000"/>
                <w:sz w:val="18"/>
                <w:szCs w:val="18"/>
                <w:lang w:val="en-GB"/>
              </w:rPr>
              <w:t xml:space="preserve">Congress </w:t>
            </w:r>
          </w:p>
          <w:p w14:paraId="1DDB55B7" w14:textId="77777777" w:rsidR="00C853CA" w:rsidRPr="008941BB" w:rsidRDefault="00C853CA" w:rsidP="004836EC">
            <w:pPr>
              <w:jc w:val="both"/>
              <w:rPr>
                <w:iCs/>
                <w:color w:val="000000"/>
                <w:sz w:val="18"/>
                <w:szCs w:val="18"/>
                <w:lang w:val="en-GB"/>
              </w:rPr>
            </w:pPr>
            <w:r w:rsidRPr="008941BB">
              <w:rPr>
                <w:iCs/>
                <w:color w:val="000000"/>
                <w:sz w:val="18"/>
                <w:szCs w:val="18"/>
                <w:lang w:val="en-GB"/>
              </w:rPr>
              <w:lastRenderedPageBreak/>
              <w:t>Council for Transparency</w:t>
            </w:r>
          </w:p>
          <w:p w14:paraId="027420F4" w14:textId="77777777" w:rsidR="00C853CA" w:rsidRPr="008941BB" w:rsidRDefault="00C853CA" w:rsidP="004836EC">
            <w:pPr>
              <w:jc w:val="both"/>
              <w:rPr>
                <w:iCs/>
                <w:color w:val="000000"/>
                <w:sz w:val="18"/>
                <w:szCs w:val="18"/>
                <w:lang w:val="en-GB"/>
              </w:rPr>
            </w:pPr>
            <w:r w:rsidRPr="008941BB">
              <w:rPr>
                <w:iCs/>
                <w:color w:val="000000"/>
                <w:sz w:val="18"/>
                <w:szCs w:val="18"/>
                <w:lang w:val="en-GB"/>
              </w:rPr>
              <w:t>National Comptrollership</w:t>
            </w:r>
          </w:p>
          <w:p w14:paraId="3C20F174" w14:textId="77777777" w:rsidR="00C853CA" w:rsidRPr="008941BB" w:rsidRDefault="00C853CA" w:rsidP="004836EC">
            <w:pPr>
              <w:jc w:val="both"/>
              <w:rPr>
                <w:iCs/>
                <w:color w:val="000000"/>
                <w:sz w:val="18"/>
                <w:szCs w:val="18"/>
                <w:lang w:val="en-GB"/>
              </w:rPr>
            </w:pPr>
            <w:r w:rsidRPr="008941BB">
              <w:rPr>
                <w:iCs/>
                <w:color w:val="000000"/>
                <w:sz w:val="18"/>
                <w:szCs w:val="18"/>
                <w:lang w:val="en-GB"/>
              </w:rPr>
              <w:t>Ministry Secretary General of the Presidency</w:t>
            </w:r>
          </w:p>
          <w:p w14:paraId="56DBCD8D" w14:textId="77777777" w:rsidR="00C853CA" w:rsidRPr="008941BB" w:rsidRDefault="00C853CA" w:rsidP="004836EC">
            <w:pPr>
              <w:jc w:val="both"/>
              <w:rPr>
                <w:iCs/>
                <w:color w:val="000000"/>
                <w:sz w:val="18"/>
                <w:szCs w:val="18"/>
                <w:lang w:val="en-GB"/>
              </w:rPr>
            </w:pPr>
            <w:r w:rsidRPr="008941BB">
              <w:rPr>
                <w:iCs/>
                <w:color w:val="000000"/>
                <w:sz w:val="18"/>
                <w:szCs w:val="18"/>
                <w:lang w:val="en-GB"/>
              </w:rPr>
              <w:t>Ministry of Education ECLAC</w:t>
            </w:r>
          </w:p>
          <w:p w14:paraId="496985F8" w14:textId="77777777" w:rsidR="00C853CA" w:rsidRPr="008941BB" w:rsidRDefault="00C853CA" w:rsidP="004836EC">
            <w:pPr>
              <w:jc w:val="both"/>
              <w:rPr>
                <w:iCs/>
                <w:color w:val="000000"/>
                <w:sz w:val="18"/>
                <w:szCs w:val="18"/>
                <w:lang w:val="en-GB"/>
              </w:rPr>
            </w:pPr>
            <w:r w:rsidRPr="008941BB">
              <w:rPr>
                <w:iCs/>
                <w:color w:val="000000"/>
                <w:sz w:val="18"/>
                <w:szCs w:val="18"/>
                <w:lang w:val="en-GB"/>
              </w:rPr>
              <w:t>UNHCHR</w:t>
            </w:r>
          </w:p>
          <w:p w14:paraId="70455C93" w14:textId="77777777" w:rsidR="00C853CA" w:rsidRPr="008941BB" w:rsidRDefault="00C853CA" w:rsidP="004836EC">
            <w:pPr>
              <w:jc w:val="both"/>
              <w:rPr>
                <w:iCs/>
                <w:color w:val="000000"/>
                <w:sz w:val="18"/>
                <w:szCs w:val="18"/>
                <w:lang w:val="en-GB"/>
              </w:rPr>
            </w:pPr>
            <w:r w:rsidRPr="008941BB">
              <w:rPr>
                <w:iCs/>
                <w:color w:val="000000"/>
                <w:sz w:val="18"/>
                <w:szCs w:val="18"/>
                <w:lang w:val="en-GB"/>
              </w:rPr>
              <w:t>ILO</w:t>
            </w:r>
          </w:p>
          <w:p w14:paraId="2FFD594E" w14:textId="77777777" w:rsidR="00C853CA" w:rsidRPr="008941BB" w:rsidRDefault="00C853CA" w:rsidP="004836EC">
            <w:pPr>
              <w:jc w:val="both"/>
              <w:rPr>
                <w:iCs/>
                <w:color w:val="000000"/>
                <w:sz w:val="18"/>
                <w:szCs w:val="18"/>
                <w:lang w:val="en-GB"/>
              </w:rPr>
            </w:pPr>
            <w:r w:rsidRPr="008941BB">
              <w:rPr>
                <w:iCs/>
                <w:color w:val="000000"/>
                <w:sz w:val="18"/>
                <w:szCs w:val="18"/>
                <w:lang w:val="en-GB"/>
              </w:rPr>
              <w:t>UNESCO</w:t>
            </w:r>
          </w:p>
          <w:p w14:paraId="2557E060" w14:textId="77777777" w:rsidR="00C853CA" w:rsidRPr="008941BB" w:rsidRDefault="00C853CA" w:rsidP="004836EC">
            <w:pPr>
              <w:jc w:val="both"/>
              <w:rPr>
                <w:iCs/>
                <w:color w:val="000000"/>
                <w:sz w:val="18"/>
                <w:szCs w:val="18"/>
                <w:lang w:val="en-GB"/>
              </w:rPr>
            </w:pPr>
          </w:p>
          <w:p w14:paraId="374790F3" w14:textId="77777777" w:rsidR="00C853CA" w:rsidRPr="008941BB" w:rsidRDefault="00C853CA" w:rsidP="004836EC">
            <w:pPr>
              <w:jc w:val="both"/>
              <w:rPr>
                <w:iCs/>
                <w:color w:val="000000"/>
                <w:sz w:val="18"/>
                <w:szCs w:val="18"/>
                <w:lang w:val="en-GB"/>
              </w:rPr>
            </w:pPr>
          </w:p>
        </w:tc>
        <w:tc>
          <w:tcPr>
            <w:tcW w:w="657" w:type="pct"/>
            <w:tcMar>
              <w:top w:w="15" w:type="dxa"/>
              <w:left w:w="108" w:type="dxa"/>
              <w:bottom w:w="0" w:type="dxa"/>
              <w:right w:w="108" w:type="dxa"/>
            </w:tcMar>
          </w:tcPr>
          <w:p w14:paraId="4F909E75" w14:textId="77777777" w:rsidR="00087A83" w:rsidRDefault="00C853CA" w:rsidP="004836EC">
            <w:pPr>
              <w:jc w:val="both"/>
              <w:rPr>
                <w:b/>
                <w:color w:val="000000"/>
                <w:sz w:val="18"/>
                <w:szCs w:val="18"/>
                <w:lang w:val="en-GB"/>
              </w:rPr>
            </w:pPr>
            <w:r w:rsidRPr="008941BB">
              <w:rPr>
                <w:b/>
                <w:color w:val="000000"/>
                <w:sz w:val="18"/>
                <w:szCs w:val="18"/>
                <w:lang w:val="en-GB"/>
              </w:rPr>
              <w:lastRenderedPageBreak/>
              <w:t>Regular</w:t>
            </w:r>
          </w:p>
          <w:p w14:paraId="7A1BC2B8" w14:textId="66ED3956" w:rsidR="00C853CA" w:rsidRPr="008941BB" w:rsidRDefault="00087A83" w:rsidP="004836EC">
            <w:pPr>
              <w:jc w:val="both"/>
              <w:rPr>
                <w:b/>
                <w:color w:val="000000"/>
                <w:sz w:val="18"/>
                <w:szCs w:val="18"/>
                <w:lang w:val="en-GB"/>
              </w:rPr>
            </w:pPr>
            <w:r>
              <w:rPr>
                <w:b/>
                <w:color w:val="000000"/>
                <w:sz w:val="18"/>
                <w:szCs w:val="18"/>
                <w:lang w:val="en-GB"/>
              </w:rPr>
              <w:t>0</w:t>
            </w:r>
          </w:p>
        </w:tc>
      </w:tr>
      <w:tr w:rsidR="00C853CA" w:rsidRPr="00172A7A" w14:paraId="51037116" w14:textId="77777777" w:rsidTr="00207494">
        <w:trPr>
          <w:gridAfter w:val="1"/>
          <w:wAfter w:w="33" w:type="pct"/>
          <w:trHeight w:val="133"/>
        </w:trPr>
        <w:tc>
          <w:tcPr>
            <w:tcW w:w="1063" w:type="pct"/>
            <w:vMerge/>
            <w:tcMar>
              <w:top w:w="72" w:type="dxa"/>
              <w:left w:w="144" w:type="dxa"/>
              <w:bottom w:w="72" w:type="dxa"/>
              <w:right w:w="144" w:type="dxa"/>
            </w:tcMar>
          </w:tcPr>
          <w:p w14:paraId="1B94CC3F" w14:textId="77777777" w:rsidR="00C853CA" w:rsidRPr="008941BB" w:rsidRDefault="00C853CA" w:rsidP="004836EC">
            <w:pPr>
              <w:jc w:val="both"/>
              <w:rPr>
                <w:iCs/>
                <w:sz w:val="18"/>
                <w:szCs w:val="18"/>
                <w:lang w:val="en-GB"/>
              </w:rPr>
            </w:pPr>
          </w:p>
        </w:tc>
        <w:tc>
          <w:tcPr>
            <w:tcW w:w="802" w:type="pct"/>
            <w:gridSpan w:val="2"/>
            <w:vMerge/>
          </w:tcPr>
          <w:p w14:paraId="366C45FC" w14:textId="77777777" w:rsidR="00C853CA" w:rsidRPr="00172A7A" w:rsidRDefault="00C853CA" w:rsidP="004836EC">
            <w:pPr>
              <w:jc w:val="both"/>
              <w:rPr>
                <w:b/>
                <w:bCs/>
                <w:color w:val="000000"/>
                <w:sz w:val="18"/>
                <w:szCs w:val="18"/>
                <w:lang w:val="en-GB"/>
              </w:rPr>
            </w:pPr>
          </w:p>
        </w:tc>
        <w:tc>
          <w:tcPr>
            <w:tcW w:w="1555" w:type="pct"/>
            <w:gridSpan w:val="3"/>
            <w:vMerge/>
            <w:tcMar>
              <w:top w:w="72" w:type="dxa"/>
              <w:left w:w="144" w:type="dxa"/>
              <w:bottom w:w="72" w:type="dxa"/>
              <w:right w:w="144" w:type="dxa"/>
            </w:tcMar>
          </w:tcPr>
          <w:p w14:paraId="72C597C1" w14:textId="77777777" w:rsidR="00C853CA" w:rsidRPr="008941BB" w:rsidRDefault="00C853CA" w:rsidP="004836EC">
            <w:pPr>
              <w:jc w:val="both"/>
              <w:rPr>
                <w:iCs/>
                <w:color w:val="000000"/>
                <w:sz w:val="18"/>
                <w:szCs w:val="18"/>
                <w:lang w:val="en-GB"/>
              </w:rPr>
            </w:pPr>
          </w:p>
        </w:tc>
        <w:tc>
          <w:tcPr>
            <w:tcW w:w="890" w:type="pct"/>
            <w:gridSpan w:val="2"/>
            <w:vMerge/>
          </w:tcPr>
          <w:p w14:paraId="215BC4B2" w14:textId="77777777" w:rsidR="00C853CA" w:rsidRPr="00172A7A" w:rsidRDefault="00C853CA" w:rsidP="004836EC">
            <w:pPr>
              <w:jc w:val="both"/>
              <w:rPr>
                <w:iCs/>
                <w:color w:val="000000"/>
                <w:sz w:val="18"/>
                <w:szCs w:val="18"/>
                <w:lang w:val="en-GB"/>
              </w:rPr>
            </w:pPr>
          </w:p>
        </w:tc>
        <w:tc>
          <w:tcPr>
            <w:tcW w:w="657" w:type="pct"/>
            <w:tcMar>
              <w:top w:w="15" w:type="dxa"/>
              <w:left w:w="108" w:type="dxa"/>
              <w:bottom w:w="0" w:type="dxa"/>
              <w:right w:w="108" w:type="dxa"/>
            </w:tcMar>
          </w:tcPr>
          <w:p w14:paraId="5895A49F" w14:textId="77777777" w:rsidR="00C853CA" w:rsidRPr="008941BB" w:rsidRDefault="00C853CA" w:rsidP="004836EC">
            <w:pPr>
              <w:jc w:val="both"/>
              <w:rPr>
                <w:b/>
                <w:color w:val="000000"/>
                <w:sz w:val="18"/>
                <w:szCs w:val="18"/>
                <w:lang w:val="en-GB"/>
              </w:rPr>
            </w:pPr>
            <w:r w:rsidRPr="008941BB">
              <w:rPr>
                <w:b/>
                <w:color w:val="000000"/>
                <w:sz w:val="18"/>
                <w:szCs w:val="18"/>
                <w:lang w:val="en-GB"/>
              </w:rPr>
              <w:t>Other</w:t>
            </w:r>
          </w:p>
          <w:p w14:paraId="7FD95E4B" w14:textId="77777777" w:rsidR="00C853CA" w:rsidRPr="008941BB" w:rsidRDefault="00C853CA" w:rsidP="004836EC">
            <w:pPr>
              <w:jc w:val="both"/>
              <w:rPr>
                <w:b/>
                <w:color w:val="000000"/>
                <w:sz w:val="18"/>
                <w:szCs w:val="18"/>
                <w:lang w:val="en-GB"/>
              </w:rPr>
            </w:pPr>
            <w:r w:rsidRPr="008941BB">
              <w:rPr>
                <w:b/>
                <w:color w:val="000000"/>
                <w:sz w:val="18"/>
                <w:szCs w:val="18"/>
                <w:lang w:val="en-GB"/>
              </w:rPr>
              <w:t>4,155,000</w:t>
            </w:r>
          </w:p>
        </w:tc>
      </w:tr>
      <w:tr w:rsidR="00C853CA" w:rsidRPr="00172A7A" w14:paraId="6DDB0D7E" w14:textId="77777777" w:rsidTr="00207494">
        <w:trPr>
          <w:gridAfter w:val="1"/>
          <w:wAfter w:w="33" w:type="pct"/>
          <w:trHeight w:val="461"/>
        </w:trPr>
        <w:tc>
          <w:tcPr>
            <w:tcW w:w="1063" w:type="pct"/>
            <w:vMerge/>
            <w:tcMar>
              <w:top w:w="72" w:type="dxa"/>
              <w:left w:w="144" w:type="dxa"/>
              <w:bottom w:w="72" w:type="dxa"/>
              <w:right w:w="144" w:type="dxa"/>
            </w:tcMar>
          </w:tcPr>
          <w:p w14:paraId="0C162CFE" w14:textId="77777777" w:rsidR="00C853CA" w:rsidRPr="00172A7A" w:rsidRDefault="00C853CA" w:rsidP="004836EC">
            <w:pPr>
              <w:jc w:val="both"/>
              <w:rPr>
                <w:i/>
                <w:iCs/>
                <w:color w:val="000000"/>
                <w:sz w:val="18"/>
                <w:szCs w:val="18"/>
                <w:lang w:val="en-GB"/>
              </w:rPr>
            </w:pPr>
          </w:p>
        </w:tc>
        <w:tc>
          <w:tcPr>
            <w:tcW w:w="802" w:type="pct"/>
            <w:gridSpan w:val="2"/>
            <w:vMerge/>
          </w:tcPr>
          <w:p w14:paraId="49C8B123" w14:textId="77777777" w:rsidR="00C853CA" w:rsidRPr="00172A7A" w:rsidRDefault="00C853CA" w:rsidP="004836EC">
            <w:pPr>
              <w:jc w:val="both"/>
              <w:rPr>
                <w:i/>
                <w:iCs/>
                <w:color w:val="000000"/>
                <w:sz w:val="18"/>
                <w:szCs w:val="18"/>
                <w:lang w:val="en-GB"/>
              </w:rPr>
            </w:pPr>
          </w:p>
        </w:tc>
        <w:tc>
          <w:tcPr>
            <w:tcW w:w="1555" w:type="pct"/>
            <w:gridSpan w:val="3"/>
            <w:vMerge/>
            <w:tcMar>
              <w:top w:w="72" w:type="dxa"/>
              <w:left w:w="144" w:type="dxa"/>
              <w:bottom w:w="72" w:type="dxa"/>
              <w:right w:w="144" w:type="dxa"/>
            </w:tcMar>
          </w:tcPr>
          <w:p w14:paraId="334073A4" w14:textId="77777777" w:rsidR="00C853CA" w:rsidRPr="00172A7A" w:rsidRDefault="00C853CA" w:rsidP="004836EC">
            <w:pPr>
              <w:jc w:val="both"/>
              <w:rPr>
                <w:i/>
                <w:iCs/>
                <w:color w:val="000000"/>
                <w:sz w:val="18"/>
                <w:szCs w:val="18"/>
                <w:lang w:val="en-GB"/>
              </w:rPr>
            </w:pPr>
          </w:p>
        </w:tc>
        <w:tc>
          <w:tcPr>
            <w:tcW w:w="890" w:type="pct"/>
            <w:gridSpan w:val="2"/>
            <w:vMerge/>
          </w:tcPr>
          <w:p w14:paraId="4AA131F2" w14:textId="77777777" w:rsidR="00C853CA" w:rsidRPr="00172A7A" w:rsidRDefault="00C853CA" w:rsidP="004836EC">
            <w:pPr>
              <w:jc w:val="both"/>
              <w:rPr>
                <w:i/>
                <w:iCs/>
                <w:color w:val="000000"/>
                <w:sz w:val="18"/>
                <w:szCs w:val="18"/>
                <w:lang w:val="en-GB"/>
              </w:rPr>
            </w:pPr>
          </w:p>
        </w:tc>
        <w:tc>
          <w:tcPr>
            <w:tcW w:w="657" w:type="pct"/>
            <w:tcMar>
              <w:top w:w="15" w:type="dxa"/>
              <w:left w:w="108" w:type="dxa"/>
              <w:bottom w:w="0" w:type="dxa"/>
              <w:right w:w="108" w:type="dxa"/>
            </w:tcMar>
          </w:tcPr>
          <w:p w14:paraId="2505E2D0" w14:textId="77777777" w:rsidR="00C853CA" w:rsidRPr="008941BB" w:rsidRDefault="00C853CA" w:rsidP="004836EC">
            <w:pPr>
              <w:jc w:val="both"/>
              <w:rPr>
                <w:b/>
                <w:color w:val="000000"/>
                <w:sz w:val="18"/>
                <w:szCs w:val="18"/>
                <w:lang w:val="en-GB"/>
              </w:rPr>
            </w:pPr>
          </w:p>
        </w:tc>
      </w:tr>
      <w:tr w:rsidR="00C853CA" w:rsidRPr="00172A7A" w14:paraId="5A2B63F3" w14:textId="77777777" w:rsidTr="00892A8B">
        <w:trPr>
          <w:trHeight w:val="124"/>
        </w:trPr>
        <w:tc>
          <w:tcPr>
            <w:tcW w:w="5000" w:type="pct"/>
            <w:gridSpan w:val="10"/>
            <w:shd w:val="clear" w:color="auto" w:fill="auto"/>
            <w:tcMar>
              <w:top w:w="72" w:type="dxa"/>
              <w:left w:w="144" w:type="dxa"/>
              <w:bottom w:w="72" w:type="dxa"/>
              <w:right w:w="144" w:type="dxa"/>
            </w:tcMar>
          </w:tcPr>
          <w:p w14:paraId="07A18301" w14:textId="35BD9560" w:rsidR="00C853CA" w:rsidRPr="008941BB" w:rsidRDefault="00C05D8F" w:rsidP="004836EC">
            <w:pPr>
              <w:jc w:val="both"/>
              <w:rPr>
                <w:b/>
                <w:bCs/>
                <w:color w:val="000000"/>
                <w:sz w:val="18"/>
                <w:szCs w:val="18"/>
                <w:lang w:val="en-GB"/>
              </w:rPr>
            </w:pPr>
            <w:r w:rsidRPr="00C05D8F">
              <w:rPr>
                <w:b/>
                <w:bCs/>
                <w:color w:val="000000"/>
                <w:sz w:val="18"/>
                <w:szCs w:val="18"/>
                <w:lang w:val="en-GB"/>
              </w:rPr>
              <w:lastRenderedPageBreak/>
              <w:t>National priority</w:t>
            </w:r>
            <w:r w:rsidR="00C853CA" w:rsidRPr="008941BB">
              <w:rPr>
                <w:b/>
                <w:bCs/>
                <w:color w:val="000000"/>
                <w:sz w:val="18"/>
                <w:szCs w:val="18"/>
                <w:lang w:val="en-GB"/>
              </w:rPr>
              <w:t xml:space="preserve">: </w:t>
            </w:r>
            <w:r w:rsidR="00C853CA" w:rsidRPr="008941BB">
              <w:rPr>
                <w:b/>
                <w:sz w:val="18"/>
                <w:szCs w:val="18"/>
                <w:lang w:val="en-GB"/>
              </w:rPr>
              <w:t>SDGs 7, 9, 11, 12, 13, 14</w:t>
            </w:r>
            <w:r>
              <w:rPr>
                <w:b/>
                <w:sz w:val="18"/>
                <w:szCs w:val="18"/>
                <w:lang w:val="en-GB"/>
              </w:rPr>
              <w:t xml:space="preserve"> and </w:t>
            </w:r>
            <w:r w:rsidR="00C853CA" w:rsidRPr="008941BB">
              <w:rPr>
                <w:b/>
                <w:sz w:val="18"/>
                <w:szCs w:val="18"/>
                <w:lang w:val="en-GB"/>
              </w:rPr>
              <w:t>15</w:t>
            </w:r>
          </w:p>
        </w:tc>
      </w:tr>
      <w:tr w:rsidR="00C853CA" w:rsidRPr="00172A7A" w14:paraId="0058BB7E" w14:textId="77777777" w:rsidTr="00892A8B">
        <w:trPr>
          <w:trHeight w:val="124"/>
        </w:trPr>
        <w:tc>
          <w:tcPr>
            <w:tcW w:w="5000" w:type="pct"/>
            <w:gridSpan w:val="10"/>
            <w:shd w:val="clear" w:color="auto" w:fill="auto"/>
            <w:tcMar>
              <w:top w:w="72" w:type="dxa"/>
              <w:left w:w="144" w:type="dxa"/>
              <w:bottom w:w="72" w:type="dxa"/>
              <w:right w:w="144" w:type="dxa"/>
            </w:tcMar>
          </w:tcPr>
          <w:p w14:paraId="4DA65005" w14:textId="78B76D83" w:rsidR="00C853CA" w:rsidRPr="008941BB" w:rsidRDefault="00C853CA" w:rsidP="00087A83">
            <w:pPr>
              <w:jc w:val="both"/>
              <w:rPr>
                <w:color w:val="000000"/>
                <w:sz w:val="18"/>
                <w:szCs w:val="18"/>
                <w:lang w:val="en-GB"/>
              </w:rPr>
            </w:pPr>
            <w:r w:rsidRPr="008941BB">
              <w:rPr>
                <w:b/>
                <w:bCs/>
                <w:color w:val="000000"/>
                <w:sz w:val="18"/>
                <w:szCs w:val="18"/>
                <w:lang w:val="en-GB"/>
              </w:rPr>
              <w:t xml:space="preserve">UNDAF </w:t>
            </w:r>
            <w:r w:rsidR="00087A83" w:rsidRPr="00087A83">
              <w:rPr>
                <w:b/>
                <w:bCs/>
                <w:color w:val="000000"/>
                <w:sz w:val="18"/>
                <w:szCs w:val="18"/>
                <w:lang w:val="en-GB"/>
              </w:rPr>
              <w:t>outcome</w:t>
            </w:r>
            <w:r w:rsidRPr="008941BB">
              <w:rPr>
                <w:b/>
                <w:bCs/>
                <w:color w:val="000000"/>
                <w:sz w:val="18"/>
                <w:szCs w:val="18"/>
                <w:lang w:val="en-GB"/>
              </w:rPr>
              <w:t xml:space="preserve">: </w:t>
            </w:r>
            <w:r w:rsidRPr="008941BB">
              <w:rPr>
                <w:b/>
                <w:bCs/>
                <w:sz w:val="18"/>
                <w:szCs w:val="18"/>
                <w:lang w:val="en-GB"/>
              </w:rPr>
              <w:t xml:space="preserve">By 2022, </w:t>
            </w:r>
            <w:r w:rsidR="00C05D8F" w:rsidRPr="008941BB">
              <w:rPr>
                <w:b/>
                <w:bCs/>
                <w:sz w:val="18"/>
                <w:szCs w:val="18"/>
                <w:lang w:val="en-GB"/>
              </w:rPr>
              <w:t>c</w:t>
            </w:r>
            <w:r w:rsidRPr="008941BB">
              <w:rPr>
                <w:b/>
                <w:bCs/>
                <w:sz w:val="18"/>
                <w:szCs w:val="18"/>
                <w:lang w:val="en-GB"/>
              </w:rPr>
              <w:t>apacities of State institutions, at national and subnational levels, and the legal framework</w:t>
            </w:r>
            <w:r w:rsidR="00C05D8F" w:rsidRPr="008941BB">
              <w:rPr>
                <w:b/>
                <w:bCs/>
                <w:sz w:val="18"/>
                <w:szCs w:val="18"/>
                <w:lang w:val="en-GB"/>
              </w:rPr>
              <w:t>,</w:t>
            </w:r>
            <w:r w:rsidRPr="008941BB">
              <w:rPr>
                <w:b/>
                <w:bCs/>
                <w:sz w:val="18"/>
                <w:szCs w:val="18"/>
                <w:lang w:val="en-GB"/>
              </w:rPr>
              <w:t xml:space="preserve"> </w:t>
            </w:r>
            <w:r w:rsidR="00087A83">
              <w:rPr>
                <w:b/>
                <w:bCs/>
                <w:sz w:val="18"/>
                <w:szCs w:val="18"/>
                <w:lang w:val="en-GB"/>
              </w:rPr>
              <w:t xml:space="preserve">are </w:t>
            </w:r>
            <w:r w:rsidRPr="008941BB">
              <w:rPr>
                <w:b/>
                <w:bCs/>
                <w:sz w:val="18"/>
                <w:szCs w:val="18"/>
                <w:lang w:val="en-GB"/>
              </w:rPr>
              <w:t>improved to address adaptation and mitigation to climate change, sustainable management of natural resources and biodiversity, and social and environmental conflict management</w:t>
            </w:r>
            <w:r w:rsidRPr="008941BB">
              <w:rPr>
                <w:bCs/>
                <w:sz w:val="18"/>
                <w:szCs w:val="18"/>
                <w:lang w:val="en-GB"/>
              </w:rPr>
              <w:t xml:space="preserve"> </w:t>
            </w:r>
          </w:p>
        </w:tc>
      </w:tr>
      <w:tr w:rsidR="00C853CA" w:rsidRPr="00172A7A" w14:paraId="72813BC2" w14:textId="77777777" w:rsidTr="00892A8B">
        <w:trPr>
          <w:trHeight w:val="175"/>
        </w:trPr>
        <w:tc>
          <w:tcPr>
            <w:tcW w:w="5000" w:type="pct"/>
            <w:gridSpan w:val="10"/>
            <w:shd w:val="clear" w:color="auto" w:fill="auto"/>
            <w:tcMar>
              <w:top w:w="72" w:type="dxa"/>
              <w:left w:w="144" w:type="dxa"/>
              <w:bottom w:w="72" w:type="dxa"/>
              <w:right w:w="144" w:type="dxa"/>
            </w:tcMar>
          </w:tcPr>
          <w:p w14:paraId="671D84EC" w14:textId="2FF123A4" w:rsidR="00C853CA" w:rsidRPr="008941BB" w:rsidRDefault="00C853CA" w:rsidP="004836EC">
            <w:pPr>
              <w:jc w:val="both"/>
              <w:rPr>
                <w:b/>
                <w:bCs/>
                <w:color w:val="000000"/>
                <w:sz w:val="18"/>
                <w:szCs w:val="18"/>
                <w:lang w:val="en-GB"/>
              </w:rPr>
            </w:pPr>
            <w:r w:rsidRPr="008941BB">
              <w:rPr>
                <w:b/>
                <w:bCs/>
                <w:color w:val="000000"/>
                <w:sz w:val="18"/>
                <w:szCs w:val="18"/>
                <w:lang w:val="en-GB"/>
              </w:rPr>
              <w:t>S</w:t>
            </w:r>
            <w:r w:rsidR="00C05D8F">
              <w:rPr>
                <w:b/>
                <w:bCs/>
                <w:color w:val="000000"/>
                <w:sz w:val="18"/>
                <w:szCs w:val="18"/>
                <w:lang w:val="en-GB"/>
              </w:rPr>
              <w:t>trategic Plan,</w:t>
            </w:r>
            <w:r w:rsidRPr="008941BB">
              <w:rPr>
                <w:b/>
                <w:bCs/>
                <w:color w:val="000000"/>
                <w:sz w:val="18"/>
                <w:szCs w:val="18"/>
                <w:lang w:val="en-GB"/>
              </w:rPr>
              <w:t xml:space="preserve"> 2018-2021 </w:t>
            </w:r>
            <w:r w:rsidR="00C05D8F" w:rsidRPr="00C05D8F">
              <w:rPr>
                <w:b/>
                <w:bCs/>
                <w:color w:val="000000"/>
                <w:sz w:val="18"/>
                <w:szCs w:val="18"/>
                <w:lang w:val="en-GB"/>
              </w:rPr>
              <w:t>outcome</w:t>
            </w:r>
            <w:r w:rsidRPr="008941BB">
              <w:rPr>
                <w:b/>
                <w:bCs/>
                <w:color w:val="000000"/>
                <w:sz w:val="18"/>
                <w:szCs w:val="18"/>
                <w:lang w:val="en-GB"/>
              </w:rPr>
              <w:t>: Structural transformations for sustainable development</w:t>
            </w:r>
          </w:p>
        </w:tc>
      </w:tr>
      <w:tr w:rsidR="00C853CA" w:rsidRPr="00172A7A" w14:paraId="6EE45A5C" w14:textId="77777777" w:rsidTr="00207494">
        <w:trPr>
          <w:trHeight w:val="133"/>
        </w:trPr>
        <w:tc>
          <w:tcPr>
            <w:tcW w:w="1129" w:type="pct"/>
            <w:gridSpan w:val="2"/>
            <w:vMerge w:val="restart"/>
            <w:tcMar>
              <w:top w:w="72" w:type="dxa"/>
              <w:left w:w="144" w:type="dxa"/>
              <w:bottom w:w="72" w:type="dxa"/>
              <w:right w:w="144" w:type="dxa"/>
            </w:tcMar>
          </w:tcPr>
          <w:p w14:paraId="62DE6A86" w14:textId="77777777" w:rsidR="00C853CA" w:rsidRPr="008941BB" w:rsidRDefault="00C853CA" w:rsidP="004836EC">
            <w:pPr>
              <w:jc w:val="both"/>
              <w:rPr>
                <w:iCs/>
                <w:sz w:val="18"/>
                <w:szCs w:val="18"/>
                <w:lang w:val="en-GB"/>
              </w:rPr>
            </w:pPr>
            <w:r w:rsidRPr="008941BB">
              <w:rPr>
                <w:iCs/>
                <w:sz w:val="18"/>
                <w:szCs w:val="18"/>
                <w:lang w:val="en-GB"/>
              </w:rPr>
              <w:t>Indicator: Annual CO</w:t>
            </w:r>
            <w:r w:rsidRPr="008941BB">
              <w:rPr>
                <w:iCs/>
                <w:sz w:val="18"/>
                <w:szCs w:val="18"/>
                <w:vertAlign w:val="subscript"/>
                <w:lang w:val="en-GB"/>
              </w:rPr>
              <w:t>2</w:t>
            </w:r>
            <w:r w:rsidRPr="008941BB">
              <w:rPr>
                <w:iCs/>
                <w:sz w:val="18"/>
                <w:szCs w:val="18"/>
                <w:lang w:val="en-GB"/>
              </w:rPr>
              <w:t xml:space="preserve"> emissions </w:t>
            </w:r>
          </w:p>
          <w:p w14:paraId="09A989FF" w14:textId="701346B2" w:rsidR="00C853CA" w:rsidRPr="008941BB" w:rsidRDefault="00C853CA" w:rsidP="004836EC">
            <w:pPr>
              <w:rPr>
                <w:iCs/>
                <w:sz w:val="18"/>
                <w:szCs w:val="18"/>
                <w:lang w:val="en-GB"/>
              </w:rPr>
            </w:pPr>
            <w:r w:rsidRPr="008941BB">
              <w:rPr>
                <w:iCs/>
                <w:sz w:val="18"/>
                <w:szCs w:val="18"/>
                <w:lang w:val="en-GB"/>
              </w:rPr>
              <w:t>Baseline: 109.908,8 Gg CO</w:t>
            </w:r>
            <w:r w:rsidRPr="008941BB">
              <w:rPr>
                <w:iCs/>
                <w:sz w:val="18"/>
                <w:szCs w:val="18"/>
                <w:vertAlign w:val="subscript"/>
                <w:lang w:val="en-GB"/>
              </w:rPr>
              <w:t>2</w:t>
            </w:r>
            <w:r w:rsidRPr="008941BB">
              <w:rPr>
                <w:iCs/>
                <w:sz w:val="18"/>
                <w:szCs w:val="18"/>
                <w:lang w:val="en-GB"/>
              </w:rPr>
              <w:t xml:space="preserve"> eq</w:t>
            </w:r>
            <w:r w:rsidR="009A12A9">
              <w:rPr>
                <w:iCs/>
                <w:sz w:val="18"/>
                <w:szCs w:val="18"/>
                <w:lang w:val="en-GB"/>
              </w:rPr>
              <w:t>.</w:t>
            </w:r>
            <w:r w:rsidRPr="008941BB">
              <w:rPr>
                <w:iCs/>
                <w:sz w:val="18"/>
                <w:szCs w:val="18"/>
                <w:lang w:val="en-GB"/>
              </w:rPr>
              <w:t xml:space="preserve"> (2013)</w:t>
            </w:r>
          </w:p>
          <w:p w14:paraId="481FC404" w14:textId="77777777" w:rsidR="00C853CA" w:rsidRPr="008941BB" w:rsidRDefault="00C853CA" w:rsidP="004836EC">
            <w:pPr>
              <w:jc w:val="both"/>
              <w:rPr>
                <w:iCs/>
                <w:sz w:val="18"/>
                <w:szCs w:val="18"/>
                <w:lang w:val="en-GB"/>
              </w:rPr>
            </w:pPr>
            <w:r w:rsidRPr="008941BB">
              <w:rPr>
                <w:iCs/>
                <w:sz w:val="18"/>
                <w:szCs w:val="18"/>
                <w:lang w:val="en-GB"/>
              </w:rPr>
              <w:t>Target: 30% reduction (2030)</w:t>
            </w:r>
          </w:p>
          <w:p w14:paraId="05AFB921" w14:textId="77777777" w:rsidR="00C853CA" w:rsidRPr="008941BB" w:rsidRDefault="00C853CA" w:rsidP="004836EC">
            <w:pPr>
              <w:jc w:val="both"/>
              <w:rPr>
                <w:iCs/>
                <w:sz w:val="18"/>
                <w:szCs w:val="18"/>
                <w:lang w:val="en-GB"/>
              </w:rPr>
            </w:pPr>
          </w:p>
          <w:p w14:paraId="415DDB23" w14:textId="50F11787" w:rsidR="00C853CA" w:rsidRPr="008941BB" w:rsidRDefault="00C853CA" w:rsidP="004836EC">
            <w:pPr>
              <w:pStyle w:val="ListParagraph"/>
              <w:tabs>
                <w:tab w:val="left" w:pos="426"/>
              </w:tabs>
              <w:spacing w:before="200" w:line="216" w:lineRule="auto"/>
              <w:ind w:left="0"/>
              <w:jc w:val="both"/>
              <w:rPr>
                <w:iCs/>
                <w:sz w:val="18"/>
                <w:szCs w:val="18"/>
                <w:lang w:val="en-GB"/>
              </w:rPr>
            </w:pPr>
            <w:r w:rsidRPr="008941BB">
              <w:rPr>
                <w:iCs/>
                <w:sz w:val="18"/>
                <w:szCs w:val="18"/>
                <w:lang w:val="en-GB"/>
              </w:rPr>
              <w:t>Indicator: Ratio between CO</w:t>
            </w:r>
            <w:r w:rsidRPr="008941BB">
              <w:rPr>
                <w:iCs/>
                <w:sz w:val="18"/>
                <w:szCs w:val="18"/>
                <w:vertAlign w:val="subscript"/>
                <w:lang w:val="en-GB"/>
              </w:rPr>
              <w:t>2</w:t>
            </w:r>
            <w:r w:rsidRPr="008941BB">
              <w:rPr>
                <w:iCs/>
                <w:sz w:val="18"/>
                <w:szCs w:val="18"/>
                <w:lang w:val="en-GB"/>
              </w:rPr>
              <w:t xml:space="preserve"> emissions intensity and GDP </w:t>
            </w:r>
          </w:p>
          <w:p w14:paraId="48ACB7BD" w14:textId="77777777" w:rsidR="00C853CA" w:rsidRPr="008941BB" w:rsidRDefault="00C853CA" w:rsidP="004836EC">
            <w:pPr>
              <w:pStyle w:val="ListParagraph"/>
              <w:tabs>
                <w:tab w:val="left" w:pos="426"/>
              </w:tabs>
              <w:spacing w:before="200" w:line="216" w:lineRule="auto"/>
              <w:ind w:left="0"/>
              <w:jc w:val="both"/>
              <w:rPr>
                <w:iCs/>
                <w:sz w:val="18"/>
                <w:szCs w:val="18"/>
                <w:lang w:val="en-GB"/>
              </w:rPr>
            </w:pPr>
            <w:r w:rsidRPr="008941BB">
              <w:rPr>
                <w:iCs/>
                <w:sz w:val="18"/>
                <w:szCs w:val="18"/>
                <w:lang w:val="en-GB"/>
              </w:rPr>
              <w:t xml:space="preserve">Baseline: 1.02 (2007) </w:t>
            </w:r>
          </w:p>
          <w:p w14:paraId="2511A853" w14:textId="77777777" w:rsidR="00C853CA" w:rsidRPr="008941BB" w:rsidRDefault="00C853CA" w:rsidP="004836EC">
            <w:pPr>
              <w:pStyle w:val="ListParagraph"/>
              <w:tabs>
                <w:tab w:val="left" w:pos="426"/>
              </w:tabs>
              <w:spacing w:before="200" w:line="216" w:lineRule="auto"/>
              <w:ind w:left="0"/>
              <w:jc w:val="both"/>
              <w:rPr>
                <w:iCs/>
                <w:sz w:val="18"/>
                <w:szCs w:val="18"/>
                <w:lang w:val="en-GB"/>
              </w:rPr>
            </w:pPr>
            <w:r w:rsidRPr="008941BB">
              <w:rPr>
                <w:iCs/>
                <w:sz w:val="18"/>
                <w:szCs w:val="18"/>
                <w:lang w:val="en-GB"/>
              </w:rPr>
              <w:t>Target: 0.71 (2030)</w:t>
            </w:r>
          </w:p>
          <w:p w14:paraId="317349C0" w14:textId="77777777" w:rsidR="00C853CA" w:rsidRPr="008941BB" w:rsidRDefault="00C853CA" w:rsidP="004836EC">
            <w:pPr>
              <w:jc w:val="both"/>
              <w:rPr>
                <w:iCs/>
                <w:sz w:val="18"/>
                <w:szCs w:val="18"/>
                <w:lang w:val="en-GB"/>
              </w:rPr>
            </w:pPr>
          </w:p>
          <w:p w14:paraId="2EE11D2C" w14:textId="77777777" w:rsidR="00C853CA" w:rsidRPr="008941BB" w:rsidRDefault="00C853CA" w:rsidP="004836EC">
            <w:pPr>
              <w:jc w:val="both"/>
              <w:rPr>
                <w:iCs/>
                <w:sz w:val="18"/>
                <w:szCs w:val="18"/>
                <w:lang w:val="en-GB"/>
              </w:rPr>
            </w:pPr>
          </w:p>
          <w:p w14:paraId="0D28F356" w14:textId="4C2084C9" w:rsidR="00C853CA" w:rsidRPr="008941BB" w:rsidRDefault="00C853CA" w:rsidP="004836EC">
            <w:pPr>
              <w:jc w:val="both"/>
              <w:rPr>
                <w:iCs/>
                <w:sz w:val="18"/>
                <w:szCs w:val="18"/>
                <w:lang w:val="en-GB"/>
              </w:rPr>
            </w:pPr>
            <w:r w:rsidRPr="008941BB">
              <w:rPr>
                <w:iCs/>
                <w:sz w:val="18"/>
                <w:szCs w:val="18"/>
                <w:lang w:val="en-GB"/>
              </w:rPr>
              <w:lastRenderedPageBreak/>
              <w:t>Indicator: Proportion of renewable energies in the energy matri</w:t>
            </w:r>
            <w:r w:rsidR="006C03B2">
              <w:rPr>
                <w:iCs/>
                <w:sz w:val="18"/>
                <w:szCs w:val="18"/>
                <w:lang w:val="en-GB"/>
              </w:rPr>
              <w:t>x</w:t>
            </w:r>
            <w:r w:rsidRPr="008941BB">
              <w:rPr>
                <w:iCs/>
                <w:sz w:val="18"/>
                <w:szCs w:val="18"/>
                <w:lang w:val="en-GB"/>
              </w:rPr>
              <w:t xml:space="preserve"> </w:t>
            </w:r>
          </w:p>
          <w:p w14:paraId="770BCF41" w14:textId="77777777" w:rsidR="00C853CA" w:rsidRPr="008941BB" w:rsidRDefault="00C853CA" w:rsidP="004836EC">
            <w:pPr>
              <w:jc w:val="both"/>
              <w:rPr>
                <w:iCs/>
                <w:sz w:val="18"/>
                <w:szCs w:val="18"/>
                <w:lang w:val="en-GB"/>
              </w:rPr>
            </w:pPr>
            <w:r w:rsidRPr="008941BB">
              <w:rPr>
                <w:iCs/>
                <w:sz w:val="18"/>
                <w:szCs w:val="18"/>
                <w:lang w:val="en-GB"/>
              </w:rPr>
              <w:t>Baseline: 17% (2018)</w:t>
            </w:r>
          </w:p>
          <w:p w14:paraId="1B1AE67A" w14:textId="77777777" w:rsidR="00C853CA" w:rsidRPr="008941BB" w:rsidRDefault="00C853CA" w:rsidP="004836EC">
            <w:pPr>
              <w:jc w:val="both"/>
              <w:rPr>
                <w:iCs/>
                <w:sz w:val="18"/>
                <w:szCs w:val="18"/>
                <w:lang w:val="en-GB"/>
              </w:rPr>
            </w:pPr>
            <w:r w:rsidRPr="008941BB">
              <w:rPr>
                <w:iCs/>
                <w:sz w:val="18"/>
                <w:szCs w:val="18"/>
                <w:lang w:val="en-GB"/>
              </w:rPr>
              <w:t>Target: 20% (2025)</w:t>
            </w:r>
          </w:p>
          <w:p w14:paraId="7208A584" w14:textId="77777777" w:rsidR="00C853CA" w:rsidRPr="008941BB" w:rsidRDefault="00C853CA" w:rsidP="004836EC">
            <w:pPr>
              <w:jc w:val="both"/>
              <w:rPr>
                <w:iCs/>
                <w:sz w:val="18"/>
                <w:szCs w:val="18"/>
                <w:lang w:val="en-GB"/>
              </w:rPr>
            </w:pPr>
          </w:p>
          <w:p w14:paraId="50C2B8EE" w14:textId="77777777" w:rsidR="00C853CA" w:rsidRPr="008941BB" w:rsidRDefault="00C853CA" w:rsidP="004836EC">
            <w:pPr>
              <w:spacing w:before="200" w:line="216" w:lineRule="auto"/>
              <w:jc w:val="both"/>
              <w:rPr>
                <w:iCs/>
                <w:sz w:val="18"/>
                <w:szCs w:val="18"/>
                <w:lang w:val="en-GB"/>
              </w:rPr>
            </w:pPr>
            <w:r w:rsidRPr="008941BB">
              <w:rPr>
                <w:iCs/>
                <w:sz w:val="18"/>
                <w:szCs w:val="18"/>
                <w:lang w:val="en-GB"/>
              </w:rPr>
              <w:t>Indicator: Ton</w:t>
            </w:r>
            <w:r w:rsidR="00087A83">
              <w:rPr>
                <w:iCs/>
                <w:sz w:val="18"/>
                <w:szCs w:val="18"/>
                <w:lang w:val="en-GB"/>
              </w:rPr>
              <w:t>ne</w:t>
            </w:r>
            <w:r w:rsidRPr="008941BB">
              <w:rPr>
                <w:iCs/>
                <w:sz w:val="18"/>
                <w:szCs w:val="18"/>
                <w:lang w:val="en-GB"/>
              </w:rPr>
              <w:t>s of PAO HCFC-141b</w:t>
            </w:r>
          </w:p>
          <w:p w14:paraId="593D6597" w14:textId="1692FEB2" w:rsidR="00C853CA" w:rsidRPr="008941BB" w:rsidRDefault="00C853CA" w:rsidP="004836EC">
            <w:pPr>
              <w:spacing w:before="200" w:line="216" w:lineRule="auto"/>
              <w:jc w:val="both"/>
              <w:rPr>
                <w:iCs/>
                <w:sz w:val="18"/>
                <w:szCs w:val="18"/>
                <w:lang w:val="en-GB"/>
              </w:rPr>
            </w:pPr>
            <w:r w:rsidRPr="008941BB">
              <w:rPr>
                <w:iCs/>
                <w:sz w:val="18"/>
                <w:szCs w:val="18"/>
                <w:lang w:val="en-GB"/>
              </w:rPr>
              <w:t>Baseline: 208,19</w:t>
            </w:r>
            <w:r w:rsidR="00087A83">
              <w:rPr>
                <w:iCs/>
                <w:sz w:val="18"/>
                <w:szCs w:val="18"/>
                <w:lang w:val="en-GB"/>
              </w:rPr>
              <w:t xml:space="preserve"> t</w:t>
            </w:r>
            <w:r w:rsidRPr="008941BB">
              <w:rPr>
                <w:iCs/>
                <w:sz w:val="18"/>
                <w:szCs w:val="18"/>
                <w:lang w:val="en-GB"/>
              </w:rPr>
              <w:t>on</w:t>
            </w:r>
            <w:r w:rsidR="00087A83">
              <w:rPr>
                <w:iCs/>
                <w:sz w:val="18"/>
                <w:szCs w:val="18"/>
                <w:lang w:val="en-GB"/>
              </w:rPr>
              <w:t>nes</w:t>
            </w:r>
          </w:p>
          <w:p w14:paraId="236F379C" w14:textId="2041A6D1" w:rsidR="00C853CA" w:rsidRPr="008941BB" w:rsidRDefault="00C853CA" w:rsidP="004836EC">
            <w:pPr>
              <w:spacing w:before="200" w:line="216" w:lineRule="auto"/>
              <w:jc w:val="both"/>
              <w:rPr>
                <w:iCs/>
                <w:sz w:val="18"/>
                <w:szCs w:val="18"/>
                <w:lang w:val="en-GB"/>
              </w:rPr>
            </w:pPr>
            <w:r w:rsidRPr="008941BB">
              <w:rPr>
                <w:iCs/>
                <w:sz w:val="18"/>
                <w:szCs w:val="18"/>
                <w:lang w:val="en-GB"/>
              </w:rPr>
              <w:t>Target: 185.28</w:t>
            </w:r>
            <w:r w:rsidR="00087A83">
              <w:rPr>
                <w:iCs/>
                <w:sz w:val="18"/>
                <w:szCs w:val="18"/>
                <w:lang w:val="en-GB"/>
              </w:rPr>
              <w:t xml:space="preserve"> t</w:t>
            </w:r>
            <w:r w:rsidRPr="008941BB">
              <w:rPr>
                <w:iCs/>
                <w:sz w:val="18"/>
                <w:szCs w:val="18"/>
                <w:lang w:val="en-GB"/>
              </w:rPr>
              <w:t>on</w:t>
            </w:r>
            <w:r w:rsidR="00087A83">
              <w:rPr>
                <w:iCs/>
                <w:sz w:val="18"/>
                <w:szCs w:val="18"/>
                <w:lang w:val="en-GB"/>
              </w:rPr>
              <w:t>nes</w:t>
            </w:r>
          </w:p>
          <w:p w14:paraId="7CB528C5" w14:textId="0D1FF892" w:rsidR="00C853CA" w:rsidRPr="008941BB" w:rsidRDefault="00C853CA" w:rsidP="004836EC">
            <w:pPr>
              <w:spacing w:before="200" w:line="216" w:lineRule="auto"/>
              <w:jc w:val="both"/>
              <w:rPr>
                <w:iCs/>
                <w:sz w:val="18"/>
                <w:szCs w:val="18"/>
                <w:lang w:val="en-GB"/>
              </w:rPr>
            </w:pPr>
            <w:r w:rsidRPr="008941BB">
              <w:rPr>
                <w:iCs/>
                <w:sz w:val="18"/>
                <w:szCs w:val="18"/>
                <w:lang w:val="en-GB"/>
              </w:rPr>
              <w:t xml:space="preserve">Indicator: Number of plans, budgets from public and private institutions, that integrate targets for </w:t>
            </w:r>
            <w:r w:rsidR="00BA3ACF">
              <w:rPr>
                <w:iCs/>
                <w:sz w:val="18"/>
                <w:szCs w:val="18"/>
                <w:lang w:val="en-GB"/>
              </w:rPr>
              <w:t>greenhouse gas (</w:t>
            </w:r>
            <w:r w:rsidRPr="008941BB">
              <w:rPr>
                <w:iCs/>
                <w:sz w:val="18"/>
                <w:szCs w:val="18"/>
                <w:lang w:val="en-GB"/>
              </w:rPr>
              <w:t>GHG</w:t>
            </w:r>
            <w:r w:rsidR="00BA3ACF">
              <w:rPr>
                <w:iCs/>
                <w:sz w:val="18"/>
                <w:szCs w:val="18"/>
                <w:lang w:val="en-GB"/>
              </w:rPr>
              <w:t>)</w:t>
            </w:r>
            <w:r w:rsidRPr="008941BB">
              <w:rPr>
                <w:iCs/>
                <w:sz w:val="18"/>
                <w:szCs w:val="18"/>
                <w:lang w:val="en-GB"/>
              </w:rPr>
              <w:t xml:space="preserve"> emissions, waste or chemicals reduction (IRRF 2.1.1.1)</w:t>
            </w:r>
          </w:p>
          <w:p w14:paraId="4CEA0A3F" w14:textId="77777777" w:rsidR="00C853CA" w:rsidRPr="008941BB" w:rsidRDefault="00C853CA" w:rsidP="004836EC">
            <w:pPr>
              <w:spacing w:before="200" w:line="216" w:lineRule="auto"/>
              <w:jc w:val="both"/>
              <w:rPr>
                <w:iCs/>
                <w:sz w:val="18"/>
                <w:szCs w:val="18"/>
                <w:lang w:val="en-GB"/>
              </w:rPr>
            </w:pPr>
            <w:r w:rsidRPr="008941BB">
              <w:rPr>
                <w:iCs/>
                <w:sz w:val="18"/>
                <w:szCs w:val="18"/>
                <w:lang w:val="en-GB"/>
              </w:rPr>
              <w:t>Baseline: 3</w:t>
            </w:r>
          </w:p>
          <w:p w14:paraId="4997F651" w14:textId="77777777" w:rsidR="00C853CA" w:rsidRPr="008941BB" w:rsidRDefault="00C853CA" w:rsidP="004836EC">
            <w:pPr>
              <w:spacing w:before="200" w:line="216" w:lineRule="auto"/>
              <w:jc w:val="both"/>
              <w:rPr>
                <w:iCs/>
                <w:sz w:val="18"/>
                <w:szCs w:val="18"/>
                <w:lang w:val="en-GB"/>
              </w:rPr>
            </w:pPr>
            <w:r w:rsidRPr="008941BB">
              <w:rPr>
                <w:iCs/>
                <w:sz w:val="18"/>
                <w:szCs w:val="18"/>
                <w:lang w:val="en-GB"/>
              </w:rPr>
              <w:t>Target: 4</w:t>
            </w:r>
          </w:p>
          <w:p w14:paraId="65D15CB0" w14:textId="77777777" w:rsidR="00C853CA" w:rsidRPr="008941BB" w:rsidRDefault="00C853CA" w:rsidP="004836EC">
            <w:pPr>
              <w:spacing w:before="200" w:line="216" w:lineRule="auto"/>
              <w:jc w:val="both"/>
              <w:rPr>
                <w:iCs/>
                <w:sz w:val="18"/>
                <w:szCs w:val="18"/>
                <w:lang w:val="en-GB"/>
              </w:rPr>
            </w:pPr>
          </w:p>
          <w:p w14:paraId="2BDDAEEB" w14:textId="77777777" w:rsidR="00C853CA" w:rsidRPr="008941BB" w:rsidRDefault="00C853CA" w:rsidP="004836EC">
            <w:pPr>
              <w:spacing w:before="200" w:line="216" w:lineRule="auto"/>
              <w:jc w:val="both"/>
              <w:rPr>
                <w:iCs/>
                <w:sz w:val="18"/>
                <w:szCs w:val="18"/>
                <w:lang w:val="en-GB"/>
              </w:rPr>
            </w:pPr>
            <w:r w:rsidRPr="008941BB">
              <w:rPr>
                <w:iCs/>
                <w:sz w:val="18"/>
                <w:szCs w:val="18"/>
                <w:lang w:val="en-GB"/>
              </w:rPr>
              <w:t xml:space="preserve">Indicator: Existence of a national strategy that integrates climate change adaptation and disaster risk reduction </w:t>
            </w:r>
          </w:p>
          <w:p w14:paraId="728C452F" w14:textId="11A96397" w:rsidR="00C853CA" w:rsidRPr="008941BB" w:rsidRDefault="00C853CA" w:rsidP="004836EC">
            <w:pPr>
              <w:spacing w:before="200" w:line="216" w:lineRule="auto"/>
              <w:jc w:val="both"/>
              <w:rPr>
                <w:iCs/>
                <w:sz w:val="18"/>
                <w:szCs w:val="18"/>
                <w:lang w:val="en-GB"/>
              </w:rPr>
            </w:pPr>
            <w:r w:rsidRPr="008941BB">
              <w:rPr>
                <w:iCs/>
                <w:sz w:val="18"/>
                <w:szCs w:val="18"/>
                <w:lang w:val="en-GB"/>
              </w:rPr>
              <w:t>Baseline: N</w:t>
            </w:r>
            <w:r w:rsidR="006C03B2">
              <w:rPr>
                <w:iCs/>
                <w:sz w:val="18"/>
                <w:szCs w:val="18"/>
                <w:lang w:val="en-GB"/>
              </w:rPr>
              <w:t>ot applicable</w:t>
            </w:r>
          </w:p>
          <w:p w14:paraId="0A4717C9" w14:textId="77777777" w:rsidR="00C853CA" w:rsidRPr="008941BB" w:rsidRDefault="00C853CA" w:rsidP="004836EC">
            <w:pPr>
              <w:spacing w:before="200" w:line="216" w:lineRule="auto"/>
              <w:jc w:val="both"/>
              <w:rPr>
                <w:iCs/>
                <w:sz w:val="18"/>
                <w:szCs w:val="18"/>
                <w:lang w:val="en-GB"/>
              </w:rPr>
            </w:pPr>
            <w:r w:rsidRPr="008941BB">
              <w:rPr>
                <w:iCs/>
                <w:sz w:val="18"/>
                <w:szCs w:val="18"/>
                <w:lang w:val="en-GB"/>
              </w:rPr>
              <w:t>Target: Strategy formulated and validated</w:t>
            </w:r>
          </w:p>
          <w:p w14:paraId="6468294C" w14:textId="77777777" w:rsidR="00C853CA" w:rsidRPr="008941BB" w:rsidRDefault="00C853CA" w:rsidP="004836EC">
            <w:pPr>
              <w:spacing w:before="200" w:line="216" w:lineRule="auto"/>
              <w:jc w:val="both"/>
              <w:rPr>
                <w:iCs/>
                <w:sz w:val="18"/>
                <w:szCs w:val="18"/>
                <w:lang w:val="en-GB"/>
              </w:rPr>
            </w:pPr>
          </w:p>
          <w:p w14:paraId="0B053A0E" w14:textId="2A5E4C28" w:rsidR="00C853CA" w:rsidRPr="008941BB" w:rsidRDefault="00C853CA" w:rsidP="004836EC">
            <w:pPr>
              <w:jc w:val="both"/>
              <w:rPr>
                <w:iCs/>
                <w:sz w:val="18"/>
                <w:szCs w:val="18"/>
                <w:lang w:val="en-GB"/>
              </w:rPr>
            </w:pPr>
            <w:r w:rsidRPr="008941BB">
              <w:rPr>
                <w:iCs/>
                <w:sz w:val="18"/>
                <w:szCs w:val="18"/>
                <w:lang w:val="en-GB"/>
              </w:rPr>
              <w:t xml:space="preserve">Indicator: Number of national financial strategies </w:t>
            </w:r>
            <w:r w:rsidR="00087A83" w:rsidRPr="004068DA">
              <w:rPr>
                <w:iCs/>
                <w:sz w:val="18"/>
                <w:szCs w:val="18"/>
                <w:lang w:val="en-GB"/>
              </w:rPr>
              <w:t>formulated</w:t>
            </w:r>
            <w:r w:rsidR="00087A83" w:rsidRPr="00087A83">
              <w:rPr>
                <w:iCs/>
                <w:sz w:val="18"/>
                <w:szCs w:val="18"/>
                <w:lang w:val="en-GB"/>
              </w:rPr>
              <w:t xml:space="preserve"> </w:t>
            </w:r>
            <w:r w:rsidRPr="008941BB">
              <w:rPr>
                <w:iCs/>
                <w:sz w:val="18"/>
                <w:szCs w:val="18"/>
                <w:lang w:val="en-GB"/>
              </w:rPr>
              <w:t xml:space="preserve">that diversify and optimize the use of resources for biodiversity conservation and climate change </w:t>
            </w:r>
          </w:p>
          <w:p w14:paraId="6290DEB6" w14:textId="77777777" w:rsidR="00C853CA" w:rsidRPr="008941BB" w:rsidRDefault="00C853CA" w:rsidP="004836EC">
            <w:pPr>
              <w:jc w:val="both"/>
              <w:rPr>
                <w:iCs/>
                <w:sz w:val="18"/>
                <w:szCs w:val="18"/>
                <w:lang w:val="en-GB"/>
              </w:rPr>
            </w:pPr>
            <w:r w:rsidRPr="008941BB">
              <w:rPr>
                <w:iCs/>
                <w:sz w:val="18"/>
                <w:szCs w:val="18"/>
                <w:lang w:val="en-GB"/>
              </w:rPr>
              <w:t>Baseline: 1</w:t>
            </w:r>
          </w:p>
          <w:p w14:paraId="6ABCCBB9" w14:textId="77777777" w:rsidR="00C853CA" w:rsidRPr="008941BB" w:rsidRDefault="00C853CA" w:rsidP="00814105">
            <w:pPr>
              <w:jc w:val="both"/>
              <w:rPr>
                <w:iCs/>
                <w:sz w:val="18"/>
                <w:szCs w:val="18"/>
                <w:lang w:val="en-GB"/>
              </w:rPr>
            </w:pPr>
            <w:r w:rsidRPr="008941BB">
              <w:rPr>
                <w:iCs/>
                <w:sz w:val="18"/>
                <w:szCs w:val="18"/>
                <w:lang w:val="en-GB"/>
              </w:rPr>
              <w:t>Target: 2</w:t>
            </w:r>
          </w:p>
        </w:tc>
        <w:tc>
          <w:tcPr>
            <w:tcW w:w="753" w:type="pct"/>
            <w:gridSpan w:val="2"/>
            <w:vMerge w:val="restart"/>
          </w:tcPr>
          <w:p w14:paraId="67E06FB7" w14:textId="608BA6DB" w:rsidR="00C853CA" w:rsidRPr="008941BB" w:rsidRDefault="00C853CA" w:rsidP="004836EC">
            <w:pPr>
              <w:jc w:val="both"/>
              <w:rPr>
                <w:bCs/>
                <w:color w:val="000000"/>
                <w:sz w:val="18"/>
                <w:szCs w:val="18"/>
                <w:lang w:val="en-GB"/>
              </w:rPr>
            </w:pPr>
            <w:r w:rsidRPr="008941BB">
              <w:rPr>
                <w:bCs/>
                <w:color w:val="000000"/>
                <w:sz w:val="18"/>
                <w:szCs w:val="18"/>
                <w:lang w:val="en-GB"/>
              </w:rPr>
              <w:lastRenderedPageBreak/>
              <w:t xml:space="preserve">National </w:t>
            </w:r>
            <w:r w:rsidR="00C05D8F">
              <w:rPr>
                <w:bCs/>
                <w:color w:val="000000"/>
                <w:sz w:val="18"/>
                <w:szCs w:val="18"/>
                <w:lang w:val="en-GB"/>
              </w:rPr>
              <w:t>i</w:t>
            </w:r>
            <w:r w:rsidRPr="008941BB">
              <w:rPr>
                <w:bCs/>
                <w:color w:val="000000"/>
                <w:sz w:val="18"/>
                <w:szCs w:val="18"/>
                <w:lang w:val="en-GB"/>
              </w:rPr>
              <w:t xml:space="preserve">nventory on </w:t>
            </w:r>
            <w:r w:rsidR="00C05D8F">
              <w:rPr>
                <w:bCs/>
                <w:color w:val="000000"/>
                <w:sz w:val="18"/>
                <w:szCs w:val="18"/>
                <w:lang w:val="en-GB"/>
              </w:rPr>
              <w:t>greenhouse gase</w:t>
            </w:r>
            <w:r w:rsidR="009A12A9">
              <w:rPr>
                <w:bCs/>
                <w:color w:val="000000"/>
                <w:sz w:val="18"/>
                <w:szCs w:val="18"/>
                <w:lang w:val="en-GB"/>
              </w:rPr>
              <w:t>s</w:t>
            </w:r>
          </w:p>
          <w:p w14:paraId="282AB4D2" w14:textId="77777777" w:rsidR="00C853CA" w:rsidRPr="008941BB" w:rsidRDefault="00C853CA" w:rsidP="004836EC">
            <w:pPr>
              <w:jc w:val="both"/>
              <w:rPr>
                <w:bCs/>
                <w:color w:val="000000"/>
                <w:sz w:val="18"/>
                <w:szCs w:val="18"/>
                <w:lang w:val="en-GB"/>
              </w:rPr>
            </w:pPr>
          </w:p>
          <w:p w14:paraId="0967A101" w14:textId="77777777" w:rsidR="00C853CA" w:rsidRPr="008941BB" w:rsidRDefault="00C853CA" w:rsidP="004836EC">
            <w:pPr>
              <w:jc w:val="both"/>
              <w:rPr>
                <w:bCs/>
                <w:color w:val="000000"/>
                <w:sz w:val="18"/>
                <w:szCs w:val="18"/>
                <w:lang w:val="en-GB"/>
              </w:rPr>
            </w:pPr>
          </w:p>
          <w:p w14:paraId="67984621" w14:textId="77777777" w:rsidR="00C853CA" w:rsidRPr="008941BB" w:rsidRDefault="00C853CA" w:rsidP="004836EC">
            <w:pPr>
              <w:jc w:val="both"/>
              <w:rPr>
                <w:bCs/>
                <w:color w:val="000000"/>
                <w:sz w:val="18"/>
                <w:szCs w:val="18"/>
                <w:lang w:val="en-GB"/>
              </w:rPr>
            </w:pPr>
          </w:p>
          <w:p w14:paraId="57C7449E" w14:textId="77777777" w:rsidR="00C853CA" w:rsidRPr="008941BB" w:rsidRDefault="00C853CA" w:rsidP="004836EC">
            <w:pPr>
              <w:jc w:val="both"/>
              <w:rPr>
                <w:bCs/>
                <w:color w:val="000000"/>
                <w:sz w:val="18"/>
                <w:szCs w:val="18"/>
                <w:lang w:val="en-GB"/>
              </w:rPr>
            </w:pPr>
          </w:p>
          <w:p w14:paraId="12A03911" w14:textId="77777777" w:rsidR="00C853CA" w:rsidRPr="008941BB" w:rsidRDefault="00C853CA" w:rsidP="004836EC">
            <w:pPr>
              <w:jc w:val="both"/>
              <w:rPr>
                <w:bCs/>
                <w:color w:val="000000"/>
                <w:sz w:val="18"/>
                <w:szCs w:val="18"/>
                <w:lang w:val="en-GB"/>
              </w:rPr>
            </w:pPr>
            <w:r w:rsidRPr="008941BB">
              <w:rPr>
                <w:bCs/>
                <w:color w:val="000000"/>
                <w:sz w:val="18"/>
                <w:szCs w:val="18"/>
                <w:lang w:val="en-GB"/>
              </w:rPr>
              <w:t>Ministry of Environment</w:t>
            </w:r>
          </w:p>
          <w:p w14:paraId="27BA0896" w14:textId="77777777" w:rsidR="00C853CA" w:rsidRPr="008941BB" w:rsidRDefault="00C853CA" w:rsidP="004836EC">
            <w:pPr>
              <w:jc w:val="both"/>
              <w:rPr>
                <w:bCs/>
                <w:color w:val="000000"/>
                <w:sz w:val="18"/>
                <w:szCs w:val="18"/>
                <w:lang w:val="en-GB"/>
              </w:rPr>
            </w:pPr>
          </w:p>
          <w:p w14:paraId="26E819F1" w14:textId="77777777" w:rsidR="00C853CA" w:rsidRPr="008941BB" w:rsidRDefault="00C853CA" w:rsidP="004836EC">
            <w:pPr>
              <w:jc w:val="both"/>
              <w:rPr>
                <w:bCs/>
                <w:color w:val="000000"/>
                <w:sz w:val="18"/>
                <w:szCs w:val="18"/>
                <w:lang w:val="en-GB"/>
              </w:rPr>
            </w:pPr>
          </w:p>
          <w:p w14:paraId="3137F5EA" w14:textId="77777777" w:rsidR="00C853CA" w:rsidRPr="008941BB" w:rsidRDefault="00C853CA" w:rsidP="004836EC">
            <w:pPr>
              <w:jc w:val="both"/>
              <w:rPr>
                <w:bCs/>
                <w:color w:val="000000"/>
                <w:sz w:val="18"/>
                <w:szCs w:val="18"/>
                <w:lang w:val="en-GB"/>
              </w:rPr>
            </w:pPr>
          </w:p>
          <w:p w14:paraId="4AE1D0CC" w14:textId="77777777" w:rsidR="00C853CA" w:rsidRPr="008941BB" w:rsidRDefault="00C853CA" w:rsidP="004836EC">
            <w:pPr>
              <w:jc w:val="both"/>
              <w:rPr>
                <w:bCs/>
                <w:color w:val="000000"/>
                <w:sz w:val="18"/>
                <w:szCs w:val="18"/>
                <w:lang w:val="en-GB"/>
              </w:rPr>
            </w:pPr>
          </w:p>
          <w:p w14:paraId="54140431" w14:textId="77777777" w:rsidR="00C853CA" w:rsidRPr="008941BB" w:rsidRDefault="00C853CA" w:rsidP="004836EC">
            <w:pPr>
              <w:jc w:val="both"/>
              <w:rPr>
                <w:bCs/>
                <w:color w:val="000000"/>
                <w:sz w:val="18"/>
                <w:szCs w:val="18"/>
                <w:lang w:val="en-GB"/>
              </w:rPr>
            </w:pPr>
          </w:p>
          <w:p w14:paraId="1EF19CBA" w14:textId="77777777" w:rsidR="00C853CA" w:rsidRPr="008941BB" w:rsidRDefault="00C853CA" w:rsidP="004836EC">
            <w:pPr>
              <w:jc w:val="both"/>
              <w:rPr>
                <w:bCs/>
                <w:color w:val="000000"/>
                <w:sz w:val="18"/>
                <w:szCs w:val="18"/>
                <w:lang w:val="en-GB"/>
              </w:rPr>
            </w:pPr>
            <w:r w:rsidRPr="008941BB">
              <w:rPr>
                <w:bCs/>
                <w:color w:val="000000"/>
                <w:sz w:val="18"/>
                <w:szCs w:val="18"/>
                <w:lang w:val="en-GB"/>
              </w:rPr>
              <w:t>Ministry of Energy</w:t>
            </w:r>
          </w:p>
          <w:p w14:paraId="361645A4" w14:textId="77777777" w:rsidR="00C853CA" w:rsidRPr="008941BB" w:rsidRDefault="00C853CA" w:rsidP="004836EC">
            <w:pPr>
              <w:jc w:val="both"/>
              <w:rPr>
                <w:bCs/>
                <w:color w:val="000000"/>
                <w:sz w:val="18"/>
                <w:szCs w:val="18"/>
                <w:lang w:val="en-GB"/>
              </w:rPr>
            </w:pPr>
          </w:p>
          <w:p w14:paraId="0F7A75A7" w14:textId="77777777" w:rsidR="00C853CA" w:rsidRPr="008941BB" w:rsidRDefault="00C853CA" w:rsidP="004836EC">
            <w:pPr>
              <w:jc w:val="both"/>
              <w:rPr>
                <w:bCs/>
                <w:color w:val="000000"/>
                <w:sz w:val="18"/>
                <w:szCs w:val="18"/>
                <w:lang w:val="en-GB"/>
              </w:rPr>
            </w:pPr>
          </w:p>
          <w:p w14:paraId="68004FAC" w14:textId="77777777" w:rsidR="00C853CA" w:rsidRPr="008941BB" w:rsidRDefault="00C853CA" w:rsidP="004836EC">
            <w:pPr>
              <w:jc w:val="both"/>
              <w:rPr>
                <w:bCs/>
                <w:color w:val="000000"/>
                <w:sz w:val="18"/>
                <w:szCs w:val="18"/>
                <w:lang w:val="en-GB"/>
              </w:rPr>
            </w:pPr>
          </w:p>
          <w:p w14:paraId="6EFD68AD" w14:textId="77777777" w:rsidR="00C853CA" w:rsidRPr="008941BB" w:rsidRDefault="00C853CA" w:rsidP="004836EC">
            <w:pPr>
              <w:jc w:val="both"/>
              <w:rPr>
                <w:bCs/>
                <w:color w:val="000000"/>
                <w:sz w:val="18"/>
                <w:szCs w:val="18"/>
                <w:lang w:val="en-GB"/>
              </w:rPr>
            </w:pPr>
          </w:p>
          <w:p w14:paraId="0AA5A3F8" w14:textId="77777777" w:rsidR="00C853CA" w:rsidRPr="008941BB" w:rsidRDefault="00C853CA" w:rsidP="004836EC">
            <w:pPr>
              <w:jc w:val="both"/>
              <w:rPr>
                <w:bCs/>
                <w:color w:val="000000"/>
                <w:sz w:val="18"/>
                <w:szCs w:val="18"/>
                <w:lang w:val="en-GB"/>
              </w:rPr>
            </w:pPr>
          </w:p>
          <w:p w14:paraId="0F9022F6" w14:textId="77777777" w:rsidR="00C853CA" w:rsidRPr="008941BB" w:rsidRDefault="00C853CA" w:rsidP="004836EC">
            <w:pPr>
              <w:jc w:val="both"/>
              <w:rPr>
                <w:bCs/>
                <w:color w:val="000000"/>
                <w:sz w:val="18"/>
                <w:szCs w:val="18"/>
                <w:lang w:val="en-GB"/>
              </w:rPr>
            </w:pPr>
            <w:r w:rsidRPr="008941BB">
              <w:rPr>
                <w:bCs/>
                <w:color w:val="000000"/>
                <w:sz w:val="18"/>
                <w:szCs w:val="18"/>
                <w:lang w:val="en-GB"/>
              </w:rPr>
              <w:t>Ministry of Environment</w:t>
            </w:r>
          </w:p>
          <w:p w14:paraId="2799DDE2" w14:textId="77777777" w:rsidR="00C853CA" w:rsidRPr="008941BB" w:rsidRDefault="00C853CA" w:rsidP="004836EC">
            <w:pPr>
              <w:jc w:val="both"/>
              <w:rPr>
                <w:bCs/>
                <w:color w:val="000000"/>
                <w:sz w:val="18"/>
                <w:szCs w:val="18"/>
                <w:lang w:val="en-GB"/>
              </w:rPr>
            </w:pPr>
            <w:r w:rsidRPr="008941BB">
              <w:rPr>
                <w:bCs/>
                <w:color w:val="000000"/>
                <w:sz w:val="18"/>
                <w:szCs w:val="18"/>
                <w:lang w:val="en-GB"/>
              </w:rPr>
              <w:t>Ministry of Energy</w:t>
            </w:r>
          </w:p>
          <w:p w14:paraId="54E1E883" w14:textId="77777777" w:rsidR="00C853CA" w:rsidRPr="008941BB" w:rsidRDefault="00C853CA" w:rsidP="004836EC">
            <w:pPr>
              <w:jc w:val="both"/>
              <w:rPr>
                <w:bCs/>
                <w:color w:val="000000"/>
                <w:sz w:val="18"/>
                <w:szCs w:val="18"/>
                <w:lang w:val="en-GB"/>
              </w:rPr>
            </w:pPr>
            <w:r w:rsidRPr="008941BB">
              <w:rPr>
                <w:bCs/>
                <w:color w:val="000000"/>
                <w:sz w:val="18"/>
                <w:szCs w:val="18"/>
                <w:lang w:val="en-GB"/>
              </w:rPr>
              <w:t>Carbon Footprint Chile</w:t>
            </w:r>
          </w:p>
          <w:p w14:paraId="79A1D961" w14:textId="77777777" w:rsidR="00C853CA" w:rsidRPr="008941BB" w:rsidRDefault="00C853CA" w:rsidP="004836EC">
            <w:pPr>
              <w:jc w:val="both"/>
              <w:rPr>
                <w:bCs/>
                <w:color w:val="000000"/>
                <w:sz w:val="18"/>
                <w:szCs w:val="18"/>
                <w:lang w:val="en-GB"/>
              </w:rPr>
            </w:pPr>
          </w:p>
          <w:p w14:paraId="511D5EBD" w14:textId="77777777" w:rsidR="00C853CA" w:rsidRPr="008941BB" w:rsidRDefault="00C853CA" w:rsidP="004836EC">
            <w:pPr>
              <w:jc w:val="both"/>
              <w:rPr>
                <w:bCs/>
                <w:color w:val="000000"/>
                <w:sz w:val="18"/>
                <w:szCs w:val="18"/>
                <w:lang w:val="en-GB"/>
              </w:rPr>
            </w:pPr>
          </w:p>
          <w:p w14:paraId="6EC86647" w14:textId="77777777" w:rsidR="00C853CA" w:rsidRPr="008941BB" w:rsidRDefault="00C853CA" w:rsidP="004836EC">
            <w:pPr>
              <w:jc w:val="both"/>
              <w:rPr>
                <w:bCs/>
                <w:color w:val="000000"/>
                <w:sz w:val="18"/>
                <w:szCs w:val="18"/>
                <w:lang w:val="en-GB"/>
              </w:rPr>
            </w:pPr>
          </w:p>
          <w:p w14:paraId="1908A808" w14:textId="77777777" w:rsidR="00C853CA" w:rsidRPr="008941BB" w:rsidRDefault="00C853CA" w:rsidP="004836EC">
            <w:pPr>
              <w:jc w:val="both"/>
              <w:rPr>
                <w:bCs/>
                <w:color w:val="000000"/>
                <w:sz w:val="18"/>
                <w:szCs w:val="18"/>
                <w:lang w:val="en-GB"/>
              </w:rPr>
            </w:pPr>
          </w:p>
          <w:p w14:paraId="7C2306A8" w14:textId="77777777" w:rsidR="00C853CA" w:rsidRPr="008941BB" w:rsidRDefault="00C853CA" w:rsidP="004836EC">
            <w:pPr>
              <w:jc w:val="both"/>
              <w:rPr>
                <w:bCs/>
                <w:color w:val="000000"/>
                <w:sz w:val="18"/>
                <w:szCs w:val="18"/>
                <w:lang w:val="en-GB"/>
              </w:rPr>
            </w:pPr>
          </w:p>
          <w:p w14:paraId="66C34D5F" w14:textId="77777777" w:rsidR="00C853CA" w:rsidRPr="008941BB" w:rsidRDefault="00C853CA" w:rsidP="004836EC">
            <w:pPr>
              <w:jc w:val="both"/>
              <w:rPr>
                <w:bCs/>
                <w:color w:val="000000"/>
                <w:sz w:val="18"/>
                <w:szCs w:val="18"/>
                <w:lang w:val="en-GB"/>
              </w:rPr>
            </w:pPr>
          </w:p>
          <w:p w14:paraId="6D7C168B" w14:textId="77777777" w:rsidR="00C853CA" w:rsidRPr="008941BB" w:rsidRDefault="00C853CA" w:rsidP="004836EC">
            <w:pPr>
              <w:jc w:val="both"/>
              <w:rPr>
                <w:bCs/>
                <w:color w:val="000000"/>
                <w:sz w:val="18"/>
                <w:szCs w:val="18"/>
                <w:lang w:val="en-GB"/>
              </w:rPr>
            </w:pPr>
          </w:p>
          <w:p w14:paraId="4C79B4F4" w14:textId="77777777" w:rsidR="00C853CA" w:rsidRPr="008941BB" w:rsidRDefault="00C853CA" w:rsidP="004836EC">
            <w:pPr>
              <w:jc w:val="both"/>
              <w:rPr>
                <w:bCs/>
                <w:color w:val="000000"/>
                <w:sz w:val="18"/>
                <w:szCs w:val="18"/>
                <w:lang w:val="en-GB"/>
              </w:rPr>
            </w:pPr>
          </w:p>
          <w:p w14:paraId="741FC230" w14:textId="77777777" w:rsidR="00C853CA" w:rsidRPr="008941BB" w:rsidRDefault="00C853CA" w:rsidP="004836EC">
            <w:pPr>
              <w:jc w:val="both"/>
              <w:rPr>
                <w:bCs/>
                <w:color w:val="000000"/>
                <w:sz w:val="18"/>
                <w:szCs w:val="18"/>
                <w:lang w:val="en-GB"/>
              </w:rPr>
            </w:pPr>
          </w:p>
          <w:p w14:paraId="0169AB92" w14:textId="77777777" w:rsidR="00C853CA" w:rsidRPr="008941BB" w:rsidRDefault="00C853CA" w:rsidP="008941BB">
            <w:pPr>
              <w:rPr>
                <w:bCs/>
                <w:color w:val="000000"/>
                <w:sz w:val="18"/>
                <w:szCs w:val="18"/>
                <w:lang w:val="en-GB"/>
              </w:rPr>
            </w:pPr>
            <w:r w:rsidRPr="008941BB">
              <w:rPr>
                <w:bCs/>
                <w:color w:val="000000"/>
                <w:sz w:val="18"/>
                <w:szCs w:val="18"/>
                <w:lang w:val="en-GB"/>
              </w:rPr>
              <w:t>Ministry of Environment</w:t>
            </w:r>
          </w:p>
          <w:p w14:paraId="4DE7A487" w14:textId="77777777" w:rsidR="00C853CA" w:rsidRPr="008941BB" w:rsidRDefault="00C853CA" w:rsidP="008941BB">
            <w:pPr>
              <w:rPr>
                <w:bCs/>
                <w:color w:val="000000"/>
                <w:sz w:val="18"/>
                <w:szCs w:val="18"/>
                <w:lang w:val="en-GB"/>
              </w:rPr>
            </w:pPr>
            <w:r w:rsidRPr="008941BB">
              <w:rPr>
                <w:bCs/>
                <w:color w:val="000000"/>
                <w:sz w:val="18"/>
                <w:szCs w:val="18"/>
                <w:lang w:val="en-GB"/>
              </w:rPr>
              <w:t>National Office for Emergency Situations</w:t>
            </w:r>
          </w:p>
          <w:p w14:paraId="4A9FBA7E" w14:textId="77777777" w:rsidR="00C853CA" w:rsidRPr="008941BB" w:rsidRDefault="00C853CA" w:rsidP="004836EC">
            <w:pPr>
              <w:jc w:val="both"/>
              <w:rPr>
                <w:bCs/>
                <w:color w:val="000000"/>
                <w:sz w:val="18"/>
                <w:szCs w:val="18"/>
                <w:lang w:val="en-GB"/>
              </w:rPr>
            </w:pPr>
          </w:p>
        </w:tc>
        <w:tc>
          <w:tcPr>
            <w:tcW w:w="1505" w:type="pct"/>
            <w:vMerge w:val="restart"/>
            <w:tcMar>
              <w:top w:w="72" w:type="dxa"/>
              <w:left w:w="144" w:type="dxa"/>
              <w:bottom w:w="72" w:type="dxa"/>
              <w:right w:w="144" w:type="dxa"/>
            </w:tcMar>
          </w:tcPr>
          <w:p w14:paraId="6CC244D8" w14:textId="6E1AE467" w:rsidR="00C853CA" w:rsidRPr="008941BB" w:rsidRDefault="00C853CA" w:rsidP="00892A8B">
            <w:pPr>
              <w:spacing w:line="216" w:lineRule="auto"/>
              <w:jc w:val="both"/>
              <w:rPr>
                <w:sz w:val="18"/>
                <w:szCs w:val="18"/>
                <w:lang w:val="en-GB"/>
              </w:rPr>
            </w:pPr>
            <w:r w:rsidRPr="008941BB">
              <w:rPr>
                <w:b/>
                <w:sz w:val="18"/>
                <w:szCs w:val="18"/>
                <w:lang w:val="en-GB"/>
              </w:rPr>
              <w:lastRenderedPageBreak/>
              <w:t>4.1</w:t>
            </w:r>
            <w:r w:rsidR="006C03B2">
              <w:rPr>
                <w:b/>
                <w:sz w:val="18"/>
                <w:szCs w:val="18"/>
                <w:lang w:val="en-GB"/>
              </w:rPr>
              <w:t>.</w:t>
            </w:r>
            <w:r w:rsidRPr="008941BB">
              <w:rPr>
                <w:b/>
                <w:sz w:val="18"/>
                <w:szCs w:val="18"/>
                <w:lang w:val="en-GB"/>
              </w:rPr>
              <w:t xml:space="preserve"> State institutions, private sector and communities improve their capacities to implement innovative and sustainable production practices and consumption patterns based on green growth and a low-emissions</w:t>
            </w:r>
            <w:r w:rsidR="006C03B2">
              <w:rPr>
                <w:b/>
                <w:sz w:val="18"/>
                <w:szCs w:val="18"/>
                <w:lang w:val="en-GB"/>
              </w:rPr>
              <w:t>,</w:t>
            </w:r>
            <w:r w:rsidRPr="008941BB">
              <w:rPr>
                <w:b/>
                <w:sz w:val="18"/>
                <w:szCs w:val="18"/>
                <w:lang w:val="en-GB"/>
              </w:rPr>
              <w:t xml:space="preserve"> circular economy </w:t>
            </w:r>
          </w:p>
          <w:p w14:paraId="73D800D6" w14:textId="1208AEB1" w:rsidR="00C853CA" w:rsidRPr="008941BB" w:rsidRDefault="00C853CA" w:rsidP="004836EC">
            <w:pPr>
              <w:spacing w:before="200" w:line="216" w:lineRule="auto"/>
              <w:jc w:val="both"/>
              <w:rPr>
                <w:strike/>
                <w:sz w:val="18"/>
                <w:szCs w:val="18"/>
                <w:lang w:val="en-GB"/>
              </w:rPr>
            </w:pPr>
            <w:r w:rsidRPr="008941BB">
              <w:rPr>
                <w:sz w:val="18"/>
                <w:szCs w:val="18"/>
                <w:lang w:val="en-GB"/>
              </w:rPr>
              <w:t>Indicator 4.1.1</w:t>
            </w:r>
            <w:r w:rsidR="006C03B2">
              <w:rPr>
                <w:sz w:val="18"/>
                <w:szCs w:val="18"/>
                <w:lang w:val="en-GB"/>
              </w:rPr>
              <w:t>.</w:t>
            </w:r>
            <w:r w:rsidRPr="008941BB">
              <w:rPr>
                <w:sz w:val="18"/>
                <w:szCs w:val="18"/>
                <w:lang w:val="en-GB"/>
              </w:rPr>
              <w:t xml:space="preserve"> Number of agreements with private sector to reduce CO</w:t>
            </w:r>
            <w:r w:rsidRPr="008941BB">
              <w:rPr>
                <w:sz w:val="18"/>
                <w:szCs w:val="18"/>
                <w:vertAlign w:val="subscript"/>
                <w:lang w:val="en-GB"/>
              </w:rPr>
              <w:t>2</w:t>
            </w:r>
            <w:r w:rsidRPr="008941BB">
              <w:rPr>
                <w:sz w:val="18"/>
                <w:szCs w:val="18"/>
                <w:lang w:val="en-GB"/>
              </w:rPr>
              <w:t xml:space="preserve"> emissions due to technological replacements (HFCF 141-b</w:t>
            </w:r>
            <w:r w:rsidR="006C03B2">
              <w:rPr>
                <w:sz w:val="18"/>
                <w:szCs w:val="18"/>
                <w:lang w:val="en-GB"/>
              </w:rPr>
              <w:t>,</w:t>
            </w:r>
            <w:r w:rsidRPr="008941BB">
              <w:rPr>
                <w:sz w:val="18"/>
                <w:szCs w:val="18"/>
                <w:lang w:val="en-GB"/>
              </w:rPr>
              <w:t xml:space="preserve"> among others)</w:t>
            </w:r>
            <w:r w:rsidRPr="008941BB">
              <w:rPr>
                <w:strike/>
                <w:sz w:val="18"/>
                <w:szCs w:val="18"/>
                <w:lang w:val="en-GB"/>
              </w:rPr>
              <w:t xml:space="preserve"> </w:t>
            </w:r>
          </w:p>
          <w:p w14:paraId="40A50103" w14:textId="77777777" w:rsidR="00C853CA" w:rsidRPr="008941BB" w:rsidRDefault="00C853CA" w:rsidP="004836EC">
            <w:pPr>
              <w:spacing w:line="216" w:lineRule="auto"/>
              <w:jc w:val="both"/>
              <w:rPr>
                <w:sz w:val="18"/>
                <w:szCs w:val="18"/>
                <w:lang w:val="en-GB"/>
              </w:rPr>
            </w:pPr>
            <w:r w:rsidRPr="008941BB">
              <w:rPr>
                <w:sz w:val="18"/>
                <w:szCs w:val="18"/>
                <w:lang w:val="en-GB"/>
              </w:rPr>
              <w:t>Baseline: 3</w:t>
            </w:r>
          </w:p>
          <w:p w14:paraId="15249FE4" w14:textId="77777777" w:rsidR="00C853CA" w:rsidRPr="008941BB" w:rsidRDefault="00C853CA" w:rsidP="004836EC">
            <w:pPr>
              <w:spacing w:line="216" w:lineRule="auto"/>
              <w:jc w:val="both"/>
              <w:rPr>
                <w:sz w:val="18"/>
                <w:szCs w:val="18"/>
                <w:lang w:val="en-GB"/>
              </w:rPr>
            </w:pPr>
            <w:r w:rsidRPr="008941BB">
              <w:rPr>
                <w:sz w:val="18"/>
                <w:szCs w:val="18"/>
                <w:lang w:val="en-GB"/>
              </w:rPr>
              <w:t>Target:45</w:t>
            </w:r>
          </w:p>
          <w:p w14:paraId="3916B277" w14:textId="2D49A0ED" w:rsidR="00C853CA" w:rsidRPr="008941BB" w:rsidRDefault="00C853CA" w:rsidP="004836EC">
            <w:pPr>
              <w:pStyle w:val="CommentText"/>
              <w:rPr>
                <w:sz w:val="18"/>
                <w:szCs w:val="18"/>
                <w:lang w:val="en-GB"/>
              </w:rPr>
            </w:pPr>
            <w:r w:rsidRPr="008941BB">
              <w:rPr>
                <w:sz w:val="18"/>
                <w:szCs w:val="18"/>
                <w:lang w:val="en-GB"/>
              </w:rPr>
              <w:lastRenderedPageBreak/>
              <w:t>Indicator 4.1.2</w:t>
            </w:r>
            <w:r w:rsidR="006C03B2">
              <w:rPr>
                <w:sz w:val="18"/>
                <w:szCs w:val="18"/>
                <w:lang w:val="en-GB"/>
              </w:rPr>
              <w:t>.</w:t>
            </w:r>
            <w:r w:rsidRPr="008941BB">
              <w:rPr>
                <w:sz w:val="18"/>
                <w:szCs w:val="18"/>
                <w:lang w:val="en-GB"/>
              </w:rPr>
              <w:t xml:space="preserve"> Number of private and public institutions recognized by the </w:t>
            </w:r>
            <w:r w:rsidR="006C03B2">
              <w:rPr>
                <w:sz w:val="18"/>
                <w:szCs w:val="18"/>
                <w:lang w:val="en-GB"/>
              </w:rPr>
              <w:t>‘Huella Chile’</w:t>
            </w:r>
            <w:r w:rsidR="006C03B2" w:rsidRPr="003E358C">
              <w:rPr>
                <w:sz w:val="18"/>
                <w:szCs w:val="18"/>
                <w:lang w:val="en-GB"/>
              </w:rPr>
              <w:t xml:space="preserve"> </w:t>
            </w:r>
            <w:r w:rsidRPr="008941BB">
              <w:rPr>
                <w:sz w:val="18"/>
                <w:szCs w:val="18"/>
                <w:lang w:val="en-GB"/>
              </w:rPr>
              <w:t xml:space="preserve">carbon footprint programme </w:t>
            </w:r>
          </w:p>
          <w:p w14:paraId="36C94165" w14:textId="77777777" w:rsidR="00C853CA" w:rsidRPr="008941BB" w:rsidRDefault="00C853CA" w:rsidP="004836EC">
            <w:pPr>
              <w:pStyle w:val="CommentText"/>
              <w:rPr>
                <w:sz w:val="18"/>
                <w:szCs w:val="18"/>
                <w:lang w:val="en-GB"/>
              </w:rPr>
            </w:pPr>
            <w:r w:rsidRPr="008941BB">
              <w:rPr>
                <w:sz w:val="18"/>
                <w:szCs w:val="18"/>
                <w:lang w:val="en-GB"/>
              </w:rPr>
              <w:t xml:space="preserve">Baseline: 118 </w:t>
            </w:r>
          </w:p>
          <w:p w14:paraId="61DE8213" w14:textId="77777777" w:rsidR="00C853CA" w:rsidRPr="008941BB" w:rsidRDefault="00C853CA" w:rsidP="004836EC">
            <w:pPr>
              <w:pStyle w:val="CommentText"/>
              <w:rPr>
                <w:sz w:val="18"/>
                <w:szCs w:val="18"/>
                <w:lang w:val="en-GB"/>
              </w:rPr>
            </w:pPr>
            <w:r w:rsidRPr="008941BB">
              <w:rPr>
                <w:sz w:val="18"/>
                <w:szCs w:val="18"/>
                <w:lang w:val="en-GB"/>
              </w:rPr>
              <w:t>Target: 268</w:t>
            </w:r>
          </w:p>
          <w:p w14:paraId="3031108F" w14:textId="77777777" w:rsidR="00C853CA" w:rsidRPr="008941BB" w:rsidRDefault="00C853CA" w:rsidP="004836EC">
            <w:pPr>
              <w:spacing w:line="216" w:lineRule="auto"/>
              <w:jc w:val="both"/>
              <w:rPr>
                <w:sz w:val="18"/>
                <w:szCs w:val="18"/>
                <w:lang w:val="en-GB"/>
              </w:rPr>
            </w:pPr>
          </w:p>
          <w:p w14:paraId="655508E0" w14:textId="1DB043A5" w:rsidR="00C853CA" w:rsidRPr="008941BB" w:rsidRDefault="00C853CA" w:rsidP="004836EC">
            <w:pPr>
              <w:pStyle w:val="CommentText"/>
              <w:rPr>
                <w:sz w:val="18"/>
                <w:szCs w:val="18"/>
                <w:lang w:val="en-GB"/>
              </w:rPr>
            </w:pPr>
            <w:r w:rsidRPr="008941BB">
              <w:rPr>
                <w:sz w:val="18"/>
                <w:szCs w:val="18"/>
                <w:lang w:val="en-GB"/>
              </w:rPr>
              <w:t>Indicator 4.1.3</w:t>
            </w:r>
            <w:r w:rsidR="006C03B2">
              <w:rPr>
                <w:sz w:val="18"/>
                <w:szCs w:val="18"/>
                <w:lang w:val="en-GB"/>
              </w:rPr>
              <w:t>.</w:t>
            </w:r>
            <w:r w:rsidRPr="008941BB">
              <w:rPr>
                <w:sz w:val="18"/>
                <w:szCs w:val="18"/>
                <w:lang w:val="en-GB"/>
              </w:rPr>
              <w:t xml:space="preserve"> Number of producers incorporat</w:t>
            </w:r>
            <w:r w:rsidR="006C03B2">
              <w:rPr>
                <w:sz w:val="18"/>
                <w:szCs w:val="18"/>
                <w:lang w:val="en-GB"/>
              </w:rPr>
              <w:t>ing</w:t>
            </w:r>
            <w:r w:rsidRPr="008941BB">
              <w:rPr>
                <w:sz w:val="18"/>
                <w:szCs w:val="18"/>
                <w:lang w:val="en-GB"/>
              </w:rPr>
              <w:t xml:space="preserve"> sustainable practices that contribute to restoring degraded ecosystems and emissions reduction </w:t>
            </w:r>
          </w:p>
          <w:p w14:paraId="0A426BCB" w14:textId="77777777" w:rsidR="00C853CA" w:rsidRPr="008941BB" w:rsidRDefault="00C853CA" w:rsidP="004836EC">
            <w:pPr>
              <w:pStyle w:val="CommentText"/>
              <w:rPr>
                <w:sz w:val="18"/>
                <w:szCs w:val="18"/>
                <w:lang w:val="en-GB"/>
              </w:rPr>
            </w:pPr>
            <w:r w:rsidRPr="008941BB">
              <w:rPr>
                <w:sz w:val="18"/>
                <w:szCs w:val="18"/>
                <w:lang w:val="en-GB"/>
              </w:rPr>
              <w:t>Baseline: 4</w:t>
            </w:r>
          </w:p>
          <w:p w14:paraId="312E0C3C" w14:textId="77777777" w:rsidR="00C853CA" w:rsidRPr="008941BB" w:rsidRDefault="00C853CA" w:rsidP="004836EC">
            <w:pPr>
              <w:pStyle w:val="CommentText"/>
              <w:rPr>
                <w:sz w:val="18"/>
                <w:szCs w:val="18"/>
                <w:lang w:val="en-GB"/>
              </w:rPr>
            </w:pPr>
            <w:r w:rsidRPr="008941BB">
              <w:rPr>
                <w:sz w:val="18"/>
                <w:szCs w:val="18"/>
                <w:lang w:val="en-GB"/>
              </w:rPr>
              <w:t>Target: 23</w:t>
            </w:r>
          </w:p>
          <w:p w14:paraId="4E982A32" w14:textId="77777777" w:rsidR="00C853CA" w:rsidRPr="008941BB" w:rsidRDefault="00C853CA" w:rsidP="004836EC">
            <w:pPr>
              <w:spacing w:line="216" w:lineRule="auto"/>
              <w:jc w:val="both"/>
              <w:rPr>
                <w:sz w:val="18"/>
                <w:szCs w:val="18"/>
                <w:lang w:val="en-GB"/>
              </w:rPr>
            </w:pPr>
          </w:p>
          <w:p w14:paraId="3E97962F" w14:textId="63A1EA93" w:rsidR="00C853CA" w:rsidRPr="008941BB" w:rsidRDefault="00C853CA" w:rsidP="004836EC">
            <w:pPr>
              <w:spacing w:line="216" w:lineRule="auto"/>
              <w:jc w:val="both"/>
              <w:rPr>
                <w:sz w:val="18"/>
                <w:szCs w:val="18"/>
                <w:lang w:val="en-GB"/>
              </w:rPr>
            </w:pPr>
            <w:r w:rsidRPr="008941BB">
              <w:rPr>
                <w:sz w:val="18"/>
                <w:szCs w:val="18"/>
                <w:lang w:val="en-GB"/>
              </w:rPr>
              <w:t>Indicator 4.1.4</w:t>
            </w:r>
            <w:r w:rsidR="006C03B2">
              <w:rPr>
                <w:sz w:val="18"/>
                <w:szCs w:val="18"/>
                <w:lang w:val="en-GB"/>
              </w:rPr>
              <w:t>.</w:t>
            </w:r>
            <w:r w:rsidRPr="008941BB">
              <w:rPr>
                <w:sz w:val="18"/>
                <w:szCs w:val="18"/>
                <w:lang w:val="en-GB"/>
              </w:rPr>
              <w:t xml:space="preserve"> Number of initiatives and partnerships </w:t>
            </w:r>
            <w:r w:rsidR="006C03B2" w:rsidRPr="003E358C">
              <w:rPr>
                <w:sz w:val="18"/>
                <w:szCs w:val="18"/>
                <w:lang w:val="en-GB"/>
              </w:rPr>
              <w:t>developed</w:t>
            </w:r>
            <w:r w:rsidR="006C03B2" w:rsidRPr="006C03B2">
              <w:rPr>
                <w:sz w:val="18"/>
                <w:szCs w:val="18"/>
                <w:lang w:val="en-GB"/>
              </w:rPr>
              <w:t xml:space="preserve"> </w:t>
            </w:r>
            <w:r w:rsidRPr="008941BB">
              <w:rPr>
                <w:sz w:val="18"/>
                <w:szCs w:val="18"/>
                <w:lang w:val="en-GB"/>
              </w:rPr>
              <w:t xml:space="preserve">with private sector and subnational governments </w:t>
            </w:r>
            <w:r w:rsidR="006C03B2">
              <w:rPr>
                <w:sz w:val="18"/>
                <w:szCs w:val="18"/>
                <w:lang w:val="en-GB"/>
              </w:rPr>
              <w:t>to</w:t>
            </w:r>
            <w:r w:rsidRPr="008941BB">
              <w:rPr>
                <w:sz w:val="18"/>
                <w:szCs w:val="18"/>
                <w:lang w:val="en-GB"/>
              </w:rPr>
              <w:t xml:space="preserve"> introduc</w:t>
            </w:r>
            <w:r w:rsidR="006C03B2">
              <w:rPr>
                <w:sz w:val="18"/>
                <w:szCs w:val="18"/>
                <w:lang w:val="en-GB"/>
              </w:rPr>
              <w:t>e</w:t>
            </w:r>
            <w:r w:rsidRPr="008941BB">
              <w:rPr>
                <w:sz w:val="18"/>
                <w:szCs w:val="18"/>
                <w:lang w:val="en-GB"/>
              </w:rPr>
              <w:t xml:space="preserve"> renewable energies and energy efficiency incorporating a gender approach </w:t>
            </w:r>
          </w:p>
          <w:p w14:paraId="586950A1" w14:textId="77777777" w:rsidR="00C853CA" w:rsidRPr="008941BB" w:rsidRDefault="00C853CA" w:rsidP="004836EC">
            <w:pPr>
              <w:spacing w:line="216" w:lineRule="auto"/>
              <w:jc w:val="both"/>
              <w:rPr>
                <w:sz w:val="18"/>
                <w:szCs w:val="18"/>
                <w:lang w:val="en-GB"/>
              </w:rPr>
            </w:pPr>
            <w:r w:rsidRPr="008941BB">
              <w:rPr>
                <w:sz w:val="18"/>
                <w:szCs w:val="18"/>
                <w:lang w:val="en-GB"/>
              </w:rPr>
              <w:t>Baseline: 6</w:t>
            </w:r>
          </w:p>
          <w:p w14:paraId="5B471C3C" w14:textId="77777777" w:rsidR="00C853CA" w:rsidRPr="008941BB" w:rsidRDefault="00C853CA" w:rsidP="004836EC">
            <w:pPr>
              <w:spacing w:line="216" w:lineRule="auto"/>
              <w:jc w:val="both"/>
              <w:rPr>
                <w:sz w:val="18"/>
                <w:szCs w:val="18"/>
                <w:lang w:val="en-GB"/>
              </w:rPr>
            </w:pPr>
            <w:r w:rsidRPr="008941BB">
              <w:rPr>
                <w:sz w:val="18"/>
                <w:szCs w:val="18"/>
                <w:lang w:val="en-GB"/>
              </w:rPr>
              <w:t>Target: 12</w:t>
            </w:r>
          </w:p>
          <w:p w14:paraId="52130B47" w14:textId="55B0F466" w:rsidR="00C853CA" w:rsidRPr="008941BB" w:rsidRDefault="00C853CA" w:rsidP="004836EC">
            <w:pPr>
              <w:spacing w:before="200" w:after="240"/>
              <w:jc w:val="both"/>
              <w:rPr>
                <w:b/>
                <w:iCs/>
                <w:sz w:val="18"/>
                <w:szCs w:val="18"/>
                <w:lang w:val="en-GB"/>
              </w:rPr>
            </w:pPr>
            <w:r w:rsidRPr="008941BB">
              <w:rPr>
                <w:b/>
                <w:sz w:val="18"/>
                <w:szCs w:val="18"/>
                <w:lang w:val="en-GB"/>
              </w:rPr>
              <w:t>4.2</w:t>
            </w:r>
            <w:r w:rsidR="006C03B2">
              <w:rPr>
                <w:b/>
                <w:sz w:val="18"/>
                <w:szCs w:val="18"/>
                <w:lang w:val="en-GB"/>
              </w:rPr>
              <w:t>.</w:t>
            </w:r>
            <w:r w:rsidRPr="008941BB">
              <w:rPr>
                <w:b/>
                <w:sz w:val="18"/>
                <w:szCs w:val="18"/>
                <w:lang w:val="en-GB"/>
              </w:rPr>
              <w:t xml:space="preserve"> Institutions at national and subnational levels improve their capacities to design plans and strategies to integrate </w:t>
            </w:r>
            <w:r w:rsidRPr="008941BB">
              <w:rPr>
                <w:b/>
                <w:iCs/>
                <w:sz w:val="18"/>
                <w:szCs w:val="18"/>
                <w:lang w:val="en-GB"/>
              </w:rPr>
              <w:t xml:space="preserve">climate change adaptation and disaster risk reduction </w:t>
            </w:r>
          </w:p>
          <w:p w14:paraId="3FA488B2" w14:textId="009CD595" w:rsidR="00C853CA" w:rsidRPr="008941BB" w:rsidRDefault="00C853CA" w:rsidP="004836EC">
            <w:pPr>
              <w:jc w:val="both"/>
              <w:rPr>
                <w:sz w:val="18"/>
                <w:szCs w:val="18"/>
                <w:lang w:val="en-GB"/>
              </w:rPr>
            </w:pPr>
            <w:r w:rsidRPr="008941BB">
              <w:rPr>
                <w:sz w:val="18"/>
                <w:szCs w:val="18"/>
                <w:lang w:val="en-GB"/>
              </w:rPr>
              <w:t>Indicator 4.2.1</w:t>
            </w:r>
            <w:r w:rsidR="006C03B2">
              <w:rPr>
                <w:sz w:val="18"/>
                <w:szCs w:val="18"/>
                <w:lang w:val="en-GB"/>
              </w:rPr>
              <w:t>.</w:t>
            </w:r>
            <w:r w:rsidRPr="008941BB">
              <w:rPr>
                <w:sz w:val="18"/>
                <w:szCs w:val="18"/>
                <w:lang w:val="en-GB"/>
              </w:rPr>
              <w:t xml:space="preserve"> Number of plans and/or tools with a gender and sustainability approach formulated </w:t>
            </w:r>
          </w:p>
          <w:p w14:paraId="261CEFB4" w14:textId="77777777" w:rsidR="00C853CA" w:rsidRPr="008941BB" w:rsidRDefault="00C853CA" w:rsidP="004836EC">
            <w:pPr>
              <w:jc w:val="both"/>
              <w:rPr>
                <w:sz w:val="18"/>
                <w:szCs w:val="18"/>
                <w:lang w:val="en-GB"/>
              </w:rPr>
            </w:pPr>
            <w:r w:rsidRPr="008941BB">
              <w:rPr>
                <w:sz w:val="18"/>
                <w:szCs w:val="18"/>
                <w:lang w:val="en-GB"/>
              </w:rPr>
              <w:t>Baseline: 0</w:t>
            </w:r>
          </w:p>
          <w:p w14:paraId="3F249A77" w14:textId="77777777" w:rsidR="00C853CA" w:rsidRPr="008941BB" w:rsidRDefault="00C853CA" w:rsidP="004836EC">
            <w:pPr>
              <w:jc w:val="both"/>
              <w:rPr>
                <w:sz w:val="18"/>
                <w:szCs w:val="18"/>
                <w:lang w:val="en-GB"/>
              </w:rPr>
            </w:pPr>
            <w:r w:rsidRPr="008941BB">
              <w:rPr>
                <w:sz w:val="18"/>
                <w:szCs w:val="18"/>
                <w:lang w:val="en-GB"/>
              </w:rPr>
              <w:t>Target: 4</w:t>
            </w:r>
          </w:p>
          <w:p w14:paraId="7A46AB68" w14:textId="77777777" w:rsidR="00C853CA" w:rsidRPr="008941BB" w:rsidRDefault="00C853CA" w:rsidP="004836EC">
            <w:pPr>
              <w:spacing w:before="200" w:after="240"/>
              <w:jc w:val="both"/>
              <w:rPr>
                <w:b/>
                <w:sz w:val="18"/>
                <w:szCs w:val="18"/>
                <w:lang w:val="en-GB"/>
              </w:rPr>
            </w:pPr>
            <w:r w:rsidRPr="008941BB">
              <w:rPr>
                <w:b/>
                <w:sz w:val="18"/>
                <w:szCs w:val="18"/>
                <w:lang w:val="en-GB"/>
              </w:rPr>
              <w:t>4.3</w:t>
            </w:r>
            <w:r w:rsidR="006C03B2">
              <w:rPr>
                <w:b/>
                <w:sz w:val="18"/>
                <w:szCs w:val="18"/>
                <w:lang w:val="en-GB"/>
              </w:rPr>
              <w:t>.</w:t>
            </w:r>
            <w:r w:rsidRPr="008941BB">
              <w:rPr>
                <w:b/>
                <w:sz w:val="18"/>
                <w:szCs w:val="18"/>
                <w:lang w:val="en-GB"/>
              </w:rPr>
              <w:t xml:space="preserve"> Institutions in charge of response and post-disaster recovery improve their capacities to develop strategies to protect women and vulnerable groups </w:t>
            </w:r>
          </w:p>
          <w:p w14:paraId="042AAF5E" w14:textId="5B87DA3F" w:rsidR="00C853CA" w:rsidRPr="008941BB" w:rsidRDefault="00C853CA" w:rsidP="004836EC">
            <w:pPr>
              <w:rPr>
                <w:sz w:val="18"/>
                <w:szCs w:val="18"/>
                <w:lang w:val="en-GB"/>
              </w:rPr>
            </w:pPr>
            <w:r w:rsidRPr="008941BB">
              <w:rPr>
                <w:sz w:val="18"/>
                <w:szCs w:val="18"/>
                <w:lang w:val="en-GB"/>
              </w:rPr>
              <w:t>Indicator 4.3.1</w:t>
            </w:r>
            <w:r w:rsidR="006C03B2">
              <w:rPr>
                <w:sz w:val="18"/>
                <w:szCs w:val="18"/>
                <w:lang w:val="en-GB"/>
              </w:rPr>
              <w:t>.</w:t>
            </w:r>
            <w:r w:rsidRPr="008941BB">
              <w:rPr>
                <w:sz w:val="18"/>
                <w:szCs w:val="18"/>
                <w:lang w:val="en-GB"/>
              </w:rPr>
              <w:t xml:space="preserve"> Number of strategies </w:t>
            </w:r>
            <w:r w:rsidR="006C03B2" w:rsidRPr="003E358C">
              <w:rPr>
                <w:sz w:val="18"/>
                <w:szCs w:val="18"/>
                <w:lang w:val="en-GB"/>
              </w:rPr>
              <w:t>formulated</w:t>
            </w:r>
            <w:r w:rsidR="006C03B2" w:rsidRPr="006C03B2">
              <w:rPr>
                <w:sz w:val="18"/>
                <w:szCs w:val="18"/>
                <w:lang w:val="en-GB"/>
              </w:rPr>
              <w:t xml:space="preserve"> </w:t>
            </w:r>
            <w:r w:rsidRPr="008941BB">
              <w:rPr>
                <w:sz w:val="18"/>
                <w:szCs w:val="18"/>
                <w:lang w:val="en-GB"/>
              </w:rPr>
              <w:t xml:space="preserve">with a gender and vulnerable groups approach </w:t>
            </w:r>
          </w:p>
          <w:p w14:paraId="749662EA" w14:textId="77777777" w:rsidR="00C853CA" w:rsidRPr="008941BB" w:rsidRDefault="00C853CA" w:rsidP="004836EC">
            <w:pPr>
              <w:rPr>
                <w:sz w:val="18"/>
                <w:szCs w:val="18"/>
                <w:lang w:val="en-GB"/>
              </w:rPr>
            </w:pPr>
            <w:r w:rsidRPr="008941BB">
              <w:rPr>
                <w:sz w:val="18"/>
                <w:szCs w:val="18"/>
                <w:lang w:val="en-GB"/>
              </w:rPr>
              <w:t>Baseline: 1</w:t>
            </w:r>
          </w:p>
          <w:p w14:paraId="485DACEF" w14:textId="77777777" w:rsidR="00C853CA" w:rsidRPr="008941BB" w:rsidRDefault="00C853CA" w:rsidP="004836EC">
            <w:pPr>
              <w:jc w:val="both"/>
              <w:rPr>
                <w:sz w:val="18"/>
                <w:szCs w:val="18"/>
                <w:lang w:val="en-GB"/>
              </w:rPr>
            </w:pPr>
            <w:r w:rsidRPr="008941BB">
              <w:rPr>
                <w:sz w:val="18"/>
                <w:szCs w:val="18"/>
                <w:lang w:val="en-GB"/>
              </w:rPr>
              <w:t xml:space="preserve">Target: 5 </w:t>
            </w:r>
          </w:p>
          <w:p w14:paraId="4CC02577" w14:textId="72B88AF3" w:rsidR="00C853CA" w:rsidRPr="008941BB" w:rsidRDefault="00C853CA" w:rsidP="004836EC">
            <w:pPr>
              <w:spacing w:before="200"/>
              <w:jc w:val="both"/>
              <w:rPr>
                <w:b/>
                <w:sz w:val="18"/>
                <w:szCs w:val="18"/>
                <w:lang w:val="en-GB"/>
              </w:rPr>
            </w:pPr>
            <w:r w:rsidRPr="008941BB">
              <w:rPr>
                <w:b/>
                <w:sz w:val="18"/>
                <w:szCs w:val="18"/>
                <w:lang w:val="en-GB"/>
              </w:rPr>
              <w:t>4.4</w:t>
            </w:r>
            <w:r w:rsidR="006C03B2">
              <w:rPr>
                <w:b/>
                <w:sz w:val="18"/>
                <w:szCs w:val="18"/>
                <w:lang w:val="en-GB"/>
              </w:rPr>
              <w:t>.</w:t>
            </w:r>
            <w:r w:rsidRPr="008941BB">
              <w:rPr>
                <w:b/>
                <w:sz w:val="18"/>
                <w:szCs w:val="18"/>
                <w:lang w:val="en-GB"/>
              </w:rPr>
              <w:t xml:space="preserve"> </w:t>
            </w:r>
            <w:r w:rsidR="006C03B2">
              <w:rPr>
                <w:b/>
                <w:sz w:val="18"/>
                <w:szCs w:val="18"/>
                <w:lang w:val="en-GB"/>
              </w:rPr>
              <w:t>Capacities of a</w:t>
            </w:r>
            <w:r w:rsidRPr="008941BB">
              <w:rPr>
                <w:b/>
                <w:sz w:val="18"/>
                <w:szCs w:val="18"/>
                <w:lang w:val="en-GB"/>
              </w:rPr>
              <w:t xml:space="preserve">ctors in the territories enhanced for the participatory design of </w:t>
            </w:r>
            <w:r w:rsidRPr="008941BB">
              <w:rPr>
                <w:b/>
                <w:sz w:val="18"/>
                <w:szCs w:val="18"/>
                <w:lang w:val="en-GB"/>
              </w:rPr>
              <w:lastRenderedPageBreak/>
              <w:t>innovative strategies for sustainable development and the conservation and sustainable use of resources</w:t>
            </w:r>
          </w:p>
          <w:p w14:paraId="026A1B81" w14:textId="17788929" w:rsidR="00C853CA" w:rsidRPr="008941BB" w:rsidRDefault="00C853CA" w:rsidP="00C4319B">
            <w:pPr>
              <w:spacing w:line="216" w:lineRule="auto"/>
              <w:jc w:val="both"/>
              <w:rPr>
                <w:sz w:val="18"/>
                <w:szCs w:val="18"/>
                <w:lang w:val="en-GB"/>
              </w:rPr>
            </w:pPr>
            <w:r w:rsidRPr="008941BB">
              <w:rPr>
                <w:sz w:val="18"/>
                <w:szCs w:val="18"/>
                <w:lang w:val="en-GB"/>
              </w:rPr>
              <w:t>Indicator 4.4.1</w:t>
            </w:r>
            <w:r w:rsidR="006C03B2">
              <w:rPr>
                <w:sz w:val="18"/>
                <w:szCs w:val="18"/>
                <w:lang w:val="en-GB"/>
              </w:rPr>
              <w:t>.</w:t>
            </w:r>
            <w:r w:rsidRPr="008941BB">
              <w:rPr>
                <w:sz w:val="18"/>
                <w:szCs w:val="18"/>
                <w:lang w:val="en-GB"/>
              </w:rPr>
              <w:t xml:space="preserve"> Number of instruments and/or conservation initiatives jointly developed in the territories through public-private partnerships </w:t>
            </w:r>
            <w:r w:rsidR="006C03B2">
              <w:rPr>
                <w:sz w:val="18"/>
                <w:szCs w:val="18"/>
                <w:lang w:val="en-GB"/>
              </w:rPr>
              <w:t>us</w:t>
            </w:r>
            <w:r w:rsidR="006C03B2" w:rsidRPr="008941BB">
              <w:rPr>
                <w:sz w:val="18"/>
                <w:szCs w:val="18"/>
                <w:lang w:val="en-GB"/>
              </w:rPr>
              <w:t xml:space="preserve">ing </w:t>
            </w:r>
            <w:r w:rsidRPr="008941BB">
              <w:rPr>
                <w:sz w:val="18"/>
                <w:szCs w:val="18"/>
                <w:lang w:val="en-GB"/>
              </w:rPr>
              <w:t xml:space="preserve">a gender approach (IRRF 2.4.1.1)   </w:t>
            </w:r>
          </w:p>
          <w:p w14:paraId="3BADCC1A" w14:textId="77777777" w:rsidR="00C853CA" w:rsidRPr="008941BB" w:rsidRDefault="00C853CA" w:rsidP="004836EC">
            <w:pPr>
              <w:spacing w:line="216" w:lineRule="auto"/>
              <w:jc w:val="both"/>
              <w:rPr>
                <w:sz w:val="18"/>
                <w:szCs w:val="18"/>
                <w:lang w:val="en-GB"/>
              </w:rPr>
            </w:pPr>
            <w:r w:rsidRPr="008941BB">
              <w:rPr>
                <w:sz w:val="18"/>
                <w:szCs w:val="18"/>
                <w:lang w:val="en-GB"/>
              </w:rPr>
              <w:t>Baseline: 6</w:t>
            </w:r>
          </w:p>
          <w:p w14:paraId="157BC9AE" w14:textId="77777777" w:rsidR="00C853CA" w:rsidRPr="008941BB" w:rsidRDefault="00C853CA" w:rsidP="00C4319B">
            <w:pPr>
              <w:spacing w:line="216" w:lineRule="auto"/>
              <w:jc w:val="both"/>
              <w:rPr>
                <w:sz w:val="18"/>
                <w:szCs w:val="18"/>
                <w:lang w:val="en-GB"/>
              </w:rPr>
            </w:pPr>
            <w:r w:rsidRPr="008941BB">
              <w:rPr>
                <w:sz w:val="18"/>
                <w:szCs w:val="18"/>
                <w:lang w:val="en-GB"/>
              </w:rPr>
              <w:t>Target: 12</w:t>
            </w:r>
          </w:p>
          <w:p w14:paraId="48F4E696" w14:textId="0632B547" w:rsidR="00C853CA" w:rsidRPr="008941BB" w:rsidRDefault="00C853CA" w:rsidP="00B9136C">
            <w:pPr>
              <w:spacing w:before="200" w:after="120"/>
              <w:jc w:val="both"/>
              <w:rPr>
                <w:b/>
                <w:sz w:val="18"/>
                <w:szCs w:val="18"/>
                <w:lang w:val="en-GB"/>
              </w:rPr>
            </w:pPr>
            <w:r w:rsidRPr="008941BB">
              <w:rPr>
                <w:b/>
                <w:sz w:val="18"/>
                <w:szCs w:val="18"/>
                <w:lang w:val="en-GB"/>
              </w:rPr>
              <w:t>4.5</w:t>
            </w:r>
            <w:r w:rsidR="006C03B2">
              <w:rPr>
                <w:b/>
                <w:sz w:val="18"/>
                <w:szCs w:val="18"/>
                <w:lang w:val="en-GB"/>
              </w:rPr>
              <w:t>.</w:t>
            </w:r>
            <w:r w:rsidRPr="008941BB">
              <w:rPr>
                <w:b/>
                <w:sz w:val="18"/>
                <w:szCs w:val="18"/>
                <w:lang w:val="en-GB"/>
              </w:rPr>
              <w:t xml:space="preserve"> </w:t>
            </w:r>
            <w:r w:rsidR="006C03B2">
              <w:rPr>
                <w:b/>
                <w:sz w:val="18"/>
                <w:szCs w:val="18"/>
                <w:lang w:val="en-GB"/>
              </w:rPr>
              <w:t xml:space="preserve">Capacities of </w:t>
            </w:r>
            <w:r w:rsidRPr="008941BB">
              <w:rPr>
                <w:b/>
                <w:sz w:val="18"/>
                <w:szCs w:val="18"/>
                <w:lang w:val="en-GB"/>
              </w:rPr>
              <w:t xml:space="preserve">State institutions strengthened to develop innovative financial strategies to diversify and optimize economic instruments to advance sustainable development management </w:t>
            </w:r>
          </w:p>
          <w:p w14:paraId="763EE22E" w14:textId="62610DED" w:rsidR="00C853CA" w:rsidRPr="008941BB" w:rsidRDefault="00C853CA" w:rsidP="004836EC">
            <w:pPr>
              <w:spacing w:line="216" w:lineRule="auto"/>
              <w:jc w:val="both"/>
              <w:rPr>
                <w:sz w:val="18"/>
                <w:szCs w:val="18"/>
                <w:lang w:val="en-GB"/>
              </w:rPr>
            </w:pPr>
            <w:r w:rsidRPr="008941BB">
              <w:rPr>
                <w:sz w:val="18"/>
                <w:szCs w:val="18"/>
                <w:lang w:val="en-GB"/>
              </w:rPr>
              <w:t>Indicator 4.5.1</w:t>
            </w:r>
            <w:r w:rsidR="006C03B2">
              <w:rPr>
                <w:sz w:val="18"/>
                <w:szCs w:val="18"/>
                <w:lang w:val="en-GB"/>
              </w:rPr>
              <w:t>.</w:t>
            </w:r>
            <w:r w:rsidRPr="008941BB">
              <w:rPr>
                <w:sz w:val="18"/>
                <w:szCs w:val="18"/>
                <w:lang w:val="en-GB"/>
              </w:rPr>
              <w:t xml:space="preserve"> Number of measures and/or economic instruments and public-private partnerships established and/or validated </w:t>
            </w:r>
          </w:p>
          <w:p w14:paraId="6577E8CF" w14:textId="77777777" w:rsidR="00C853CA" w:rsidRPr="008941BB" w:rsidRDefault="00C853CA" w:rsidP="004836EC">
            <w:pPr>
              <w:spacing w:line="216" w:lineRule="auto"/>
              <w:jc w:val="both"/>
              <w:rPr>
                <w:sz w:val="18"/>
                <w:szCs w:val="18"/>
                <w:lang w:val="en-GB"/>
              </w:rPr>
            </w:pPr>
            <w:r w:rsidRPr="008941BB">
              <w:rPr>
                <w:sz w:val="18"/>
                <w:szCs w:val="18"/>
                <w:lang w:val="en-GB"/>
              </w:rPr>
              <w:t xml:space="preserve">Baseline: 3 </w:t>
            </w:r>
          </w:p>
          <w:p w14:paraId="442B2ED5" w14:textId="77777777" w:rsidR="00C853CA" w:rsidRPr="008941BB" w:rsidRDefault="00C853CA" w:rsidP="004836EC">
            <w:pPr>
              <w:spacing w:line="216" w:lineRule="auto"/>
              <w:jc w:val="both"/>
              <w:rPr>
                <w:sz w:val="18"/>
                <w:szCs w:val="18"/>
                <w:lang w:val="en-GB"/>
              </w:rPr>
            </w:pPr>
            <w:r w:rsidRPr="008941BB">
              <w:rPr>
                <w:sz w:val="18"/>
                <w:szCs w:val="18"/>
                <w:lang w:val="en-GB"/>
              </w:rPr>
              <w:t>Target: 6</w:t>
            </w:r>
          </w:p>
        </w:tc>
        <w:tc>
          <w:tcPr>
            <w:tcW w:w="914" w:type="pct"/>
            <w:gridSpan w:val="2"/>
            <w:vMerge w:val="restart"/>
          </w:tcPr>
          <w:p w14:paraId="47B06EDB" w14:textId="77777777" w:rsidR="00C853CA" w:rsidRPr="008941BB" w:rsidRDefault="00C853CA" w:rsidP="004836EC">
            <w:pPr>
              <w:jc w:val="both"/>
              <w:rPr>
                <w:iCs/>
                <w:color w:val="000000"/>
                <w:sz w:val="18"/>
                <w:szCs w:val="18"/>
                <w:lang w:val="en-GB"/>
              </w:rPr>
            </w:pPr>
          </w:p>
          <w:p w14:paraId="56999A5A" w14:textId="77777777" w:rsidR="00C853CA" w:rsidRPr="008941BB" w:rsidRDefault="00C853CA" w:rsidP="004836EC">
            <w:pPr>
              <w:jc w:val="both"/>
              <w:rPr>
                <w:bCs/>
                <w:color w:val="000000"/>
                <w:sz w:val="18"/>
                <w:szCs w:val="18"/>
                <w:lang w:val="en-GB"/>
              </w:rPr>
            </w:pPr>
            <w:r w:rsidRPr="008941BB">
              <w:rPr>
                <w:bCs/>
                <w:color w:val="000000"/>
                <w:sz w:val="18"/>
                <w:szCs w:val="18"/>
                <w:lang w:val="en-GB"/>
              </w:rPr>
              <w:t>Ministry of Environment</w:t>
            </w:r>
          </w:p>
          <w:p w14:paraId="5DC363E2" w14:textId="77777777" w:rsidR="00C853CA" w:rsidRPr="008941BB" w:rsidRDefault="00C853CA" w:rsidP="004836EC">
            <w:pPr>
              <w:jc w:val="both"/>
              <w:rPr>
                <w:iCs/>
                <w:color w:val="000000"/>
                <w:sz w:val="18"/>
                <w:szCs w:val="18"/>
                <w:lang w:val="en-GB"/>
              </w:rPr>
            </w:pPr>
            <w:r w:rsidRPr="008941BB">
              <w:rPr>
                <w:iCs/>
                <w:color w:val="000000"/>
                <w:sz w:val="18"/>
                <w:szCs w:val="18"/>
                <w:lang w:val="en-GB"/>
              </w:rPr>
              <w:t>Ministry of Finance</w:t>
            </w:r>
          </w:p>
          <w:p w14:paraId="2BDBB23D" w14:textId="77777777" w:rsidR="00C853CA" w:rsidRPr="008941BB" w:rsidRDefault="00C853CA" w:rsidP="004836EC">
            <w:pPr>
              <w:jc w:val="both"/>
              <w:rPr>
                <w:iCs/>
                <w:color w:val="000000"/>
                <w:sz w:val="18"/>
                <w:szCs w:val="18"/>
                <w:lang w:val="en-GB"/>
              </w:rPr>
            </w:pPr>
            <w:r w:rsidRPr="008941BB">
              <w:rPr>
                <w:iCs/>
                <w:color w:val="000000"/>
                <w:sz w:val="18"/>
                <w:szCs w:val="18"/>
                <w:lang w:val="en-GB"/>
              </w:rPr>
              <w:t>Ministry of Energy</w:t>
            </w:r>
          </w:p>
          <w:p w14:paraId="26519F89" w14:textId="77777777" w:rsidR="00C853CA" w:rsidRPr="008941BB" w:rsidRDefault="00C853CA" w:rsidP="004836EC">
            <w:pPr>
              <w:jc w:val="both"/>
              <w:rPr>
                <w:iCs/>
                <w:color w:val="000000"/>
                <w:sz w:val="18"/>
                <w:szCs w:val="18"/>
                <w:lang w:val="en-GB"/>
              </w:rPr>
            </w:pPr>
            <w:r w:rsidRPr="008941BB">
              <w:rPr>
                <w:iCs/>
                <w:color w:val="000000"/>
                <w:sz w:val="18"/>
                <w:szCs w:val="18"/>
                <w:lang w:val="en-GB"/>
              </w:rPr>
              <w:t>Ministry of Agriculture</w:t>
            </w:r>
          </w:p>
          <w:p w14:paraId="2462084A" w14:textId="77777777" w:rsidR="00C853CA" w:rsidRPr="008941BB" w:rsidRDefault="00C853CA" w:rsidP="008941BB">
            <w:pPr>
              <w:rPr>
                <w:iCs/>
                <w:color w:val="000000"/>
                <w:sz w:val="18"/>
                <w:szCs w:val="18"/>
                <w:lang w:val="en-GB"/>
              </w:rPr>
            </w:pPr>
            <w:r w:rsidRPr="008941BB">
              <w:rPr>
                <w:bCs/>
                <w:color w:val="000000"/>
                <w:sz w:val="18"/>
                <w:szCs w:val="18"/>
                <w:lang w:val="en-GB"/>
              </w:rPr>
              <w:t>Undersecretary for Regional Development</w:t>
            </w:r>
            <w:r w:rsidRPr="008941BB">
              <w:rPr>
                <w:iCs/>
                <w:color w:val="000000"/>
                <w:sz w:val="18"/>
                <w:szCs w:val="18"/>
                <w:lang w:val="en-GB"/>
              </w:rPr>
              <w:t xml:space="preserve"> Sustainability Agency</w:t>
            </w:r>
          </w:p>
          <w:p w14:paraId="5FE4B73A" w14:textId="77777777" w:rsidR="00C853CA" w:rsidRPr="008941BB" w:rsidRDefault="00C853CA" w:rsidP="008941BB">
            <w:pPr>
              <w:rPr>
                <w:iCs/>
                <w:color w:val="000000"/>
                <w:sz w:val="18"/>
                <w:szCs w:val="18"/>
                <w:lang w:val="en-GB"/>
              </w:rPr>
            </w:pPr>
            <w:r w:rsidRPr="008941BB">
              <w:rPr>
                <w:iCs/>
                <w:color w:val="000000"/>
                <w:sz w:val="18"/>
                <w:szCs w:val="18"/>
                <w:lang w:val="en-GB"/>
              </w:rPr>
              <w:t>Chilean Economic Development Agency</w:t>
            </w:r>
          </w:p>
          <w:p w14:paraId="64561CB0" w14:textId="77777777" w:rsidR="00C853CA" w:rsidRPr="008941BB" w:rsidRDefault="00C853CA" w:rsidP="008941BB">
            <w:pPr>
              <w:rPr>
                <w:iCs/>
                <w:color w:val="000000"/>
                <w:sz w:val="18"/>
                <w:szCs w:val="18"/>
                <w:lang w:val="en-GB"/>
              </w:rPr>
            </w:pPr>
            <w:r w:rsidRPr="008941BB">
              <w:rPr>
                <w:iCs/>
                <w:color w:val="000000"/>
                <w:sz w:val="18"/>
                <w:szCs w:val="18"/>
                <w:lang w:val="en-GB"/>
              </w:rPr>
              <w:t>Ministry of Social Development</w:t>
            </w:r>
          </w:p>
          <w:p w14:paraId="56976600" w14:textId="77777777" w:rsidR="00C853CA" w:rsidRPr="008941BB" w:rsidRDefault="00C853CA" w:rsidP="008941BB">
            <w:pPr>
              <w:rPr>
                <w:iCs/>
                <w:color w:val="000000"/>
                <w:sz w:val="18"/>
                <w:szCs w:val="18"/>
                <w:lang w:val="en-GB"/>
              </w:rPr>
            </w:pPr>
            <w:r w:rsidRPr="008941BB">
              <w:rPr>
                <w:iCs/>
                <w:color w:val="000000"/>
                <w:sz w:val="18"/>
                <w:szCs w:val="18"/>
                <w:lang w:val="en-GB"/>
              </w:rPr>
              <w:t>Ministry of Women</w:t>
            </w:r>
          </w:p>
          <w:p w14:paraId="0930F495" w14:textId="77777777" w:rsidR="00C853CA" w:rsidRPr="008941BB" w:rsidRDefault="00C853CA" w:rsidP="004836EC">
            <w:pPr>
              <w:jc w:val="both"/>
              <w:rPr>
                <w:bCs/>
                <w:color w:val="000000"/>
                <w:sz w:val="18"/>
                <w:szCs w:val="18"/>
                <w:lang w:val="en-GB"/>
              </w:rPr>
            </w:pPr>
          </w:p>
          <w:p w14:paraId="36239ECB" w14:textId="77777777" w:rsidR="00C853CA" w:rsidRPr="008941BB" w:rsidRDefault="00C853CA" w:rsidP="008941BB">
            <w:pPr>
              <w:rPr>
                <w:bCs/>
                <w:color w:val="000000"/>
                <w:sz w:val="18"/>
                <w:szCs w:val="18"/>
                <w:lang w:val="en-GB"/>
              </w:rPr>
            </w:pPr>
            <w:r w:rsidRPr="008941BB">
              <w:rPr>
                <w:bCs/>
                <w:color w:val="000000"/>
                <w:sz w:val="18"/>
                <w:szCs w:val="18"/>
                <w:lang w:val="en-GB"/>
              </w:rPr>
              <w:lastRenderedPageBreak/>
              <w:t>National Office for Emergency Situations</w:t>
            </w:r>
          </w:p>
          <w:p w14:paraId="0F8FA119" w14:textId="77777777" w:rsidR="00C853CA" w:rsidRPr="008941BB" w:rsidRDefault="00C853CA" w:rsidP="008941BB">
            <w:pPr>
              <w:rPr>
                <w:iCs/>
                <w:color w:val="000000"/>
                <w:sz w:val="18"/>
                <w:szCs w:val="18"/>
                <w:lang w:val="en-GB"/>
              </w:rPr>
            </w:pPr>
            <w:r w:rsidRPr="008941BB">
              <w:rPr>
                <w:iCs/>
                <w:color w:val="000000"/>
                <w:sz w:val="18"/>
                <w:szCs w:val="18"/>
                <w:lang w:val="en-GB"/>
              </w:rPr>
              <w:t>Humanitarian Network</w:t>
            </w:r>
          </w:p>
          <w:p w14:paraId="1423FD46" w14:textId="77777777" w:rsidR="00C853CA" w:rsidRPr="008941BB" w:rsidRDefault="00C853CA" w:rsidP="008941BB">
            <w:pPr>
              <w:rPr>
                <w:iCs/>
                <w:color w:val="000000"/>
                <w:sz w:val="18"/>
                <w:szCs w:val="18"/>
                <w:lang w:val="en-GB"/>
              </w:rPr>
            </w:pPr>
            <w:r w:rsidRPr="008941BB">
              <w:rPr>
                <w:iCs/>
                <w:color w:val="000000"/>
                <w:sz w:val="18"/>
                <w:szCs w:val="18"/>
                <w:lang w:val="en-GB"/>
              </w:rPr>
              <w:t>Global Compact Chile</w:t>
            </w:r>
          </w:p>
          <w:p w14:paraId="43B81AF4" w14:textId="77777777" w:rsidR="00C853CA" w:rsidRPr="008941BB" w:rsidRDefault="00C853CA" w:rsidP="008941BB">
            <w:pPr>
              <w:rPr>
                <w:bCs/>
                <w:color w:val="000000"/>
                <w:sz w:val="18"/>
                <w:szCs w:val="18"/>
                <w:lang w:val="en-GB"/>
              </w:rPr>
            </w:pPr>
            <w:r w:rsidRPr="008941BB">
              <w:rPr>
                <w:bCs/>
                <w:color w:val="000000"/>
                <w:sz w:val="18"/>
                <w:szCs w:val="18"/>
                <w:lang w:val="en-GB"/>
              </w:rPr>
              <w:t>Under</w:t>
            </w:r>
            <w:r w:rsidR="006C03B2">
              <w:rPr>
                <w:bCs/>
                <w:color w:val="000000"/>
                <w:sz w:val="18"/>
                <w:szCs w:val="18"/>
                <w:lang w:val="en-GB"/>
              </w:rPr>
              <w:t>-</w:t>
            </w:r>
            <w:r w:rsidRPr="008941BB">
              <w:rPr>
                <w:bCs/>
                <w:color w:val="000000"/>
                <w:sz w:val="18"/>
                <w:szCs w:val="18"/>
                <w:lang w:val="en-GB"/>
              </w:rPr>
              <w:t>secretary for Regional Development</w:t>
            </w:r>
          </w:p>
          <w:p w14:paraId="08EEE925" w14:textId="77777777" w:rsidR="00C853CA" w:rsidRPr="008941BB" w:rsidRDefault="00C853CA" w:rsidP="004836EC">
            <w:pPr>
              <w:jc w:val="both"/>
              <w:rPr>
                <w:bCs/>
                <w:color w:val="000000"/>
                <w:sz w:val="18"/>
                <w:szCs w:val="18"/>
                <w:lang w:val="en-GB"/>
              </w:rPr>
            </w:pPr>
            <w:r w:rsidRPr="008941BB">
              <w:rPr>
                <w:bCs/>
                <w:color w:val="000000"/>
                <w:sz w:val="18"/>
                <w:szCs w:val="18"/>
                <w:lang w:val="en-GB"/>
              </w:rPr>
              <w:t>FAO</w:t>
            </w:r>
          </w:p>
          <w:p w14:paraId="5072F680" w14:textId="77777777" w:rsidR="00C853CA" w:rsidRPr="008941BB" w:rsidRDefault="00C853CA" w:rsidP="004836EC">
            <w:pPr>
              <w:jc w:val="both"/>
              <w:rPr>
                <w:bCs/>
                <w:color w:val="000000"/>
                <w:sz w:val="18"/>
                <w:szCs w:val="18"/>
                <w:lang w:val="en-GB"/>
              </w:rPr>
            </w:pPr>
            <w:r w:rsidRPr="008941BB">
              <w:rPr>
                <w:bCs/>
                <w:color w:val="000000"/>
                <w:sz w:val="18"/>
                <w:szCs w:val="18"/>
                <w:lang w:val="en-GB"/>
              </w:rPr>
              <w:t>UNEP</w:t>
            </w:r>
          </w:p>
          <w:p w14:paraId="65675FF8" w14:textId="77777777" w:rsidR="00C853CA" w:rsidRPr="008941BB" w:rsidRDefault="00C853CA" w:rsidP="004836EC">
            <w:pPr>
              <w:jc w:val="both"/>
              <w:rPr>
                <w:bCs/>
                <w:color w:val="000000"/>
                <w:sz w:val="18"/>
                <w:szCs w:val="18"/>
                <w:lang w:val="en-GB"/>
              </w:rPr>
            </w:pPr>
            <w:r w:rsidRPr="008941BB">
              <w:rPr>
                <w:bCs/>
                <w:color w:val="000000"/>
                <w:sz w:val="18"/>
                <w:szCs w:val="18"/>
                <w:lang w:val="en-GB"/>
              </w:rPr>
              <w:t>WHO</w:t>
            </w:r>
          </w:p>
          <w:p w14:paraId="49D99445" w14:textId="77777777" w:rsidR="00C853CA" w:rsidRPr="008941BB" w:rsidRDefault="00C853CA" w:rsidP="00814105">
            <w:pPr>
              <w:jc w:val="both"/>
              <w:rPr>
                <w:iCs/>
                <w:color w:val="000000"/>
                <w:sz w:val="18"/>
                <w:szCs w:val="18"/>
                <w:lang w:val="en-GB"/>
              </w:rPr>
            </w:pPr>
            <w:r w:rsidRPr="008941BB" w:rsidDel="004A186D">
              <w:rPr>
                <w:iCs/>
                <w:color w:val="000000"/>
                <w:sz w:val="18"/>
                <w:szCs w:val="18"/>
                <w:lang w:val="en-GB"/>
              </w:rPr>
              <w:t xml:space="preserve"> </w:t>
            </w:r>
          </w:p>
        </w:tc>
        <w:tc>
          <w:tcPr>
            <w:tcW w:w="699" w:type="pct"/>
            <w:gridSpan w:val="3"/>
            <w:tcMar>
              <w:top w:w="15" w:type="dxa"/>
              <w:left w:w="108" w:type="dxa"/>
              <w:bottom w:w="0" w:type="dxa"/>
              <w:right w:w="108" w:type="dxa"/>
            </w:tcMar>
          </w:tcPr>
          <w:p w14:paraId="3B19F97A" w14:textId="77777777" w:rsidR="00C853CA" w:rsidRDefault="00C853CA" w:rsidP="004836EC">
            <w:pPr>
              <w:jc w:val="both"/>
              <w:rPr>
                <w:b/>
                <w:color w:val="000000"/>
                <w:sz w:val="18"/>
                <w:szCs w:val="18"/>
                <w:lang w:val="en-GB"/>
              </w:rPr>
            </w:pPr>
            <w:r w:rsidRPr="008941BB">
              <w:rPr>
                <w:b/>
                <w:color w:val="000000"/>
                <w:sz w:val="18"/>
                <w:szCs w:val="18"/>
                <w:lang w:val="en-GB"/>
              </w:rPr>
              <w:lastRenderedPageBreak/>
              <w:t>Regular</w:t>
            </w:r>
          </w:p>
          <w:p w14:paraId="6E849210" w14:textId="77777777" w:rsidR="00087A83" w:rsidRPr="008941BB" w:rsidRDefault="00087A83" w:rsidP="004836EC">
            <w:pPr>
              <w:jc w:val="both"/>
              <w:rPr>
                <w:b/>
                <w:color w:val="000000"/>
                <w:sz w:val="18"/>
                <w:szCs w:val="18"/>
                <w:lang w:val="en-GB"/>
              </w:rPr>
            </w:pPr>
            <w:r>
              <w:rPr>
                <w:b/>
                <w:color w:val="000000"/>
                <w:sz w:val="18"/>
                <w:szCs w:val="18"/>
                <w:lang w:val="en-GB"/>
              </w:rPr>
              <w:t>0</w:t>
            </w:r>
          </w:p>
        </w:tc>
      </w:tr>
      <w:bookmarkEnd w:id="3"/>
      <w:tr w:rsidR="00C853CA" w:rsidRPr="00172A7A" w14:paraId="191C262D" w14:textId="77777777" w:rsidTr="00207494">
        <w:trPr>
          <w:trHeight w:val="133"/>
        </w:trPr>
        <w:tc>
          <w:tcPr>
            <w:tcW w:w="1129" w:type="pct"/>
            <w:gridSpan w:val="2"/>
            <w:vMerge/>
            <w:tcMar>
              <w:top w:w="72" w:type="dxa"/>
              <w:left w:w="144" w:type="dxa"/>
              <w:bottom w:w="72" w:type="dxa"/>
              <w:right w:w="144" w:type="dxa"/>
            </w:tcMar>
          </w:tcPr>
          <w:p w14:paraId="496B60A6" w14:textId="77777777" w:rsidR="00C853CA" w:rsidRPr="008941BB" w:rsidRDefault="00C853CA" w:rsidP="004836EC">
            <w:pPr>
              <w:jc w:val="both"/>
              <w:rPr>
                <w:iCs/>
                <w:sz w:val="18"/>
                <w:szCs w:val="18"/>
                <w:lang w:val="en-GB"/>
              </w:rPr>
            </w:pPr>
          </w:p>
        </w:tc>
        <w:tc>
          <w:tcPr>
            <w:tcW w:w="753" w:type="pct"/>
            <w:gridSpan w:val="2"/>
            <w:vMerge/>
          </w:tcPr>
          <w:p w14:paraId="3767A96E" w14:textId="77777777" w:rsidR="00C853CA" w:rsidRPr="008941BB" w:rsidRDefault="00C853CA" w:rsidP="004836EC">
            <w:pPr>
              <w:jc w:val="both"/>
              <w:rPr>
                <w:b/>
                <w:bCs/>
                <w:color w:val="000000"/>
                <w:sz w:val="18"/>
                <w:szCs w:val="18"/>
                <w:lang w:val="en-GB"/>
              </w:rPr>
            </w:pPr>
          </w:p>
        </w:tc>
        <w:tc>
          <w:tcPr>
            <w:tcW w:w="1505" w:type="pct"/>
            <w:vMerge/>
            <w:tcMar>
              <w:top w:w="72" w:type="dxa"/>
              <w:left w:w="144" w:type="dxa"/>
              <w:bottom w:w="72" w:type="dxa"/>
              <w:right w:w="144" w:type="dxa"/>
            </w:tcMar>
          </w:tcPr>
          <w:p w14:paraId="1EDBB4BC" w14:textId="77777777" w:rsidR="00C853CA" w:rsidRPr="008941BB" w:rsidRDefault="00C853CA" w:rsidP="004836EC">
            <w:pPr>
              <w:jc w:val="both"/>
              <w:rPr>
                <w:iCs/>
                <w:color w:val="000000"/>
                <w:sz w:val="18"/>
                <w:szCs w:val="18"/>
                <w:lang w:val="en-GB"/>
              </w:rPr>
            </w:pPr>
          </w:p>
        </w:tc>
        <w:tc>
          <w:tcPr>
            <w:tcW w:w="914" w:type="pct"/>
            <w:gridSpan w:val="2"/>
            <w:vMerge/>
          </w:tcPr>
          <w:p w14:paraId="6DB1469E" w14:textId="77777777" w:rsidR="00C853CA" w:rsidRPr="008941BB" w:rsidRDefault="00C853CA" w:rsidP="004836EC">
            <w:pPr>
              <w:jc w:val="both"/>
              <w:rPr>
                <w:iCs/>
                <w:color w:val="000000"/>
                <w:sz w:val="18"/>
                <w:szCs w:val="18"/>
                <w:lang w:val="en-GB"/>
              </w:rPr>
            </w:pPr>
          </w:p>
        </w:tc>
        <w:tc>
          <w:tcPr>
            <w:tcW w:w="699" w:type="pct"/>
            <w:gridSpan w:val="3"/>
            <w:tcMar>
              <w:top w:w="15" w:type="dxa"/>
              <w:left w:w="108" w:type="dxa"/>
              <w:bottom w:w="0" w:type="dxa"/>
              <w:right w:w="108" w:type="dxa"/>
            </w:tcMar>
          </w:tcPr>
          <w:p w14:paraId="44EF0FB0" w14:textId="77777777" w:rsidR="00C853CA" w:rsidRPr="008941BB" w:rsidRDefault="00C853CA" w:rsidP="004836EC">
            <w:pPr>
              <w:jc w:val="both"/>
              <w:rPr>
                <w:b/>
                <w:color w:val="000000"/>
                <w:sz w:val="18"/>
                <w:szCs w:val="18"/>
                <w:lang w:val="en-GB"/>
              </w:rPr>
            </w:pPr>
            <w:r w:rsidRPr="008941BB">
              <w:rPr>
                <w:b/>
                <w:color w:val="000000"/>
                <w:sz w:val="18"/>
                <w:szCs w:val="18"/>
                <w:lang w:val="en-GB"/>
              </w:rPr>
              <w:t xml:space="preserve">Other </w:t>
            </w:r>
          </w:p>
          <w:p w14:paraId="2239A92F" w14:textId="77777777" w:rsidR="00C853CA" w:rsidRPr="008941BB" w:rsidRDefault="00C853CA" w:rsidP="004836EC">
            <w:pPr>
              <w:jc w:val="both"/>
              <w:rPr>
                <w:b/>
                <w:color w:val="000000"/>
                <w:sz w:val="18"/>
                <w:szCs w:val="18"/>
                <w:lang w:val="en-GB"/>
              </w:rPr>
            </w:pPr>
            <w:r w:rsidRPr="008941BB">
              <w:rPr>
                <w:b/>
                <w:bCs/>
                <w:color w:val="000000"/>
                <w:sz w:val="18"/>
                <w:szCs w:val="18"/>
                <w:lang w:val="en-GB" w:eastAsia="es-CL"/>
              </w:rPr>
              <w:t>20,156,341</w:t>
            </w:r>
          </w:p>
        </w:tc>
      </w:tr>
      <w:bookmarkEnd w:id="4"/>
    </w:tbl>
    <w:p w14:paraId="67F1455E" w14:textId="77777777" w:rsidR="00C853CA" w:rsidRPr="008941BB" w:rsidRDefault="00C853CA" w:rsidP="00C853CA">
      <w:pPr>
        <w:jc w:val="both"/>
        <w:rPr>
          <w:color w:val="000000"/>
          <w:lang w:val="en-GB"/>
        </w:rPr>
      </w:pPr>
    </w:p>
    <w:p w14:paraId="2DFF09C1" w14:textId="77777777" w:rsidR="00892A8B" w:rsidRPr="008941BB" w:rsidRDefault="00814105" w:rsidP="00814105">
      <w:pPr>
        <w:jc w:val="center"/>
        <w:rPr>
          <w:lang w:val="en-GB"/>
        </w:rPr>
      </w:pPr>
      <w:r w:rsidRPr="000F6157">
        <w:rPr>
          <w:noProof/>
          <w:color w:val="000000"/>
        </w:rPr>
        <w:drawing>
          <wp:inline distT="0" distB="0" distL="0" distR="0" wp14:anchorId="2C260C74" wp14:editId="4AB881BA">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892A8B" w:rsidRPr="008941BB" w:rsidSect="00F557BC">
      <w:headerReference w:type="even" r:id="rId23"/>
      <w:headerReference w:type="default" r:id="rId24"/>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11867" w14:textId="77777777" w:rsidR="008B0587" w:rsidRDefault="008B0587" w:rsidP="00441061">
      <w:r>
        <w:separator/>
      </w:r>
    </w:p>
  </w:endnote>
  <w:endnote w:type="continuationSeparator" w:id="0">
    <w:p w14:paraId="21BF14ED" w14:textId="77777777" w:rsidR="008B0587" w:rsidRDefault="008B0587" w:rsidP="00441061">
      <w:r>
        <w:continuationSeparator/>
      </w:r>
    </w:p>
  </w:endnote>
  <w:endnote w:type="continuationNotice" w:id="1">
    <w:p w14:paraId="23B20483" w14:textId="77777777" w:rsidR="008B0587" w:rsidRDefault="008B0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00FD" w14:textId="77777777" w:rsidR="007C591E" w:rsidRPr="005841A3" w:rsidRDefault="007C591E">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07E2" w14:textId="77777777" w:rsidR="007C591E" w:rsidRPr="005841A3" w:rsidRDefault="007C591E">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p w14:paraId="48BD420B" w14:textId="77777777" w:rsidR="007C591E" w:rsidRDefault="007C591E"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291545"/>
      <w:docPartObj>
        <w:docPartGallery w:val="Page Numbers (Bottom of Page)"/>
        <w:docPartUnique/>
      </w:docPartObj>
    </w:sdtPr>
    <w:sdtEndPr>
      <w:rPr>
        <w:b/>
        <w:noProof/>
        <w:sz w:val="17"/>
        <w:szCs w:val="17"/>
      </w:rPr>
    </w:sdtEndPr>
    <w:sdtContent>
      <w:p w14:paraId="4E25B860" w14:textId="77777777" w:rsidR="007C591E" w:rsidRPr="00DC4A46" w:rsidRDefault="007C591E" w:rsidP="00DC4A46">
        <w:pPr>
          <w:pStyle w:val="Footer"/>
          <w:rPr>
            <w:b/>
            <w:sz w:val="17"/>
            <w:szCs w:val="17"/>
          </w:rPr>
        </w:pPr>
        <w:r w:rsidRPr="00DC4A46">
          <w:rPr>
            <w:b/>
            <w:sz w:val="17"/>
            <w:szCs w:val="17"/>
          </w:rPr>
          <w:fldChar w:fldCharType="begin"/>
        </w:r>
        <w:r w:rsidRPr="00DC4A46">
          <w:rPr>
            <w:b/>
            <w:sz w:val="17"/>
            <w:szCs w:val="17"/>
          </w:rPr>
          <w:instrText xml:space="preserve"> PAGE   \* MERGEFORMAT </w:instrText>
        </w:r>
        <w:r w:rsidRPr="00DC4A46">
          <w:rPr>
            <w:b/>
            <w:sz w:val="17"/>
            <w:szCs w:val="17"/>
          </w:rPr>
          <w:fldChar w:fldCharType="separate"/>
        </w:r>
        <w:r w:rsidR="008139D7">
          <w:rPr>
            <w:b/>
            <w:noProof/>
            <w:sz w:val="17"/>
            <w:szCs w:val="17"/>
          </w:rPr>
          <w:t>16</w:t>
        </w:r>
        <w:r w:rsidRPr="00DC4A46">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979844"/>
      <w:docPartObj>
        <w:docPartGallery w:val="Page Numbers (Bottom of Page)"/>
        <w:docPartUnique/>
      </w:docPartObj>
    </w:sdtPr>
    <w:sdtEndPr>
      <w:rPr>
        <w:b/>
        <w:noProof/>
        <w:sz w:val="17"/>
        <w:szCs w:val="17"/>
      </w:rPr>
    </w:sdtEndPr>
    <w:sdtContent>
      <w:p w14:paraId="7B144607" w14:textId="77777777" w:rsidR="007C591E" w:rsidRPr="00207494" w:rsidRDefault="007C591E" w:rsidP="00207494">
        <w:pPr>
          <w:pStyle w:val="Footer"/>
          <w:jc w:val="right"/>
          <w:rPr>
            <w:b/>
            <w:sz w:val="17"/>
            <w:szCs w:val="17"/>
          </w:rPr>
        </w:pPr>
        <w:r w:rsidRPr="00207494">
          <w:rPr>
            <w:b/>
            <w:sz w:val="17"/>
            <w:szCs w:val="17"/>
          </w:rPr>
          <w:fldChar w:fldCharType="begin"/>
        </w:r>
        <w:r w:rsidRPr="00207494">
          <w:rPr>
            <w:b/>
            <w:sz w:val="17"/>
            <w:szCs w:val="17"/>
          </w:rPr>
          <w:instrText xml:space="preserve"> PAGE   \* MERGEFORMAT </w:instrText>
        </w:r>
        <w:r w:rsidRPr="00207494">
          <w:rPr>
            <w:b/>
            <w:sz w:val="17"/>
            <w:szCs w:val="17"/>
          </w:rPr>
          <w:fldChar w:fldCharType="separate"/>
        </w:r>
        <w:r w:rsidR="008139D7">
          <w:rPr>
            <w:b/>
            <w:noProof/>
            <w:sz w:val="17"/>
            <w:szCs w:val="17"/>
          </w:rPr>
          <w:t>15</w:t>
        </w:r>
        <w:r w:rsidRPr="00207494">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3932" w14:textId="77777777" w:rsidR="008B0587" w:rsidRDefault="008B0587" w:rsidP="00441061">
      <w:r>
        <w:separator/>
      </w:r>
    </w:p>
  </w:footnote>
  <w:footnote w:type="continuationSeparator" w:id="0">
    <w:p w14:paraId="5465C3A8" w14:textId="77777777" w:rsidR="008B0587" w:rsidRDefault="008B0587" w:rsidP="00441061">
      <w:r>
        <w:continuationSeparator/>
      </w:r>
    </w:p>
  </w:footnote>
  <w:footnote w:type="continuationNotice" w:id="1">
    <w:p w14:paraId="0160276D" w14:textId="77777777" w:rsidR="008B0587" w:rsidRDefault="008B0587"/>
  </w:footnote>
  <w:footnote w:id="2">
    <w:p w14:paraId="6F73F794" w14:textId="2A4D0FF9" w:rsidR="007C591E" w:rsidRPr="00216EA2" w:rsidRDefault="007C591E" w:rsidP="000624AC">
      <w:pPr>
        <w:pStyle w:val="FootnoteText"/>
        <w:rPr>
          <w:rFonts w:ascii="Times New Roman" w:hAnsi="Times New Roman"/>
          <w:sz w:val="16"/>
          <w:szCs w:val="16"/>
        </w:rPr>
      </w:pPr>
      <w:r w:rsidRPr="00445AC0">
        <w:rPr>
          <w:rStyle w:val="FootnoteReference"/>
          <w:rFonts w:ascii="Times New Roman" w:hAnsi="Times New Roman"/>
          <w:sz w:val="16"/>
          <w:szCs w:val="16"/>
        </w:rPr>
        <w:footnoteRef/>
      </w:r>
      <w:r w:rsidRPr="00C95FC7">
        <w:rPr>
          <w:rFonts w:ascii="Times New Roman" w:hAnsi="Times New Roman"/>
          <w:sz w:val="16"/>
          <w:szCs w:val="16"/>
        </w:rPr>
        <w:t xml:space="preserve"> </w:t>
      </w:r>
      <w:r>
        <w:rPr>
          <w:rFonts w:ascii="Times New Roman" w:hAnsi="Times New Roman"/>
          <w:sz w:val="16"/>
          <w:szCs w:val="16"/>
        </w:rPr>
        <w:t>Human Development Report</w:t>
      </w:r>
      <w:r w:rsidRPr="00C95FC7">
        <w:rPr>
          <w:rFonts w:ascii="Times New Roman" w:hAnsi="Times New Roman"/>
          <w:sz w:val="16"/>
          <w:szCs w:val="16"/>
        </w:rPr>
        <w:t xml:space="preserve"> 2016. Human </w:t>
      </w:r>
      <w:r>
        <w:rPr>
          <w:rFonts w:ascii="Times New Roman" w:hAnsi="Times New Roman"/>
          <w:sz w:val="16"/>
          <w:szCs w:val="16"/>
        </w:rPr>
        <w:t>d</w:t>
      </w:r>
      <w:r w:rsidRPr="00C95FC7">
        <w:rPr>
          <w:rFonts w:ascii="Times New Roman" w:hAnsi="Times New Roman"/>
          <w:sz w:val="16"/>
          <w:szCs w:val="16"/>
        </w:rPr>
        <w:t xml:space="preserve">evelopment for all (2016). </w:t>
      </w:r>
      <w:r w:rsidRPr="00216EA2">
        <w:rPr>
          <w:rFonts w:ascii="Times New Roman" w:hAnsi="Times New Roman"/>
          <w:sz w:val="16"/>
          <w:szCs w:val="16"/>
        </w:rPr>
        <w:t>UNDP</w:t>
      </w:r>
    </w:p>
  </w:footnote>
  <w:footnote w:id="3">
    <w:p w14:paraId="4EEDD7F5" w14:textId="2120F09D" w:rsidR="007C591E" w:rsidRPr="00C95FC7" w:rsidRDefault="007C591E" w:rsidP="000624AC">
      <w:pPr>
        <w:pStyle w:val="FootnoteText"/>
      </w:pPr>
      <w:r w:rsidRPr="008941BB">
        <w:rPr>
          <w:rStyle w:val="FootnoteReference"/>
          <w:rFonts w:ascii="Times New Roman" w:hAnsi="Times New Roman"/>
          <w:sz w:val="16"/>
          <w:szCs w:val="16"/>
        </w:rPr>
        <w:footnoteRef/>
      </w:r>
      <w:r w:rsidRPr="008941BB">
        <w:rPr>
          <w:rStyle w:val="FootnoteReference"/>
          <w:rFonts w:ascii="Times New Roman" w:hAnsi="Times New Roman"/>
          <w:sz w:val="16"/>
          <w:szCs w:val="16"/>
        </w:rPr>
        <w:t xml:space="preserve"> </w:t>
      </w:r>
      <w:r w:rsidRPr="00C95FC7">
        <w:rPr>
          <w:rFonts w:ascii="Times New Roman" w:hAnsi="Times New Roman"/>
          <w:sz w:val="16"/>
          <w:szCs w:val="16"/>
        </w:rPr>
        <w:t xml:space="preserve">National </w:t>
      </w:r>
      <w:r>
        <w:rPr>
          <w:rFonts w:ascii="Times New Roman" w:hAnsi="Times New Roman"/>
          <w:sz w:val="16"/>
          <w:szCs w:val="16"/>
        </w:rPr>
        <w:t>Socio-Economic Charac</w:t>
      </w:r>
      <w:r w:rsidRPr="00C95FC7">
        <w:rPr>
          <w:rFonts w:ascii="Times New Roman" w:hAnsi="Times New Roman"/>
          <w:sz w:val="16"/>
          <w:szCs w:val="16"/>
        </w:rPr>
        <w:t>teriza</w:t>
      </w:r>
      <w:r>
        <w:rPr>
          <w:rFonts w:ascii="Times New Roman" w:hAnsi="Times New Roman"/>
          <w:sz w:val="16"/>
          <w:szCs w:val="16"/>
        </w:rPr>
        <w:t>t</w:t>
      </w:r>
      <w:r w:rsidRPr="00C95FC7">
        <w:rPr>
          <w:rFonts w:ascii="Times New Roman" w:hAnsi="Times New Roman"/>
          <w:sz w:val="16"/>
          <w:szCs w:val="16"/>
        </w:rPr>
        <w:t xml:space="preserve">ion Survey </w:t>
      </w:r>
      <w:r>
        <w:rPr>
          <w:rFonts w:ascii="Times New Roman" w:hAnsi="Times New Roman"/>
          <w:sz w:val="16"/>
          <w:szCs w:val="16"/>
        </w:rPr>
        <w:t>r</w:t>
      </w:r>
      <w:r w:rsidRPr="00C95FC7">
        <w:rPr>
          <w:rFonts w:ascii="Times New Roman" w:hAnsi="Times New Roman"/>
          <w:sz w:val="16"/>
          <w:szCs w:val="16"/>
        </w:rPr>
        <w:t>esults (2015)</w:t>
      </w:r>
      <w:r w:rsidRPr="008941BB">
        <w:rPr>
          <w:rFonts w:ascii="Times New Roman" w:hAnsi="Times New Roman"/>
          <w:sz w:val="16"/>
          <w:szCs w:val="16"/>
        </w:rPr>
        <w:t>.</w:t>
      </w:r>
      <w:r>
        <w:rPr>
          <w:sz w:val="16"/>
          <w:szCs w:val="16"/>
        </w:rPr>
        <w:t xml:space="preserve"> </w:t>
      </w:r>
      <w:r w:rsidRPr="008941BB">
        <w:rPr>
          <w:rFonts w:ascii="Times New Roman" w:hAnsi="Times New Roman"/>
          <w:sz w:val="16"/>
          <w:szCs w:val="16"/>
        </w:rPr>
        <w:t>Ministry of Social Development</w:t>
      </w:r>
    </w:p>
  </w:footnote>
  <w:footnote w:id="4">
    <w:p w14:paraId="1582C120" w14:textId="07BB795A" w:rsidR="007C591E" w:rsidRPr="00C20510" w:rsidRDefault="007C591E">
      <w:pPr>
        <w:pStyle w:val="FootnoteText"/>
        <w:rPr>
          <w:rFonts w:ascii="Times New Roman" w:hAnsi="Times New Roman"/>
          <w:sz w:val="16"/>
          <w:szCs w:val="16"/>
        </w:rPr>
      </w:pPr>
      <w:r w:rsidRPr="008941BB">
        <w:rPr>
          <w:rStyle w:val="FootnoteReference"/>
        </w:rPr>
        <w:footnoteRef/>
      </w:r>
      <w:r w:rsidRPr="008941BB">
        <w:rPr>
          <w:rStyle w:val="FootnoteReference"/>
        </w:rPr>
        <w:t xml:space="preserve"> </w:t>
      </w:r>
      <w:r w:rsidRPr="00C20510">
        <w:rPr>
          <w:rFonts w:ascii="Times New Roman" w:hAnsi="Times New Roman"/>
          <w:sz w:val="16"/>
          <w:szCs w:val="16"/>
        </w:rPr>
        <w:t xml:space="preserve">OECD, </w:t>
      </w:r>
      <w:r>
        <w:rPr>
          <w:rFonts w:ascii="Times New Roman" w:hAnsi="Times New Roman"/>
          <w:sz w:val="16"/>
          <w:szCs w:val="16"/>
        </w:rPr>
        <w:t>Development Assistance Committee</w:t>
      </w:r>
      <w:r w:rsidRPr="00C20510">
        <w:rPr>
          <w:rFonts w:ascii="Times New Roman" w:hAnsi="Times New Roman"/>
          <w:sz w:val="16"/>
          <w:szCs w:val="16"/>
        </w:rPr>
        <w:t>, 2017</w:t>
      </w:r>
    </w:p>
  </w:footnote>
  <w:footnote w:id="5">
    <w:p w14:paraId="5437AA69" w14:textId="52778BB5" w:rsidR="007C591E" w:rsidRPr="003E3F7D" w:rsidRDefault="007C591E" w:rsidP="000624AC">
      <w:pPr>
        <w:rPr>
          <w:sz w:val="16"/>
          <w:szCs w:val="16"/>
        </w:rPr>
      </w:pPr>
      <w:r w:rsidRPr="00445AC0">
        <w:rPr>
          <w:rStyle w:val="FootnoteReference"/>
          <w:sz w:val="16"/>
          <w:szCs w:val="16"/>
        </w:rPr>
        <w:footnoteRef/>
      </w:r>
      <w:r w:rsidRPr="00C95FC7">
        <w:rPr>
          <w:sz w:val="16"/>
          <w:szCs w:val="16"/>
        </w:rPr>
        <w:t xml:space="preserve"> Multidimensional prog</w:t>
      </w:r>
      <w:r>
        <w:rPr>
          <w:sz w:val="16"/>
          <w:szCs w:val="16"/>
        </w:rPr>
        <w:t>r</w:t>
      </w:r>
      <w:r w:rsidRPr="00C95FC7">
        <w:rPr>
          <w:sz w:val="16"/>
          <w:szCs w:val="16"/>
        </w:rPr>
        <w:t>ess: Well-being beyond income</w:t>
      </w:r>
      <w:r>
        <w:rPr>
          <w:sz w:val="16"/>
          <w:szCs w:val="16"/>
        </w:rPr>
        <w:t xml:space="preserve">. </w:t>
      </w:r>
      <w:r w:rsidRPr="009911CE">
        <w:rPr>
          <w:sz w:val="16"/>
          <w:szCs w:val="16"/>
        </w:rPr>
        <w:t xml:space="preserve">Regional </w:t>
      </w:r>
      <w:r>
        <w:rPr>
          <w:sz w:val="16"/>
          <w:szCs w:val="16"/>
        </w:rPr>
        <w:t>r</w:t>
      </w:r>
      <w:r w:rsidRPr="009911CE">
        <w:rPr>
          <w:sz w:val="16"/>
          <w:szCs w:val="16"/>
        </w:rPr>
        <w:t xml:space="preserve">eport on </w:t>
      </w:r>
      <w:r>
        <w:rPr>
          <w:sz w:val="16"/>
          <w:szCs w:val="16"/>
        </w:rPr>
        <w:t>human development</w:t>
      </w:r>
      <w:r w:rsidRPr="009911CE">
        <w:rPr>
          <w:sz w:val="16"/>
          <w:szCs w:val="16"/>
        </w:rPr>
        <w:t xml:space="preserve"> for </w:t>
      </w:r>
      <w:r>
        <w:rPr>
          <w:sz w:val="16"/>
          <w:szCs w:val="16"/>
        </w:rPr>
        <w:t>Latin America and the Caribbean</w:t>
      </w:r>
      <w:r w:rsidRPr="009911CE">
        <w:rPr>
          <w:sz w:val="16"/>
          <w:szCs w:val="16"/>
        </w:rPr>
        <w:t xml:space="preserve"> (2016)</w:t>
      </w:r>
      <w:r>
        <w:rPr>
          <w:sz w:val="16"/>
          <w:szCs w:val="16"/>
        </w:rPr>
        <w:t>,</w:t>
      </w:r>
      <w:r w:rsidRPr="009911CE">
        <w:rPr>
          <w:sz w:val="16"/>
          <w:szCs w:val="16"/>
        </w:rPr>
        <w:t xml:space="preserve"> </w:t>
      </w:r>
      <w:r w:rsidRPr="003E3F7D">
        <w:rPr>
          <w:sz w:val="16"/>
          <w:szCs w:val="16"/>
        </w:rPr>
        <w:t>UNDP</w:t>
      </w:r>
    </w:p>
  </w:footnote>
  <w:footnote w:id="6">
    <w:p w14:paraId="76916A6A" w14:textId="4F3783C2" w:rsidR="007C591E" w:rsidRPr="009911CE" w:rsidRDefault="007C591E" w:rsidP="000624AC">
      <w:pPr>
        <w:rPr>
          <w:sz w:val="16"/>
          <w:szCs w:val="16"/>
        </w:rPr>
      </w:pPr>
      <w:r w:rsidRPr="008B0F71">
        <w:rPr>
          <w:rStyle w:val="FootnoteReference"/>
          <w:sz w:val="16"/>
          <w:szCs w:val="16"/>
        </w:rPr>
        <w:footnoteRef/>
      </w:r>
      <w:r w:rsidRPr="009911CE">
        <w:rPr>
          <w:sz w:val="16"/>
          <w:szCs w:val="16"/>
        </w:rPr>
        <w:t xml:space="preserve"> Sta</w:t>
      </w:r>
      <w:r>
        <w:rPr>
          <w:sz w:val="16"/>
          <w:szCs w:val="16"/>
        </w:rPr>
        <w:t>t</w:t>
      </w:r>
      <w:r w:rsidRPr="009911CE">
        <w:rPr>
          <w:sz w:val="16"/>
          <w:szCs w:val="16"/>
        </w:rPr>
        <w:t>istics on femicide in Chile</w:t>
      </w:r>
      <w:r>
        <w:rPr>
          <w:sz w:val="16"/>
          <w:szCs w:val="16"/>
        </w:rPr>
        <w:t xml:space="preserve">, </w:t>
      </w:r>
      <w:r w:rsidRPr="009911CE">
        <w:rPr>
          <w:sz w:val="16"/>
          <w:szCs w:val="16"/>
        </w:rPr>
        <w:t xml:space="preserve">National Service for Women (2018).  </w:t>
      </w:r>
    </w:p>
  </w:footnote>
  <w:footnote w:id="7">
    <w:p w14:paraId="43AC5068" w14:textId="292C04C8" w:rsidR="007C591E" w:rsidRPr="003E3F7D" w:rsidRDefault="007C591E" w:rsidP="000624AC">
      <w:pPr>
        <w:rPr>
          <w:sz w:val="16"/>
          <w:szCs w:val="16"/>
        </w:rPr>
      </w:pPr>
      <w:r w:rsidRPr="00C721B3">
        <w:rPr>
          <w:rStyle w:val="FootnoteReference"/>
          <w:sz w:val="16"/>
          <w:szCs w:val="16"/>
        </w:rPr>
        <w:footnoteRef/>
      </w:r>
      <w:r w:rsidRPr="003E3F7D">
        <w:rPr>
          <w:sz w:val="16"/>
          <w:szCs w:val="16"/>
        </w:rPr>
        <w:t xml:space="preserve"> </w:t>
      </w:r>
      <w:r>
        <w:rPr>
          <w:sz w:val="16"/>
          <w:szCs w:val="16"/>
        </w:rPr>
        <w:t>Unequals, UNDP, 2017</w:t>
      </w:r>
    </w:p>
  </w:footnote>
  <w:footnote w:id="8">
    <w:p w14:paraId="44956ED6" w14:textId="77777777" w:rsidR="007C591E" w:rsidRPr="003E3F7D" w:rsidRDefault="007C591E" w:rsidP="000624AC">
      <w:pPr>
        <w:pStyle w:val="FootnoteText"/>
        <w:rPr>
          <w:rFonts w:ascii="Times New Roman" w:hAnsi="Times New Roman"/>
          <w:sz w:val="16"/>
          <w:szCs w:val="16"/>
        </w:rPr>
      </w:pPr>
      <w:r w:rsidRPr="008941BB">
        <w:rPr>
          <w:rStyle w:val="FootnoteReference"/>
        </w:rPr>
        <w:footnoteRef/>
      </w:r>
      <w:r w:rsidRPr="008941BB">
        <w:rPr>
          <w:rStyle w:val="FootnoteReference"/>
        </w:rPr>
        <w:t xml:space="preserve"> </w:t>
      </w:r>
      <w:hyperlink r:id="rId1" w:history="1">
        <w:r w:rsidRPr="00AF43A4">
          <w:rPr>
            <w:rFonts w:ascii="Times New Roman" w:hAnsi="Times New Roman"/>
            <w:sz w:val="16"/>
            <w:szCs w:val="16"/>
          </w:rPr>
          <w:t>http://observatorio.ministeriodesarrollosocial.gob.cl/casen-multidimensional/casen/docs/CASEN_2015_Resultados_equidad_genero.pdf</w:t>
        </w:r>
      </w:hyperlink>
    </w:p>
  </w:footnote>
  <w:footnote w:id="9">
    <w:p w14:paraId="33C9E567" w14:textId="77777777" w:rsidR="007C591E" w:rsidRPr="0012749F" w:rsidRDefault="007C591E" w:rsidP="0059598B">
      <w:pPr>
        <w:pStyle w:val="FootnoteText"/>
        <w:rPr>
          <w:sz w:val="16"/>
          <w:szCs w:val="16"/>
        </w:rPr>
      </w:pPr>
      <w:r w:rsidRPr="008941BB">
        <w:rPr>
          <w:rStyle w:val="FootnoteReference"/>
        </w:rPr>
        <w:footnoteRef/>
      </w:r>
      <w:r w:rsidRPr="008941BB">
        <w:rPr>
          <w:rStyle w:val="FootnoteReference"/>
        </w:rPr>
        <w:t xml:space="preserve"> </w:t>
      </w:r>
      <w:hyperlink r:id="rId2" w:history="1">
        <w:r w:rsidRPr="0012749F">
          <w:rPr>
            <w:rFonts w:ascii="Times New Roman" w:hAnsi="Times New Roman"/>
            <w:sz w:val="16"/>
            <w:szCs w:val="16"/>
          </w:rPr>
          <w:t>http://historico.ine.cl/enut/files/principales_resultados/documento_resultados_ENUT.pdf</w:t>
        </w:r>
      </w:hyperlink>
    </w:p>
  </w:footnote>
  <w:footnote w:id="10">
    <w:p w14:paraId="63727C34" w14:textId="77777777" w:rsidR="007C591E" w:rsidRPr="00BF52F5" w:rsidRDefault="007C591E">
      <w:pPr>
        <w:pStyle w:val="FootnoteText"/>
        <w:rPr>
          <w:rFonts w:ascii="Times New Roman" w:hAnsi="Times New Roman"/>
          <w:sz w:val="16"/>
          <w:szCs w:val="16"/>
        </w:rPr>
      </w:pPr>
      <w:r w:rsidRPr="00BF52F5">
        <w:rPr>
          <w:rStyle w:val="FootnoteReference"/>
          <w:rFonts w:ascii="Times New Roman" w:hAnsi="Times New Roman"/>
          <w:sz w:val="16"/>
          <w:szCs w:val="16"/>
        </w:rPr>
        <w:footnoteRef/>
      </w:r>
      <w:r w:rsidRPr="00962FD3">
        <w:rPr>
          <w:rFonts w:ascii="Times New Roman" w:hAnsi="Times New Roman"/>
          <w:sz w:val="16"/>
          <w:szCs w:val="16"/>
        </w:rPr>
        <w:t xml:space="preserve"> </w:t>
      </w:r>
      <w:hyperlink r:id="rId3" w:history="1">
        <w:r w:rsidRPr="00BF52F5">
          <w:rPr>
            <w:rStyle w:val="Hyperlink"/>
            <w:rFonts w:ascii="Times New Roman" w:hAnsi="Times New Roman"/>
            <w:color w:val="auto"/>
            <w:sz w:val="16"/>
            <w:szCs w:val="16"/>
          </w:rPr>
          <w:t>http://observatorio.ministeriodesarrollosocial.gob.cl/casen-multidimensional/casen/docs/Informe_analisis_estadisticas_monitoreo-equidad_genero.pdf</w:t>
        </w:r>
      </w:hyperlink>
    </w:p>
  </w:footnote>
  <w:footnote w:id="11">
    <w:p w14:paraId="3A13C449" w14:textId="18C044C6" w:rsidR="007C591E" w:rsidRPr="00BF52F5" w:rsidRDefault="007C591E" w:rsidP="00BF52F5">
      <w:pPr>
        <w:pStyle w:val="EndnoteText"/>
        <w:shd w:val="clear" w:color="auto" w:fill="FFFFFF" w:themeFill="background1"/>
        <w:jc w:val="both"/>
        <w:rPr>
          <w:rFonts w:ascii="Times New Roman" w:hAnsi="Times New Roman" w:cs="Times New Roman"/>
          <w:sz w:val="16"/>
          <w:szCs w:val="16"/>
          <w:lang w:val="en-US"/>
        </w:rPr>
      </w:pPr>
      <w:r w:rsidRPr="00BF52F5">
        <w:rPr>
          <w:rStyle w:val="FootnoteReference"/>
          <w:rFonts w:ascii="Times New Roman" w:hAnsi="Times New Roman"/>
          <w:sz w:val="16"/>
          <w:szCs w:val="16"/>
        </w:rPr>
        <w:footnoteRef/>
      </w:r>
      <w:r>
        <w:rPr>
          <w:rFonts w:ascii="Times New Roman" w:hAnsi="Times New Roman" w:cs="Times New Roman"/>
          <w:sz w:val="16"/>
          <w:szCs w:val="16"/>
          <w:lang w:val="en-US"/>
        </w:rPr>
        <w:t xml:space="preserve"> </w:t>
      </w:r>
      <w:r w:rsidRPr="008941BB">
        <w:rPr>
          <w:rFonts w:ascii="Times New Roman" w:hAnsi="Times New Roman" w:cs="Times New Roman"/>
          <w:sz w:val="16"/>
          <w:szCs w:val="16"/>
          <w:lang w:val="en-US"/>
        </w:rPr>
        <w:t>Economic Commission for Latin America and the Caribbean</w:t>
      </w:r>
      <w:r>
        <w:rPr>
          <w:rFonts w:ascii="Times New Roman" w:hAnsi="Times New Roman" w:cs="Times New Roman"/>
          <w:sz w:val="16"/>
          <w:szCs w:val="16"/>
          <w:lang w:val="en-US"/>
        </w:rPr>
        <w:t xml:space="preserve"> (</w:t>
      </w:r>
      <w:r w:rsidRPr="00BF52F5">
        <w:rPr>
          <w:rFonts w:ascii="Times New Roman" w:hAnsi="Times New Roman" w:cs="Times New Roman"/>
          <w:sz w:val="16"/>
          <w:szCs w:val="16"/>
          <w:lang w:val="en-US"/>
        </w:rPr>
        <w:t>ELAC</w:t>
      </w:r>
      <w:r>
        <w:rPr>
          <w:rFonts w:ascii="Times New Roman" w:hAnsi="Times New Roman" w:cs="Times New Roman"/>
          <w:sz w:val="16"/>
          <w:szCs w:val="16"/>
          <w:lang w:val="en-US"/>
        </w:rPr>
        <w:t>) (2000).</w:t>
      </w:r>
      <w:r w:rsidRPr="00BF52F5">
        <w:rPr>
          <w:rFonts w:ascii="Times New Roman" w:hAnsi="Times New Roman" w:cs="Times New Roman"/>
          <w:sz w:val="16"/>
          <w:szCs w:val="16"/>
          <w:lang w:val="en-US"/>
        </w:rPr>
        <w:t xml:space="preserve"> The challenge of gender equity and human rights in the beginning of the 21st century</w:t>
      </w:r>
    </w:p>
  </w:footnote>
  <w:footnote w:id="12">
    <w:p w14:paraId="235E05DA" w14:textId="231B2AC9" w:rsidR="007C591E" w:rsidRPr="00896D58" w:rsidRDefault="007C591E" w:rsidP="000624AC">
      <w:pPr>
        <w:rPr>
          <w:sz w:val="16"/>
          <w:szCs w:val="16"/>
        </w:rPr>
      </w:pPr>
      <w:r w:rsidRPr="00980526">
        <w:rPr>
          <w:rStyle w:val="FootnoteReference"/>
          <w:sz w:val="16"/>
          <w:szCs w:val="16"/>
        </w:rPr>
        <w:footnoteRef/>
      </w:r>
      <w:r w:rsidRPr="003E3F7D">
        <w:rPr>
          <w:sz w:val="16"/>
          <w:szCs w:val="16"/>
        </w:rPr>
        <w:t xml:space="preserve"> UNDP (2017). </w:t>
      </w:r>
      <w:r>
        <w:rPr>
          <w:sz w:val="16"/>
          <w:szCs w:val="16"/>
        </w:rPr>
        <w:t>Unequals</w:t>
      </w:r>
    </w:p>
  </w:footnote>
  <w:footnote w:id="13">
    <w:p w14:paraId="69135429" w14:textId="6445261A" w:rsidR="007C591E" w:rsidRPr="009840B9" w:rsidRDefault="007C591E" w:rsidP="000624AC">
      <w:pPr>
        <w:pStyle w:val="FootnoteText"/>
        <w:rPr>
          <w:rFonts w:ascii="Times New Roman" w:hAnsi="Times New Roman"/>
          <w:sz w:val="16"/>
          <w:szCs w:val="16"/>
        </w:rPr>
      </w:pPr>
      <w:r w:rsidRPr="008941BB">
        <w:rPr>
          <w:rStyle w:val="FootnoteReference"/>
          <w:rFonts w:ascii="Times New Roman" w:hAnsi="Times New Roman"/>
          <w:sz w:val="16"/>
          <w:szCs w:val="16"/>
        </w:rPr>
        <w:footnoteRef/>
      </w:r>
      <w:r w:rsidRPr="008941BB">
        <w:rPr>
          <w:rStyle w:val="FootnoteReference"/>
          <w:rFonts w:ascii="Times New Roman" w:hAnsi="Times New Roman"/>
        </w:rPr>
        <w:t xml:space="preserve"> </w:t>
      </w:r>
      <w:r w:rsidRPr="009D36CF">
        <w:rPr>
          <w:rFonts w:ascii="Times New Roman" w:hAnsi="Times New Roman"/>
          <w:sz w:val="16"/>
          <w:szCs w:val="16"/>
        </w:rPr>
        <w:t xml:space="preserve">OECD (2017). </w:t>
      </w:r>
      <w:r w:rsidRPr="009840B9">
        <w:rPr>
          <w:rFonts w:ascii="Times New Roman" w:hAnsi="Times New Roman"/>
          <w:sz w:val="16"/>
          <w:szCs w:val="16"/>
        </w:rPr>
        <w:t>Gaps and governance standards of public infrastructure in Chile</w:t>
      </w:r>
    </w:p>
  </w:footnote>
  <w:footnote w:id="14">
    <w:p w14:paraId="25908C2D" w14:textId="4BD39F6B" w:rsidR="007C591E" w:rsidRPr="00216EA2" w:rsidRDefault="007C591E" w:rsidP="000624AC">
      <w:pPr>
        <w:pStyle w:val="FootnoteText"/>
        <w:rPr>
          <w:rFonts w:ascii="Times New Roman" w:hAnsi="Times New Roman"/>
          <w:sz w:val="16"/>
          <w:szCs w:val="16"/>
        </w:rPr>
      </w:pPr>
      <w:r w:rsidRPr="009840B9">
        <w:rPr>
          <w:rStyle w:val="FootnoteReference"/>
          <w:rFonts w:ascii="Times New Roman" w:hAnsi="Times New Roman"/>
          <w:sz w:val="16"/>
          <w:szCs w:val="16"/>
        </w:rPr>
        <w:footnoteRef/>
      </w:r>
      <w:r w:rsidRPr="000624AC">
        <w:rPr>
          <w:rFonts w:ascii="Times New Roman" w:hAnsi="Times New Roman"/>
          <w:sz w:val="16"/>
          <w:szCs w:val="16"/>
        </w:rPr>
        <w:t xml:space="preserve"> UNDP (2016). </w:t>
      </w:r>
      <w:r w:rsidRPr="00216EA2">
        <w:rPr>
          <w:rFonts w:ascii="Times New Roman" w:hAnsi="Times New Roman"/>
          <w:sz w:val="16"/>
          <w:szCs w:val="16"/>
        </w:rPr>
        <w:t>IV</w:t>
      </w:r>
      <w:r>
        <w:rPr>
          <w:rFonts w:ascii="Times New Roman" w:hAnsi="Times New Roman"/>
          <w:sz w:val="16"/>
          <w:szCs w:val="16"/>
        </w:rPr>
        <w:t xml:space="preserve"> Democracy Audit</w:t>
      </w:r>
    </w:p>
  </w:footnote>
  <w:footnote w:id="15">
    <w:p w14:paraId="355E67AD" w14:textId="10979BE6" w:rsidR="007C591E" w:rsidRPr="00216EA2" w:rsidRDefault="007C591E" w:rsidP="000624AC">
      <w:pPr>
        <w:pStyle w:val="FootnoteText"/>
        <w:rPr>
          <w:rFonts w:ascii="Times New Roman" w:hAnsi="Times New Roman"/>
          <w:sz w:val="16"/>
          <w:szCs w:val="16"/>
        </w:rPr>
      </w:pPr>
      <w:r w:rsidRPr="001871AC">
        <w:rPr>
          <w:rStyle w:val="FootnoteReference"/>
          <w:rFonts w:ascii="Times New Roman" w:hAnsi="Times New Roman"/>
          <w:sz w:val="16"/>
          <w:szCs w:val="16"/>
        </w:rPr>
        <w:footnoteRef/>
      </w:r>
      <w:r w:rsidRPr="000624AC">
        <w:rPr>
          <w:rFonts w:ascii="Times New Roman" w:hAnsi="Times New Roman"/>
          <w:sz w:val="16"/>
          <w:szCs w:val="16"/>
        </w:rPr>
        <w:t xml:space="preserve"> UNDP (2017). </w:t>
      </w:r>
      <w:r>
        <w:rPr>
          <w:rFonts w:ascii="Times New Roman" w:hAnsi="Times New Roman"/>
          <w:sz w:val="16"/>
          <w:szCs w:val="16"/>
        </w:rPr>
        <w:t>E</w:t>
      </w:r>
      <w:r w:rsidRPr="00216EA2">
        <w:rPr>
          <w:rFonts w:ascii="Times New Roman" w:hAnsi="Times New Roman"/>
          <w:sz w:val="16"/>
          <w:szCs w:val="16"/>
        </w:rPr>
        <w:t>lectoral participation in Chile</w:t>
      </w:r>
    </w:p>
  </w:footnote>
  <w:footnote w:id="16">
    <w:p w14:paraId="01BC1CB6" w14:textId="234479BC" w:rsidR="007C591E" w:rsidRPr="000624AC" w:rsidRDefault="007C591E" w:rsidP="000624AC">
      <w:pPr>
        <w:pStyle w:val="FootnoteText"/>
        <w:rPr>
          <w:rFonts w:ascii="Times New Roman" w:hAnsi="Times New Roman"/>
          <w:sz w:val="16"/>
          <w:szCs w:val="16"/>
        </w:rPr>
      </w:pPr>
      <w:r w:rsidRPr="001871AC">
        <w:rPr>
          <w:rStyle w:val="FootnoteReference"/>
          <w:rFonts w:ascii="Times New Roman" w:hAnsi="Times New Roman"/>
          <w:sz w:val="16"/>
          <w:szCs w:val="16"/>
        </w:rPr>
        <w:footnoteRef/>
      </w:r>
      <w:r w:rsidRPr="00216EA2">
        <w:rPr>
          <w:rFonts w:ascii="Times New Roman" w:hAnsi="Times New Roman"/>
          <w:sz w:val="16"/>
          <w:szCs w:val="16"/>
        </w:rPr>
        <w:t xml:space="preserve"> National Council on Citizen Participation. </w:t>
      </w:r>
      <w:r w:rsidRPr="000624AC">
        <w:rPr>
          <w:rFonts w:ascii="Times New Roman" w:hAnsi="Times New Roman"/>
          <w:sz w:val="16"/>
          <w:szCs w:val="16"/>
        </w:rPr>
        <w:t>(2017). The state of</w:t>
      </w:r>
      <w:r>
        <w:rPr>
          <w:rFonts w:ascii="Times New Roman" w:hAnsi="Times New Roman"/>
          <w:sz w:val="16"/>
          <w:szCs w:val="16"/>
        </w:rPr>
        <w:t xml:space="preserve"> citizen participation in Chile</w:t>
      </w:r>
    </w:p>
  </w:footnote>
  <w:footnote w:id="17">
    <w:p w14:paraId="28A622D3" w14:textId="14FED719" w:rsidR="007C591E" w:rsidRPr="004A6F46" w:rsidRDefault="007C591E" w:rsidP="000624AC">
      <w:pPr>
        <w:rPr>
          <w:sz w:val="16"/>
          <w:szCs w:val="16"/>
        </w:rPr>
      </w:pPr>
      <w:r w:rsidRPr="004A6F46">
        <w:rPr>
          <w:rStyle w:val="FootnoteReference"/>
          <w:sz w:val="16"/>
          <w:szCs w:val="16"/>
        </w:rPr>
        <w:footnoteRef/>
      </w:r>
      <w:r w:rsidRPr="004A6F46">
        <w:rPr>
          <w:sz w:val="16"/>
          <w:szCs w:val="16"/>
        </w:rPr>
        <w:t xml:space="preserve"> UNDP (2018). Political representation of women in the legislature </w:t>
      </w:r>
    </w:p>
  </w:footnote>
  <w:footnote w:id="18">
    <w:p w14:paraId="0892AEAF" w14:textId="77777777" w:rsidR="007C591E" w:rsidRPr="004A6F46" w:rsidRDefault="007C591E" w:rsidP="000624AC">
      <w:pPr>
        <w:pStyle w:val="FootnoteText"/>
        <w:rPr>
          <w:rFonts w:ascii="Times New Roman" w:hAnsi="Times New Roman"/>
          <w:sz w:val="16"/>
          <w:szCs w:val="16"/>
        </w:rPr>
      </w:pPr>
      <w:r w:rsidRPr="008941BB">
        <w:rPr>
          <w:rStyle w:val="FootnoteReference"/>
        </w:rPr>
        <w:footnoteRef/>
      </w:r>
      <w:r w:rsidRPr="008941BB">
        <w:rPr>
          <w:rStyle w:val="FootnoteReference"/>
        </w:rPr>
        <w:t xml:space="preserve"> </w:t>
      </w:r>
      <w:hyperlink r:id="rId4" w:history="1">
        <w:r w:rsidRPr="004A6F46">
          <w:rPr>
            <w:rFonts w:ascii="Times New Roman" w:hAnsi="Times New Roman"/>
            <w:sz w:val="16"/>
            <w:szCs w:val="16"/>
          </w:rPr>
          <w:t>http://www.dipres.gob.cl/598/articles-176466_doc_pdf.pdf</w:t>
        </w:r>
      </w:hyperlink>
    </w:p>
  </w:footnote>
  <w:footnote w:id="19">
    <w:p w14:paraId="7E441243" w14:textId="7D855AF9" w:rsidR="007C591E" w:rsidRPr="004A6F46" w:rsidRDefault="007C591E" w:rsidP="000624AC">
      <w:pPr>
        <w:pStyle w:val="FootnoteText"/>
        <w:rPr>
          <w:rFonts w:ascii="Times New Roman" w:hAnsi="Times New Roman"/>
          <w:sz w:val="16"/>
          <w:szCs w:val="16"/>
          <w:lang w:val="es-CL"/>
        </w:rPr>
      </w:pPr>
      <w:r w:rsidRPr="004D0EFA">
        <w:rPr>
          <w:rStyle w:val="FootnoteReference"/>
          <w:rFonts w:ascii="Times New Roman" w:hAnsi="Times New Roman"/>
          <w:sz w:val="16"/>
          <w:szCs w:val="16"/>
        </w:rPr>
        <w:footnoteRef/>
      </w:r>
      <w:r w:rsidRPr="004D0EFA">
        <w:rPr>
          <w:rStyle w:val="FootnoteReference"/>
          <w:rFonts w:ascii="Times New Roman" w:hAnsi="Times New Roman"/>
          <w:sz w:val="16"/>
          <w:szCs w:val="16"/>
        </w:rPr>
        <w:t xml:space="preserve"> </w:t>
      </w:r>
      <w:hyperlink r:id="rId5" w:history="1">
        <w:r w:rsidRPr="004A6F46">
          <w:rPr>
            <w:rFonts w:ascii="Times New Roman" w:hAnsi="Times New Roman"/>
            <w:sz w:val="16"/>
            <w:szCs w:val="16"/>
            <w:lang w:val="es-CL"/>
          </w:rPr>
          <w:t>https://www.censo2017.cl</w:t>
        </w:r>
      </w:hyperlink>
      <w:r w:rsidRPr="004A6F46">
        <w:rPr>
          <w:rFonts w:ascii="Times New Roman" w:hAnsi="Times New Roman"/>
          <w:sz w:val="16"/>
          <w:szCs w:val="16"/>
          <w:lang w:val="es-CL"/>
        </w:rPr>
        <w:t xml:space="preserve"> </w:t>
      </w:r>
    </w:p>
  </w:footnote>
  <w:footnote w:id="20">
    <w:p w14:paraId="147D985E" w14:textId="77777777" w:rsidR="007C591E" w:rsidRPr="004A6F46" w:rsidRDefault="007C591E">
      <w:pPr>
        <w:pStyle w:val="FootnoteText"/>
        <w:rPr>
          <w:rFonts w:ascii="Times New Roman" w:hAnsi="Times New Roman"/>
          <w:sz w:val="16"/>
          <w:szCs w:val="16"/>
        </w:rPr>
      </w:pPr>
      <w:r w:rsidRPr="004A6F46">
        <w:rPr>
          <w:rStyle w:val="FootnoteReference"/>
          <w:rFonts w:ascii="Times New Roman" w:hAnsi="Times New Roman"/>
          <w:sz w:val="16"/>
          <w:szCs w:val="16"/>
        </w:rPr>
        <w:footnoteRef/>
      </w:r>
      <w:r w:rsidRPr="00C4319B">
        <w:rPr>
          <w:rFonts w:ascii="Times New Roman" w:hAnsi="Times New Roman"/>
          <w:sz w:val="16"/>
          <w:lang w:val="es-CL"/>
        </w:rPr>
        <w:t xml:space="preserve"> OECD (2018). </w:t>
      </w:r>
      <w:r w:rsidRPr="004A6F46">
        <w:rPr>
          <w:rFonts w:ascii="Times New Roman" w:hAnsi="Times New Roman"/>
          <w:sz w:val="16"/>
          <w:szCs w:val="16"/>
        </w:rPr>
        <w:t>Production Transformation Policy Review of Chile. OECD Development Pathways</w:t>
      </w:r>
    </w:p>
  </w:footnote>
  <w:footnote w:id="21">
    <w:p w14:paraId="25DAA52D" w14:textId="6D409CF1" w:rsidR="007C591E" w:rsidRPr="00216EA2" w:rsidRDefault="007C591E" w:rsidP="000624AC">
      <w:pPr>
        <w:rPr>
          <w:sz w:val="16"/>
          <w:szCs w:val="16"/>
        </w:rPr>
      </w:pPr>
      <w:r w:rsidRPr="005D58DA">
        <w:rPr>
          <w:rStyle w:val="FootnoteReference"/>
          <w:sz w:val="16"/>
          <w:szCs w:val="16"/>
        </w:rPr>
        <w:footnoteRef/>
      </w:r>
      <w:r w:rsidRPr="000624AC">
        <w:rPr>
          <w:sz w:val="16"/>
          <w:szCs w:val="16"/>
        </w:rPr>
        <w:t xml:space="preserve"> </w:t>
      </w:r>
      <w:r>
        <w:rPr>
          <w:sz w:val="16"/>
          <w:szCs w:val="16"/>
        </w:rPr>
        <w:t>National Forest Corporation</w:t>
      </w:r>
      <w:r w:rsidRPr="000624AC">
        <w:rPr>
          <w:sz w:val="16"/>
          <w:szCs w:val="16"/>
        </w:rPr>
        <w:t xml:space="preserve"> (2016). </w:t>
      </w:r>
      <w:r w:rsidRPr="00216EA2">
        <w:rPr>
          <w:sz w:val="16"/>
          <w:szCs w:val="16"/>
        </w:rPr>
        <w:t xml:space="preserve">National Strategy on Climate Change and Vegetation Resources (2017-2025) </w:t>
      </w:r>
    </w:p>
  </w:footnote>
  <w:footnote w:id="22">
    <w:p w14:paraId="4FFF8870" w14:textId="77777777" w:rsidR="007C591E" w:rsidRPr="00C721B3" w:rsidRDefault="007C591E" w:rsidP="000624AC">
      <w:pPr>
        <w:rPr>
          <w:sz w:val="16"/>
          <w:szCs w:val="16"/>
          <w:lang w:val="es-MX"/>
        </w:rPr>
      </w:pPr>
      <w:r w:rsidRPr="00C721B3">
        <w:rPr>
          <w:rStyle w:val="FootnoteReference"/>
          <w:sz w:val="16"/>
          <w:szCs w:val="16"/>
        </w:rPr>
        <w:footnoteRef/>
      </w:r>
      <w:r w:rsidRPr="00AA5C74">
        <w:rPr>
          <w:sz w:val="16"/>
          <w:szCs w:val="16"/>
        </w:rPr>
        <w:t xml:space="preserve"> Ministry of Economy and Ministry of </w:t>
      </w:r>
      <w:r>
        <w:rPr>
          <w:sz w:val="16"/>
          <w:szCs w:val="16"/>
        </w:rPr>
        <w:t xml:space="preserve">Environment </w:t>
      </w:r>
      <w:r w:rsidRPr="00AA5C74">
        <w:rPr>
          <w:sz w:val="16"/>
          <w:szCs w:val="16"/>
        </w:rPr>
        <w:t xml:space="preserve">(2016). </w:t>
      </w:r>
      <w:r w:rsidRPr="00C721B3">
        <w:rPr>
          <w:sz w:val="16"/>
          <w:szCs w:val="16"/>
          <w:lang w:val="es-MX"/>
        </w:rPr>
        <w:t>Plan de adaptación al cambio climático pesca y acuicultura</w:t>
      </w:r>
    </w:p>
  </w:footnote>
  <w:footnote w:id="23">
    <w:p w14:paraId="19220968" w14:textId="77777777" w:rsidR="007C591E" w:rsidRPr="00AA5C74" w:rsidRDefault="007C591E" w:rsidP="000624AC">
      <w:pPr>
        <w:pStyle w:val="FootnoteText"/>
        <w:rPr>
          <w:rFonts w:ascii="Times New Roman" w:hAnsi="Times New Roman"/>
        </w:rPr>
      </w:pPr>
      <w:r w:rsidRPr="00C721B3">
        <w:rPr>
          <w:rStyle w:val="FootnoteReference"/>
          <w:rFonts w:ascii="Times New Roman" w:hAnsi="Times New Roman"/>
          <w:sz w:val="16"/>
          <w:szCs w:val="16"/>
        </w:rPr>
        <w:footnoteRef/>
      </w:r>
      <w:r w:rsidRPr="00AA5C74">
        <w:rPr>
          <w:rFonts w:ascii="Times New Roman" w:hAnsi="Times New Roman"/>
          <w:sz w:val="16"/>
          <w:szCs w:val="16"/>
        </w:rPr>
        <w:t xml:space="preserve"> Independent </w:t>
      </w:r>
      <w:r>
        <w:rPr>
          <w:rFonts w:ascii="Times New Roman" w:hAnsi="Times New Roman"/>
          <w:sz w:val="16"/>
          <w:szCs w:val="16"/>
        </w:rPr>
        <w:t>Evaluation</w:t>
      </w:r>
      <w:r w:rsidRPr="00AA5C74">
        <w:rPr>
          <w:rFonts w:ascii="Times New Roman" w:hAnsi="Times New Roman"/>
          <w:sz w:val="16"/>
          <w:szCs w:val="16"/>
        </w:rPr>
        <w:t xml:space="preserve"> of Country Program</w:t>
      </w:r>
      <w:r>
        <w:rPr>
          <w:rFonts w:ascii="Times New Roman" w:hAnsi="Times New Roman"/>
          <w:sz w:val="16"/>
          <w:szCs w:val="16"/>
        </w:rPr>
        <w:t>me</w:t>
      </w:r>
      <w:r w:rsidRPr="00AA5C74">
        <w:rPr>
          <w:rFonts w:ascii="Times New Roman" w:hAnsi="Times New Roman"/>
          <w:sz w:val="16"/>
          <w:szCs w:val="16"/>
        </w:rPr>
        <w:t>, UNDP, OIE 2017</w:t>
      </w:r>
    </w:p>
  </w:footnote>
  <w:footnote w:id="24">
    <w:p w14:paraId="49CF90A8" w14:textId="28AFDB86" w:rsidR="007C591E" w:rsidRPr="00E47121" w:rsidRDefault="007C591E" w:rsidP="000624AC">
      <w:pPr>
        <w:pStyle w:val="FootnoteText"/>
        <w:rPr>
          <w:rFonts w:ascii="Times New Roman" w:hAnsi="Times New Roman"/>
          <w:sz w:val="16"/>
          <w:szCs w:val="16"/>
        </w:rPr>
      </w:pPr>
      <w:r w:rsidRPr="00567888">
        <w:rPr>
          <w:rStyle w:val="FootnoteReference"/>
          <w:rFonts w:ascii="Times New Roman" w:hAnsi="Times New Roman"/>
          <w:sz w:val="16"/>
          <w:szCs w:val="16"/>
        </w:rPr>
        <w:footnoteRef/>
      </w:r>
      <w:r w:rsidRPr="00D80A86">
        <w:rPr>
          <w:rFonts w:ascii="Times New Roman" w:hAnsi="Times New Roman"/>
          <w:sz w:val="16"/>
          <w:szCs w:val="16"/>
          <w:lang w:val="pt-BR"/>
        </w:rPr>
        <w:t xml:space="preserve"> </w:t>
      </w:r>
      <w:r w:rsidRPr="008941BB">
        <w:rPr>
          <w:rFonts w:ascii="Times New Roman" w:hAnsi="Times New Roman"/>
          <w:sz w:val="16"/>
          <w:szCs w:val="16"/>
        </w:rPr>
        <w:t>International Aid Transparency Initiative</w:t>
      </w:r>
      <w:r w:rsidRPr="00E47121">
        <w:rPr>
          <w:rFonts w:ascii="Times New Roman" w:hAnsi="Times New Roman"/>
          <w:sz w:val="16"/>
          <w:szCs w:val="16"/>
        </w:rPr>
        <w:t xml:space="preserve"> (2018) </w:t>
      </w:r>
      <w:hyperlink r:id="rId6" w:history="1">
        <w:r w:rsidRPr="00E47121">
          <w:rPr>
            <w:rFonts w:ascii="Times New Roman" w:hAnsi="Times New Roman"/>
            <w:sz w:val="16"/>
            <w:szCs w:val="16"/>
          </w:rPr>
          <w:t>https://www.aidtransparency.net</w:t>
        </w:r>
      </w:hyperlink>
      <w:r w:rsidRPr="00E47121">
        <w:rPr>
          <w:rFonts w:ascii="Times New Roman" w:hAnsi="Times New Roman"/>
          <w:sz w:val="16"/>
          <w:szCs w:val="16"/>
        </w:rPr>
        <w:t xml:space="preserve"> </w:t>
      </w:r>
    </w:p>
  </w:footnote>
  <w:footnote w:id="25">
    <w:p w14:paraId="6B3E5835" w14:textId="482890A1" w:rsidR="00E4204C" w:rsidRDefault="00E4204C">
      <w:pPr>
        <w:pStyle w:val="FootnoteText"/>
      </w:pPr>
      <w:r w:rsidRPr="00BA3ACF">
        <w:rPr>
          <w:rStyle w:val="FootnoteReference"/>
          <w:rFonts w:ascii="Times New Roman" w:hAnsi="Times New Roman"/>
          <w:sz w:val="16"/>
          <w:szCs w:val="16"/>
        </w:rPr>
        <w:footnoteRef/>
      </w:r>
      <w:r w:rsidRPr="00BA3ACF">
        <w:rPr>
          <w:rStyle w:val="FootnoteReference"/>
          <w:rFonts w:ascii="Times New Roman" w:hAnsi="Times New Roman"/>
          <w:sz w:val="16"/>
          <w:szCs w:val="16"/>
        </w:rPr>
        <w:t xml:space="preserve"> </w:t>
      </w:r>
      <w:r w:rsidRPr="00AA5C74">
        <w:rPr>
          <w:rFonts w:ascii="Times New Roman" w:hAnsi="Times New Roman"/>
          <w:sz w:val="16"/>
          <w:szCs w:val="16"/>
        </w:rPr>
        <w:t xml:space="preserve">Independent </w:t>
      </w:r>
      <w:r w:rsidR="00BA3ACF">
        <w:rPr>
          <w:rFonts w:ascii="Times New Roman" w:hAnsi="Times New Roman"/>
          <w:sz w:val="16"/>
          <w:szCs w:val="16"/>
        </w:rPr>
        <w:t>e</w:t>
      </w:r>
      <w:r>
        <w:rPr>
          <w:rFonts w:ascii="Times New Roman" w:hAnsi="Times New Roman"/>
          <w:sz w:val="16"/>
          <w:szCs w:val="16"/>
        </w:rPr>
        <w:t>valuation</w:t>
      </w:r>
      <w:r w:rsidR="00BA3ACF">
        <w:rPr>
          <w:rFonts w:ascii="Times New Roman" w:hAnsi="Times New Roman"/>
          <w:sz w:val="16"/>
          <w:szCs w:val="16"/>
        </w:rPr>
        <w:t xml:space="preserve"> of the country p</w:t>
      </w:r>
      <w:r w:rsidRPr="00AA5C74">
        <w:rPr>
          <w:rFonts w:ascii="Times New Roman" w:hAnsi="Times New Roman"/>
          <w:sz w:val="16"/>
          <w:szCs w:val="16"/>
        </w:rPr>
        <w:t>rogram</w:t>
      </w:r>
      <w:r>
        <w:rPr>
          <w:rFonts w:ascii="Times New Roman" w:hAnsi="Times New Roman"/>
          <w:sz w:val="16"/>
          <w:szCs w:val="16"/>
        </w:rPr>
        <w:t>me</w:t>
      </w:r>
      <w:r w:rsidRPr="00AA5C74">
        <w:rPr>
          <w:rFonts w:ascii="Times New Roman" w:hAnsi="Times New Roman"/>
          <w:sz w:val="16"/>
          <w:szCs w:val="16"/>
        </w:rPr>
        <w:t xml:space="preserve">, UNDP, </w:t>
      </w:r>
      <w:r w:rsidR="00BA3ACF">
        <w:rPr>
          <w:rFonts w:ascii="Times New Roman" w:hAnsi="Times New Roman"/>
          <w:sz w:val="16"/>
          <w:szCs w:val="16"/>
        </w:rPr>
        <w:t>Independent Evaluation Office,</w:t>
      </w:r>
      <w:r w:rsidRPr="00AA5C74">
        <w:rPr>
          <w:rFonts w:ascii="Times New Roman" w:hAnsi="Times New Roman"/>
          <w:sz w:val="16"/>
          <w:szCs w:val="16"/>
        </w:rP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C591E" w:rsidRPr="002F07A9" w14:paraId="7B330C2A" w14:textId="77777777" w:rsidTr="004836EC">
      <w:trPr>
        <w:trHeight w:hRule="exact" w:val="864"/>
      </w:trPr>
      <w:tc>
        <w:tcPr>
          <w:tcW w:w="4838" w:type="dxa"/>
          <w:tcBorders>
            <w:bottom w:val="single" w:sz="4" w:space="0" w:color="auto"/>
          </w:tcBorders>
          <w:vAlign w:val="bottom"/>
        </w:tcPr>
        <w:p w14:paraId="5D0E0759" w14:textId="77777777" w:rsidR="007C591E" w:rsidRPr="002F07A9" w:rsidRDefault="007C591E" w:rsidP="00883277">
          <w:pPr>
            <w:widowControl w:val="0"/>
            <w:tabs>
              <w:tab w:val="center" w:pos="4320"/>
              <w:tab w:val="right" w:pos="8640"/>
            </w:tabs>
            <w:spacing w:after="80"/>
            <w:ind w:left="-1838" w:firstLine="1838"/>
            <w:rPr>
              <w:b/>
              <w:sz w:val="17"/>
              <w:szCs w:val="17"/>
            </w:rPr>
          </w:pPr>
          <w:r w:rsidRPr="002F07A9">
            <w:rPr>
              <w:b/>
              <w:sz w:val="17"/>
              <w:szCs w:val="17"/>
            </w:rPr>
            <w:t>DP/DCP</w:t>
          </w:r>
          <w:r>
            <w:rPr>
              <w:b/>
              <w:sz w:val="17"/>
              <w:szCs w:val="17"/>
            </w:rPr>
            <w:t>/</w:t>
          </w:r>
        </w:p>
      </w:tc>
      <w:tc>
        <w:tcPr>
          <w:tcW w:w="5047" w:type="dxa"/>
          <w:tcBorders>
            <w:bottom w:val="single" w:sz="4" w:space="0" w:color="auto"/>
          </w:tcBorders>
          <w:vAlign w:val="bottom"/>
        </w:tcPr>
        <w:p w14:paraId="7E3CBD31" w14:textId="77777777" w:rsidR="007C591E" w:rsidRPr="002F07A9" w:rsidRDefault="007C591E" w:rsidP="00883277">
          <w:pPr>
            <w:widowControl w:val="0"/>
            <w:tabs>
              <w:tab w:val="center" w:pos="4320"/>
              <w:tab w:val="right" w:pos="8640"/>
            </w:tabs>
            <w:rPr>
              <w:sz w:val="17"/>
              <w:szCs w:val="17"/>
            </w:rPr>
          </w:pPr>
        </w:p>
      </w:tc>
    </w:tr>
  </w:tbl>
  <w:p w14:paraId="7066A1C3" w14:textId="77777777" w:rsidR="007C591E" w:rsidRDefault="007C591E" w:rsidP="00883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C591E" w:rsidRPr="00E477B7" w14:paraId="65164A15" w14:textId="77777777" w:rsidTr="00207494">
      <w:trPr>
        <w:trHeight w:hRule="exact" w:val="864"/>
      </w:trPr>
      <w:tc>
        <w:tcPr>
          <w:tcW w:w="4838" w:type="dxa"/>
          <w:tcBorders>
            <w:bottom w:val="single" w:sz="4" w:space="0" w:color="auto"/>
          </w:tcBorders>
          <w:vAlign w:val="bottom"/>
        </w:tcPr>
        <w:p w14:paraId="623596C7" w14:textId="77777777" w:rsidR="007C591E" w:rsidRPr="00E477B7" w:rsidRDefault="007C591E" w:rsidP="00E477B7">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CE62B42" w14:textId="77777777" w:rsidR="007C591E" w:rsidRPr="00E477B7" w:rsidRDefault="007C591E" w:rsidP="00E477B7">
          <w:pPr>
            <w:widowControl w:val="0"/>
            <w:tabs>
              <w:tab w:val="center" w:pos="4320"/>
              <w:tab w:val="right" w:pos="8640"/>
            </w:tabs>
            <w:jc w:val="right"/>
            <w:rPr>
              <w:sz w:val="17"/>
              <w:szCs w:val="17"/>
            </w:rPr>
          </w:pPr>
          <w:r w:rsidRPr="00E477B7">
            <w:rPr>
              <w:b/>
              <w:sz w:val="17"/>
              <w:szCs w:val="17"/>
            </w:rPr>
            <w:t>DP/DCP/C</w:t>
          </w:r>
          <w:r>
            <w:rPr>
              <w:b/>
              <w:sz w:val="17"/>
              <w:szCs w:val="17"/>
            </w:rPr>
            <w:t>HL</w:t>
          </w:r>
          <w:r w:rsidRPr="00E477B7">
            <w:rPr>
              <w:b/>
              <w:sz w:val="17"/>
              <w:szCs w:val="17"/>
            </w:rPr>
            <w:t>/</w:t>
          </w:r>
          <w:r>
            <w:rPr>
              <w:b/>
              <w:sz w:val="17"/>
              <w:szCs w:val="17"/>
            </w:rPr>
            <w:t>4</w:t>
          </w:r>
        </w:p>
      </w:tc>
    </w:tr>
  </w:tbl>
  <w:p w14:paraId="2324EFEE" w14:textId="77777777" w:rsidR="007C591E" w:rsidRPr="00916E69" w:rsidRDefault="007C591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C591E" w:rsidRPr="00E477B7" w14:paraId="1AF13FCD" w14:textId="77777777" w:rsidTr="00E477B7">
      <w:trPr>
        <w:trHeight w:hRule="exact" w:val="864"/>
      </w:trPr>
      <w:tc>
        <w:tcPr>
          <w:tcW w:w="1267" w:type="dxa"/>
          <w:tcBorders>
            <w:bottom w:val="single" w:sz="4" w:space="0" w:color="auto"/>
          </w:tcBorders>
          <w:shd w:val="clear" w:color="auto" w:fill="auto"/>
          <w:vAlign w:val="bottom"/>
        </w:tcPr>
        <w:p w14:paraId="285C1269" w14:textId="77777777" w:rsidR="007C591E" w:rsidRPr="00E477B7" w:rsidRDefault="007C591E" w:rsidP="00E477B7">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6F3B0FDF" w14:textId="77777777" w:rsidR="007C591E" w:rsidRPr="00E477B7" w:rsidRDefault="007C591E" w:rsidP="00E477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E477B7">
            <w:rPr>
              <w:spacing w:val="2"/>
              <w:w w:val="96"/>
              <w:kern w:val="14"/>
              <w:sz w:val="28"/>
              <w:lang w:val="en-GB"/>
            </w:rPr>
            <w:t>United Nations</w:t>
          </w:r>
        </w:p>
      </w:tc>
      <w:tc>
        <w:tcPr>
          <w:tcW w:w="245" w:type="dxa"/>
          <w:tcBorders>
            <w:bottom w:val="single" w:sz="4" w:space="0" w:color="auto"/>
          </w:tcBorders>
          <w:shd w:val="clear" w:color="auto" w:fill="auto"/>
          <w:vAlign w:val="bottom"/>
        </w:tcPr>
        <w:p w14:paraId="47DCD406" w14:textId="77777777" w:rsidR="007C591E" w:rsidRPr="00E477B7" w:rsidRDefault="007C591E" w:rsidP="00E477B7">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7DBEC750" w14:textId="77777777" w:rsidR="007C591E" w:rsidRPr="00E477B7" w:rsidRDefault="007C591E" w:rsidP="00E477B7">
          <w:pPr>
            <w:suppressAutoHyphens/>
            <w:spacing w:after="80"/>
            <w:jc w:val="right"/>
            <w:rPr>
              <w:spacing w:val="4"/>
              <w:w w:val="103"/>
              <w:kern w:val="14"/>
              <w:position w:val="-4"/>
              <w:lang w:val="en-GB"/>
            </w:rPr>
          </w:pPr>
          <w:r w:rsidRPr="00E477B7">
            <w:rPr>
              <w:spacing w:val="4"/>
              <w:w w:val="103"/>
              <w:kern w:val="14"/>
              <w:position w:val="-4"/>
              <w:sz w:val="40"/>
              <w:lang w:val="en-GB"/>
            </w:rPr>
            <w:t>DP</w:t>
          </w:r>
          <w:r w:rsidRPr="00E477B7">
            <w:rPr>
              <w:spacing w:val="4"/>
              <w:w w:val="103"/>
              <w:kern w:val="14"/>
              <w:position w:val="-4"/>
              <w:lang w:val="en-GB"/>
            </w:rPr>
            <w:t>/DCP/C</w:t>
          </w:r>
          <w:r>
            <w:rPr>
              <w:spacing w:val="4"/>
              <w:w w:val="103"/>
              <w:kern w:val="14"/>
              <w:position w:val="-4"/>
              <w:lang w:val="en-GB"/>
            </w:rPr>
            <w:t>HL</w:t>
          </w:r>
          <w:r w:rsidRPr="00E477B7">
            <w:rPr>
              <w:spacing w:val="4"/>
              <w:w w:val="103"/>
              <w:kern w:val="14"/>
              <w:position w:val="-4"/>
              <w:lang w:val="en-GB"/>
            </w:rPr>
            <w:t>/</w:t>
          </w:r>
          <w:r>
            <w:rPr>
              <w:spacing w:val="4"/>
              <w:w w:val="103"/>
              <w:kern w:val="14"/>
              <w:position w:val="-4"/>
              <w:lang w:val="en-GB"/>
            </w:rPr>
            <w:t>4</w:t>
          </w:r>
        </w:p>
      </w:tc>
    </w:tr>
    <w:tr w:rsidR="007C591E" w:rsidRPr="00E477B7" w14:paraId="76386A63" w14:textId="77777777" w:rsidTr="00E477B7">
      <w:trPr>
        <w:gridAfter w:val="1"/>
        <w:wAfter w:w="28" w:type="dxa"/>
        <w:trHeight w:hRule="exact" w:val="2880"/>
      </w:trPr>
      <w:tc>
        <w:tcPr>
          <w:tcW w:w="1267" w:type="dxa"/>
          <w:tcBorders>
            <w:top w:val="single" w:sz="4" w:space="0" w:color="auto"/>
            <w:bottom w:val="single" w:sz="12" w:space="0" w:color="auto"/>
          </w:tcBorders>
          <w:shd w:val="clear" w:color="auto" w:fill="auto"/>
        </w:tcPr>
        <w:p w14:paraId="34295924" w14:textId="77777777" w:rsidR="007C591E" w:rsidRPr="00E477B7" w:rsidRDefault="007C591E" w:rsidP="00E477B7">
          <w:pPr>
            <w:tabs>
              <w:tab w:val="center" w:pos="4320"/>
              <w:tab w:val="right" w:pos="8640"/>
            </w:tabs>
            <w:spacing w:before="109"/>
            <w:rPr>
              <w:noProof/>
              <w:sz w:val="17"/>
            </w:rPr>
          </w:pPr>
          <w:r w:rsidRPr="00E477B7">
            <w:rPr>
              <w:noProof/>
              <w:sz w:val="17"/>
            </w:rPr>
            <w:t xml:space="preserve"> </w:t>
          </w:r>
          <w:r w:rsidRPr="00E477B7">
            <w:rPr>
              <w:rFonts w:eastAsia="MS Mincho"/>
              <w:noProof/>
              <w:sz w:val="17"/>
            </w:rPr>
            <w:drawing>
              <wp:inline distT="0" distB="0" distL="0" distR="0" wp14:anchorId="401A824C" wp14:editId="54056EAE">
                <wp:extent cx="714375" cy="590550"/>
                <wp:effectExtent l="0" t="0" r="9525" b="0"/>
                <wp:docPr id="30" name="Picture 3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314D805D" w14:textId="77777777" w:rsidR="007C591E" w:rsidRPr="00E477B7" w:rsidRDefault="007C591E" w:rsidP="00E477B7">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054231CD" w14:textId="77777777" w:rsidR="007C591E" w:rsidRPr="00E477B7" w:rsidRDefault="007C591E" w:rsidP="00E477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b/>
              <w:spacing w:val="-4"/>
              <w:w w:val="98"/>
              <w:kern w:val="14"/>
              <w:sz w:val="34"/>
              <w:lang w:val="en-GB"/>
            </w:rPr>
          </w:pPr>
          <w:r w:rsidRPr="00E477B7">
            <w:rPr>
              <w:b/>
              <w:spacing w:val="-4"/>
              <w:w w:val="98"/>
              <w:kern w:val="14"/>
              <w:sz w:val="34"/>
              <w:lang w:val="en-GB"/>
            </w:rPr>
            <w:t>Executive Board of the</w:t>
          </w:r>
          <w:r w:rsidRPr="00E477B7">
            <w:rPr>
              <w:b/>
              <w:spacing w:val="-4"/>
              <w:w w:val="98"/>
              <w:kern w:val="14"/>
              <w:sz w:val="34"/>
              <w:lang w:val="en-GB"/>
            </w:rPr>
            <w:br/>
            <w:t>United Nations Development</w:t>
          </w:r>
          <w:r w:rsidRPr="00E477B7">
            <w:rPr>
              <w:b/>
              <w:spacing w:val="-4"/>
              <w:w w:val="98"/>
              <w:kern w:val="14"/>
              <w:sz w:val="34"/>
              <w:lang w:val="en-GB"/>
            </w:rPr>
            <w:br/>
            <w:t>Programme, the United Nations Population Fund and the</w:t>
          </w:r>
          <w:r w:rsidRPr="00E477B7">
            <w:rPr>
              <w:b/>
              <w:spacing w:val="-4"/>
              <w:w w:val="98"/>
              <w:kern w:val="14"/>
              <w:sz w:val="34"/>
              <w:lang w:val="en-GB"/>
            </w:rPr>
            <w:br/>
            <w:t>United Nations Office for</w:t>
          </w:r>
          <w:r w:rsidRPr="00E477B7">
            <w:rPr>
              <w:b/>
              <w:spacing w:val="-4"/>
              <w:w w:val="98"/>
              <w:kern w:val="14"/>
              <w:sz w:val="34"/>
              <w:lang w:val="en-GB"/>
            </w:rPr>
            <w:br/>
            <w:t>Project Services</w:t>
          </w:r>
        </w:p>
        <w:p w14:paraId="577D39EC" w14:textId="77777777" w:rsidR="007C591E" w:rsidRPr="00E477B7" w:rsidRDefault="007C591E" w:rsidP="00E477B7">
          <w:pPr>
            <w:tabs>
              <w:tab w:val="left" w:pos="1742"/>
            </w:tabs>
            <w:rPr>
              <w:sz w:val="34"/>
              <w:lang w:val="en-GB"/>
            </w:rPr>
          </w:pPr>
          <w:r w:rsidRPr="00E477B7">
            <w:rPr>
              <w:sz w:val="34"/>
              <w:lang w:val="en-GB"/>
            </w:rPr>
            <w:tab/>
          </w:r>
        </w:p>
      </w:tc>
      <w:tc>
        <w:tcPr>
          <w:tcW w:w="245" w:type="dxa"/>
          <w:tcBorders>
            <w:top w:val="single" w:sz="4" w:space="0" w:color="auto"/>
            <w:bottom w:val="single" w:sz="12" w:space="0" w:color="auto"/>
          </w:tcBorders>
          <w:shd w:val="clear" w:color="auto" w:fill="auto"/>
        </w:tcPr>
        <w:p w14:paraId="7A23F244" w14:textId="77777777" w:rsidR="007C591E" w:rsidRPr="00E477B7" w:rsidRDefault="007C591E" w:rsidP="00E477B7">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0120B3F" w14:textId="77777777" w:rsidR="007C591E" w:rsidRPr="00E477B7" w:rsidRDefault="007C591E" w:rsidP="00E477B7">
          <w:pPr>
            <w:suppressAutoHyphens/>
            <w:spacing w:before="240" w:line="240" w:lineRule="exact"/>
            <w:rPr>
              <w:spacing w:val="4"/>
              <w:w w:val="103"/>
              <w:kern w:val="14"/>
              <w:lang w:val="en-GB"/>
            </w:rPr>
          </w:pPr>
          <w:r w:rsidRPr="00E477B7">
            <w:rPr>
              <w:spacing w:val="4"/>
              <w:w w:val="103"/>
              <w:kern w:val="14"/>
              <w:lang w:val="en-GB"/>
            </w:rPr>
            <w:t>Distr.: General</w:t>
          </w:r>
        </w:p>
        <w:p w14:paraId="5F464321" w14:textId="4FC4FC9B" w:rsidR="007C591E" w:rsidRPr="00E477B7" w:rsidRDefault="00FF0133" w:rsidP="00E477B7">
          <w:pPr>
            <w:suppressAutoHyphens/>
            <w:spacing w:line="240" w:lineRule="exact"/>
            <w:rPr>
              <w:spacing w:val="4"/>
              <w:w w:val="103"/>
              <w:kern w:val="14"/>
              <w:lang w:val="en-GB"/>
            </w:rPr>
          </w:pPr>
          <w:r>
            <w:rPr>
              <w:spacing w:val="4"/>
              <w:w w:val="103"/>
              <w:kern w:val="14"/>
              <w:lang w:val="en-GB"/>
            </w:rPr>
            <w:t>29</w:t>
          </w:r>
          <w:r w:rsidR="007C591E">
            <w:rPr>
              <w:spacing w:val="4"/>
              <w:w w:val="103"/>
              <w:kern w:val="14"/>
              <w:lang w:val="en-GB"/>
            </w:rPr>
            <w:t xml:space="preserve"> </w:t>
          </w:r>
          <w:r w:rsidR="007C591E" w:rsidRPr="00E477B7">
            <w:rPr>
              <w:spacing w:val="4"/>
              <w:w w:val="103"/>
              <w:kern w:val="14"/>
              <w:lang w:val="en-GB"/>
            </w:rPr>
            <w:t>October 2018</w:t>
          </w:r>
        </w:p>
        <w:p w14:paraId="258A41A0" w14:textId="77777777" w:rsidR="007C591E" w:rsidRPr="00E477B7" w:rsidRDefault="007C591E" w:rsidP="00E477B7">
          <w:pPr>
            <w:suppressAutoHyphens/>
            <w:spacing w:line="240" w:lineRule="exact"/>
            <w:rPr>
              <w:spacing w:val="4"/>
              <w:w w:val="103"/>
              <w:kern w:val="14"/>
              <w:lang w:val="en-GB"/>
            </w:rPr>
          </w:pPr>
        </w:p>
        <w:p w14:paraId="44045B89" w14:textId="77777777" w:rsidR="007C591E" w:rsidRPr="00E477B7" w:rsidRDefault="007C591E" w:rsidP="00E477B7">
          <w:pPr>
            <w:suppressAutoHyphens/>
            <w:spacing w:line="240" w:lineRule="exact"/>
            <w:rPr>
              <w:spacing w:val="4"/>
              <w:w w:val="103"/>
              <w:kern w:val="14"/>
              <w:lang w:val="en-GB"/>
            </w:rPr>
          </w:pPr>
          <w:r w:rsidRPr="00E477B7">
            <w:rPr>
              <w:spacing w:val="4"/>
              <w:w w:val="103"/>
              <w:kern w:val="14"/>
              <w:lang w:val="en-GB"/>
            </w:rPr>
            <w:t>Original: English</w:t>
          </w:r>
        </w:p>
      </w:tc>
    </w:tr>
  </w:tbl>
  <w:p w14:paraId="6D564D13" w14:textId="77777777" w:rsidR="007C591E" w:rsidRPr="008941BB" w:rsidRDefault="007C591E">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942"/>
      <w:gridCol w:w="4943"/>
    </w:tblGrid>
    <w:tr w:rsidR="007C591E" w:rsidRPr="002F07A9" w14:paraId="60C1CE49" w14:textId="77777777" w:rsidTr="004836EC">
      <w:trPr>
        <w:trHeight w:hRule="exact" w:val="864"/>
      </w:trPr>
      <w:tc>
        <w:tcPr>
          <w:tcW w:w="4838" w:type="dxa"/>
          <w:tcBorders>
            <w:bottom w:val="single" w:sz="4" w:space="0" w:color="auto"/>
          </w:tcBorders>
          <w:vAlign w:val="bottom"/>
        </w:tcPr>
        <w:p w14:paraId="4C1A2DC3" w14:textId="77777777" w:rsidR="007C591E" w:rsidRPr="00C4319B" w:rsidRDefault="007C591E" w:rsidP="00DC4A46">
          <w:pPr>
            <w:widowControl w:val="0"/>
            <w:tabs>
              <w:tab w:val="center" w:pos="4320"/>
              <w:tab w:val="right" w:pos="8640"/>
            </w:tabs>
            <w:spacing w:after="80"/>
            <w:ind w:left="-1838" w:firstLine="1838"/>
            <w:rPr>
              <w:b/>
              <w:sz w:val="17"/>
            </w:rPr>
          </w:pPr>
          <w:r w:rsidRPr="00C4319B">
            <w:rPr>
              <w:b/>
              <w:sz w:val="17"/>
            </w:rPr>
            <w:t>DP/DCP/</w:t>
          </w:r>
          <w:r>
            <w:rPr>
              <w:b/>
              <w:sz w:val="17"/>
            </w:rPr>
            <w:t>CHL/4</w:t>
          </w:r>
        </w:p>
      </w:tc>
      <w:tc>
        <w:tcPr>
          <w:tcW w:w="4838" w:type="dxa"/>
          <w:tcBorders>
            <w:bottom w:val="single" w:sz="4" w:space="0" w:color="auto"/>
          </w:tcBorders>
          <w:vAlign w:val="bottom"/>
        </w:tcPr>
        <w:p w14:paraId="235A7832" w14:textId="77777777" w:rsidR="007C591E" w:rsidRPr="00C4319B" w:rsidRDefault="007C591E" w:rsidP="00DC4A46">
          <w:pPr>
            <w:widowControl w:val="0"/>
            <w:tabs>
              <w:tab w:val="center" w:pos="4320"/>
              <w:tab w:val="right" w:pos="8640"/>
            </w:tabs>
            <w:rPr>
              <w:sz w:val="17"/>
            </w:rPr>
          </w:pPr>
        </w:p>
      </w:tc>
    </w:tr>
  </w:tbl>
  <w:p w14:paraId="0613A23C" w14:textId="77777777" w:rsidR="007C591E" w:rsidRPr="00DC4A46" w:rsidRDefault="007C591E">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40" w:type="dxa"/>
      <w:tblBorders>
        <w:bottom w:val="single" w:sz="4" w:space="0" w:color="auto"/>
      </w:tblBorders>
      <w:tblLayout w:type="fixed"/>
      <w:tblCellMar>
        <w:left w:w="0" w:type="dxa"/>
        <w:right w:w="0" w:type="dxa"/>
      </w:tblCellMar>
      <w:tblLook w:val="0000" w:firstRow="0" w:lastRow="0" w:firstColumn="0" w:lastColumn="0" w:noHBand="0" w:noVBand="0"/>
    </w:tblPr>
    <w:tblGrid>
      <w:gridCol w:w="4942"/>
      <w:gridCol w:w="8198"/>
    </w:tblGrid>
    <w:tr w:rsidR="007C591E" w:rsidRPr="002F07A9" w14:paraId="03051920" w14:textId="77777777" w:rsidTr="00207494">
      <w:trPr>
        <w:trHeight w:hRule="exact" w:val="864"/>
      </w:trPr>
      <w:tc>
        <w:tcPr>
          <w:tcW w:w="4942" w:type="dxa"/>
          <w:tcBorders>
            <w:bottom w:val="single" w:sz="4" w:space="0" w:color="auto"/>
          </w:tcBorders>
          <w:vAlign w:val="bottom"/>
        </w:tcPr>
        <w:p w14:paraId="5ADB352A" w14:textId="77777777" w:rsidR="007C591E" w:rsidRPr="00C4319B" w:rsidRDefault="007C591E" w:rsidP="00DC4A46">
          <w:pPr>
            <w:widowControl w:val="0"/>
            <w:tabs>
              <w:tab w:val="center" w:pos="4320"/>
              <w:tab w:val="right" w:pos="8640"/>
            </w:tabs>
            <w:spacing w:after="80"/>
            <w:ind w:left="-1838" w:firstLine="1838"/>
            <w:rPr>
              <w:b/>
              <w:sz w:val="17"/>
            </w:rPr>
          </w:pPr>
          <w:r w:rsidRPr="00C4319B">
            <w:rPr>
              <w:b/>
              <w:sz w:val="17"/>
            </w:rPr>
            <w:t>DP/DCP/</w:t>
          </w:r>
          <w:r>
            <w:rPr>
              <w:b/>
              <w:sz w:val="17"/>
            </w:rPr>
            <w:t>CHL/4</w:t>
          </w:r>
        </w:p>
      </w:tc>
      <w:tc>
        <w:tcPr>
          <w:tcW w:w="8198" w:type="dxa"/>
          <w:tcBorders>
            <w:bottom w:val="single" w:sz="4" w:space="0" w:color="auto"/>
          </w:tcBorders>
          <w:vAlign w:val="bottom"/>
        </w:tcPr>
        <w:p w14:paraId="26937BE7" w14:textId="77777777" w:rsidR="007C591E" w:rsidRPr="00C4319B" w:rsidRDefault="007C591E" w:rsidP="00DC4A46">
          <w:pPr>
            <w:widowControl w:val="0"/>
            <w:tabs>
              <w:tab w:val="center" w:pos="4320"/>
              <w:tab w:val="right" w:pos="8640"/>
            </w:tabs>
            <w:rPr>
              <w:sz w:val="17"/>
            </w:rPr>
          </w:pPr>
        </w:p>
      </w:tc>
    </w:tr>
  </w:tbl>
  <w:p w14:paraId="75A189AF" w14:textId="77777777" w:rsidR="007C591E" w:rsidRPr="00DC4A46" w:rsidRDefault="007C591E">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7C591E" w:rsidRPr="00E477B7" w14:paraId="5130BA11" w14:textId="77777777" w:rsidTr="00207494">
      <w:trPr>
        <w:trHeight w:hRule="exact" w:val="864"/>
      </w:trPr>
      <w:tc>
        <w:tcPr>
          <w:tcW w:w="4838" w:type="dxa"/>
          <w:tcBorders>
            <w:bottom w:val="single" w:sz="4" w:space="0" w:color="auto"/>
          </w:tcBorders>
          <w:vAlign w:val="bottom"/>
        </w:tcPr>
        <w:p w14:paraId="1D339F7E" w14:textId="77777777" w:rsidR="007C591E" w:rsidRPr="00E477B7" w:rsidRDefault="007C591E" w:rsidP="00E477B7">
          <w:pPr>
            <w:widowControl w:val="0"/>
            <w:tabs>
              <w:tab w:val="center" w:pos="4320"/>
              <w:tab w:val="right" w:pos="8640"/>
            </w:tabs>
            <w:spacing w:after="80"/>
            <w:rPr>
              <w:b/>
              <w:sz w:val="17"/>
              <w:szCs w:val="17"/>
            </w:rPr>
          </w:pPr>
        </w:p>
      </w:tc>
      <w:tc>
        <w:tcPr>
          <w:tcW w:w="8482" w:type="dxa"/>
          <w:tcBorders>
            <w:bottom w:val="single" w:sz="4" w:space="0" w:color="auto"/>
          </w:tcBorders>
          <w:vAlign w:val="bottom"/>
        </w:tcPr>
        <w:p w14:paraId="607A5C38" w14:textId="77777777" w:rsidR="007C591E" w:rsidRPr="00E477B7" w:rsidRDefault="007C591E" w:rsidP="00E477B7">
          <w:pPr>
            <w:widowControl w:val="0"/>
            <w:tabs>
              <w:tab w:val="center" w:pos="4320"/>
              <w:tab w:val="right" w:pos="8640"/>
            </w:tabs>
            <w:jc w:val="right"/>
            <w:rPr>
              <w:sz w:val="17"/>
              <w:szCs w:val="17"/>
            </w:rPr>
          </w:pPr>
          <w:r w:rsidRPr="00E477B7">
            <w:rPr>
              <w:b/>
              <w:sz w:val="17"/>
              <w:szCs w:val="17"/>
            </w:rPr>
            <w:t>DP/DCP/C</w:t>
          </w:r>
          <w:r>
            <w:rPr>
              <w:b/>
              <w:sz w:val="17"/>
              <w:szCs w:val="17"/>
            </w:rPr>
            <w:t>HL</w:t>
          </w:r>
          <w:r w:rsidRPr="00E477B7">
            <w:rPr>
              <w:b/>
              <w:sz w:val="17"/>
              <w:szCs w:val="17"/>
            </w:rPr>
            <w:t>/</w:t>
          </w:r>
          <w:r>
            <w:rPr>
              <w:b/>
              <w:sz w:val="17"/>
              <w:szCs w:val="17"/>
            </w:rPr>
            <w:t>4</w:t>
          </w:r>
        </w:p>
      </w:tc>
    </w:tr>
  </w:tbl>
  <w:p w14:paraId="555F0354" w14:textId="77777777" w:rsidR="007C591E" w:rsidRPr="00916E69" w:rsidRDefault="007C591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C67E7"/>
    <w:multiLevelType w:val="hybridMultilevel"/>
    <w:tmpl w:val="2076D516"/>
    <w:lvl w:ilvl="0" w:tplc="0C8EE990">
      <w:start w:val="1"/>
      <w:numFmt w:val="lowerLetter"/>
      <w:lvlText w:val="(%1)"/>
      <w:lvlJc w:val="left"/>
      <w:pPr>
        <w:ind w:left="1800" w:hanging="360"/>
      </w:pPr>
      <w:rPr>
        <w:rFonts w:hint="default"/>
        <w:color w:val="00000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7"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80A60"/>
    <w:multiLevelType w:val="hybridMultilevel"/>
    <w:tmpl w:val="635E6616"/>
    <w:lvl w:ilvl="0" w:tplc="ADA2D0BC">
      <w:start w:val="4"/>
      <w:numFmt w:val="upperRoman"/>
      <w:lvlText w:val="%1."/>
      <w:lvlJc w:val="left"/>
      <w:pPr>
        <w:ind w:left="1080" w:hanging="720"/>
      </w:pPr>
      <w:rPr>
        <w:rFonts w:hint="default"/>
        <w:color w:val="0000F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8"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40304383"/>
    <w:multiLevelType w:val="hybridMultilevel"/>
    <w:tmpl w:val="99C83A0E"/>
    <w:lvl w:ilvl="0" w:tplc="0409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440A053C"/>
    <w:multiLevelType w:val="hybridMultilevel"/>
    <w:tmpl w:val="2F2C365A"/>
    <w:lvl w:ilvl="0" w:tplc="7556F63C">
      <w:start w:val="1"/>
      <w:numFmt w:val="upperRoman"/>
      <w:lvlText w:val="%1."/>
      <w:lvlJc w:val="left"/>
      <w:pPr>
        <w:ind w:left="5580" w:hanging="720"/>
      </w:pPr>
      <w:rPr>
        <w:rFonts w:ascii="Times New Roman" w:hAnsi="Times New Roman" w:cs="Times New Roman" w:hint="default"/>
        <w:b/>
        <w:sz w:val="24"/>
        <w:szCs w:val="24"/>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44385FDF"/>
    <w:multiLevelType w:val="hybridMultilevel"/>
    <w:tmpl w:val="B854E4AE"/>
    <w:lvl w:ilvl="0" w:tplc="43E06ECA">
      <w:start w:val="1"/>
      <w:numFmt w:val="decimal"/>
      <w:lvlText w:val="%1."/>
      <w:lvlJc w:val="left"/>
      <w:pPr>
        <w:ind w:left="144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3318D"/>
    <w:multiLevelType w:val="multilevel"/>
    <w:tmpl w:val="C84A37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1"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4"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6"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7"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9"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A5F669F"/>
    <w:multiLevelType w:val="hybridMultilevel"/>
    <w:tmpl w:val="C784C316"/>
    <w:lvl w:ilvl="0" w:tplc="919CABBC">
      <w:start w:val="1"/>
      <w:numFmt w:val="upperRoman"/>
      <w:lvlText w:val="%1."/>
      <w:lvlJc w:val="left"/>
      <w:pPr>
        <w:ind w:left="765" w:hanging="72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4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34"/>
  </w:num>
  <w:num w:numId="3">
    <w:abstractNumId w:val="28"/>
  </w:num>
  <w:num w:numId="4">
    <w:abstractNumId w:val="38"/>
  </w:num>
  <w:num w:numId="5">
    <w:abstractNumId w:val="29"/>
  </w:num>
  <w:num w:numId="6">
    <w:abstractNumId w:val="0"/>
  </w:num>
  <w:num w:numId="7">
    <w:abstractNumId w:val="16"/>
  </w:num>
  <w:num w:numId="8">
    <w:abstractNumId w:val="35"/>
  </w:num>
  <w:num w:numId="9">
    <w:abstractNumId w:val="45"/>
  </w:num>
  <w:num w:numId="10">
    <w:abstractNumId w:val="37"/>
  </w:num>
  <w:num w:numId="11">
    <w:abstractNumId w:val="43"/>
  </w:num>
  <w:num w:numId="12">
    <w:abstractNumId w:val="25"/>
  </w:num>
  <w:num w:numId="13">
    <w:abstractNumId w:val="6"/>
  </w:num>
  <w:num w:numId="14">
    <w:abstractNumId w:val="15"/>
  </w:num>
  <w:num w:numId="15">
    <w:abstractNumId w:val="40"/>
  </w:num>
  <w:num w:numId="16">
    <w:abstractNumId w:val="9"/>
  </w:num>
  <w:num w:numId="17">
    <w:abstractNumId w:val="13"/>
  </w:num>
  <w:num w:numId="18">
    <w:abstractNumId w:val="17"/>
  </w:num>
  <w:num w:numId="19">
    <w:abstractNumId w:val="42"/>
  </w:num>
  <w:num w:numId="20">
    <w:abstractNumId w:val="8"/>
  </w:num>
  <w:num w:numId="21">
    <w:abstractNumId w:val="7"/>
  </w:num>
  <w:num w:numId="22">
    <w:abstractNumId w:val="41"/>
  </w:num>
  <w:num w:numId="23">
    <w:abstractNumId w:val="14"/>
  </w:num>
  <w:num w:numId="24">
    <w:abstractNumId w:val="3"/>
  </w:num>
  <w:num w:numId="25">
    <w:abstractNumId w:val="39"/>
  </w:num>
  <w:num w:numId="26">
    <w:abstractNumId w:val="36"/>
  </w:num>
  <w:num w:numId="27">
    <w:abstractNumId w:val="32"/>
  </w:num>
  <w:num w:numId="28">
    <w:abstractNumId w:val="1"/>
  </w:num>
  <w:num w:numId="29">
    <w:abstractNumId w:val="26"/>
  </w:num>
  <w:num w:numId="30">
    <w:abstractNumId w:val="31"/>
  </w:num>
  <w:num w:numId="31">
    <w:abstractNumId w:val="12"/>
  </w:num>
  <w:num w:numId="32">
    <w:abstractNumId w:val="4"/>
  </w:num>
  <w:num w:numId="33">
    <w:abstractNumId w:val="24"/>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
  </w:num>
  <w:num w:numId="37">
    <w:abstractNumId w:val="30"/>
  </w:num>
  <w:num w:numId="38">
    <w:abstractNumId w:val="10"/>
  </w:num>
  <w:num w:numId="39">
    <w:abstractNumId w:val="2"/>
  </w:num>
  <w:num w:numId="40">
    <w:abstractNumId w:val="21"/>
  </w:num>
  <w:num w:numId="41">
    <w:abstractNumId w:val="20"/>
  </w:num>
  <w:num w:numId="42">
    <w:abstractNumId w:val="27"/>
  </w:num>
  <w:num w:numId="43">
    <w:abstractNumId w:val="19"/>
  </w:num>
  <w:num w:numId="44">
    <w:abstractNumId w:val="11"/>
  </w:num>
  <w:num w:numId="45">
    <w:abstractNumId w:val="44"/>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5D28"/>
    <w:rsid w:val="00005E26"/>
    <w:rsid w:val="00012437"/>
    <w:rsid w:val="0001309E"/>
    <w:rsid w:val="00015AB1"/>
    <w:rsid w:val="00015F1A"/>
    <w:rsid w:val="00015FDE"/>
    <w:rsid w:val="00016217"/>
    <w:rsid w:val="00016861"/>
    <w:rsid w:val="000174A5"/>
    <w:rsid w:val="000200CF"/>
    <w:rsid w:val="000205F1"/>
    <w:rsid w:val="00021533"/>
    <w:rsid w:val="00022047"/>
    <w:rsid w:val="00023F9A"/>
    <w:rsid w:val="00024C8E"/>
    <w:rsid w:val="000274B9"/>
    <w:rsid w:val="0002758B"/>
    <w:rsid w:val="000276A0"/>
    <w:rsid w:val="000330DB"/>
    <w:rsid w:val="0003429F"/>
    <w:rsid w:val="0003562A"/>
    <w:rsid w:val="00036095"/>
    <w:rsid w:val="00036AF4"/>
    <w:rsid w:val="00041C10"/>
    <w:rsid w:val="00043804"/>
    <w:rsid w:val="000441A1"/>
    <w:rsid w:val="00050855"/>
    <w:rsid w:val="00050869"/>
    <w:rsid w:val="000555E5"/>
    <w:rsid w:val="000561C1"/>
    <w:rsid w:val="00056204"/>
    <w:rsid w:val="00056493"/>
    <w:rsid w:val="000570D1"/>
    <w:rsid w:val="000571A9"/>
    <w:rsid w:val="00060290"/>
    <w:rsid w:val="000621DD"/>
    <w:rsid w:val="000624AC"/>
    <w:rsid w:val="00063E24"/>
    <w:rsid w:val="00064FDA"/>
    <w:rsid w:val="00065C92"/>
    <w:rsid w:val="00070A5C"/>
    <w:rsid w:val="00072229"/>
    <w:rsid w:val="00073CF1"/>
    <w:rsid w:val="00074BD0"/>
    <w:rsid w:val="00074D9A"/>
    <w:rsid w:val="00074DB9"/>
    <w:rsid w:val="000753C4"/>
    <w:rsid w:val="00075DF0"/>
    <w:rsid w:val="000762CA"/>
    <w:rsid w:val="000766C4"/>
    <w:rsid w:val="00076C66"/>
    <w:rsid w:val="000803A4"/>
    <w:rsid w:val="000806E3"/>
    <w:rsid w:val="0008339E"/>
    <w:rsid w:val="00085299"/>
    <w:rsid w:val="00087A83"/>
    <w:rsid w:val="00090AD1"/>
    <w:rsid w:val="00090F4F"/>
    <w:rsid w:val="00091476"/>
    <w:rsid w:val="00092879"/>
    <w:rsid w:val="00094E87"/>
    <w:rsid w:val="0009577C"/>
    <w:rsid w:val="00095DCA"/>
    <w:rsid w:val="00096B27"/>
    <w:rsid w:val="00097FB2"/>
    <w:rsid w:val="000A151D"/>
    <w:rsid w:val="000A24C5"/>
    <w:rsid w:val="000A3F7F"/>
    <w:rsid w:val="000A6800"/>
    <w:rsid w:val="000B3A13"/>
    <w:rsid w:val="000B4BB2"/>
    <w:rsid w:val="000B5454"/>
    <w:rsid w:val="000B6379"/>
    <w:rsid w:val="000C2CD8"/>
    <w:rsid w:val="000C539D"/>
    <w:rsid w:val="000C7468"/>
    <w:rsid w:val="000C76B0"/>
    <w:rsid w:val="000C7BBE"/>
    <w:rsid w:val="000D19D1"/>
    <w:rsid w:val="000D2475"/>
    <w:rsid w:val="000D442C"/>
    <w:rsid w:val="000D4DC4"/>
    <w:rsid w:val="000D5066"/>
    <w:rsid w:val="000D5B58"/>
    <w:rsid w:val="000E612D"/>
    <w:rsid w:val="000E6AB1"/>
    <w:rsid w:val="000E745A"/>
    <w:rsid w:val="000E7E9E"/>
    <w:rsid w:val="000F0044"/>
    <w:rsid w:val="000F5541"/>
    <w:rsid w:val="000F6157"/>
    <w:rsid w:val="000F703B"/>
    <w:rsid w:val="000F72ED"/>
    <w:rsid w:val="000F7A4C"/>
    <w:rsid w:val="00101403"/>
    <w:rsid w:val="00106EF8"/>
    <w:rsid w:val="001101A2"/>
    <w:rsid w:val="00111489"/>
    <w:rsid w:val="00111792"/>
    <w:rsid w:val="00111797"/>
    <w:rsid w:val="00111B19"/>
    <w:rsid w:val="00114A64"/>
    <w:rsid w:val="00114CF4"/>
    <w:rsid w:val="00115F59"/>
    <w:rsid w:val="00116C1A"/>
    <w:rsid w:val="00116F8B"/>
    <w:rsid w:val="00121F3E"/>
    <w:rsid w:val="0012229E"/>
    <w:rsid w:val="00123849"/>
    <w:rsid w:val="00123A5E"/>
    <w:rsid w:val="00125010"/>
    <w:rsid w:val="00125266"/>
    <w:rsid w:val="00125B82"/>
    <w:rsid w:val="0012749F"/>
    <w:rsid w:val="001305E6"/>
    <w:rsid w:val="00131F82"/>
    <w:rsid w:val="0013239A"/>
    <w:rsid w:val="00132D93"/>
    <w:rsid w:val="00135828"/>
    <w:rsid w:val="0013761A"/>
    <w:rsid w:val="001418EC"/>
    <w:rsid w:val="0014423A"/>
    <w:rsid w:val="0014474E"/>
    <w:rsid w:val="00147042"/>
    <w:rsid w:val="001471A7"/>
    <w:rsid w:val="001506F6"/>
    <w:rsid w:val="00154032"/>
    <w:rsid w:val="001547D3"/>
    <w:rsid w:val="001559BD"/>
    <w:rsid w:val="00157F09"/>
    <w:rsid w:val="00157F79"/>
    <w:rsid w:val="00163E84"/>
    <w:rsid w:val="001668AA"/>
    <w:rsid w:val="001675B1"/>
    <w:rsid w:val="0016789D"/>
    <w:rsid w:val="00167C87"/>
    <w:rsid w:val="00171FBD"/>
    <w:rsid w:val="00172A7A"/>
    <w:rsid w:val="00172EE3"/>
    <w:rsid w:val="00177E7E"/>
    <w:rsid w:val="00182E47"/>
    <w:rsid w:val="0018356F"/>
    <w:rsid w:val="00184C12"/>
    <w:rsid w:val="001857AB"/>
    <w:rsid w:val="001876C5"/>
    <w:rsid w:val="00187D68"/>
    <w:rsid w:val="00190155"/>
    <w:rsid w:val="001906B5"/>
    <w:rsid w:val="00194163"/>
    <w:rsid w:val="00194FEB"/>
    <w:rsid w:val="001965DD"/>
    <w:rsid w:val="00196C5C"/>
    <w:rsid w:val="001970A4"/>
    <w:rsid w:val="00197AD1"/>
    <w:rsid w:val="001A068A"/>
    <w:rsid w:val="001A2EEA"/>
    <w:rsid w:val="001B0020"/>
    <w:rsid w:val="001B2B51"/>
    <w:rsid w:val="001B3F87"/>
    <w:rsid w:val="001B4026"/>
    <w:rsid w:val="001B4E8C"/>
    <w:rsid w:val="001B598C"/>
    <w:rsid w:val="001B76A6"/>
    <w:rsid w:val="001C07F8"/>
    <w:rsid w:val="001C1147"/>
    <w:rsid w:val="001C2F59"/>
    <w:rsid w:val="001C6C08"/>
    <w:rsid w:val="001D2056"/>
    <w:rsid w:val="001D42D1"/>
    <w:rsid w:val="001D64E5"/>
    <w:rsid w:val="001D6EB8"/>
    <w:rsid w:val="001E05EC"/>
    <w:rsid w:val="001E31C4"/>
    <w:rsid w:val="001E4809"/>
    <w:rsid w:val="001E4F4F"/>
    <w:rsid w:val="001F27F4"/>
    <w:rsid w:val="001F3DC0"/>
    <w:rsid w:val="001F4C5A"/>
    <w:rsid w:val="001F4EA9"/>
    <w:rsid w:val="001F4F73"/>
    <w:rsid w:val="001F6425"/>
    <w:rsid w:val="001F6772"/>
    <w:rsid w:val="001F7421"/>
    <w:rsid w:val="00200195"/>
    <w:rsid w:val="00200B5F"/>
    <w:rsid w:val="00201EEF"/>
    <w:rsid w:val="002047C8"/>
    <w:rsid w:val="002052B3"/>
    <w:rsid w:val="00205453"/>
    <w:rsid w:val="002058F9"/>
    <w:rsid w:val="002063C8"/>
    <w:rsid w:val="00207494"/>
    <w:rsid w:val="00207F32"/>
    <w:rsid w:val="00210EF9"/>
    <w:rsid w:val="002118EA"/>
    <w:rsid w:val="00211985"/>
    <w:rsid w:val="00212B1F"/>
    <w:rsid w:val="00213340"/>
    <w:rsid w:val="00213D7C"/>
    <w:rsid w:val="00214513"/>
    <w:rsid w:val="00214644"/>
    <w:rsid w:val="002155B7"/>
    <w:rsid w:val="0021766A"/>
    <w:rsid w:val="00220598"/>
    <w:rsid w:val="002225D3"/>
    <w:rsid w:val="00222A35"/>
    <w:rsid w:val="0022301D"/>
    <w:rsid w:val="00224B2C"/>
    <w:rsid w:val="00225C5E"/>
    <w:rsid w:val="00227E55"/>
    <w:rsid w:val="002323B3"/>
    <w:rsid w:val="00232AA0"/>
    <w:rsid w:val="00234196"/>
    <w:rsid w:val="00234CDF"/>
    <w:rsid w:val="00236B91"/>
    <w:rsid w:val="00241825"/>
    <w:rsid w:val="002424C0"/>
    <w:rsid w:val="00242617"/>
    <w:rsid w:val="00242CAA"/>
    <w:rsid w:val="002445FE"/>
    <w:rsid w:val="00244FAA"/>
    <w:rsid w:val="0024503B"/>
    <w:rsid w:val="00245D74"/>
    <w:rsid w:val="00246D03"/>
    <w:rsid w:val="00246DDF"/>
    <w:rsid w:val="002530D8"/>
    <w:rsid w:val="002573CC"/>
    <w:rsid w:val="00260FAA"/>
    <w:rsid w:val="00262338"/>
    <w:rsid w:val="00263938"/>
    <w:rsid w:val="002646D7"/>
    <w:rsid w:val="002671D7"/>
    <w:rsid w:val="0027259C"/>
    <w:rsid w:val="00273543"/>
    <w:rsid w:val="00274C82"/>
    <w:rsid w:val="0027654D"/>
    <w:rsid w:val="002810DF"/>
    <w:rsid w:val="002812AB"/>
    <w:rsid w:val="002816D8"/>
    <w:rsid w:val="00281818"/>
    <w:rsid w:val="00282A8C"/>
    <w:rsid w:val="0028524A"/>
    <w:rsid w:val="002854EE"/>
    <w:rsid w:val="0028565C"/>
    <w:rsid w:val="00286307"/>
    <w:rsid w:val="002875DE"/>
    <w:rsid w:val="00287E07"/>
    <w:rsid w:val="00290EB3"/>
    <w:rsid w:val="002920DE"/>
    <w:rsid w:val="00292846"/>
    <w:rsid w:val="00292A90"/>
    <w:rsid w:val="00295F54"/>
    <w:rsid w:val="002971D6"/>
    <w:rsid w:val="002A1B84"/>
    <w:rsid w:val="002A2F08"/>
    <w:rsid w:val="002A3641"/>
    <w:rsid w:val="002A495F"/>
    <w:rsid w:val="002A706F"/>
    <w:rsid w:val="002A70EA"/>
    <w:rsid w:val="002A7363"/>
    <w:rsid w:val="002A7F43"/>
    <w:rsid w:val="002B31A3"/>
    <w:rsid w:val="002B365E"/>
    <w:rsid w:val="002B3E6C"/>
    <w:rsid w:val="002B489A"/>
    <w:rsid w:val="002B4F38"/>
    <w:rsid w:val="002B6341"/>
    <w:rsid w:val="002C031A"/>
    <w:rsid w:val="002C0526"/>
    <w:rsid w:val="002C27A8"/>
    <w:rsid w:val="002C333E"/>
    <w:rsid w:val="002C3347"/>
    <w:rsid w:val="002C36C8"/>
    <w:rsid w:val="002C471F"/>
    <w:rsid w:val="002C51A0"/>
    <w:rsid w:val="002C57E0"/>
    <w:rsid w:val="002C7971"/>
    <w:rsid w:val="002D0584"/>
    <w:rsid w:val="002D2E2A"/>
    <w:rsid w:val="002D4274"/>
    <w:rsid w:val="002D5295"/>
    <w:rsid w:val="002D52BF"/>
    <w:rsid w:val="002D68FA"/>
    <w:rsid w:val="002D7ECA"/>
    <w:rsid w:val="002E0141"/>
    <w:rsid w:val="002E0B5D"/>
    <w:rsid w:val="002E0B76"/>
    <w:rsid w:val="002E1495"/>
    <w:rsid w:val="002E2466"/>
    <w:rsid w:val="002E2900"/>
    <w:rsid w:val="002E3C0D"/>
    <w:rsid w:val="002E43EC"/>
    <w:rsid w:val="002E4883"/>
    <w:rsid w:val="002E5B3C"/>
    <w:rsid w:val="002E5E26"/>
    <w:rsid w:val="002E74D5"/>
    <w:rsid w:val="002E7A79"/>
    <w:rsid w:val="002F1D9E"/>
    <w:rsid w:val="002F2262"/>
    <w:rsid w:val="002F2C6E"/>
    <w:rsid w:val="002F3C88"/>
    <w:rsid w:val="002F4067"/>
    <w:rsid w:val="002F47EB"/>
    <w:rsid w:val="002F7339"/>
    <w:rsid w:val="002F7461"/>
    <w:rsid w:val="003019A0"/>
    <w:rsid w:val="003025E2"/>
    <w:rsid w:val="00306D24"/>
    <w:rsid w:val="00307712"/>
    <w:rsid w:val="0031404A"/>
    <w:rsid w:val="00314B7C"/>
    <w:rsid w:val="00314E49"/>
    <w:rsid w:val="00315445"/>
    <w:rsid w:val="00317183"/>
    <w:rsid w:val="003204AE"/>
    <w:rsid w:val="003206E4"/>
    <w:rsid w:val="003208EF"/>
    <w:rsid w:val="00324846"/>
    <w:rsid w:val="00324ABD"/>
    <w:rsid w:val="00324D9B"/>
    <w:rsid w:val="003272A6"/>
    <w:rsid w:val="003273CB"/>
    <w:rsid w:val="0033125E"/>
    <w:rsid w:val="0033325E"/>
    <w:rsid w:val="00336913"/>
    <w:rsid w:val="0033718C"/>
    <w:rsid w:val="00337407"/>
    <w:rsid w:val="00337BB8"/>
    <w:rsid w:val="00340114"/>
    <w:rsid w:val="00340AD7"/>
    <w:rsid w:val="00340E02"/>
    <w:rsid w:val="00343E6E"/>
    <w:rsid w:val="00343E9A"/>
    <w:rsid w:val="003450C8"/>
    <w:rsid w:val="0034782B"/>
    <w:rsid w:val="00351082"/>
    <w:rsid w:val="00351409"/>
    <w:rsid w:val="00351E5C"/>
    <w:rsid w:val="00355717"/>
    <w:rsid w:val="0035580F"/>
    <w:rsid w:val="00357CB4"/>
    <w:rsid w:val="003604EE"/>
    <w:rsid w:val="0036286B"/>
    <w:rsid w:val="00363371"/>
    <w:rsid w:val="00364989"/>
    <w:rsid w:val="003664C0"/>
    <w:rsid w:val="00366769"/>
    <w:rsid w:val="00367A28"/>
    <w:rsid w:val="00367E04"/>
    <w:rsid w:val="003761F2"/>
    <w:rsid w:val="00376992"/>
    <w:rsid w:val="00376A05"/>
    <w:rsid w:val="003774FE"/>
    <w:rsid w:val="0038040E"/>
    <w:rsid w:val="00383A9A"/>
    <w:rsid w:val="00390E30"/>
    <w:rsid w:val="00393ABE"/>
    <w:rsid w:val="0039458D"/>
    <w:rsid w:val="00394D61"/>
    <w:rsid w:val="003A0156"/>
    <w:rsid w:val="003A1F5A"/>
    <w:rsid w:val="003A20C4"/>
    <w:rsid w:val="003A28EB"/>
    <w:rsid w:val="003A2ECE"/>
    <w:rsid w:val="003A4252"/>
    <w:rsid w:val="003A539A"/>
    <w:rsid w:val="003A62A4"/>
    <w:rsid w:val="003A7476"/>
    <w:rsid w:val="003A7AE1"/>
    <w:rsid w:val="003A7D1A"/>
    <w:rsid w:val="003A7D86"/>
    <w:rsid w:val="003B0AA1"/>
    <w:rsid w:val="003B1C81"/>
    <w:rsid w:val="003B243D"/>
    <w:rsid w:val="003B304F"/>
    <w:rsid w:val="003B32FA"/>
    <w:rsid w:val="003B5D18"/>
    <w:rsid w:val="003B7234"/>
    <w:rsid w:val="003B795D"/>
    <w:rsid w:val="003C0FF7"/>
    <w:rsid w:val="003C22EF"/>
    <w:rsid w:val="003C26A6"/>
    <w:rsid w:val="003C26C1"/>
    <w:rsid w:val="003C5C11"/>
    <w:rsid w:val="003C6A5A"/>
    <w:rsid w:val="003C6AAD"/>
    <w:rsid w:val="003C6ABC"/>
    <w:rsid w:val="003C76E4"/>
    <w:rsid w:val="003D1D4D"/>
    <w:rsid w:val="003D3682"/>
    <w:rsid w:val="003D37DD"/>
    <w:rsid w:val="003D45DF"/>
    <w:rsid w:val="003D47C6"/>
    <w:rsid w:val="003D7E38"/>
    <w:rsid w:val="003D7EAC"/>
    <w:rsid w:val="003E1AFA"/>
    <w:rsid w:val="003E379A"/>
    <w:rsid w:val="003E52B0"/>
    <w:rsid w:val="003E64DC"/>
    <w:rsid w:val="003E7A43"/>
    <w:rsid w:val="003F0B58"/>
    <w:rsid w:val="003F0D40"/>
    <w:rsid w:val="003F2236"/>
    <w:rsid w:val="003F27B7"/>
    <w:rsid w:val="003F4051"/>
    <w:rsid w:val="003F5812"/>
    <w:rsid w:val="003F625A"/>
    <w:rsid w:val="003F6AA4"/>
    <w:rsid w:val="003F6EA1"/>
    <w:rsid w:val="00400E4A"/>
    <w:rsid w:val="00402E9A"/>
    <w:rsid w:val="00403FA8"/>
    <w:rsid w:val="00404040"/>
    <w:rsid w:val="00404213"/>
    <w:rsid w:val="004048AC"/>
    <w:rsid w:val="00404B8E"/>
    <w:rsid w:val="004068C2"/>
    <w:rsid w:val="00406F49"/>
    <w:rsid w:val="0041061C"/>
    <w:rsid w:val="00412559"/>
    <w:rsid w:val="00415E7F"/>
    <w:rsid w:val="00420288"/>
    <w:rsid w:val="00421C78"/>
    <w:rsid w:val="00421D6A"/>
    <w:rsid w:val="004224CE"/>
    <w:rsid w:val="00424A78"/>
    <w:rsid w:val="004254DB"/>
    <w:rsid w:val="00427489"/>
    <w:rsid w:val="00427EEA"/>
    <w:rsid w:val="00431836"/>
    <w:rsid w:val="004321E6"/>
    <w:rsid w:val="0043278E"/>
    <w:rsid w:val="004360AC"/>
    <w:rsid w:val="00436B83"/>
    <w:rsid w:val="00436C7D"/>
    <w:rsid w:val="00441061"/>
    <w:rsid w:val="0044495A"/>
    <w:rsid w:val="0044560C"/>
    <w:rsid w:val="004501C9"/>
    <w:rsid w:val="00450C70"/>
    <w:rsid w:val="00453344"/>
    <w:rsid w:val="00454E76"/>
    <w:rsid w:val="00455CA5"/>
    <w:rsid w:val="00457080"/>
    <w:rsid w:val="00460891"/>
    <w:rsid w:val="00461B07"/>
    <w:rsid w:val="00464FB2"/>
    <w:rsid w:val="004662A8"/>
    <w:rsid w:val="00466CDC"/>
    <w:rsid w:val="0046745E"/>
    <w:rsid w:val="004736BE"/>
    <w:rsid w:val="00474F16"/>
    <w:rsid w:val="0047556D"/>
    <w:rsid w:val="00475789"/>
    <w:rsid w:val="00476170"/>
    <w:rsid w:val="004820B0"/>
    <w:rsid w:val="00482117"/>
    <w:rsid w:val="00482E2F"/>
    <w:rsid w:val="004836EC"/>
    <w:rsid w:val="0048467F"/>
    <w:rsid w:val="004859B4"/>
    <w:rsid w:val="00486894"/>
    <w:rsid w:val="00486ACD"/>
    <w:rsid w:val="00490B8D"/>
    <w:rsid w:val="00491BCA"/>
    <w:rsid w:val="00492C65"/>
    <w:rsid w:val="00493118"/>
    <w:rsid w:val="0049403F"/>
    <w:rsid w:val="00494323"/>
    <w:rsid w:val="00494349"/>
    <w:rsid w:val="00494485"/>
    <w:rsid w:val="0049762B"/>
    <w:rsid w:val="004A0F27"/>
    <w:rsid w:val="004A0F37"/>
    <w:rsid w:val="004A0F68"/>
    <w:rsid w:val="004A3608"/>
    <w:rsid w:val="004A4FBD"/>
    <w:rsid w:val="004A6F46"/>
    <w:rsid w:val="004A7810"/>
    <w:rsid w:val="004A7E93"/>
    <w:rsid w:val="004B3CFB"/>
    <w:rsid w:val="004B59C7"/>
    <w:rsid w:val="004B5D6B"/>
    <w:rsid w:val="004B76F8"/>
    <w:rsid w:val="004C1FA6"/>
    <w:rsid w:val="004C5CFD"/>
    <w:rsid w:val="004D0EFA"/>
    <w:rsid w:val="004D12C0"/>
    <w:rsid w:val="004D18EA"/>
    <w:rsid w:val="004D2710"/>
    <w:rsid w:val="004D36E4"/>
    <w:rsid w:val="004D3713"/>
    <w:rsid w:val="004D5452"/>
    <w:rsid w:val="004D6254"/>
    <w:rsid w:val="004D70FD"/>
    <w:rsid w:val="004D7BDF"/>
    <w:rsid w:val="004D7E99"/>
    <w:rsid w:val="004E00CE"/>
    <w:rsid w:val="004E04D0"/>
    <w:rsid w:val="004E2BDB"/>
    <w:rsid w:val="004F1A63"/>
    <w:rsid w:val="004F406F"/>
    <w:rsid w:val="004F50AF"/>
    <w:rsid w:val="004F681D"/>
    <w:rsid w:val="004F6E14"/>
    <w:rsid w:val="0050089C"/>
    <w:rsid w:val="0050228C"/>
    <w:rsid w:val="00502857"/>
    <w:rsid w:val="005044A9"/>
    <w:rsid w:val="00505994"/>
    <w:rsid w:val="00505FD4"/>
    <w:rsid w:val="00506E25"/>
    <w:rsid w:val="0051132C"/>
    <w:rsid w:val="00511C2D"/>
    <w:rsid w:val="00513483"/>
    <w:rsid w:val="00513BF9"/>
    <w:rsid w:val="00514A55"/>
    <w:rsid w:val="00514EF5"/>
    <w:rsid w:val="00515397"/>
    <w:rsid w:val="0051782D"/>
    <w:rsid w:val="0052087E"/>
    <w:rsid w:val="0052315E"/>
    <w:rsid w:val="00530ED3"/>
    <w:rsid w:val="0053438E"/>
    <w:rsid w:val="005346B7"/>
    <w:rsid w:val="005355EE"/>
    <w:rsid w:val="00535B16"/>
    <w:rsid w:val="005366D0"/>
    <w:rsid w:val="00537E27"/>
    <w:rsid w:val="00540B4D"/>
    <w:rsid w:val="00540FFA"/>
    <w:rsid w:val="00542930"/>
    <w:rsid w:val="005435B3"/>
    <w:rsid w:val="00550849"/>
    <w:rsid w:val="00550866"/>
    <w:rsid w:val="00554943"/>
    <w:rsid w:val="00554BF3"/>
    <w:rsid w:val="00554CBE"/>
    <w:rsid w:val="0055655F"/>
    <w:rsid w:val="0055657D"/>
    <w:rsid w:val="00557FEC"/>
    <w:rsid w:val="00560D0D"/>
    <w:rsid w:val="005635F6"/>
    <w:rsid w:val="00565FB1"/>
    <w:rsid w:val="005662FB"/>
    <w:rsid w:val="00567781"/>
    <w:rsid w:val="00567C1D"/>
    <w:rsid w:val="00567ECC"/>
    <w:rsid w:val="00567F51"/>
    <w:rsid w:val="005713B1"/>
    <w:rsid w:val="00571C6D"/>
    <w:rsid w:val="00580E37"/>
    <w:rsid w:val="00583090"/>
    <w:rsid w:val="005835F4"/>
    <w:rsid w:val="00583EFE"/>
    <w:rsid w:val="00584076"/>
    <w:rsid w:val="005841A3"/>
    <w:rsid w:val="005845B4"/>
    <w:rsid w:val="00586D9A"/>
    <w:rsid w:val="00590EAE"/>
    <w:rsid w:val="0059112A"/>
    <w:rsid w:val="00593216"/>
    <w:rsid w:val="00594BC3"/>
    <w:rsid w:val="0059598B"/>
    <w:rsid w:val="00596CA7"/>
    <w:rsid w:val="00596DC8"/>
    <w:rsid w:val="00596E16"/>
    <w:rsid w:val="005A16A3"/>
    <w:rsid w:val="005A1C48"/>
    <w:rsid w:val="005A253A"/>
    <w:rsid w:val="005A40AF"/>
    <w:rsid w:val="005A4ABF"/>
    <w:rsid w:val="005A64BF"/>
    <w:rsid w:val="005B2CBB"/>
    <w:rsid w:val="005B4421"/>
    <w:rsid w:val="005B7929"/>
    <w:rsid w:val="005C23AF"/>
    <w:rsid w:val="005C25D1"/>
    <w:rsid w:val="005C35A9"/>
    <w:rsid w:val="005C464B"/>
    <w:rsid w:val="005C4E5F"/>
    <w:rsid w:val="005C562C"/>
    <w:rsid w:val="005C74A0"/>
    <w:rsid w:val="005D052C"/>
    <w:rsid w:val="005D16FE"/>
    <w:rsid w:val="005D4084"/>
    <w:rsid w:val="005D4615"/>
    <w:rsid w:val="005D4777"/>
    <w:rsid w:val="005D4C2B"/>
    <w:rsid w:val="005D4C96"/>
    <w:rsid w:val="005D632A"/>
    <w:rsid w:val="005E29EC"/>
    <w:rsid w:val="005E38FC"/>
    <w:rsid w:val="005E6B93"/>
    <w:rsid w:val="005E7953"/>
    <w:rsid w:val="005E7E82"/>
    <w:rsid w:val="005F115A"/>
    <w:rsid w:val="005F2C42"/>
    <w:rsid w:val="005F59A1"/>
    <w:rsid w:val="005F6C28"/>
    <w:rsid w:val="005F7AB6"/>
    <w:rsid w:val="005F7E3C"/>
    <w:rsid w:val="00600FA8"/>
    <w:rsid w:val="00602DB7"/>
    <w:rsid w:val="0060411F"/>
    <w:rsid w:val="006063DA"/>
    <w:rsid w:val="00606CD0"/>
    <w:rsid w:val="00606CE3"/>
    <w:rsid w:val="00611DD3"/>
    <w:rsid w:val="00611EF0"/>
    <w:rsid w:val="00612219"/>
    <w:rsid w:val="00612E04"/>
    <w:rsid w:val="006173A4"/>
    <w:rsid w:val="00617C44"/>
    <w:rsid w:val="00620086"/>
    <w:rsid w:val="00622CE4"/>
    <w:rsid w:val="006234A7"/>
    <w:rsid w:val="00623F8E"/>
    <w:rsid w:val="00625917"/>
    <w:rsid w:val="006261CE"/>
    <w:rsid w:val="0062789F"/>
    <w:rsid w:val="006301BE"/>
    <w:rsid w:val="0063096E"/>
    <w:rsid w:val="0063221F"/>
    <w:rsid w:val="00633349"/>
    <w:rsid w:val="00633D61"/>
    <w:rsid w:val="0063402B"/>
    <w:rsid w:val="00636570"/>
    <w:rsid w:val="00637859"/>
    <w:rsid w:val="00637901"/>
    <w:rsid w:val="00637E1B"/>
    <w:rsid w:val="006402DF"/>
    <w:rsid w:val="0064164B"/>
    <w:rsid w:val="00644468"/>
    <w:rsid w:val="00645F5E"/>
    <w:rsid w:val="00647B1E"/>
    <w:rsid w:val="00647C55"/>
    <w:rsid w:val="0065008B"/>
    <w:rsid w:val="00652F8D"/>
    <w:rsid w:val="00653A3B"/>
    <w:rsid w:val="00653AD6"/>
    <w:rsid w:val="00653FD9"/>
    <w:rsid w:val="00654D42"/>
    <w:rsid w:val="00656328"/>
    <w:rsid w:val="00660279"/>
    <w:rsid w:val="00660A94"/>
    <w:rsid w:val="006622B9"/>
    <w:rsid w:val="00662E1E"/>
    <w:rsid w:val="0066371E"/>
    <w:rsid w:val="006679CA"/>
    <w:rsid w:val="006724AD"/>
    <w:rsid w:val="00672BAB"/>
    <w:rsid w:val="0067314A"/>
    <w:rsid w:val="00673D1E"/>
    <w:rsid w:val="006746DC"/>
    <w:rsid w:val="006779CF"/>
    <w:rsid w:val="00677A8F"/>
    <w:rsid w:val="00677D63"/>
    <w:rsid w:val="00677F8A"/>
    <w:rsid w:val="006808D4"/>
    <w:rsid w:val="006821E3"/>
    <w:rsid w:val="0068378D"/>
    <w:rsid w:val="00683AD6"/>
    <w:rsid w:val="006842AE"/>
    <w:rsid w:val="00685822"/>
    <w:rsid w:val="006875BA"/>
    <w:rsid w:val="0069097D"/>
    <w:rsid w:val="00693014"/>
    <w:rsid w:val="00693FEA"/>
    <w:rsid w:val="00694C68"/>
    <w:rsid w:val="006957DD"/>
    <w:rsid w:val="0069662E"/>
    <w:rsid w:val="006A5773"/>
    <w:rsid w:val="006A5804"/>
    <w:rsid w:val="006A58F0"/>
    <w:rsid w:val="006A6262"/>
    <w:rsid w:val="006A69C2"/>
    <w:rsid w:val="006A7B3C"/>
    <w:rsid w:val="006A7E2D"/>
    <w:rsid w:val="006B0372"/>
    <w:rsid w:val="006B0764"/>
    <w:rsid w:val="006B081C"/>
    <w:rsid w:val="006B3927"/>
    <w:rsid w:val="006B4467"/>
    <w:rsid w:val="006B6C46"/>
    <w:rsid w:val="006B6E78"/>
    <w:rsid w:val="006C0039"/>
    <w:rsid w:val="006C03B2"/>
    <w:rsid w:val="006C109A"/>
    <w:rsid w:val="006C1927"/>
    <w:rsid w:val="006C2585"/>
    <w:rsid w:val="006C4008"/>
    <w:rsid w:val="006C4E2C"/>
    <w:rsid w:val="006C5931"/>
    <w:rsid w:val="006C6824"/>
    <w:rsid w:val="006C73EF"/>
    <w:rsid w:val="006D1723"/>
    <w:rsid w:val="006D1FC5"/>
    <w:rsid w:val="006D5D3F"/>
    <w:rsid w:val="006D60ED"/>
    <w:rsid w:val="006D7E41"/>
    <w:rsid w:val="006E1166"/>
    <w:rsid w:val="006E2314"/>
    <w:rsid w:val="006E24D9"/>
    <w:rsid w:val="006E596E"/>
    <w:rsid w:val="006E65E0"/>
    <w:rsid w:val="006F033F"/>
    <w:rsid w:val="006F24D8"/>
    <w:rsid w:val="006F33B8"/>
    <w:rsid w:val="006F3EB8"/>
    <w:rsid w:val="006F4C9C"/>
    <w:rsid w:val="006F640F"/>
    <w:rsid w:val="006F762A"/>
    <w:rsid w:val="00701B6B"/>
    <w:rsid w:val="00703714"/>
    <w:rsid w:val="0070384F"/>
    <w:rsid w:val="00703A9E"/>
    <w:rsid w:val="00703D6D"/>
    <w:rsid w:val="00704095"/>
    <w:rsid w:val="00704152"/>
    <w:rsid w:val="00704FB5"/>
    <w:rsid w:val="0070589C"/>
    <w:rsid w:val="00706B71"/>
    <w:rsid w:val="0071022A"/>
    <w:rsid w:val="0071277A"/>
    <w:rsid w:val="00712EE5"/>
    <w:rsid w:val="00713493"/>
    <w:rsid w:val="00713494"/>
    <w:rsid w:val="00714031"/>
    <w:rsid w:val="0071466E"/>
    <w:rsid w:val="00714A6C"/>
    <w:rsid w:val="00714CD3"/>
    <w:rsid w:val="007206A8"/>
    <w:rsid w:val="0072116D"/>
    <w:rsid w:val="00721ECE"/>
    <w:rsid w:val="0072226F"/>
    <w:rsid w:val="00724DAF"/>
    <w:rsid w:val="00725B78"/>
    <w:rsid w:val="00727082"/>
    <w:rsid w:val="0073233C"/>
    <w:rsid w:val="00732D0C"/>
    <w:rsid w:val="00733EAD"/>
    <w:rsid w:val="00734F54"/>
    <w:rsid w:val="00735E03"/>
    <w:rsid w:val="00736D93"/>
    <w:rsid w:val="00737C04"/>
    <w:rsid w:val="00737F64"/>
    <w:rsid w:val="00741649"/>
    <w:rsid w:val="00744110"/>
    <w:rsid w:val="00744595"/>
    <w:rsid w:val="00746B94"/>
    <w:rsid w:val="00747A52"/>
    <w:rsid w:val="00747A67"/>
    <w:rsid w:val="00750F1E"/>
    <w:rsid w:val="00751C12"/>
    <w:rsid w:val="00752691"/>
    <w:rsid w:val="007528F2"/>
    <w:rsid w:val="007575C4"/>
    <w:rsid w:val="00757D63"/>
    <w:rsid w:val="00762A1B"/>
    <w:rsid w:val="00762D6D"/>
    <w:rsid w:val="00763700"/>
    <w:rsid w:val="0076427C"/>
    <w:rsid w:val="00765217"/>
    <w:rsid w:val="007659AA"/>
    <w:rsid w:val="00766334"/>
    <w:rsid w:val="0077266C"/>
    <w:rsid w:val="00772802"/>
    <w:rsid w:val="00775066"/>
    <w:rsid w:val="00776406"/>
    <w:rsid w:val="0078005A"/>
    <w:rsid w:val="00780836"/>
    <w:rsid w:val="00781B6F"/>
    <w:rsid w:val="00781F9C"/>
    <w:rsid w:val="00782DFD"/>
    <w:rsid w:val="00784424"/>
    <w:rsid w:val="00785474"/>
    <w:rsid w:val="00787B99"/>
    <w:rsid w:val="007925B6"/>
    <w:rsid w:val="0079421C"/>
    <w:rsid w:val="0079526D"/>
    <w:rsid w:val="00795A2C"/>
    <w:rsid w:val="007969A9"/>
    <w:rsid w:val="00797390"/>
    <w:rsid w:val="007A05B6"/>
    <w:rsid w:val="007A1C0A"/>
    <w:rsid w:val="007A1C59"/>
    <w:rsid w:val="007A5B41"/>
    <w:rsid w:val="007B1352"/>
    <w:rsid w:val="007B3A76"/>
    <w:rsid w:val="007B5792"/>
    <w:rsid w:val="007B6FDC"/>
    <w:rsid w:val="007C0662"/>
    <w:rsid w:val="007C0F03"/>
    <w:rsid w:val="007C31E2"/>
    <w:rsid w:val="007C591E"/>
    <w:rsid w:val="007C5CE1"/>
    <w:rsid w:val="007C6F85"/>
    <w:rsid w:val="007D0569"/>
    <w:rsid w:val="007D16B1"/>
    <w:rsid w:val="007D19E4"/>
    <w:rsid w:val="007D26A1"/>
    <w:rsid w:val="007D73ED"/>
    <w:rsid w:val="007D7400"/>
    <w:rsid w:val="007D7761"/>
    <w:rsid w:val="007D79FF"/>
    <w:rsid w:val="007E02A7"/>
    <w:rsid w:val="007E468A"/>
    <w:rsid w:val="007E51A5"/>
    <w:rsid w:val="007E6784"/>
    <w:rsid w:val="007E7B0D"/>
    <w:rsid w:val="007E7F4C"/>
    <w:rsid w:val="007F2EC6"/>
    <w:rsid w:val="007F3018"/>
    <w:rsid w:val="007F6862"/>
    <w:rsid w:val="007F7F93"/>
    <w:rsid w:val="008013FC"/>
    <w:rsid w:val="008060C3"/>
    <w:rsid w:val="008063A1"/>
    <w:rsid w:val="00807983"/>
    <w:rsid w:val="00807F00"/>
    <w:rsid w:val="00811021"/>
    <w:rsid w:val="00812095"/>
    <w:rsid w:val="008134BD"/>
    <w:rsid w:val="008139D7"/>
    <w:rsid w:val="00814105"/>
    <w:rsid w:val="00814656"/>
    <w:rsid w:val="00820E45"/>
    <w:rsid w:val="00821456"/>
    <w:rsid w:val="00821E2C"/>
    <w:rsid w:val="00822782"/>
    <w:rsid w:val="00822835"/>
    <w:rsid w:val="0082459B"/>
    <w:rsid w:val="00826607"/>
    <w:rsid w:val="00826758"/>
    <w:rsid w:val="008278FA"/>
    <w:rsid w:val="00827E92"/>
    <w:rsid w:val="00832157"/>
    <w:rsid w:val="008353E0"/>
    <w:rsid w:val="008365F0"/>
    <w:rsid w:val="0083787C"/>
    <w:rsid w:val="00841534"/>
    <w:rsid w:val="008462F1"/>
    <w:rsid w:val="00846930"/>
    <w:rsid w:val="00846FFD"/>
    <w:rsid w:val="00850FDE"/>
    <w:rsid w:val="00852876"/>
    <w:rsid w:val="008543F5"/>
    <w:rsid w:val="00855004"/>
    <w:rsid w:val="008572C4"/>
    <w:rsid w:val="0085733E"/>
    <w:rsid w:val="0085765A"/>
    <w:rsid w:val="008604A8"/>
    <w:rsid w:val="00860E64"/>
    <w:rsid w:val="008616F7"/>
    <w:rsid w:val="00861AFA"/>
    <w:rsid w:val="00863C61"/>
    <w:rsid w:val="00863C87"/>
    <w:rsid w:val="00865522"/>
    <w:rsid w:val="00865ADF"/>
    <w:rsid w:val="0086644C"/>
    <w:rsid w:val="008666B5"/>
    <w:rsid w:val="00867C40"/>
    <w:rsid w:val="008703B3"/>
    <w:rsid w:val="00876985"/>
    <w:rsid w:val="00880E1B"/>
    <w:rsid w:val="00883277"/>
    <w:rsid w:val="00883780"/>
    <w:rsid w:val="00883B99"/>
    <w:rsid w:val="00885066"/>
    <w:rsid w:val="00885F85"/>
    <w:rsid w:val="0088665E"/>
    <w:rsid w:val="00887F48"/>
    <w:rsid w:val="008923C8"/>
    <w:rsid w:val="008924B5"/>
    <w:rsid w:val="00892A8B"/>
    <w:rsid w:val="00893260"/>
    <w:rsid w:val="008932A8"/>
    <w:rsid w:val="00893756"/>
    <w:rsid w:val="008941BB"/>
    <w:rsid w:val="00894A9E"/>
    <w:rsid w:val="008950F6"/>
    <w:rsid w:val="00896815"/>
    <w:rsid w:val="008A01FF"/>
    <w:rsid w:val="008A0744"/>
    <w:rsid w:val="008A0A6E"/>
    <w:rsid w:val="008A0D0F"/>
    <w:rsid w:val="008A2C15"/>
    <w:rsid w:val="008A2FB3"/>
    <w:rsid w:val="008A398B"/>
    <w:rsid w:val="008A3A7D"/>
    <w:rsid w:val="008A5601"/>
    <w:rsid w:val="008A59AD"/>
    <w:rsid w:val="008A5D7D"/>
    <w:rsid w:val="008B0587"/>
    <w:rsid w:val="008B0EEB"/>
    <w:rsid w:val="008B2DDC"/>
    <w:rsid w:val="008B431D"/>
    <w:rsid w:val="008B51FD"/>
    <w:rsid w:val="008B6766"/>
    <w:rsid w:val="008B7186"/>
    <w:rsid w:val="008B7192"/>
    <w:rsid w:val="008C1939"/>
    <w:rsid w:val="008C3396"/>
    <w:rsid w:val="008C5865"/>
    <w:rsid w:val="008C621C"/>
    <w:rsid w:val="008C697C"/>
    <w:rsid w:val="008C7448"/>
    <w:rsid w:val="008C75ED"/>
    <w:rsid w:val="008C7649"/>
    <w:rsid w:val="008D03C8"/>
    <w:rsid w:val="008E0991"/>
    <w:rsid w:val="008E338E"/>
    <w:rsid w:val="008E37B8"/>
    <w:rsid w:val="008E4F47"/>
    <w:rsid w:val="008E57FE"/>
    <w:rsid w:val="008E6FF9"/>
    <w:rsid w:val="008F1889"/>
    <w:rsid w:val="008F2665"/>
    <w:rsid w:val="008F3D93"/>
    <w:rsid w:val="008F507E"/>
    <w:rsid w:val="008F5251"/>
    <w:rsid w:val="008F6376"/>
    <w:rsid w:val="00900CC2"/>
    <w:rsid w:val="00901770"/>
    <w:rsid w:val="009019FB"/>
    <w:rsid w:val="00902AA5"/>
    <w:rsid w:val="009052B7"/>
    <w:rsid w:val="00905B05"/>
    <w:rsid w:val="0090753C"/>
    <w:rsid w:val="00911679"/>
    <w:rsid w:val="00911B66"/>
    <w:rsid w:val="00911F04"/>
    <w:rsid w:val="00912A7E"/>
    <w:rsid w:val="00915330"/>
    <w:rsid w:val="00916E69"/>
    <w:rsid w:val="00917525"/>
    <w:rsid w:val="0091777D"/>
    <w:rsid w:val="00917C39"/>
    <w:rsid w:val="0092057D"/>
    <w:rsid w:val="009218DE"/>
    <w:rsid w:val="00921985"/>
    <w:rsid w:val="00921B00"/>
    <w:rsid w:val="009222AE"/>
    <w:rsid w:val="00922D00"/>
    <w:rsid w:val="00923663"/>
    <w:rsid w:val="0092397E"/>
    <w:rsid w:val="00923F17"/>
    <w:rsid w:val="009266DA"/>
    <w:rsid w:val="00930DE8"/>
    <w:rsid w:val="009318DD"/>
    <w:rsid w:val="009329BD"/>
    <w:rsid w:val="009335D4"/>
    <w:rsid w:val="00935413"/>
    <w:rsid w:val="00935F5D"/>
    <w:rsid w:val="009365ED"/>
    <w:rsid w:val="0093669F"/>
    <w:rsid w:val="009368E0"/>
    <w:rsid w:val="0094260B"/>
    <w:rsid w:val="00942661"/>
    <w:rsid w:val="00945307"/>
    <w:rsid w:val="0094558D"/>
    <w:rsid w:val="00946FCE"/>
    <w:rsid w:val="009515BC"/>
    <w:rsid w:val="0095349A"/>
    <w:rsid w:val="00953B5B"/>
    <w:rsid w:val="00953CB0"/>
    <w:rsid w:val="00953ED0"/>
    <w:rsid w:val="0095492E"/>
    <w:rsid w:val="00955F7D"/>
    <w:rsid w:val="0095778D"/>
    <w:rsid w:val="00957812"/>
    <w:rsid w:val="009607B1"/>
    <w:rsid w:val="0096242F"/>
    <w:rsid w:val="00962E3B"/>
    <w:rsid w:val="00962E4A"/>
    <w:rsid w:val="00962FD3"/>
    <w:rsid w:val="00962FF5"/>
    <w:rsid w:val="00964A4E"/>
    <w:rsid w:val="00965B02"/>
    <w:rsid w:val="00965C07"/>
    <w:rsid w:val="00965D2D"/>
    <w:rsid w:val="00970A16"/>
    <w:rsid w:val="00971847"/>
    <w:rsid w:val="00972964"/>
    <w:rsid w:val="00974F4A"/>
    <w:rsid w:val="0097762F"/>
    <w:rsid w:val="00977FC2"/>
    <w:rsid w:val="009816B8"/>
    <w:rsid w:val="00983B45"/>
    <w:rsid w:val="00983B5C"/>
    <w:rsid w:val="0098766F"/>
    <w:rsid w:val="0099017A"/>
    <w:rsid w:val="00993912"/>
    <w:rsid w:val="00994050"/>
    <w:rsid w:val="009957C2"/>
    <w:rsid w:val="009962CF"/>
    <w:rsid w:val="009969D6"/>
    <w:rsid w:val="009A12A9"/>
    <w:rsid w:val="009A4543"/>
    <w:rsid w:val="009A5DB1"/>
    <w:rsid w:val="009A7C5A"/>
    <w:rsid w:val="009A7E51"/>
    <w:rsid w:val="009B21B9"/>
    <w:rsid w:val="009B2FAD"/>
    <w:rsid w:val="009B4CD0"/>
    <w:rsid w:val="009B4DA7"/>
    <w:rsid w:val="009B6615"/>
    <w:rsid w:val="009C21C6"/>
    <w:rsid w:val="009C383B"/>
    <w:rsid w:val="009C3A80"/>
    <w:rsid w:val="009C41EC"/>
    <w:rsid w:val="009C471C"/>
    <w:rsid w:val="009C5238"/>
    <w:rsid w:val="009D12B4"/>
    <w:rsid w:val="009D1E70"/>
    <w:rsid w:val="009D2135"/>
    <w:rsid w:val="009D2FA7"/>
    <w:rsid w:val="009D3EB7"/>
    <w:rsid w:val="009D4CAE"/>
    <w:rsid w:val="009D55F9"/>
    <w:rsid w:val="009D5A11"/>
    <w:rsid w:val="009D765F"/>
    <w:rsid w:val="009D7760"/>
    <w:rsid w:val="009E16E6"/>
    <w:rsid w:val="009E1E62"/>
    <w:rsid w:val="009E1F5E"/>
    <w:rsid w:val="009E2953"/>
    <w:rsid w:val="009E2A4B"/>
    <w:rsid w:val="009E30CE"/>
    <w:rsid w:val="009E34BA"/>
    <w:rsid w:val="009E3A03"/>
    <w:rsid w:val="009E3E98"/>
    <w:rsid w:val="009E4CDF"/>
    <w:rsid w:val="009E7104"/>
    <w:rsid w:val="009F04C3"/>
    <w:rsid w:val="009F0760"/>
    <w:rsid w:val="009F3B29"/>
    <w:rsid w:val="009F4860"/>
    <w:rsid w:val="009F6C59"/>
    <w:rsid w:val="00A00057"/>
    <w:rsid w:val="00A00485"/>
    <w:rsid w:val="00A01A5F"/>
    <w:rsid w:val="00A025AC"/>
    <w:rsid w:val="00A02C96"/>
    <w:rsid w:val="00A02E65"/>
    <w:rsid w:val="00A0340A"/>
    <w:rsid w:val="00A0411C"/>
    <w:rsid w:val="00A0440C"/>
    <w:rsid w:val="00A047AE"/>
    <w:rsid w:val="00A0585F"/>
    <w:rsid w:val="00A0694A"/>
    <w:rsid w:val="00A074B6"/>
    <w:rsid w:val="00A077AC"/>
    <w:rsid w:val="00A07A33"/>
    <w:rsid w:val="00A10961"/>
    <w:rsid w:val="00A10A30"/>
    <w:rsid w:val="00A11338"/>
    <w:rsid w:val="00A1137C"/>
    <w:rsid w:val="00A113D7"/>
    <w:rsid w:val="00A11F0F"/>
    <w:rsid w:val="00A13147"/>
    <w:rsid w:val="00A16126"/>
    <w:rsid w:val="00A21C6C"/>
    <w:rsid w:val="00A2365A"/>
    <w:rsid w:val="00A24133"/>
    <w:rsid w:val="00A262BF"/>
    <w:rsid w:val="00A271FA"/>
    <w:rsid w:val="00A27809"/>
    <w:rsid w:val="00A30533"/>
    <w:rsid w:val="00A317B0"/>
    <w:rsid w:val="00A31A0E"/>
    <w:rsid w:val="00A31CA8"/>
    <w:rsid w:val="00A33B62"/>
    <w:rsid w:val="00A34591"/>
    <w:rsid w:val="00A34E44"/>
    <w:rsid w:val="00A3640F"/>
    <w:rsid w:val="00A37ECF"/>
    <w:rsid w:val="00A40CE2"/>
    <w:rsid w:val="00A42CE1"/>
    <w:rsid w:val="00A42FAE"/>
    <w:rsid w:val="00A47176"/>
    <w:rsid w:val="00A475C5"/>
    <w:rsid w:val="00A4768C"/>
    <w:rsid w:val="00A50A68"/>
    <w:rsid w:val="00A50D3B"/>
    <w:rsid w:val="00A50E38"/>
    <w:rsid w:val="00A510C6"/>
    <w:rsid w:val="00A518AA"/>
    <w:rsid w:val="00A525E7"/>
    <w:rsid w:val="00A52F9E"/>
    <w:rsid w:val="00A54149"/>
    <w:rsid w:val="00A56348"/>
    <w:rsid w:val="00A5703F"/>
    <w:rsid w:val="00A57D39"/>
    <w:rsid w:val="00A60168"/>
    <w:rsid w:val="00A6316B"/>
    <w:rsid w:val="00A65316"/>
    <w:rsid w:val="00A674FF"/>
    <w:rsid w:val="00A70F69"/>
    <w:rsid w:val="00A72611"/>
    <w:rsid w:val="00A73ABB"/>
    <w:rsid w:val="00A751A1"/>
    <w:rsid w:val="00A76D2C"/>
    <w:rsid w:val="00A77746"/>
    <w:rsid w:val="00A806AA"/>
    <w:rsid w:val="00A81DEF"/>
    <w:rsid w:val="00A83BF6"/>
    <w:rsid w:val="00A84512"/>
    <w:rsid w:val="00A87B4F"/>
    <w:rsid w:val="00A87F31"/>
    <w:rsid w:val="00A90D27"/>
    <w:rsid w:val="00A9103B"/>
    <w:rsid w:val="00A91284"/>
    <w:rsid w:val="00A918A7"/>
    <w:rsid w:val="00A92871"/>
    <w:rsid w:val="00A92A29"/>
    <w:rsid w:val="00A955EB"/>
    <w:rsid w:val="00AA0652"/>
    <w:rsid w:val="00AA1EB8"/>
    <w:rsid w:val="00AA1F49"/>
    <w:rsid w:val="00AA3A2E"/>
    <w:rsid w:val="00AA4099"/>
    <w:rsid w:val="00AA6913"/>
    <w:rsid w:val="00AB2190"/>
    <w:rsid w:val="00AB39EB"/>
    <w:rsid w:val="00AB3F27"/>
    <w:rsid w:val="00AB3FD9"/>
    <w:rsid w:val="00AB49F1"/>
    <w:rsid w:val="00AB70A3"/>
    <w:rsid w:val="00AB7DE7"/>
    <w:rsid w:val="00AC03AB"/>
    <w:rsid w:val="00AC0650"/>
    <w:rsid w:val="00AC1BE7"/>
    <w:rsid w:val="00AC275F"/>
    <w:rsid w:val="00AC3EE4"/>
    <w:rsid w:val="00AC4D9F"/>
    <w:rsid w:val="00AC50A4"/>
    <w:rsid w:val="00AC5A95"/>
    <w:rsid w:val="00AC6074"/>
    <w:rsid w:val="00AC6471"/>
    <w:rsid w:val="00AC6BF9"/>
    <w:rsid w:val="00AD1751"/>
    <w:rsid w:val="00AD2B6E"/>
    <w:rsid w:val="00AD3443"/>
    <w:rsid w:val="00AD4B3C"/>
    <w:rsid w:val="00AD68A5"/>
    <w:rsid w:val="00AE16C8"/>
    <w:rsid w:val="00AE185D"/>
    <w:rsid w:val="00AE1BFE"/>
    <w:rsid w:val="00AE3842"/>
    <w:rsid w:val="00AE3D83"/>
    <w:rsid w:val="00AE4374"/>
    <w:rsid w:val="00AE466A"/>
    <w:rsid w:val="00AE485C"/>
    <w:rsid w:val="00AE54EA"/>
    <w:rsid w:val="00AE7D4F"/>
    <w:rsid w:val="00AE7FE4"/>
    <w:rsid w:val="00AF0117"/>
    <w:rsid w:val="00AF0D96"/>
    <w:rsid w:val="00AF17D3"/>
    <w:rsid w:val="00AF1D77"/>
    <w:rsid w:val="00AF38BA"/>
    <w:rsid w:val="00AF43A4"/>
    <w:rsid w:val="00AF4F67"/>
    <w:rsid w:val="00AF5811"/>
    <w:rsid w:val="00AF6509"/>
    <w:rsid w:val="00B002B9"/>
    <w:rsid w:val="00B00BBE"/>
    <w:rsid w:val="00B043E9"/>
    <w:rsid w:val="00B0456E"/>
    <w:rsid w:val="00B06A05"/>
    <w:rsid w:val="00B06BF6"/>
    <w:rsid w:val="00B06F7F"/>
    <w:rsid w:val="00B0739D"/>
    <w:rsid w:val="00B100F0"/>
    <w:rsid w:val="00B1402E"/>
    <w:rsid w:val="00B14865"/>
    <w:rsid w:val="00B21D50"/>
    <w:rsid w:val="00B22F9B"/>
    <w:rsid w:val="00B23747"/>
    <w:rsid w:val="00B23E0A"/>
    <w:rsid w:val="00B24090"/>
    <w:rsid w:val="00B257E3"/>
    <w:rsid w:val="00B260C7"/>
    <w:rsid w:val="00B27494"/>
    <w:rsid w:val="00B279B9"/>
    <w:rsid w:val="00B27BFD"/>
    <w:rsid w:val="00B34F48"/>
    <w:rsid w:val="00B44995"/>
    <w:rsid w:val="00B46A91"/>
    <w:rsid w:val="00B51BA0"/>
    <w:rsid w:val="00B52957"/>
    <w:rsid w:val="00B535BD"/>
    <w:rsid w:val="00B53701"/>
    <w:rsid w:val="00B55BEF"/>
    <w:rsid w:val="00B56A26"/>
    <w:rsid w:val="00B6021A"/>
    <w:rsid w:val="00B60FAB"/>
    <w:rsid w:val="00B6110A"/>
    <w:rsid w:val="00B6176A"/>
    <w:rsid w:val="00B627B7"/>
    <w:rsid w:val="00B6301A"/>
    <w:rsid w:val="00B64CAD"/>
    <w:rsid w:val="00B651FA"/>
    <w:rsid w:val="00B6615B"/>
    <w:rsid w:val="00B66751"/>
    <w:rsid w:val="00B67AA6"/>
    <w:rsid w:val="00B7066C"/>
    <w:rsid w:val="00B717D8"/>
    <w:rsid w:val="00B72DF3"/>
    <w:rsid w:val="00B74146"/>
    <w:rsid w:val="00B76F6C"/>
    <w:rsid w:val="00B8080B"/>
    <w:rsid w:val="00B811EF"/>
    <w:rsid w:val="00B831B9"/>
    <w:rsid w:val="00B868DC"/>
    <w:rsid w:val="00B86EF1"/>
    <w:rsid w:val="00B90674"/>
    <w:rsid w:val="00B9136C"/>
    <w:rsid w:val="00B91FFF"/>
    <w:rsid w:val="00B934E3"/>
    <w:rsid w:val="00B94323"/>
    <w:rsid w:val="00B94444"/>
    <w:rsid w:val="00B9566B"/>
    <w:rsid w:val="00B95F92"/>
    <w:rsid w:val="00B961B7"/>
    <w:rsid w:val="00B963D4"/>
    <w:rsid w:val="00B9772B"/>
    <w:rsid w:val="00B97C5A"/>
    <w:rsid w:val="00BA2DEF"/>
    <w:rsid w:val="00BA35F2"/>
    <w:rsid w:val="00BA3ACF"/>
    <w:rsid w:val="00BA42FB"/>
    <w:rsid w:val="00BA4768"/>
    <w:rsid w:val="00BA4A92"/>
    <w:rsid w:val="00BA516F"/>
    <w:rsid w:val="00BA628C"/>
    <w:rsid w:val="00BA7059"/>
    <w:rsid w:val="00BB0051"/>
    <w:rsid w:val="00BB02C6"/>
    <w:rsid w:val="00BB1082"/>
    <w:rsid w:val="00BB2127"/>
    <w:rsid w:val="00BB3805"/>
    <w:rsid w:val="00BB4589"/>
    <w:rsid w:val="00BB52A5"/>
    <w:rsid w:val="00BB5893"/>
    <w:rsid w:val="00BB6740"/>
    <w:rsid w:val="00BB761B"/>
    <w:rsid w:val="00BB7EA1"/>
    <w:rsid w:val="00BB7F81"/>
    <w:rsid w:val="00BC088A"/>
    <w:rsid w:val="00BC0D5F"/>
    <w:rsid w:val="00BC269B"/>
    <w:rsid w:val="00BC27D2"/>
    <w:rsid w:val="00BC3945"/>
    <w:rsid w:val="00BD35E1"/>
    <w:rsid w:val="00BD54FC"/>
    <w:rsid w:val="00BD63C3"/>
    <w:rsid w:val="00BD67CE"/>
    <w:rsid w:val="00BD76A4"/>
    <w:rsid w:val="00BE1C8A"/>
    <w:rsid w:val="00BE4857"/>
    <w:rsid w:val="00BE4956"/>
    <w:rsid w:val="00BE5847"/>
    <w:rsid w:val="00BE5BE0"/>
    <w:rsid w:val="00BE697B"/>
    <w:rsid w:val="00BE70E8"/>
    <w:rsid w:val="00BF0E76"/>
    <w:rsid w:val="00BF19DC"/>
    <w:rsid w:val="00BF2B3E"/>
    <w:rsid w:val="00BF2DAF"/>
    <w:rsid w:val="00BF4E1B"/>
    <w:rsid w:val="00BF52F5"/>
    <w:rsid w:val="00BF5F38"/>
    <w:rsid w:val="00C01083"/>
    <w:rsid w:val="00C0164F"/>
    <w:rsid w:val="00C0480F"/>
    <w:rsid w:val="00C05D8F"/>
    <w:rsid w:val="00C1043C"/>
    <w:rsid w:val="00C12A51"/>
    <w:rsid w:val="00C12CD1"/>
    <w:rsid w:val="00C143EE"/>
    <w:rsid w:val="00C147C0"/>
    <w:rsid w:val="00C1591E"/>
    <w:rsid w:val="00C173EE"/>
    <w:rsid w:val="00C20510"/>
    <w:rsid w:val="00C20A33"/>
    <w:rsid w:val="00C20D36"/>
    <w:rsid w:val="00C21038"/>
    <w:rsid w:val="00C2213F"/>
    <w:rsid w:val="00C2286B"/>
    <w:rsid w:val="00C2396B"/>
    <w:rsid w:val="00C26865"/>
    <w:rsid w:val="00C2785F"/>
    <w:rsid w:val="00C30BA6"/>
    <w:rsid w:val="00C31467"/>
    <w:rsid w:val="00C33F0C"/>
    <w:rsid w:val="00C34CCB"/>
    <w:rsid w:val="00C34D57"/>
    <w:rsid w:val="00C35515"/>
    <w:rsid w:val="00C35807"/>
    <w:rsid w:val="00C35A4B"/>
    <w:rsid w:val="00C36696"/>
    <w:rsid w:val="00C36720"/>
    <w:rsid w:val="00C36777"/>
    <w:rsid w:val="00C37518"/>
    <w:rsid w:val="00C37F00"/>
    <w:rsid w:val="00C421C9"/>
    <w:rsid w:val="00C42A3A"/>
    <w:rsid w:val="00C4319B"/>
    <w:rsid w:val="00C437C6"/>
    <w:rsid w:val="00C4390D"/>
    <w:rsid w:val="00C4517F"/>
    <w:rsid w:val="00C45232"/>
    <w:rsid w:val="00C46E94"/>
    <w:rsid w:val="00C4713F"/>
    <w:rsid w:val="00C50712"/>
    <w:rsid w:val="00C52097"/>
    <w:rsid w:val="00C52BA5"/>
    <w:rsid w:val="00C52F47"/>
    <w:rsid w:val="00C53323"/>
    <w:rsid w:val="00C54727"/>
    <w:rsid w:val="00C54D8C"/>
    <w:rsid w:val="00C57493"/>
    <w:rsid w:val="00C605E6"/>
    <w:rsid w:val="00C64D07"/>
    <w:rsid w:val="00C66CEF"/>
    <w:rsid w:val="00C670FE"/>
    <w:rsid w:val="00C71087"/>
    <w:rsid w:val="00C71E3C"/>
    <w:rsid w:val="00C73C17"/>
    <w:rsid w:val="00C75492"/>
    <w:rsid w:val="00C77C78"/>
    <w:rsid w:val="00C8146C"/>
    <w:rsid w:val="00C8231E"/>
    <w:rsid w:val="00C846DD"/>
    <w:rsid w:val="00C853CA"/>
    <w:rsid w:val="00C85543"/>
    <w:rsid w:val="00C85CA6"/>
    <w:rsid w:val="00C873DA"/>
    <w:rsid w:val="00C90A7F"/>
    <w:rsid w:val="00C9147E"/>
    <w:rsid w:val="00C925ED"/>
    <w:rsid w:val="00C9339F"/>
    <w:rsid w:val="00C96A10"/>
    <w:rsid w:val="00C9753B"/>
    <w:rsid w:val="00CA0C87"/>
    <w:rsid w:val="00CA19CD"/>
    <w:rsid w:val="00CA4A62"/>
    <w:rsid w:val="00CA561E"/>
    <w:rsid w:val="00CA5B58"/>
    <w:rsid w:val="00CA659E"/>
    <w:rsid w:val="00CB1065"/>
    <w:rsid w:val="00CB23DD"/>
    <w:rsid w:val="00CB2757"/>
    <w:rsid w:val="00CB2FE7"/>
    <w:rsid w:val="00CB323E"/>
    <w:rsid w:val="00CB3B57"/>
    <w:rsid w:val="00CB42AE"/>
    <w:rsid w:val="00CB5044"/>
    <w:rsid w:val="00CB6768"/>
    <w:rsid w:val="00CC17DB"/>
    <w:rsid w:val="00CC2F01"/>
    <w:rsid w:val="00CC6453"/>
    <w:rsid w:val="00CD2D8A"/>
    <w:rsid w:val="00CD31EA"/>
    <w:rsid w:val="00CD3EA9"/>
    <w:rsid w:val="00CD692F"/>
    <w:rsid w:val="00CD7375"/>
    <w:rsid w:val="00CE0392"/>
    <w:rsid w:val="00CE2303"/>
    <w:rsid w:val="00CE5481"/>
    <w:rsid w:val="00CE5866"/>
    <w:rsid w:val="00CF003F"/>
    <w:rsid w:val="00CF0045"/>
    <w:rsid w:val="00CF5CF6"/>
    <w:rsid w:val="00CF7194"/>
    <w:rsid w:val="00CF7C90"/>
    <w:rsid w:val="00CF7EA0"/>
    <w:rsid w:val="00D00600"/>
    <w:rsid w:val="00D00A29"/>
    <w:rsid w:val="00D02612"/>
    <w:rsid w:val="00D0329F"/>
    <w:rsid w:val="00D04F9C"/>
    <w:rsid w:val="00D055C2"/>
    <w:rsid w:val="00D06299"/>
    <w:rsid w:val="00D1045D"/>
    <w:rsid w:val="00D133AA"/>
    <w:rsid w:val="00D13B0B"/>
    <w:rsid w:val="00D13CCF"/>
    <w:rsid w:val="00D14CF7"/>
    <w:rsid w:val="00D1576E"/>
    <w:rsid w:val="00D15E67"/>
    <w:rsid w:val="00D20ABB"/>
    <w:rsid w:val="00D24AEE"/>
    <w:rsid w:val="00D26A33"/>
    <w:rsid w:val="00D3073E"/>
    <w:rsid w:val="00D31676"/>
    <w:rsid w:val="00D316C8"/>
    <w:rsid w:val="00D337D5"/>
    <w:rsid w:val="00D34817"/>
    <w:rsid w:val="00D365BB"/>
    <w:rsid w:val="00D3795A"/>
    <w:rsid w:val="00D37AB5"/>
    <w:rsid w:val="00D40C74"/>
    <w:rsid w:val="00D43282"/>
    <w:rsid w:val="00D43B58"/>
    <w:rsid w:val="00D43EA4"/>
    <w:rsid w:val="00D44367"/>
    <w:rsid w:val="00D44508"/>
    <w:rsid w:val="00D467F7"/>
    <w:rsid w:val="00D47810"/>
    <w:rsid w:val="00D50EF1"/>
    <w:rsid w:val="00D5128E"/>
    <w:rsid w:val="00D52FD0"/>
    <w:rsid w:val="00D53406"/>
    <w:rsid w:val="00D54385"/>
    <w:rsid w:val="00D6259C"/>
    <w:rsid w:val="00D63B91"/>
    <w:rsid w:val="00D64A4A"/>
    <w:rsid w:val="00D6679C"/>
    <w:rsid w:val="00D6741A"/>
    <w:rsid w:val="00D72F5D"/>
    <w:rsid w:val="00D73EE6"/>
    <w:rsid w:val="00D74112"/>
    <w:rsid w:val="00D742D2"/>
    <w:rsid w:val="00D744DC"/>
    <w:rsid w:val="00D745E4"/>
    <w:rsid w:val="00D75232"/>
    <w:rsid w:val="00D75CF7"/>
    <w:rsid w:val="00D75F59"/>
    <w:rsid w:val="00D776C3"/>
    <w:rsid w:val="00D80153"/>
    <w:rsid w:val="00D809BA"/>
    <w:rsid w:val="00D81AC7"/>
    <w:rsid w:val="00D824B0"/>
    <w:rsid w:val="00D83E45"/>
    <w:rsid w:val="00D842CD"/>
    <w:rsid w:val="00D8495C"/>
    <w:rsid w:val="00D86737"/>
    <w:rsid w:val="00D8696A"/>
    <w:rsid w:val="00D90F5A"/>
    <w:rsid w:val="00D9153B"/>
    <w:rsid w:val="00D92EC4"/>
    <w:rsid w:val="00D93339"/>
    <w:rsid w:val="00D95903"/>
    <w:rsid w:val="00D95D78"/>
    <w:rsid w:val="00D95F56"/>
    <w:rsid w:val="00DA0810"/>
    <w:rsid w:val="00DA13C2"/>
    <w:rsid w:val="00DA3547"/>
    <w:rsid w:val="00DA3FCE"/>
    <w:rsid w:val="00DA6843"/>
    <w:rsid w:val="00DB2BE7"/>
    <w:rsid w:val="00DB4203"/>
    <w:rsid w:val="00DB769E"/>
    <w:rsid w:val="00DB7CA1"/>
    <w:rsid w:val="00DC094F"/>
    <w:rsid w:val="00DC1FAB"/>
    <w:rsid w:val="00DC24B5"/>
    <w:rsid w:val="00DC25DA"/>
    <w:rsid w:val="00DC4A46"/>
    <w:rsid w:val="00DC4C59"/>
    <w:rsid w:val="00DC5149"/>
    <w:rsid w:val="00DC68E1"/>
    <w:rsid w:val="00DC7FCE"/>
    <w:rsid w:val="00DD1B88"/>
    <w:rsid w:val="00DD2020"/>
    <w:rsid w:val="00DD24B4"/>
    <w:rsid w:val="00DD334C"/>
    <w:rsid w:val="00DD3C08"/>
    <w:rsid w:val="00DE0476"/>
    <w:rsid w:val="00DE1B2F"/>
    <w:rsid w:val="00DE1C5A"/>
    <w:rsid w:val="00DE2AAC"/>
    <w:rsid w:val="00DE48E8"/>
    <w:rsid w:val="00DE5E04"/>
    <w:rsid w:val="00DE6634"/>
    <w:rsid w:val="00DF1125"/>
    <w:rsid w:val="00DF27AC"/>
    <w:rsid w:val="00DF28E7"/>
    <w:rsid w:val="00DF2FD1"/>
    <w:rsid w:val="00DF399A"/>
    <w:rsid w:val="00DF447B"/>
    <w:rsid w:val="00DF5DAC"/>
    <w:rsid w:val="00DF6280"/>
    <w:rsid w:val="00DF7B14"/>
    <w:rsid w:val="00E00009"/>
    <w:rsid w:val="00E01EF4"/>
    <w:rsid w:val="00E02CF2"/>
    <w:rsid w:val="00E04947"/>
    <w:rsid w:val="00E0595C"/>
    <w:rsid w:val="00E069F7"/>
    <w:rsid w:val="00E06C35"/>
    <w:rsid w:val="00E0710D"/>
    <w:rsid w:val="00E07F71"/>
    <w:rsid w:val="00E07FBC"/>
    <w:rsid w:val="00E114D8"/>
    <w:rsid w:val="00E11C20"/>
    <w:rsid w:val="00E1256E"/>
    <w:rsid w:val="00E1347F"/>
    <w:rsid w:val="00E1621B"/>
    <w:rsid w:val="00E21114"/>
    <w:rsid w:val="00E22B84"/>
    <w:rsid w:val="00E230B8"/>
    <w:rsid w:val="00E26045"/>
    <w:rsid w:val="00E268D1"/>
    <w:rsid w:val="00E26BDB"/>
    <w:rsid w:val="00E27304"/>
    <w:rsid w:val="00E304D5"/>
    <w:rsid w:val="00E33084"/>
    <w:rsid w:val="00E337F5"/>
    <w:rsid w:val="00E339E4"/>
    <w:rsid w:val="00E34154"/>
    <w:rsid w:val="00E34593"/>
    <w:rsid w:val="00E34EBC"/>
    <w:rsid w:val="00E36258"/>
    <w:rsid w:val="00E37211"/>
    <w:rsid w:val="00E37848"/>
    <w:rsid w:val="00E4034D"/>
    <w:rsid w:val="00E404B3"/>
    <w:rsid w:val="00E41EE7"/>
    <w:rsid w:val="00E4204C"/>
    <w:rsid w:val="00E42084"/>
    <w:rsid w:val="00E43C02"/>
    <w:rsid w:val="00E44854"/>
    <w:rsid w:val="00E47121"/>
    <w:rsid w:val="00E477B7"/>
    <w:rsid w:val="00E55808"/>
    <w:rsid w:val="00E559EA"/>
    <w:rsid w:val="00E55B3E"/>
    <w:rsid w:val="00E5696D"/>
    <w:rsid w:val="00E56E45"/>
    <w:rsid w:val="00E6161C"/>
    <w:rsid w:val="00E62DEC"/>
    <w:rsid w:val="00E63233"/>
    <w:rsid w:val="00E63FE6"/>
    <w:rsid w:val="00E65960"/>
    <w:rsid w:val="00E65F8A"/>
    <w:rsid w:val="00E66ECB"/>
    <w:rsid w:val="00E67486"/>
    <w:rsid w:val="00E727CE"/>
    <w:rsid w:val="00E73D84"/>
    <w:rsid w:val="00E749E1"/>
    <w:rsid w:val="00E8007A"/>
    <w:rsid w:val="00E80578"/>
    <w:rsid w:val="00E80B43"/>
    <w:rsid w:val="00E824F1"/>
    <w:rsid w:val="00E833CB"/>
    <w:rsid w:val="00E83995"/>
    <w:rsid w:val="00E83CBA"/>
    <w:rsid w:val="00E83D2E"/>
    <w:rsid w:val="00E83FB2"/>
    <w:rsid w:val="00E844D4"/>
    <w:rsid w:val="00E84FDC"/>
    <w:rsid w:val="00E90615"/>
    <w:rsid w:val="00E91FE0"/>
    <w:rsid w:val="00E95AC2"/>
    <w:rsid w:val="00E97167"/>
    <w:rsid w:val="00E97DBB"/>
    <w:rsid w:val="00EA0169"/>
    <w:rsid w:val="00EA093A"/>
    <w:rsid w:val="00EA3781"/>
    <w:rsid w:val="00EA5023"/>
    <w:rsid w:val="00EA7061"/>
    <w:rsid w:val="00EA7C5B"/>
    <w:rsid w:val="00EB13FE"/>
    <w:rsid w:val="00EB254B"/>
    <w:rsid w:val="00EB39F1"/>
    <w:rsid w:val="00EB460F"/>
    <w:rsid w:val="00EB472E"/>
    <w:rsid w:val="00EB5434"/>
    <w:rsid w:val="00EB555B"/>
    <w:rsid w:val="00EB5D6C"/>
    <w:rsid w:val="00EB6A9B"/>
    <w:rsid w:val="00EB76D6"/>
    <w:rsid w:val="00EC0178"/>
    <w:rsid w:val="00EC049F"/>
    <w:rsid w:val="00EC11E3"/>
    <w:rsid w:val="00EC25EE"/>
    <w:rsid w:val="00ED024E"/>
    <w:rsid w:val="00ED194C"/>
    <w:rsid w:val="00ED2C26"/>
    <w:rsid w:val="00ED3898"/>
    <w:rsid w:val="00ED38AA"/>
    <w:rsid w:val="00ED5EC2"/>
    <w:rsid w:val="00ED79A6"/>
    <w:rsid w:val="00EE0DF2"/>
    <w:rsid w:val="00EE1124"/>
    <w:rsid w:val="00EE21DD"/>
    <w:rsid w:val="00EE2472"/>
    <w:rsid w:val="00EE56DF"/>
    <w:rsid w:val="00EE5ED7"/>
    <w:rsid w:val="00EE64CC"/>
    <w:rsid w:val="00EE6D6B"/>
    <w:rsid w:val="00EF0AEB"/>
    <w:rsid w:val="00EF1A24"/>
    <w:rsid w:val="00EF1BF1"/>
    <w:rsid w:val="00EF41A9"/>
    <w:rsid w:val="00EF67D7"/>
    <w:rsid w:val="00EF6F56"/>
    <w:rsid w:val="00EF71E1"/>
    <w:rsid w:val="00F01BD5"/>
    <w:rsid w:val="00F024E3"/>
    <w:rsid w:val="00F0264E"/>
    <w:rsid w:val="00F02815"/>
    <w:rsid w:val="00F02D16"/>
    <w:rsid w:val="00F05EAF"/>
    <w:rsid w:val="00F06D7C"/>
    <w:rsid w:val="00F1049D"/>
    <w:rsid w:val="00F119F0"/>
    <w:rsid w:val="00F1242A"/>
    <w:rsid w:val="00F12F37"/>
    <w:rsid w:val="00F147FD"/>
    <w:rsid w:val="00F15FC1"/>
    <w:rsid w:val="00F166CE"/>
    <w:rsid w:val="00F17762"/>
    <w:rsid w:val="00F22F53"/>
    <w:rsid w:val="00F23C5A"/>
    <w:rsid w:val="00F23E91"/>
    <w:rsid w:val="00F25D77"/>
    <w:rsid w:val="00F261BC"/>
    <w:rsid w:val="00F2692C"/>
    <w:rsid w:val="00F277D4"/>
    <w:rsid w:val="00F31104"/>
    <w:rsid w:val="00F33E65"/>
    <w:rsid w:val="00F34E93"/>
    <w:rsid w:val="00F40DBC"/>
    <w:rsid w:val="00F43F5A"/>
    <w:rsid w:val="00F44511"/>
    <w:rsid w:val="00F4474B"/>
    <w:rsid w:val="00F5097D"/>
    <w:rsid w:val="00F50DDC"/>
    <w:rsid w:val="00F50F64"/>
    <w:rsid w:val="00F513E5"/>
    <w:rsid w:val="00F5219B"/>
    <w:rsid w:val="00F53138"/>
    <w:rsid w:val="00F534C0"/>
    <w:rsid w:val="00F54930"/>
    <w:rsid w:val="00F5523B"/>
    <w:rsid w:val="00F557BC"/>
    <w:rsid w:val="00F623B6"/>
    <w:rsid w:val="00F6280F"/>
    <w:rsid w:val="00F62819"/>
    <w:rsid w:val="00F629C5"/>
    <w:rsid w:val="00F6394B"/>
    <w:rsid w:val="00F6653B"/>
    <w:rsid w:val="00F707E9"/>
    <w:rsid w:val="00F708D9"/>
    <w:rsid w:val="00F720FB"/>
    <w:rsid w:val="00F721C2"/>
    <w:rsid w:val="00F73CE4"/>
    <w:rsid w:val="00F80602"/>
    <w:rsid w:val="00F81376"/>
    <w:rsid w:val="00F84C20"/>
    <w:rsid w:val="00F87614"/>
    <w:rsid w:val="00F91207"/>
    <w:rsid w:val="00F91BB1"/>
    <w:rsid w:val="00F92112"/>
    <w:rsid w:val="00F9230A"/>
    <w:rsid w:val="00F92366"/>
    <w:rsid w:val="00F92753"/>
    <w:rsid w:val="00F95583"/>
    <w:rsid w:val="00F9598E"/>
    <w:rsid w:val="00F96B32"/>
    <w:rsid w:val="00F9735A"/>
    <w:rsid w:val="00FA42F4"/>
    <w:rsid w:val="00FA6502"/>
    <w:rsid w:val="00FA733A"/>
    <w:rsid w:val="00FB0730"/>
    <w:rsid w:val="00FB0BC1"/>
    <w:rsid w:val="00FB14A0"/>
    <w:rsid w:val="00FB42B4"/>
    <w:rsid w:val="00FB48CF"/>
    <w:rsid w:val="00FB4E4A"/>
    <w:rsid w:val="00FB5170"/>
    <w:rsid w:val="00FB53BF"/>
    <w:rsid w:val="00FB6D3A"/>
    <w:rsid w:val="00FB7924"/>
    <w:rsid w:val="00FB7F35"/>
    <w:rsid w:val="00FC11D6"/>
    <w:rsid w:val="00FC48DD"/>
    <w:rsid w:val="00FC569E"/>
    <w:rsid w:val="00FC67E5"/>
    <w:rsid w:val="00FC6BFF"/>
    <w:rsid w:val="00FC7B5F"/>
    <w:rsid w:val="00FD04EB"/>
    <w:rsid w:val="00FD1036"/>
    <w:rsid w:val="00FD131D"/>
    <w:rsid w:val="00FD5177"/>
    <w:rsid w:val="00FE35E1"/>
    <w:rsid w:val="00FE3AFC"/>
    <w:rsid w:val="00FE6D86"/>
    <w:rsid w:val="00FF0133"/>
    <w:rsid w:val="00FF0DA7"/>
    <w:rsid w:val="00FF3276"/>
    <w:rsid w:val="00FF3C71"/>
    <w:rsid w:val="00FF4397"/>
    <w:rsid w:val="00FF5B26"/>
    <w:rsid w:val="00FF66AD"/>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5EEC63"/>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BVI fnr"/>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List Paragraph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WB Para Char,List Paragraph1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Heading2Char">
    <w:name w:val="Heading 2 Char"/>
    <w:basedOn w:val="DefaultParagraphFont"/>
    <w:link w:val="Heading2"/>
    <w:rsid w:val="00557FEC"/>
    <w:rPr>
      <w:rFonts w:ascii="Arial" w:hAnsi="Arial"/>
      <w:b/>
      <w:sz w:val="28"/>
      <w:lang w:val="en-US" w:eastAsia="en-US"/>
    </w:rPr>
  </w:style>
  <w:style w:type="character" w:customStyle="1" w:styleId="Heading4Char">
    <w:name w:val="Heading 4 Char"/>
    <w:basedOn w:val="DefaultParagraphFont"/>
    <w:link w:val="Heading4"/>
    <w:rsid w:val="00557FEC"/>
    <w:rPr>
      <w:rFonts w:ascii="Arial" w:hAnsi="Arial"/>
      <w:b/>
      <w:sz w:val="22"/>
      <w:lang w:val="en-US" w:eastAsia="en-US"/>
    </w:rPr>
  </w:style>
  <w:style w:type="character" w:customStyle="1" w:styleId="BalloonTextChar">
    <w:name w:val="Balloon Text Char"/>
    <w:basedOn w:val="DefaultParagraphFont"/>
    <w:link w:val="BalloonText"/>
    <w:uiPriority w:val="99"/>
    <w:semiHidden/>
    <w:rsid w:val="00557FEC"/>
    <w:rPr>
      <w:rFonts w:ascii="Tahoma" w:hAnsi="Tahoma" w:cs="Tahoma"/>
      <w:sz w:val="16"/>
      <w:szCs w:val="16"/>
      <w:lang w:val="en-US" w:eastAsia="en-US"/>
    </w:rPr>
  </w:style>
  <w:style w:type="paragraph" w:styleId="EndnoteText">
    <w:name w:val="endnote text"/>
    <w:basedOn w:val="Normal"/>
    <w:link w:val="EndnoteTextChar"/>
    <w:uiPriority w:val="99"/>
    <w:unhideWhenUsed/>
    <w:rsid w:val="00BF52F5"/>
    <w:rPr>
      <w:rFonts w:asciiTheme="minorHAnsi" w:eastAsiaTheme="minorEastAsia" w:hAnsiTheme="minorHAnsi" w:cstheme="minorBidi"/>
      <w:lang w:val="es-CL"/>
    </w:rPr>
  </w:style>
  <w:style w:type="character" w:customStyle="1" w:styleId="EndnoteTextChar">
    <w:name w:val="Endnote Text Char"/>
    <w:basedOn w:val="DefaultParagraphFont"/>
    <w:link w:val="EndnoteText"/>
    <w:uiPriority w:val="99"/>
    <w:rsid w:val="00BF52F5"/>
    <w:rPr>
      <w:rFonts w:asciiTheme="minorHAnsi" w:eastAsiaTheme="minorEastAsia" w:hAnsiTheme="minorHAnsi" w:cstheme="minorBidi"/>
      <w:lang w:val="es-CL" w:eastAsia="en-US"/>
    </w:rPr>
  </w:style>
  <w:style w:type="character" w:styleId="Emphasis">
    <w:name w:val="Emphasis"/>
    <w:basedOn w:val="DefaultParagraphFont"/>
    <w:uiPriority w:val="20"/>
    <w:qFormat/>
    <w:locked/>
    <w:rsid w:val="00AB4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186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info.undp.org/global/popp/rma/Pages/internal-control-framework.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observatorio.ministeriodesarrollosocial.gob.cl/casen-multidimensional/casen/docs/Informe_analisis_estadisticas_monitoreo-equidad_genero.pdf" TargetMode="External"/><Relationship Id="rId2" Type="http://schemas.openxmlformats.org/officeDocument/2006/relationships/hyperlink" Target="http://historico.ine.cl/enut/files/principales_resultados/documento_resultados_ENUT.pdf" TargetMode="External"/><Relationship Id="rId1" Type="http://schemas.openxmlformats.org/officeDocument/2006/relationships/hyperlink" Target="http://observatorio.ministeriodesarrollosocial.gob.cl/casen-multidimensional/casen/docs/CASEN_2015_Resultados_equidad_genero.pdf" TargetMode="External"/><Relationship Id="rId6" Type="http://schemas.openxmlformats.org/officeDocument/2006/relationships/hyperlink" Target="https://www.aidtransparency.net/" TargetMode="External"/><Relationship Id="rId5" Type="http://schemas.openxmlformats.org/officeDocument/2006/relationships/hyperlink" Target="https://www.censo2017.cl/" TargetMode="External"/><Relationship Id="rId4" Type="http://schemas.openxmlformats.org/officeDocument/2006/relationships/hyperlink" Target="http://www.dipres.gob.cl/598/articles-176466_doc_pdf.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C1A97D8A-E78A-4E93-A806-BC736E92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5863</Words>
  <Characters>36296</Characters>
  <Application>Microsoft Office Word</Application>
  <DocSecurity>0</DocSecurity>
  <Lines>885</Lines>
  <Paragraphs>345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41814</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jessica.murray@undp.org</dc:creator>
  <cp:lastModifiedBy>Svetlana Iazykova</cp:lastModifiedBy>
  <cp:revision>2</cp:revision>
  <cp:lastPrinted>2018-10-13T21:31:00Z</cp:lastPrinted>
  <dcterms:created xsi:type="dcterms:W3CDTF">2018-10-22T15:46:00Z</dcterms:created>
  <dcterms:modified xsi:type="dcterms:W3CDTF">2018-10-22T15:46:00Z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