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21F0F" w14:textId="77777777" w:rsidR="00A23129" w:rsidRPr="00014A47" w:rsidRDefault="00A23129" w:rsidP="00D24BE9">
      <w:pPr>
        <w:jc w:val="center"/>
        <w:rPr>
          <w:b/>
          <w:lang w:val="en-GB"/>
        </w:rPr>
      </w:pPr>
      <w:r w:rsidRPr="00014A47">
        <w:rPr>
          <w:b/>
          <w:lang w:val="en-GB"/>
        </w:rPr>
        <w:t xml:space="preserve">Tabulated Response to Comments on the Draft </w:t>
      </w:r>
      <w:r w:rsidR="00D24BE9" w:rsidRPr="00014A47">
        <w:rPr>
          <w:b/>
          <w:lang w:val="en-GB"/>
        </w:rPr>
        <w:t xml:space="preserve">CPD </w:t>
      </w:r>
      <w:r w:rsidR="00D1343C">
        <w:rPr>
          <w:b/>
          <w:lang w:val="en-GB"/>
        </w:rPr>
        <w:t>Togo</w:t>
      </w:r>
      <w:r w:rsidR="00D24BE9" w:rsidRPr="00014A47">
        <w:rPr>
          <w:b/>
          <w:lang w:val="en-GB"/>
        </w:rPr>
        <w:t xml:space="preserve"> (201</w:t>
      </w:r>
      <w:r w:rsidR="001058A5">
        <w:rPr>
          <w:b/>
          <w:lang w:val="en-GB"/>
        </w:rPr>
        <w:t>9</w:t>
      </w:r>
      <w:r w:rsidRPr="00014A47">
        <w:rPr>
          <w:b/>
          <w:lang w:val="en-GB"/>
        </w:rPr>
        <w:t>-202</w:t>
      </w:r>
      <w:r w:rsidR="00D1343C">
        <w:rPr>
          <w:b/>
          <w:lang w:val="en-GB"/>
        </w:rPr>
        <w:t>3</w:t>
      </w:r>
      <w:r w:rsidRPr="00014A47">
        <w:rPr>
          <w:b/>
          <w:lang w:val="en-GB"/>
        </w:rPr>
        <w:t>)</w:t>
      </w:r>
    </w:p>
    <w:tbl>
      <w:tblPr>
        <w:tblStyle w:val="TableGrid"/>
        <w:tblW w:w="14490" w:type="dxa"/>
        <w:tblInd w:w="-905" w:type="dxa"/>
        <w:tblLook w:val="04A0" w:firstRow="1" w:lastRow="0" w:firstColumn="1" w:lastColumn="0" w:noHBand="0" w:noVBand="1"/>
      </w:tblPr>
      <w:tblGrid>
        <w:gridCol w:w="6750"/>
        <w:gridCol w:w="1325"/>
        <w:gridCol w:w="6415"/>
      </w:tblGrid>
      <w:tr w:rsidR="00D03459" w:rsidRPr="00D1343C" w14:paraId="64C2F3D4" w14:textId="77777777" w:rsidTr="00D1343C">
        <w:tc>
          <w:tcPr>
            <w:tcW w:w="6750" w:type="dxa"/>
            <w:shd w:val="clear" w:color="auto" w:fill="D9D9D9" w:themeFill="background1" w:themeFillShade="D9"/>
          </w:tcPr>
          <w:p w14:paraId="511E6C19" w14:textId="77777777" w:rsidR="00D03459" w:rsidRPr="00D1343C" w:rsidRDefault="00D03459" w:rsidP="00D1343C">
            <w:pPr>
              <w:rPr>
                <w:rFonts w:cstheme="minorHAnsi"/>
                <w:b/>
                <w:color w:val="000000" w:themeColor="text1"/>
              </w:rPr>
            </w:pPr>
            <w:r w:rsidRPr="00D1343C">
              <w:rPr>
                <w:rFonts w:cstheme="minorHAnsi"/>
                <w:b/>
                <w:color w:val="000000" w:themeColor="text1"/>
              </w:rPr>
              <w:t xml:space="preserve">Comment by </w:t>
            </w:r>
            <w:r w:rsidR="00D1343C">
              <w:rPr>
                <w:rFonts w:cstheme="minorHAnsi"/>
                <w:b/>
                <w:color w:val="000000" w:themeColor="text1"/>
              </w:rPr>
              <w:t>Germany</w:t>
            </w:r>
          </w:p>
        </w:tc>
        <w:tc>
          <w:tcPr>
            <w:tcW w:w="1325" w:type="dxa"/>
            <w:shd w:val="clear" w:color="auto" w:fill="D9D9D9" w:themeFill="background1" w:themeFillShade="D9"/>
          </w:tcPr>
          <w:p w14:paraId="1725D945" w14:textId="77777777" w:rsidR="00D03459" w:rsidRPr="00D1343C" w:rsidRDefault="00D03459" w:rsidP="00D1343C">
            <w:pPr>
              <w:rPr>
                <w:rFonts w:cstheme="minorHAnsi"/>
                <w:b/>
                <w:color w:val="000000" w:themeColor="text1"/>
              </w:rPr>
            </w:pPr>
            <w:r w:rsidRPr="00D1343C">
              <w:rPr>
                <w:rFonts w:cstheme="minorHAnsi"/>
                <w:b/>
                <w:color w:val="000000" w:themeColor="text1"/>
              </w:rPr>
              <w:t>Changes to CPD</w:t>
            </w:r>
          </w:p>
        </w:tc>
        <w:tc>
          <w:tcPr>
            <w:tcW w:w="6415" w:type="dxa"/>
            <w:shd w:val="clear" w:color="auto" w:fill="D9D9D9" w:themeFill="background1" w:themeFillShade="D9"/>
          </w:tcPr>
          <w:p w14:paraId="220CEBE8" w14:textId="77777777" w:rsidR="00D03459" w:rsidRPr="00D1343C" w:rsidRDefault="00D03459" w:rsidP="00D1343C">
            <w:pPr>
              <w:rPr>
                <w:rFonts w:cstheme="minorHAnsi"/>
                <w:b/>
                <w:color w:val="000000" w:themeColor="text1"/>
              </w:rPr>
            </w:pPr>
            <w:r w:rsidRPr="00D1343C">
              <w:rPr>
                <w:rFonts w:cstheme="minorHAnsi"/>
                <w:b/>
                <w:color w:val="000000" w:themeColor="text1"/>
              </w:rPr>
              <w:t>CO Remarks</w:t>
            </w:r>
          </w:p>
        </w:tc>
      </w:tr>
      <w:tr w:rsidR="00D03459" w:rsidRPr="00540786" w14:paraId="57135EFC" w14:textId="77777777" w:rsidTr="00D1343C">
        <w:tc>
          <w:tcPr>
            <w:tcW w:w="6750" w:type="dxa"/>
          </w:tcPr>
          <w:p w14:paraId="2610EFF9" w14:textId="435FDF1D" w:rsidR="00D1343C" w:rsidRPr="00D1343C" w:rsidRDefault="00D1343C" w:rsidP="00D1343C">
            <w:pPr>
              <w:jc w:val="both"/>
              <w:rPr>
                <w:rFonts w:eastAsia="Times New Roman" w:cstheme="minorHAnsi"/>
                <w:lang w:eastAsia="de-DE"/>
              </w:rPr>
            </w:pPr>
            <w:r w:rsidRPr="00D1343C">
              <w:rPr>
                <w:rFonts w:eastAsia="Times New Roman" w:cstheme="minorHAnsi"/>
                <w:lang w:eastAsia="de-DE"/>
              </w:rPr>
              <w:t>The evaluation brief and the draft strategy both state the conclusion of the independent evaluation that UNDP should focus its programmatic approach of its interventions … by focusing on priority actions within areas where it has a clear competitive advantage, i.e.</w:t>
            </w:r>
            <w:r w:rsidR="00E61A07">
              <w:rPr>
                <w:rFonts w:eastAsia="Times New Roman" w:cstheme="minorHAnsi"/>
                <w:lang w:eastAsia="de-DE"/>
              </w:rPr>
              <w:t>,</w:t>
            </w:r>
            <w:bookmarkStart w:id="0" w:name="_GoBack"/>
            <w:bookmarkEnd w:id="0"/>
            <w:r w:rsidRPr="00D1343C">
              <w:rPr>
                <w:rFonts w:eastAsia="Times New Roman" w:cstheme="minorHAnsi"/>
                <w:lang w:eastAsia="de-DE"/>
              </w:rPr>
              <w:t xml:space="preserve">  electoral assistance, peace consolidation, public ad</w:t>
            </w:r>
            <w:r w:rsidR="009C3E3F">
              <w:rPr>
                <w:rFonts w:eastAsia="Times New Roman" w:cstheme="minorHAnsi"/>
                <w:lang w:eastAsia="de-DE"/>
              </w:rPr>
              <w:t>ministration capacity-building a</w:t>
            </w:r>
            <w:r w:rsidRPr="00D1343C">
              <w:rPr>
                <w:rFonts w:eastAsia="Times New Roman" w:cstheme="minorHAnsi"/>
                <w:lang w:eastAsia="de-DE"/>
              </w:rPr>
              <w:t>nd environmental management” ( cf. I.8.) We share this assessment and would accordingly encourage a still greater programmatic focus of the strategy and/ or no expansion to wholly new areas that are already increasingly covered by other development partners, such as professional education.</w:t>
            </w:r>
          </w:p>
          <w:p w14:paraId="72D2E2C5" w14:textId="77777777" w:rsidR="00D1343C" w:rsidRPr="00D1343C" w:rsidRDefault="00D1343C" w:rsidP="00D1343C">
            <w:pPr>
              <w:jc w:val="both"/>
              <w:rPr>
                <w:rFonts w:eastAsia="Times New Roman" w:cstheme="minorHAnsi"/>
                <w:lang w:eastAsia="de-DE"/>
              </w:rPr>
            </w:pPr>
          </w:p>
          <w:p w14:paraId="1F528C11" w14:textId="77777777" w:rsidR="009C3E3F" w:rsidRDefault="009C3E3F" w:rsidP="00D1343C">
            <w:pPr>
              <w:jc w:val="both"/>
              <w:rPr>
                <w:rFonts w:eastAsia="Times New Roman" w:cstheme="minorHAnsi"/>
                <w:lang w:eastAsia="de-DE"/>
              </w:rPr>
            </w:pPr>
          </w:p>
          <w:p w14:paraId="3CD41C40" w14:textId="77777777" w:rsidR="009C3E3F" w:rsidRDefault="009C3E3F" w:rsidP="00D1343C">
            <w:pPr>
              <w:jc w:val="both"/>
              <w:rPr>
                <w:rFonts w:eastAsia="Times New Roman" w:cstheme="minorHAnsi"/>
                <w:lang w:eastAsia="de-DE"/>
              </w:rPr>
            </w:pPr>
          </w:p>
          <w:p w14:paraId="304CA64E" w14:textId="77777777" w:rsidR="009C3E3F" w:rsidRDefault="009C3E3F" w:rsidP="00D1343C">
            <w:pPr>
              <w:jc w:val="both"/>
              <w:rPr>
                <w:rFonts w:eastAsia="Times New Roman" w:cstheme="minorHAnsi"/>
                <w:lang w:eastAsia="de-DE"/>
              </w:rPr>
            </w:pPr>
          </w:p>
          <w:p w14:paraId="0794DD20" w14:textId="77777777" w:rsidR="00D1343C" w:rsidRPr="00D1343C" w:rsidRDefault="00D1343C" w:rsidP="00D1343C">
            <w:pPr>
              <w:jc w:val="both"/>
              <w:rPr>
                <w:rFonts w:eastAsia="Times New Roman" w:cstheme="minorHAnsi"/>
                <w:lang w:eastAsia="de-DE"/>
              </w:rPr>
            </w:pPr>
            <w:r w:rsidRPr="00D1343C">
              <w:rPr>
                <w:rFonts w:eastAsia="Times New Roman" w:cstheme="minorHAnsi"/>
                <w:lang w:eastAsia="de-DE"/>
              </w:rPr>
              <w:t xml:space="preserve">Germany shares UNDP’s risk assessment (28.) and welcomes the mitigation strategies, in particular UNDPs stated commitment to diversify its financial resource mobilization. Improvements in financial reporting to partners will no doubt enhance UNDP’s co-financing opportunities. </w:t>
            </w:r>
          </w:p>
          <w:p w14:paraId="74F3BF7B" w14:textId="77777777" w:rsidR="00D1343C" w:rsidRPr="00D1343C" w:rsidRDefault="00D1343C" w:rsidP="00D1343C">
            <w:pPr>
              <w:jc w:val="both"/>
              <w:rPr>
                <w:rFonts w:eastAsia="Times New Roman" w:cstheme="minorHAnsi"/>
                <w:lang w:eastAsia="de-DE"/>
              </w:rPr>
            </w:pPr>
          </w:p>
          <w:p w14:paraId="4605CDFD" w14:textId="77777777" w:rsidR="00D1343C" w:rsidRPr="00D1343C" w:rsidRDefault="00D1343C" w:rsidP="00D1343C">
            <w:pPr>
              <w:jc w:val="both"/>
              <w:rPr>
                <w:rFonts w:eastAsia="Times New Roman" w:cstheme="minorHAnsi"/>
                <w:lang w:eastAsia="de-DE"/>
              </w:rPr>
            </w:pPr>
            <w:r w:rsidRPr="00D1343C">
              <w:rPr>
                <w:rFonts w:eastAsia="Times New Roman" w:cstheme="minorHAnsi"/>
                <w:lang w:eastAsia="de-DE"/>
              </w:rPr>
              <w:t>The independent evaluation identified the implementation of the Community development emergency programme (PUDC) and aspects of sustainability and national ownership as two areas to watch closely. This important insight could ideally be more explicitly reflected in the Programme document.</w:t>
            </w:r>
          </w:p>
          <w:p w14:paraId="67BC49EF" w14:textId="77777777" w:rsidR="00D1343C" w:rsidRDefault="00D1343C" w:rsidP="00D1343C">
            <w:pPr>
              <w:jc w:val="both"/>
              <w:rPr>
                <w:rFonts w:eastAsia="Times New Roman" w:cstheme="minorHAnsi"/>
                <w:lang w:eastAsia="de-DE"/>
              </w:rPr>
            </w:pPr>
          </w:p>
          <w:p w14:paraId="3D6D4CA9" w14:textId="77777777" w:rsidR="00AA561E" w:rsidRDefault="00AA561E" w:rsidP="00D1343C">
            <w:pPr>
              <w:jc w:val="both"/>
              <w:rPr>
                <w:rFonts w:eastAsia="Times New Roman" w:cstheme="minorHAnsi"/>
                <w:lang w:eastAsia="de-DE"/>
              </w:rPr>
            </w:pPr>
          </w:p>
          <w:p w14:paraId="2522CC62" w14:textId="77777777" w:rsidR="00AA561E" w:rsidRDefault="00AA561E" w:rsidP="00D1343C">
            <w:pPr>
              <w:jc w:val="both"/>
              <w:rPr>
                <w:rFonts w:eastAsia="Times New Roman" w:cstheme="minorHAnsi"/>
                <w:lang w:eastAsia="de-DE"/>
              </w:rPr>
            </w:pPr>
          </w:p>
          <w:p w14:paraId="43078F0A" w14:textId="77777777" w:rsidR="00AA561E" w:rsidRDefault="00AA561E" w:rsidP="00D1343C">
            <w:pPr>
              <w:jc w:val="both"/>
              <w:rPr>
                <w:rFonts w:eastAsia="Times New Roman" w:cstheme="minorHAnsi"/>
                <w:lang w:eastAsia="de-DE"/>
              </w:rPr>
            </w:pPr>
          </w:p>
          <w:p w14:paraId="14073865" w14:textId="77777777" w:rsidR="00AA561E" w:rsidRDefault="00AA561E" w:rsidP="00D1343C">
            <w:pPr>
              <w:jc w:val="both"/>
              <w:rPr>
                <w:rFonts w:eastAsia="Times New Roman" w:cstheme="minorHAnsi"/>
                <w:lang w:eastAsia="de-DE"/>
              </w:rPr>
            </w:pPr>
          </w:p>
          <w:p w14:paraId="740B3249" w14:textId="77777777" w:rsidR="00AA561E" w:rsidRDefault="00AA561E" w:rsidP="00D1343C">
            <w:pPr>
              <w:jc w:val="both"/>
              <w:rPr>
                <w:rFonts w:eastAsia="Times New Roman" w:cstheme="minorHAnsi"/>
                <w:lang w:eastAsia="de-DE"/>
              </w:rPr>
            </w:pPr>
          </w:p>
          <w:p w14:paraId="6C95122D" w14:textId="77777777" w:rsidR="000C6E9E" w:rsidRDefault="000C6E9E" w:rsidP="00D1343C">
            <w:pPr>
              <w:jc w:val="both"/>
              <w:rPr>
                <w:rFonts w:eastAsia="Times New Roman" w:cstheme="minorHAnsi"/>
                <w:lang w:eastAsia="de-DE"/>
              </w:rPr>
            </w:pPr>
          </w:p>
          <w:p w14:paraId="2DE74BB3" w14:textId="77777777" w:rsidR="000C6E9E" w:rsidRPr="00D1343C" w:rsidRDefault="000C6E9E" w:rsidP="00D1343C">
            <w:pPr>
              <w:jc w:val="both"/>
              <w:rPr>
                <w:rFonts w:eastAsia="Times New Roman" w:cstheme="minorHAnsi"/>
                <w:lang w:eastAsia="de-DE"/>
              </w:rPr>
            </w:pPr>
          </w:p>
          <w:p w14:paraId="1D4FD58A" w14:textId="77777777" w:rsidR="00D1343C" w:rsidRPr="00D1343C" w:rsidRDefault="00D1343C" w:rsidP="00D1343C">
            <w:pPr>
              <w:jc w:val="both"/>
              <w:rPr>
                <w:rFonts w:eastAsia="Times New Roman" w:cstheme="minorHAnsi"/>
                <w:lang w:eastAsia="de-DE"/>
              </w:rPr>
            </w:pPr>
            <w:r w:rsidRPr="00D1343C">
              <w:rPr>
                <w:rFonts w:eastAsia="Times New Roman" w:cstheme="minorHAnsi"/>
                <w:lang w:eastAsia="de-DE"/>
              </w:rPr>
              <w:t xml:space="preserve">We recognize the UNDP Country Programme Document for Togo 2019-2023 and the chosen pillars as highly relevant. </w:t>
            </w:r>
          </w:p>
          <w:p w14:paraId="1ABFDBDD" w14:textId="77777777" w:rsidR="00D1343C" w:rsidRPr="00D1343C" w:rsidRDefault="00D1343C" w:rsidP="00D1343C">
            <w:pPr>
              <w:jc w:val="both"/>
              <w:rPr>
                <w:rFonts w:eastAsia="Times New Roman" w:cstheme="minorHAnsi"/>
                <w:lang w:eastAsia="de-DE"/>
              </w:rPr>
            </w:pPr>
          </w:p>
          <w:p w14:paraId="4D6260C3" w14:textId="77777777" w:rsidR="00D1343C" w:rsidRPr="00D1343C" w:rsidRDefault="00D1343C" w:rsidP="00D1343C">
            <w:pPr>
              <w:jc w:val="both"/>
              <w:rPr>
                <w:rFonts w:eastAsia="Times New Roman" w:cstheme="minorHAnsi"/>
                <w:lang w:eastAsia="de-DE"/>
              </w:rPr>
            </w:pPr>
            <w:r w:rsidRPr="00D1343C">
              <w:rPr>
                <w:rFonts w:eastAsia="Times New Roman" w:cstheme="minorHAnsi"/>
                <w:lang w:eastAsia="de-DE"/>
              </w:rPr>
              <w:t>In terms of recommendations/comments, the following could be considered:</w:t>
            </w:r>
          </w:p>
          <w:p w14:paraId="5226EA83" w14:textId="77777777" w:rsidR="00D1343C" w:rsidRPr="00D1343C" w:rsidRDefault="00D1343C" w:rsidP="00D1343C">
            <w:pPr>
              <w:numPr>
                <w:ilvl w:val="0"/>
                <w:numId w:val="22"/>
              </w:numPr>
              <w:tabs>
                <w:tab w:val="left" w:pos="435"/>
              </w:tabs>
              <w:ind w:left="165" w:hanging="165"/>
              <w:jc w:val="both"/>
              <w:rPr>
                <w:rFonts w:eastAsia="Times New Roman" w:cstheme="minorHAnsi"/>
                <w:lang w:eastAsia="de-DE"/>
              </w:rPr>
            </w:pPr>
            <w:r w:rsidRPr="00D1343C">
              <w:rPr>
                <w:rFonts w:eastAsia="Times New Roman" w:cstheme="minorHAnsi"/>
                <w:lang w:eastAsia="de-DE"/>
              </w:rPr>
              <w:t xml:space="preserve">Possibly more emphasis should be put on how the CPD </w:t>
            </w:r>
            <w:bookmarkStart w:id="1" w:name="_Hlk529948371"/>
            <w:r w:rsidRPr="00D1343C">
              <w:rPr>
                <w:rFonts w:eastAsia="Times New Roman" w:cstheme="minorHAnsi"/>
                <w:lang w:eastAsia="de-DE"/>
              </w:rPr>
              <w:t>will contribute to implementation of the National Development Plan, so as to be considered as an implementing tool;</w:t>
            </w:r>
          </w:p>
          <w:bookmarkEnd w:id="1"/>
          <w:p w14:paraId="39FF7CFB" w14:textId="77777777" w:rsidR="00D03459" w:rsidRDefault="00D03459" w:rsidP="00D1343C">
            <w:pPr>
              <w:tabs>
                <w:tab w:val="left" w:pos="945"/>
              </w:tabs>
              <w:rPr>
                <w:rFonts w:cstheme="minorHAnsi"/>
                <w:color w:val="000000" w:themeColor="text1"/>
              </w:rPr>
            </w:pPr>
          </w:p>
          <w:p w14:paraId="196A7769" w14:textId="77777777" w:rsidR="00734FC2" w:rsidRDefault="00734FC2" w:rsidP="00D1343C">
            <w:pPr>
              <w:tabs>
                <w:tab w:val="left" w:pos="945"/>
              </w:tabs>
              <w:rPr>
                <w:rFonts w:cstheme="minorHAnsi"/>
                <w:color w:val="000000" w:themeColor="text1"/>
              </w:rPr>
            </w:pPr>
          </w:p>
          <w:p w14:paraId="2473C2E6" w14:textId="77777777" w:rsidR="00734FC2" w:rsidRDefault="00734FC2" w:rsidP="00D1343C">
            <w:pPr>
              <w:tabs>
                <w:tab w:val="left" w:pos="945"/>
              </w:tabs>
              <w:rPr>
                <w:rFonts w:cstheme="minorHAnsi"/>
                <w:color w:val="000000" w:themeColor="text1"/>
              </w:rPr>
            </w:pPr>
          </w:p>
          <w:p w14:paraId="0808BD89" w14:textId="77777777" w:rsidR="00734FC2" w:rsidRDefault="00734FC2" w:rsidP="00D1343C">
            <w:pPr>
              <w:tabs>
                <w:tab w:val="left" w:pos="945"/>
              </w:tabs>
              <w:rPr>
                <w:rFonts w:cstheme="minorHAnsi"/>
                <w:color w:val="000000" w:themeColor="text1"/>
              </w:rPr>
            </w:pPr>
          </w:p>
          <w:p w14:paraId="525BEB4A" w14:textId="77777777" w:rsidR="00734FC2" w:rsidRPr="00D1343C" w:rsidRDefault="00734FC2" w:rsidP="00D1343C">
            <w:pPr>
              <w:tabs>
                <w:tab w:val="left" w:pos="945"/>
              </w:tabs>
              <w:rPr>
                <w:rFonts w:cstheme="minorHAnsi"/>
                <w:color w:val="000000" w:themeColor="text1"/>
              </w:rPr>
            </w:pPr>
          </w:p>
        </w:tc>
        <w:tc>
          <w:tcPr>
            <w:tcW w:w="1325" w:type="dxa"/>
          </w:tcPr>
          <w:p w14:paraId="2B5E4A67" w14:textId="77777777" w:rsidR="00D03459" w:rsidRPr="00D1343C" w:rsidRDefault="00D03459" w:rsidP="00D1343C">
            <w:pPr>
              <w:jc w:val="center"/>
              <w:rPr>
                <w:rFonts w:cstheme="minorHAnsi"/>
                <w:color w:val="000000" w:themeColor="text1"/>
              </w:rPr>
            </w:pPr>
          </w:p>
        </w:tc>
        <w:tc>
          <w:tcPr>
            <w:tcW w:w="6415" w:type="dxa"/>
          </w:tcPr>
          <w:p w14:paraId="5B59270F" w14:textId="77777777" w:rsidR="009C3E3F" w:rsidRPr="009C3E3F" w:rsidRDefault="00A227A2" w:rsidP="009C3E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i/>
                <w:iCs/>
              </w:rPr>
            </w:pPr>
            <w:r>
              <w:rPr>
                <w:rFonts w:cstheme="minorHAnsi"/>
                <w:b/>
                <w:bCs/>
                <w:i/>
                <w:iCs/>
              </w:rPr>
              <w:t>The conclusions and recommendations of the independent evaluation were thoroughly considered and guided the focus of the proposed program on 3 pillars</w:t>
            </w:r>
            <w:r w:rsidR="009C3E3F">
              <w:rPr>
                <w:rFonts w:cstheme="minorHAnsi"/>
                <w:b/>
                <w:bCs/>
                <w:i/>
                <w:iCs/>
              </w:rPr>
              <w:t xml:space="preserve"> i)</w:t>
            </w:r>
            <w:r w:rsidR="009C3E3F" w:rsidRPr="009C3E3F">
              <w:rPr>
                <w:rFonts w:cstheme="minorHAnsi"/>
                <w:b/>
                <w:bCs/>
                <w:i/>
                <w:iCs/>
              </w:rPr>
              <w:t xml:space="preserve"> Enhancing governance, rule of law and peace consolidation</w:t>
            </w:r>
            <w:r w:rsidR="009C3E3F" w:rsidRPr="009C3E3F" w:rsidDel="001377CE">
              <w:rPr>
                <w:rFonts w:cstheme="minorHAnsi"/>
                <w:b/>
                <w:bCs/>
                <w:i/>
                <w:iCs/>
              </w:rPr>
              <w:t xml:space="preserve"> </w:t>
            </w:r>
            <w:r w:rsidR="009C3E3F" w:rsidRPr="009C3E3F">
              <w:rPr>
                <w:rFonts w:cstheme="minorHAnsi"/>
                <w:b/>
                <w:bCs/>
                <w:i/>
                <w:iCs/>
              </w:rPr>
              <w:t>ii) Promoting inclusive growth and access to basic services iii) Promoting sustainable management of natural resources, resilience to climate change and disasters</w:t>
            </w:r>
            <w:r w:rsidR="009C3E3F">
              <w:rPr>
                <w:rFonts w:cstheme="minorHAnsi"/>
                <w:b/>
                <w:bCs/>
                <w:i/>
                <w:iCs/>
              </w:rPr>
              <w:t xml:space="preserve">. </w:t>
            </w:r>
          </w:p>
          <w:p w14:paraId="063C5BE5" w14:textId="77777777" w:rsidR="00A227A2" w:rsidRPr="00A227A2" w:rsidRDefault="009C3E3F" w:rsidP="00A227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i/>
                <w:iCs/>
              </w:rPr>
            </w:pPr>
            <w:r>
              <w:rPr>
                <w:rFonts w:cstheme="minorHAnsi"/>
                <w:b/>
                <w:bCs/>
                <w:i/>
                <w:iCs/>
              </w:rPr>
              <w:t>A</w:t>
            </w:r>
            <w:r w:rsidR="00A227A2">
              <w:rPr>
                <w:rFonts w:cstheme="minorHAnsi"/>
                <w:b/>
                <w:bCs/>
                <w:i/>
                <w:iCs/>
              </w:rPr>
              <w:t xml:space="preserve">ll of them </w:t>
            </w:r>
            <w:r w:rsidR="00A227A2" w:rsidRPr="00A227A2">
              <w:rPr>
                <w:rFonts w:cstheme="minorHAnsi"/>
                <w:b/>
                <w:bCs/>
                <w:i/>
                <w:iCs/>
              </w:rPr>
              <w:t>aligned with the strategic objectives of the N</w:t>
            </w:r>
            <w:r>
              <w:rPr>
                <w:rFonts w:cstheme="minorHAnsi"/>
                <w:b/>
                <w:bCs/>
                <w:i/>
                <w:iCs/>
              </w:rPr>
              <w:t>ational Development Plan</w:t>
            </w:r>
            <w:r w:rsidR="0006017C">
              <w:rPr>
                <w:rFonts w:cstheme="minorHAnsi"/>
                <w:b/>
                <w:bCs/>
                <w:i/>
                <w:iCs/>
              </w:rPr>
              <w:t xml:space="preserve"> (NDP)</w:t>
            </w:r>
            <w:r w:rsidR="00A227A2" w:rsidRPr="00A227A2">
              <w:rPr>
                <w:rFonts w:cstheme="minorHAnsi"/>
                <w:b/>
                <w:bCs/>
                <w:i/>
                <w:iCs/>
              </w:rPr>
              <w:t>.</w:t>
            </w:r>
            <w:r>
              <w:rPr>
                <w:rFonts w:cstheme="minorHAnsi"/>
                <w:b/>
                <w:bCs/>
                <w:i/>
                <w:iCs/>
              </w:rPr>
              <w:t xml:space="preserve"> </w:t>
            </w:r>
            <w:r w:rsidR="00A227A2">
              <w:rPr>
                <w:rFonts w:cstheme="minorHAnsi"/>
                <w:b/>
                <w:bCs/>
                <w:i/>
                <w:iCs/>
              </w:rPr>
              <w:t xml:space="preserve">Therefore, the proposed </w:t>
            </w:r>
            <w:r w:rsidR="00A227A2" w:rsidRPr="00A227A2">
              <w:rPr>
                <w:rFonts w:cstheme="minorHAnsi"/>
                <w:b/>
                <w:bCs/>
                <w:i/>
                <w:iCs/>
              </w:rPr>
              <w:t xml:space="preserve">interventions in the area of vocational training aim to strengthen the capacity of </w:t>
            </w:r>
            <w:r w:rsidR="00A227A2">
              <w:rPr>
                <w:rFonts w:cstheme="minorHAnsi"/>
                <w:b/>
                <w:bCs/>
                <w:i/>
                <w:iCs/>
              </w:rPr>
              <w:t>national</w:t>
            </w:r>
            <w:r w:rsidR="00A227A2" w:rsidRPr="00A227A2">
              <w:rPr>
                <w:rFonts w:cstheme="minorHAnsi"/>
                <w:b/>
                <w:bCs/>
                <w:i/>
                <w:iCs/>
              </w:rPr>
              <w:t xml:space="preserve"> institutions in charge of the governance of the technical and vocational training sector, which remains in line with the comparative advantage in terms of capacity building</w:t>
            </w:r>
            <w:r w:rsidR="00A227A2">
              <w:rPr>
                <w:rFonts w:cstheme="minorHAnsi"/>
                <w:b/>
                <w:bCs/>
                <w:i/>
                <w:iCs/>
              </w:rPr>
              <w:t>, recognized by the independent evaluation.</w:t>
            </w:r>
          </w:p>
          <w:p w14:paraId="549E13D1" w14:textId="77777777" w:rsidR="00AF296A" w:rsidRPr="00A227A2" w:rsidRDefault="00AF296A" w:rsidP="00585135">
            <w:pPr>
              <w:shd w:val="clear" w:color="auto" w:fill="FFFFFF"/>
              <w:rPr>
                <w:rFonts w:cstheme="minorHAnsi"/>
                <w:b/>
                <w:bCs/>
                <w:i/>
                <w:iCs/>
              </w:rPr>
            </w:pPr>
          </w:p>
          <w:p w14:paraId="4F6B1889" w14:textId="77777777" w:rsidR="005E66A4" w:rsidRPr="00477F8A" w:rsidRDefault="003518BD" w:rsidP="00585135">
            <w:pPr>
              <w:shd w:val="clear" w:color="auto" w:fill="FFFFFF"/>
              <w:rPr>
                <w:rFonts w:cstheme="minorHAnsi"/>
                <w:b/>
                <w:bCs/>
                <w:i/>
                <w:iCs/>
              </w:rPr>
            </w:pPr>
            <w:r>
              <w:rPr>
                <w:rFonts w:cstheme="minorHAnsi"/>
                <w:b/>
                <w:bCs/>
                <w:i/>
                <w:iCs/>
              </w:rPr>
              <w:t>This is w</w:t>
            </w:r>
            <w:r w:rsidR="005E66A4" w:rsidRPr="00477F8A">
              <w:rPr>
                <w:rFonts w:cstheme="minorHAnsi"/>
                <w:b/>
                <w:bCs/>
                <w:i/>
                <w:iCs/>
              </w:rPr>
              <w:t>ell noted</w:t>
            </w:r>
            <w:r w:rsidR="00477F8A" w:rsidRPr="00477F8A">
              <w:rPr>
                <w:rFonts w:cstheme="minorHAnsi"/>
                <w:b/>
                <w:bCs/>
                <w:i/>
                <w:iCs/>
              </w:rPr>
              <w:t xml:space="preserve"> </w:t>
            </w:r>
            <w:r>
              <w:rPr>
                <w:rFonts w:cstheme="minorHAnsi"/>
                <w:b/>
                <w:bCs/>
                <w:i/>
                <w:iCs/>
              </w:rPr>
              <w:t>in terms of</w:t>
            </w:r>
            <w:r w:rsidR="00477F8A" w:rsidRPr="00477F8A">
              <w:rPr>
                <w:rFonts w:cstheme="minorHAnsi"/>
                <w:b/>
                <w:bCs/>
                <w:i/>
                <w:iCs/>
              </w:rPr>
              <w:t xml:space="preserve"> the great inter</w:t>
            </w:r>
            <w:r w:rsidR="00477F8A">
              <w:rPr>
                <w:rFonts w:cstheme="minorHAnsi"/>
                <w:b/>
                <w:bCs/>
                <w:i/>
                <w:iCs/>
              </w:rPr>
              <w:t>e</w:t>
            </w:r>
            <w:r w:rsidR="00477F8A" w:rsidRPr="00477F8A">
              <w:rPr>
                <w:rFonts w:cstheme="minorHAnsi"/>
                <w:b/>
                <w:bCs/>
                <w:i/>
                <w:iCs/>
              </w:rPr>
              <w:t>st in</w:t>
            </w:r>
            <w:r w:rsidR="00477F8A">
              <w:rPr>
                <w:rFonts w:cstheme="minorHAnsi"/>
                <w:b/>
                <w:bCs/>
                <w:i/>
                <w:iCs/>
              </w:rPr>
              <w:t xml:space="preserve"> enhancing </w:t>
            </w:r>
            <w:r w:rsidR="00477F8A" w:rsidRPr="00477F8A">
              <w:rPr>
                <w:rFonts w:cstheme="minorHAnsi"/>
                <w:b/>
                <w:bCs/>
                <w:i/>
                <w:iCs/>
              </w:rPr>
              <w:t>collaborati</w:t>
            </w:r>
            <w:r w:rsidR="00AA561E">
              <w:rPr>
                <w:rFonts w:cstheme="minorHAnsi"/>
                <w:b/>
                <w:bCs/>
                <w:i/>
                <w:iCs/>
              </w:rPr>
              <w:t>on</w:t>
            </w:r>
            <w:r w:rsidR="00477F8A" w:rsidRPr="00477F8A">
              <w:rPr>
                <w:rFonts w:cstheme="minorHAnsi"/>
                <w:b/>
                <w:bCs/>
                <w:i/>
                <w:iCs/>
              </w:rPr>
              <w:t xml:space="preserve"> with Germany </w:t>
            </w:r>
            <w:r w:rsidR="00477F8A">
              <w:rPr>
                <w:rFonts w:cstheme="minorHAnsi"/>
                <w:b/>
                <w:bCs/>
                <w:i/>
                <w:iCs/>
              </w:rPr>
              <w:t xml:space="preserve">and other partners </w:t>
            </w:r>
            <w:r w:rsidR="00477F8A" w:rsidRPr="00477F8A">
              <w:rPr>
                <w:rFonts w:cstheme="minorHAnsi"/>
                <w:b/>
                <w:bCs/>
                <w:i/>
                <w:iCs/>
              </w:rPr>
              <w:t>to attaining the goals</w:t>
            </w:r>
            <w:r w:rsidR="00AA561E">
              <w:rPr>
                <w:rFonts w:cstheme="minorHAnsi"/>
                <w:b/>
                <w:bCs/>
                <w:i/>
                <w:iCs/>
              </w:rPr>
              <w:t xml:space="preserve"> of the CPD</w:t>
            </w:r>
            <w:r w:rsidR="005E66A4" w:rsidRPr="00477F8A">
              <w:rPr>
                <w:rFonts w:cstheme="minorHAnsi"/>
                <w:b/>
                <w:bCs/>
                <w:i/>
                <w:iCs/>
              </w:rPr>
              <w:t>.</w:t>
            </w:r>
          </w:p>
          <w:p w14:paraId="5A9910EA" w14:textId="77777777" w:rsidR="005E66A4" w:rsidRDefault="005E66A4" w:rsidP="00585135">
            <w:pPr>
              <w:shd w:val="clear" w:color="auto" w:fill="FFFFFF"/>
              <w:rPr>
                <w:rFonts w:cstheme="minorHAnsi"/>
                <w:color w:val="000000" w:themeColor="text1"/>
              </w:rPr>
            </w:pPr>
          </w:p>
          <w:p w14:paraId="3D2AD659" w14:textId="77777777" w:rsidR="00AA561E" w:rsidRDefault="00AA561E" w:rsidP="00585135">
            <w:pPr>
              <w:shd w:val="clear" w:color="auto" w:fill="FFFFFF"/>
              <w:rPr>
                <w:rFonts w:cstheme="minorHAnsi"/>
                <w:color w:val="000000" w:themeColor="text1"/>
              </w:rPr>
            </w:pPr>
          </w:p>
          <w:p w14:paraId="2F6DD90B" w14:textId="77777777" w:rsidR="000C6E9E" w:rsidRPr="000C6E9E" w:rsidRDefault="000C6E9E" w:rsidP="000C6E9E">
            <w:pPr>
              <w:pStyle w:val="PlainText"/>
              <w:rPr>
                <w:rFonts w:asciiTheme="minorHAnsi" w:hAnsiTheme="minorHAnsi" w:cstheme="minorHAnsi"/>
                <w:b/>
                <w:bCs/>
                <w:i/>
                <w:iCs/>
                <w:szCs w:val="22"/>
                <w:lang w:val="en-US"/>
              </w:rPr>
            </w:pPr>
            <w:r w:rsidRPr="000C6E9E">
              <w:rPr>
                <w:rFonts w:asciiTheme="minorHAnsi" w:hAnsiTheme="minorHAnsi" w:cstheme="minorHAnsi"/>
                <w:b/>
                <w:bCs/>
                <w:i/>
                <w:iCs/>
                <w:szCs w:val="22"/>
                <w:lang w:val="en-US"/>
              </w:rPr>
              <w:t xml:space="preserve">UNDP recognizes that national ownership is highly important. </w:t>
            </w:r>
            <w:r w:rsidR="004B54E9" w:rsidRPr="000C6E9E">
              <w:rPr>
                <w:rFonts w:asciiTheme="minorHAnsi" w:hAnsiTheme="minorHAnsi" w:cstheme="minorHAnsi"/>
                <w:b/>
                <w:bCs/>
                <w:i/>
                <w:iCs/>
                <w:szCs w:val="22"/>
                <w:lang w:val="en-US"/>
              </w:rPr>
              <w:t>Therefore</w:t>
            </w:r>
            <w:r w:rsidRPr="000C6E9E">
              <w:rPr>
                <w:rFonts w:asciiTheme="minorHAnsi" w:hAnsiTheme="minorHAnsi" w:cstheme="minorHAnsi"/>
                <w:b/>
                <w:bCs/>
                <w:i/>
                <w:iCs/>
                <w:szCs w:val="22"/>
                <w:lang w:val="en-US"/>
              </w:rPr>
              <w:t xml:space="preserve"> the country office has adopted the National Implementation Modality (NIM) as the primary implementation modality of this CPD for</w:t>
            </w:r>
            <w:r>
              <w:rPr>
                <w:rFonts w:asciiTheme="minorHAnsi" w:hAnsiTheme="minorHAnsi" w:cstheme="minorHAnsi"/>
                <w:b/>
                <w:bCs/>
                <w:i/>
                <w:iCs/>
                <w:szCs w:val="22"/>
                <w:lang w:val="en-US"/>
              </w:rPr>
              <w:t xml:space="preserve"> a better </w:t>
            </w:r>
            <w:r w:rsidRPr="00477F8A">
              <w:rPr>
                <w:rFonts w:asciiTheme="minorHAnsi" w:hAnsiTheme="minorHAnsi" w:cstheme="minorHAnsi"/>
                <w:b/>
                <w:bCs/>
                <w:i/>
                <w:iCs/>
                <w:szCs w:val="22"/>
                <w:lang w:val="en-US"/>
              </w:rPr>
              <w:t>involvement of the national part</w:t>
            </w:r>
            <w:r>
              <w:rPr>
                <w:rFonts w:asciiTheme="minorHAnsi" w:hAnsiTheme="minorHAnsi" w:cstheme="minorHAnsi"/>
                <w:b/>
                <w:bCs/>
                <w:i/>
                <w:iCs/>
                <w:szCs w:val="22"/>
                <w:lang w:val="en-US"/>
              </w:rPr>
              <w:t xml:space="preserve">ners </w:t>
            </w:r>
            <w:r w:rsidRPr="00477F8A">
              <w:rPr>
                <w:rFonts w:asciiTheme="minorHAnsi" w:hAnsiTheme="minorHAnsi" w:cstheme="minorHAnsi"/>
                <w:b/>
                <w:bCs/>
                <w:i/>
                <w:iCs/>
                <w:szCs w:val="22"/>
                <w:lang w:val="en-US"/>
              </w:rPr>
              <w:t>and their full ownership of the initiatives</w:t>
            </w:r>
            <w:r w:rsidRPr="000C6E9E">
              <w:rPr>
                <w:rFonts w:asciiTheme="minorHAnsi" w:hAnsiTheme="minorHAnsi" w:cstheme="minorHAnsi"/>
                <w:b/>
                <w:bCs/>
                <w:i/>
                <w:iCs/>
                <w:szCs w:val="22"/>
                <w:lang w:val="en-US"/>
              </w:rPr>
              <w:t>. The CPD also plans to better consider exit strategies designed at the planning stage for all projects to ensure sustainability and ownership.</w:t>
            </w:r>
          </w:p>
          <w:p w14:paraId="242C4421" w14:textId="77777777" w:rsidR="000C6E9E" w:rsidRDefault="000C6E9E" w:rsidP="000C6E9E">
            <w:pPr>
              <w:pStyle w:val="PlainText"/>
              <w:rPr>
                <w:rFonts w:cstheme="minorHAnsi"/>
                <w:color w:val="000000" w:themeColor="text1"/>
              </w:rPr>
            </w:pPr>
            <w:r w:rsidRPr="000C6E9E">
              <w:rPr>
                <w:rFonts w:asciiTheme="minorHAnsi" w:hAnsiTheme="minorHAnsi" w:cstheme="minorHAnsi"/>
                <w:b/>
                <w:bCs/>
                <w:i/>
                <w:iCs/>
                <w:szCs w:val="22"/>
                <w:lang w:val="en-US"/>
              </w:rPr>
              <w:t>The implementation of the PUDC is done with very close collaboration with national partners. The steering committee is chaired by the prime minister and comp</w:t>
            </w:r>
            <w:r w:rsidR="003518BD">
              <w:rPr>
                <w:rFonts w:asciiTheme="minorHAnsi" w:hAnsiTheme="minorHAnsi" w:cstheme="minorHAnsi"/>
                <w:b/>
                <w:bCs/>
                <w:i/>
                <w:iCs/>
                <w:szCs w:val="22"/>
                <w:lang w:val="en-US"/>
              </w:rPr>
              <w:t>ri</w:t>
            </w:r>
            <w:r w:rsidRPr="000C6E9E">
              <w:rPr>
                <w:rFonts w:asciiTheme="minorHAnsi" w:hAnsiTheme="minorHAnsi" w:cstheme="minorHAnsi"/>
                <w:b/>
                <w:bCs/>
                <w:i/>
                <w:iCs/>
                <w:szCs w:val="22"/>
                <w:lang w:val="en-US"/>
              </w:rPr>
              <w:t>se</w:t>
            </w:r>
            <w:r w:rsidR="003518BD">
              <w:rPr>
                <w:rFonts w:asciiTheme="minorHAnsi" w:hAnsiTheme="minorHAnsi" w:cstheme="minorHAnsi"/>
                <w:b/>
                <w:bCs/>
                <w:i/>
                <w:iCs/>
                <w:szCs w:val="22"/>
                <w:lang w:val="en-US"/>
              </w:rPr>
              <w:t>s</w:t>
            </w:r>
            <w:r w:rsidRPr="000C6E9E">
              <w:rPr>
                <w:rFonts w:asciiTheme="minorHAnsi" w:hAnsiTheme="minorHAnsi" w:cstheme="minorHAnsi"/>
                <w:b/>
                <w:bCs/>
                <w:i/>
                <w:iCs/>
                <w:szCs w:val="22"/>
                <w:lang w:val="en-US"/>
              </w:rPr>
              <w:t xml:space="preserve"> all other ministers involved in the implementation.</w:t>
            </w:r>
          </w:p>
          <w:p w14:paraId="513E6441" w14:textId="77777777" w:rsidR="000C6E9E" w:rsidRDefault="000C6E9E" w:rsidP="00585135">
            <w:pPr>
              <w:shd w:val="clear" w:color="auto" w:fill="FFFFFF"/>
              <w:rPr>
                <w:rFonts w:cstheme="minorHAnsi"/>
                <w:color w:val="000000" w:themeColor="text1"/>
              </w:rPr>
            </w:pPr>
          </w:p>
          <w:p w14:paraId="6198E947" w14:textId="77777777" w:rsidR="000C6E9E" w:rsidRPr="00477F8A" w:rsidRDefault="000C6E9E" w:rsidP="00585135">
            <w:pPr>
              <w:shd w:val="clear" w:color="auto" w:fill="FFFFFF"/>
              <w:rPr>
                <w:rFonts w:cstheme="minorHAnsi"/>
                <w:color w:val="000000" w:themeColor="text1"/>
              </w:rPr>
            </w:pPr>
          </w:p>
          <w:p w14:paraId="423A3690" w14:textId="77777777" w:rsidR="00540786" w:rsidRPr="00540786" w:rsidRDefault="00540786" w:rsidP="00E3339E">
            <w:pPr>
              <w:pStyle w:val="HTMLPreformatted"/>
              <w:shd w:val="clear" w:color="auto" w:fill="FFFFFF"/>
              <w:rPr>
                <w:rFonts w:cstheme="minorHAnsi"/>
                <w:b/>
                <w:bCs/>
                <w:i/>
                <w:iCs/>
                <w:lang w:val="en-US"/>
              </w:rPr>
            </w:pPr>
            <w:r w:rsidRPr="00540786">
              <w:rPr>
                <w:rFonts w:asciiTheme="minorHAnsi" w:eastAsiaTheme="minorHAnsi" w:hAnsiTheme="minorHAnsi" w:cstheme="minorHAnsi"/>
                <w:b/>
                <w:bCs/>
                <w:i/>
                <w:iCs/>
                <w:sz w:val="22"/>
                <w:szCs w:val="22"/>
                <w:lang w:val="en-US" w:eastAsia="en-US"/>
              </w:rPr>
              <w:t xml:space="preserve">The </w:t>
            </w:r>
            <w:r>
              <w:rPr>
                <w:rFonts w:asciiTheme="minorHAnsi" w:eastAsiaTheme="minorHAnsi" w:hAnsiTheme="minorHAnsi" w:cstheme="minorHAnsi"/>
                <w:b/>
                <w:bCs/>
                <w:i/>
                <w:iCs/>
                <w:sz w:val="22"/>
                <w:szCs w:val="22"/>
                <w:lang w:val="en-US" w:eastAsia="en-US"/>
              </w:rPr>
              <w:t>initiatives</w:t>
            </w:r>
            <w:r w:rsidRPr="00540786">
              <w:rPr>
                <w:rFonts w:asciiTheme="minorHAnsi" w:eastAsiaTheme="minorHAnsi" w:hAnsiTheme="minorHAnsi" w:cstheme="minorHAnsi"/>
                <w:b/>
                <w:bCs/>
                <w:i/>
                <w:iCs/>
                <w:sz w:val="22"/>
                <w:szCs w:val="22"/>
                <w:lang w:val="en-US" w:eastAsia="en-US"/>
              </w:rPr>
              <w:t xml:space="preserve"> proposed by all the 3 pillars are aligned on axis </w:t>
            </w:r>
            <w:r>
              <w:rPr>
                <w:rFonts w:asciiTheme="minorHAnsi" w:eastAsiaTheme="minorHAnsi" w:hAnsiTheme="minorHAnsi" w:cstheme="minorHAnsi"/>
                <w:b/>
                <w:bCs/>
                <w:i/>
                <w:iCs/>
                <w:sz w:val="22"/>
                <w:szCs w:val="22"/>
                <w:lang w:val="en-US" w:eastAsia="en-US"/>
              </w:rPr>
              <w:t>N°</w:t>
            </w:r>
            <w:r w:rsidRPr="00540786">
              <w:rPr>
                <w:rFonts w:asciiTheme="minorHAnsi" w:eastAsiaTheme="minorHAnsi" w:hAnsiTheme="minorHAnsi" w:cstheme="minorHAnsi"/>
                <w:b/>
                <w:bCs/>
                <w:i/>
                <w:iCs/>
                <w:sz w:val="22"/>
                <w:szCs w:val="22"/>
                <w:lang w:val="en-US" w:eastAsia="en-US"/>
              </w:rPr>
              <w:t xml:space="preserve">3 of the </w:t>
            </w:r>
            <w:r>
              <w:rPr>
                <w:rFonts w:asciiTheme="minorHAnsi" w:eastAsiaTheme="minorHAnsi" w:hAnsiTheme="minorHAnsi" w:cstheme="minorHAnsi"/>
                <w:b/>
                <w:bCs/>
                <w:i/>
                <w:iCs/>
                <w:sz w:val="22"/>
                <w:szCs w:val="22"/>
                <w:lang w:val="en-US" w:eastAsia="en-US"/>
              </w:rPr>
              <w:t>N</w:t>
            </w:r>
            <w:r w:rsidR="003518BD">
              <w:rPr>
                <w:rFonts w:asciiTheme="minorHAnsi" w:eastAsiaTheme="minorHAnsi" w:hAnsiTheme="minorHAnsi" w:cstheme="minorHAnsi"/>
                <w:b/>
                <w:bCs/>
                <w:i/>
                <w:iCs/>
                <w:sz w:val="22"/>
                <w:szCs w:val="22"/>
                <w:lang w:val="en-US" w:eastAsia="en-US"/>
              </w:rPr>
              <w:t>ational Development Plan (NDP)</w:t>
            </w:r>
            <w:r w:rsidRPr="00540786">
              <w:rPr>
                <w:rFonts w:asciiTheme="minorHAnsi" w:eastAsiaTheme="minorHAnsi" w:hAnsiTheme="minorHAnsi" w:cstheme="minorHAnsi"/>
                <w:b/>
                <w:bCs/>
                <w:i/>
                <w:iCs/>
                <w:sz w:val="22"/>
                <w:szCs w:val="22"/>
                <w:lang w:val="en-US" w:eastAsia="en-US"/>
              </w:rPr>
              <w:t xml:space="preserve">. The CPD foresees strategic interventions to contribute to the achievement of significant effects of the NDP, </w:t>
            </w:r>
            <w:r>
              <w:rPr>
                <w:rFonts w:asciiTheme="minorHAnsi" w:eastAsiaTheme="minorHAnsi" w:hAnsiTheme="minorHAnsi" w:cstheme="minorHAnsi"/>
                <w:b/>
                <w:bCs/>
                <w:i/>
                <w:iCs/>
                <w:sz w:val="22"/>
                <w:szCs w:val="22"/>
                <w:lang w:val="en-US" w:eastAsia="en-US"/>
              </w:rPr>
              <w:t xml:space="preserve">mainly (among many others) the following </w:t>
            </w:r>
            <w:r w:rsidR="003518BD">
              <w:rPr>
                <w:rFonts w:asciiTheme="minorHAnsi" w:eastAsiaTheme="minorHAnsi" w:hAnsiTheme="minorHAnsi" w:cstheme="minorHAnsi"/>
                <w:b/>
                <w:bCs/>
                <w:i/>
                <w:iCs/>
                <w:sz w:val="22"/>
                <w:szCs w:val="22"/>
                <w:lang w:val="en-US" w:eastAsia="en-US"/>
              </w:rPr>
              <w:t>outcome</w:t>
            </w:r>
            <w:r>
              <w:rPr>
                <w:rFonts w:asciiTheme="minorHAnsi" w:eastAsiaTheme="minorHAnsi" w:hAnsiTheme="minorHAnsi" w:cstheme="minorHAnsi"/>
                <w:b/>
                <w:bCs/>
                <w:i/>
                <w:iCs/>
                <w:sz w:val="22"/>
                <w:szCs w:val="22"/>
                <w:lang w:val="en-US" w:eastAsia="en-US"/>
              </w:rPr>
              <w:t xml:space="preserve">s stated in the NDP : </w:t>
            </w:r>
            <w:r w:rsidR="003518BD">
              <w:rPr>
                <w:rFonts w:asciiTheme="minorHAnsi" w:eastAsiaTheme="minorHAnsi" w:hAnsiTheme="minorHAnsi" w:cstheme="minorHAnsi"/>
                <w:b/>
                <w:bCs/>
                <w:i/>
                <w:iCs/>
                <w:sz w:val="22"/>
                <w:szCs w:val="22"/>
                <w:lang w:val="en-US" w:eastAsia="en-US"/>
              </w:rPr>
              <w:t>Outcome</w:t>
            </w:r>
            <w:r>
              <w:rPr>
                <w:rFonts w:asciiTheme="minorHAnsi" w:eastAsiaTheme="minorHAnsi" w:hAnsiTheme="minorHAnsi" w:cstheme="minorHAnsi"/>
                <w:b/>
                <w:bCs/>
                <w:i/>
                <w:iCs/>
                <w:sz w:val="22"/>
                <w:szCs w:val="22"/>
                <w:lang w:val="en-US" w:eastAsia="en-US"/>
              </w:rPr>
              <w:t xml:space="preserve"> N°</w:t>
            </w:r>
            <w:r w:rsidRPr="00540786">
              <w:rPr>
                <w:rFonts w:asciiTheme="minorHAnsi" w:eastAsiaTheme="minorHAnsi" w:hAnsiTheme="minorHAnsi" w:cstheme="minorHAnsi"/>
                <w:b/>
                <w:bCs/>
                <w:i/>
                <w:iCs/>
                <w:sz w:val="22"/>
                <w:szCs w:val="22"/>
                <w:lang w:val="en-US" w:eastAsia="en-US"/>
              </w:rPr>
              <w:t xml:space="preserve"> 1.8 (SMEs and SMIs have access to adequate funding), </w:t>
            </w:r>
            <w:r w:rsidR="003518BD">
              <w:rPr>
                <w:rFonts w:asciiTheme="minorHAnsi" w:eastAsiaTheme="minorHAnsi" w:hAnsiTheme="minorHAnsi" w:cstheme="minorHAnsi"/>
                <w:b/>
                <w:bCs/>
                <w:i/>
                <w:iCs/>
                <w:sz w:val="22"/>
                <w:szCs w:val="22"/>
                <w:lang w:val="en-US" w:eastAsia="en-US"/>
              </w:rPr>
              <w:t>Outcome</w:t>
            </w:r>
            <w:r>
              <w:rPr>
                <w:rFonts w:asciiTheme="minorHAnsi" w:eastAsiaTheme="minorHAnsi" w:hAnsiTheme="minorHAnsi" w:cstheme="minorHAnsi"/>
                <w:b/>
                <w:bCs/>
                <w:i/>
                <w:iCs/>
                <w:sz w:val="22"/>
                <w:szCs w:val="22"/>
                <w:lang w:val="en-US" w:eastAsia="en-US"/>
              </w:rPr>
              <w:t xml:space="preserve"> </w:t>
            </w:r>
            <w:r w:rsidRPr="00540786">
              <w:rPr>
                <w:rFonts w:asciiTheme="minorHAnsi" w:eastAsiaTheme="minorHAnsi" w:hAnsiTheme="minorHAnsi" w:cstheme="minorHAnsi"/>
                <w:b/>
                <w:bCs/>
                <w:i/>
                <w:iCs/>
                <w:sz w:val="22"/>
                <w:szCs w:val="22"/>
                <w:lang w:val="en-US" w:eastAsia="en-US"/>
              </w:rPr>
              <w:t xml:space="preserve">N°3.1 (Equitable access to education ... oriented towards the labor market ), </w:t>
            </w:r>
            <w:r w:rsidR="003518BD">
              <w:rPr>
                <w:rFonts w:asciiTheme="minorHAnsi" w:eastAsiaTheme="minorHAnsi" w:hAnsiTheme="minorHAnsi" w:cstheme="minorHAnsi"/>
                <w:b/>
                <w:bCs/>
                <w:i/>
                <w:iCs/>
                <w:sz w:val="22"/>
                <w:szCs w:val="22"/>
                <w:lang w:val="en-US" w:eastAsia="en-US"/>
              </w:rPr>
              <w:t>Outcome</w:t>
            </w:r>
            <w:r>
              <w:rPr>
                <w:rFonts w:asciiTheme="minorHAnsi" w:eastAsiaTheme="minorHAnsi" w:hAnsiTheme="minorHAnsi" w:cstheme="minorHAnsi"/>
                <w:b/>
                <w:bCs/>
                <w:i/>
                <w:iCs/>
                <w:sz w:val="22"/>
                <w:szCs w:val="22"/>
                <w:lang w:val="en-US" w:eastAsia="en-US"/>
              </w:rPr>
              <w:t xml:space="preserve"> N° </w:t>
            </w:r>
            <w:r w:rsidRPr="00540786">
              <w:rPr>
                <w:rFonts w:asciiTheme="minorHAnsi" w:eastAsiaTheme="minorHAnsi" w:hAnsiTheme="minorHAnsi" w:cstheme="minorHAnsi"/>
                <w:b/>
                <w:bCs/>
                <w:i/>
                <w:iCs/>
                <w:sz w:val="22"/>
                <w:szCs w:val="22"/>
                <w:lang w:val="en-US" w:eastAsia="en-US"/>
              </w:rPr>
              <w:t>3.5 (</w:t>
            </w:r>
            <w:r>
              <w:rPr>
                <w:rFonts w:asciiTheme="minorHAnsi" w:eastAsiaTheme="minorHAnsi" w:hAnsiTheme="minorHAnsi" w:cstheme="minorHAnsi"/>
                <w:b/>
                <w:bCs/>
                <w:i/>
                <w:iCs/>
                <w:sz w:val="22"/>
                <w:szCs w:val="22"/>
                <w:lang w:val="en-US" w:eastAsia="en-US"/>
              </w:rPr>
              <w:t xml:space="preserve">Gender </w:t>
            </w:r>
            <w:r w:rsidRPr="00540786">
              <w:rPr>
                <w:rFonts w:asciiTheme="minorHAnsi" w:eastAsiaTheme="minorHAnsi" w:hAnsiTheme="minorHAnsi" w:cstheme="minorHAnsi"/>
                <w:b/>
                <w:bCs/>
                <w:i/>
                <w:iCs/>
                <w:sz w:val="22"/>
                <w:szCs w:val="22"/>
                <w:lang w:val="en-US" w:eastAsia="en-US"/>
              </w:rPr>
              <w:t xml:space="preserve">Equality </w:t>
            </w:r>
            <w:r>
              <w:rPr>
                <w:rFonts w:asciiTheme="minorHAnsi" w:eastAsiaTheme="minorHAnsi" w:hAnsiTheme="minorHAnsi" w:cstheme="minorHAnsi"/>
                <w:b/>
                <w:bCs/>
                <w:i/>
                <w:iCs/>
                <w:sz w:val="22"/>
                <w:szCs w:val="22"/>
                <w:lang w:val="en-US" w:eastAsia="en-US"/>
              </w:rPr>
              <w:t xml:space="preserve">and </w:t>
            </w:r>
            <w:r w:rsidRPr="00540786">
              <w:rPr>
                <w:rFonts w:asciiTheme="minorHAnsi" w:eastAsiaTheme="minorHAnsi" w:hAnsiTheme="minorHAnsi" w:cstheme="minorHAnsi"/>
                <w:b/>
                <w:bCs/>
                <w:i/>
                <w:iCs/>
                <w:sz w:val="22"/>
                <w:szCs w:val="22"/>
                <w:lang w:val="en-US" w:eastAsia="en-US"/>
              </w:rPr>
              <w:t xml:space="preserve">equity), </w:t>
            </w:r>
            <w:r w:rsidR="003518BD">
              <w:rPr>
                <w:rFonts w:asciiTheme="minorHAnsi" w:eastAsiaTheme="minorHAnsi" w:hAnsiTheme="minorHAnsi" w:cstheme="minorHAnsi"/>
                <w:b/>
                <w:bCs/>
                <w:i/>
                <w:iCs/>
                <w:sz w:val="22"/>
                <w:szCs w:val="22"/>
                <w:lang w:val="en-US" w:eastAsia="en-US"/>
              </w:rPr>
              <w:t>Outcome</w:t>
            </w:r>
            <w:r>
              <w:rPr>
                <w:rFonts w:asciiTheme="minorHAnsi" w:eastAsiaTheme="minorHAnsi" w:hAnsiTheme="minorHAnsi" w:cstheme="minorHAnsi"/>
                <w:b/>
                <w:bCs/>
                <w:i/>
                <w:iCs/>
                <w:sz w:val="22"/>
                <w:szCs w:val="22"/>
                <w:lang w:val="en-US" w:eastAsia="en-US"/>
              </w:rPr>
              <w:t xml:space="preserve"> N° </w:t>
            </w:r>
            <w:r w:rsidRPr="00540786">
              <w:rPr>
                <w:rFonts w:asciiTheme="minorHAnsi" w:eastAsiaTheme="minorHAnsi" w:hAnsiTheme="minorHAnsi" w:cstheme="minorHAnsi"/>
                <w:b/>
                <w:bCs/>
                <w:i/>
                <w:iCs/>
                <w:sz w:val="22"/>
                <w:szCs w:val="22"/>
                <w:lang w:val="en-US" w:eastAsia="en-US"/>
              </w:rPr>
              <w:t>3.11 (Local governance),</w:t>
            </w:r>
            <w:r>
              <w:rPr>
                <w:rFonts w:asciiTheme="minorHAnsi" w:eastAsiaTheme="minorHAnsi" w:hAnsiTheme="minorHAnsi" w:cstheme="minorHAnsi"/>
                <w:b/>
                <w:bCs/>
                <w:i/>
                <w:iCs/>
                <w:sz w:val="22"/>
                <w:szCs w:val="22"/>
                <w:lang w:val="en-US" w:eastAsia="en-US"/>
              </w:rPr>
              <w:t xml:space="preserve"> </w:t>
            </w:r>
            <w:r w:rsidR="003518BD">
              <w:rPr>
                <w:rFonts w:asciiTheme="minorHAnsi" w:eastAsiaTheme="minorHAnsi" w:hAnsiTheme="minorHAnsi" w:cstheme="minorHAnsi"/>
                <w:b/>
                <w:bCs/>
                <w:i/>
                <w:iCs/>
                <w:sz w:val="22"/>
                <w:szCs w:val="22"/>
                <w:lang w:val="en-US" w:eastAsia="en-US"/>
              </w:rPr>
              <w:t>Outcome</w:t>
            </w:r>
            <w:r>
              <w:rPr>
                <w:rFonts w:asciiTheme="minorHAnsi" w:eastAsiaTheme="minorHAnsi" w:hAnsiTheme="minorHAnsi" w:cstheme="minorHAnsi"/>
                <w:b/>
                <w:bCs/>
                <w:i/>
                <w:iCs/>
                <w:sz w:val="22"/>
                <w:szCs w:val="22"/>
                <w:lang w:val="en-US" w:eastAsia="en-US"/>
              </w:rPr>
              <w:t xml:space="preserve"> N° </w:t>
            </w:r>
            <w:r w:rsidRPr="00540786">
              <w:rPr>
                <w:rFonts w:asciiTheme="minorHAnsi" w:eastAsiaTheme="minorHAnsi" w:hAnsiTheme="minorHAnsi" w:cstheme="minorHAnsi"/>
                <w:b/>
                <w:bCs/>
                <w:i/>
                <w:iCs/>
                <w:sz w:val="22"/>
                <w:szCs w:val="22"/>
                <w:lang w:val="en-US" w:eastAsia="en-US"/>
              </w:rPr>
              <w:t xml:space="preserve">3.13 (Equitable access to justice), </w:t>
            </w:r>
            <w:r w:rsidR="003518BD">
              <w:rPr>
                <w:rFonts w:asciiTheme="minorHAnsi" w:eastAsiaTheme="minorHAnsi" w:hAnsiTheme="minorHAnsi" w:cstheme="minorHAnsi"/>
                <w:b/>
                <w:bCs/>
                <w:i/>
                <w:iCs/>
                <w:sz w:val="22"/>
                <w:szCs w:val="22"/>
                <w:lang w:val="en-US" w:eastAsia="en-US"/>
              </w:rPr>
              <w:t>Outcome</w:t>
            </w:r>
            <w:r>
              <w:rPr>
                <w:rFonts w:asciiTheme="minorHAnsi" w:eastAsiaTheme="minorHAnsi" w:hAnsiTheme="minorHAnsi" w:cstheme="minorHAnsi"/>
                <w:b/>
                <w:bCs/>
                <w:i/>
                <w:iCs/>
                <w:sz w:val="22"/>
                <w:szCs w:val="22"/>
                <w:lang w:val="en-US" w:eastAsia="en-US"/>
              </w:rPr>
              <w:t xml:space="preserve"> N° </w:t>
            </w:r>
            <w:r w:rsidRPr="00540786">
              <w:rPr>
                <w:rFonts w:asciiTheme="minorHAnsi" w:eastAsiaTheme="minorHAnsi" w:hAnsiTheme="minorHAnsi" w:cstheme="minorHAnsi"/>
                <w:b/>
                <w:bCs/>
                <w:i/>
                <w:iCs/>
                <w:sz w:val="22"/>
                <w:szCs w:val="22"/>
                <w:lang w:val="en-US" w:eastAsia="en-US"/>
              </w:rPr>
              <w:t>3.12 (Sustainable natural resource management and resilience to the effects of climate change).</w:t>
            </w:r>
          </w:p>
          <w:p w14:paraId="4E4C101F" w14:textId="77777777" w:rsidR="00540786" w:rsidRPr="00540786" w:rsidRDefault="00540786" w:rsidP="00585135">
            <w:pPr>
              <w:shd w:val="clear" w:color="auto" w:fill="FFFFFF"/>
              <w:rPr>
                <w:rFonts w:cstheme="minorHAnsi"/>
                <w:color w:val="000000" w:themeColor="text1"/>
              </w:rPr>
            </w:pPr>
          </w:p>
        </w:tc>
      </w:tr>
      <w:tr w:rsidR="00D03459" w:rsidRPr="00E3339E" w14:paraId="53E9E450" w14:textId="77777777" w:rsidTr="00D1343C">
        <w:tc>
          <w:tcPr>
            <w:tcW w:w="6750" w:type="dxa"/>
          </w:tcPr>
          <w:p w14:paraId="1D2FCEB4" w14:textId="77777777" w:rsidR="00D1343C" w:rsidRPr="00D1343C" w:rsidRDefault="00D1343C" w:rsidP="00D1343C">
            <w:pPr>
              <w:numPr>
                <w:ilvl w:val="0"/>
                <w:numId w:val="22"/>
              </w:numPr>
              <w:ind w:left="165" w:hanging="165"/>
              <w:jc w:val="both"/>
              <w:rPr>
                <w:rFonts w:eastAsia="Times New Roman" w:cstheme="minorHAnsi"/>
                <w:szCs w:val="20"/>
                <w:lang w:eastAsia="de-DE"/>
              </w:rPr>
            </w:pPr>
            <w:r w:rsidRPr="00D1343C">
              <w:rPr>
                <w:rFonts w:eastAsia="Times New Roman" w:cstheme="minorHAnsi"/>
                <w:szCs w:val="20"/>
                <w:lang w:eastAsia="de-DE"/>
              </w:rPr>
              <w:lastRenderedPageBreak/>
              <w:t>Togo remains in the Least Developed Countries (LDCs) category. It could be interesting for the CPD to show how it could contribute to support Togo meet the graduation criteria’s from LDCs as described in the Istanbul Programme of Action (</w:t>
            </w:r>
            <w:proofErr w:type="spellStart"/>
            <w:r w:rsidRPr="00D1343C">
              <w:rPr>
                <w:rFonts w:eastAsia="Times New Roman" w:cstheme="minorHAnsi"/>
                <w:szCs w:val="20"/>
                <w:lang w:eastAsia="de-DE"/>
              </w:rPr>
              <w:t>IPoA</w:t>
            </w:r>
            <w:proofErr w:type="spellEnd"/>
            <w:r w:rsidRPr="00D1343C">
              <w:rPr>
                <w:rFonts w:eastAsia="Times New Roman" w:cstheme="minorHAnsi"/>
                <w:szCs w:val="20"/>
                <w:lang w:eastAsia="de-DE"/>
              </w:rPr>
              <w:t>);</w:t>
            </w:r>
          </w:p>
          <w:p w14:paraId="4E198B1C" w14:textId="77777777" w:rsidR="00D03459" w:rsidRPr="00D1343C" w:rsidRDefault="00D03459" w:rsidP="00D1343C">
            <w:pPr>
              <w:rPr>
                <w:rFonts w:cstheme="minorHAnsi"/>
                <w:color w:val="000000" w:themeColor="text1"/>
              </w:rPr>
            </w:pPr>
          </w:p>
        </w:tc>
        <w:tc>
          <w:tcPr>
            <w:tcW w:w="1325" w:type="dxa"/>
          </w:tcPr>
          <w:p w14:paraId="44FA8218" w14:textId="77777777" w:rsidR="00D03459" w:rsidRPr="00D1343C" w:rsidRDefault="00D03459" w:rsidP="00D1343C">
            <w:pPr>
              <w:jc w:val="center"/>
              <w:rPr>
                <w:rFonts w:cstheme="minorHAnsi"/>
                <w:color w:val="000000" w:themeColor="text1"/>
              </w:rPr>
            </w:pPr>
          </w:p>
        </w:tc>
        <w:tc>
          <w:tcPr>
            <w:tcW w:w="6415" w:type="dxa"/>
          </w:tcPr>
          <w:p w14:paraId="595DB326" w14:textId="77777777" w:rsidR="00A60534" w:rsidRDefault="00E3339E" w:rsidP="00E3339E">
            <w:pPr>
              <w:pStyle w:val="HTMLPreformatted"/>
              <w:shd w:val="clear" w:color="auto" w:fill="FFFFFF"/>
              <w:rPr>
                <w:rFonts w:asciiTheme="minorHAnsi" w:eastAsiaTheme="minorHAnsi" w:hAnsiTheme="minorHAnsi" w:cstheme="minorHAnsi"/>
                <w:b/>
                <w:bCs/>
                <w:i/>
                <w:iCs/>
                <w:sz w:val="22"/>
                <w:szCs w:val="22"/>
                <w:lang w:val="en-US" w:eastAsia="en-US"/>
              </w:rPr>
            </w:pPr>
            <w:r w:rsidRPr="009E4767">
              <w:rPr>
                <w:rFonts w:asciiTheme="minorHAnsi" w:eastAsiaTheme="minorHAnsi" w:hAnsiTheme="minorHAnsi" w:cstheme="minorHAnsi"/>
                <w:b/>
                <w:bCs/>
                <w:i/>
                <w:iCs/>
                <w:sz w:val="22"/>
                <w:szCs w:val="22"/>
                <w:lang w:val="en-US" w:eastAsia="en-US"/>
              </w:rPr>
              <w:t>All the interventions proposed in th</w:t>
            </w:r>
            <w:r w:rsidR="009E4767" w:rsidRPr="009E4767">
              <w:rPr>
                <w:rFonts w:asciiTheme="minorHAnsi" w:eastAsiaTheme="minorHAnsi" w:hAnsiTheme="minorHAnsi" w:cstheme="minorHAnsi"/>
                <w:b/>
                <w:bCs/>
                <w:i/>
                <w:iCs/>
                <w:sz w:val="22"/>
                <w:szCs w:val="22"/>
                <w:lang w:val="en-US" w:eastAsia="en-US"/>
              </w:rPr>
              <w:t>is</w:t>
            </w:r>
            <w:r w:rsidRPr="009E4767">
              <w:rPr>
                <w:rFonts w:asciiTheme="minorHAnsi" w:eastAsiaTheme="minorHAnsi" w:hAnsiTheme="minorHAnsi" w:cstheme="minorHAnsi"/>
                <w:b/>
                <w:bCs/>
                <w:i/>
                <w:iCs/>
                <w:sz w:val="22"/>
                <w:szCs w:val="22"/>
                <w:lang w:val="en-US" w:eastAsia="en-US"/>
              </w:rPr>
              <w:t xml:space="preserve"> CPD are in line with the principles of the Istanbul Action Plan </w:t>
            </w:r>
            <w:r w:rsidR="00734FC2">
              <w:rPr>
                <w:rFonts w:asciiTheme="minorHAnsi" w:eastAsiaTheme="minorHAnsi" w:hAnsiTheme="minorHAnsi" w:cstheme="minorHAnsi"/>
                <w:b/>
                <w:bCs/>
                <w:i/>
                <w:iCs/>
                <w:sz w:val="22"/>
                <w:szCs w:val="22"/>
                <w:lang w:val="en-US" w:eastAsia="en-US"/>
              </w:rPr>
              <w:t xml:space="preserve">such as </w:t>
            </w:r>
            <w:r w:rsidR="00A60534">
              <w:rPr>
                <w:rFonts w:asciiTheme="minorHAnsi" w:eastAsiaTheme="minorHAnsi" w:hAnsiTheme="minorHAnsi" w:cstheme="minorHAnsi"/>
                <w:b/>
                <w:bCs/>
                <w:i/>
                <w:iCs/>
                <w:sz w:val="22"/>
                <w:szCs w:val="22"/>
                <w:lang w:val="en-US" w:eastAsia="en-US"/>
              </w:rPr>
              <w:t>c</w:t>
            </w:r>
            <w:r w:rsidR="00734FC2" w:rsidRPr="00A60534">
              <w:rPr>
                <w:rFonts w:asciiTheme="minorHAnsi" w:eastAsiaTheme="minorHAnsi" w:hAnsiTheme="minorHAnsi" w:cstheme="minorHAnsi"/>
                <w:b/>
                <w:bCs/>
                <w:i/>
                <w:iCs/>
                <w:sz w:val="22"/>
                <w:szCs w:val="22"/>
                <w:lang w:val="en-US" w:eastAsia="en-US"/>
              </w:rPr>
              <w:t>ountry ownership and leadership</w:t>
            </w:r>
            <w:r w:rsidR="00A60534">
              <w:rPr>
                <w:rFonts w:asciiTheme="minorHAnsi" w:eastAsiaTheme="minorHAnsi" w:hAnsiTheme="minorHAnsi" w:cstheme="minorHAnsi"/>
                <w:b/>
                <w:bCs/>
                <w:i/>
                <w:iCs/>
                <w:sz w:val="22"/>
                <w:szCs w:val="22"/>
                <w:lang w:val="en-US" w:eastAsia="en-US"/>
              </w:rPr>
              <w:t>;</w:t>
            </w:r>
            <w:r w:rsidR="00A60534" w:rsidRPr="00A60534">
              <w:rPr>
                <w:rFonts w:asciiTheme="minorHAnsi" w:eastAsiaTheme="minorHAnsi" w:hAnsiTheme="minorHAnsi" w:cstheme="minorHAnsi"/>
                <w:b/>
                <w:bCs/>
                <w:i/>
                <w:iCs/>
                <w:sz w:val="22"/>
                <w:szCs w:val="22"/>
                <w:lang w:val="en-US" w:eastAsia="en-US"/>
              </w:rPr>
              <w:t xml:space="preserve"> </w:t>
            </w:r>
            <w:r w:rsidR="00A60534">
              <w:rPr>
                <w:rFonts w:asciiTheme="minorHAnsi" w:eastAsiaTheme="minorHAnsi" w:hAnsiTheme="minorHAnsi" w:cstheme="minorHAnsi"/>
                <w:b/>
                <w:bCs/>
                <w:i/>
                <w:iCs/>
                <w:sz w:val="22"/>
                <w:szCs w:val="22"/>
                <w:lang w:val="en-US" w:eastAsia="en-US"/>
              </w:rPr>
              <w:t>using a</w:t>
            </w:r>
            <w:r w:rsidR="00A60534" w:rsidRPr="00A60534">
              <w:rPr>
                <w:rFonts w:asciiTheme="minorHAnsi" w:eastAsiaTheme="minorHAnsi" w:hAnsiTheme="minorHAnsi" w:cstheme="minorHAnsi"/>
                <w:b/>
                <w:bCs/>
                <w:i/>
                <w:iCs/>
                <w:sz w:val="22"/>
                <w:szCs w:val="22"/>
                <w:lang w:val="en-US" w:eastAsia="en-US"/>
              </w:rPr>
              <w:t>n integrated approach</w:t>
            </w:r>
            <w:r w:rsidR="00A60534">
              <w:rPr>
                <w:rFonts w:asciiTheme="minorHAnsi" w:eastAsiaTheme="minorHAnsi" w:hAnsiTheme="minorHAnsi" w:cstheme="minorHAnsi"/>
                <w:b/>
                <w:bCs/>
                <w:i/>
                <w:iCs/>
                <w:sz w:val="22"/>
                <w:szCs w:val="22"/>
                <w:lang w:val="en-US" w:eastAsia="en-US"/>
              </w:rPr>
              <w:t>;</w:t>
            </w:r>
            <w:r w:rsidR="00A60534" w:rsidRPr="00A60534">
              <w:rPr>
                <w:rFonts w:asciiTheme="minorHAnsi" w:eastAsiaTheme="minorHAnsi" w:hAnsiTheme="minorHAnsi" w:cstheme="minorHAnsi"/>
                <w:b/>
                <w:bCs/>
                <w:i/>
                <w:iCs/>
                <w:sz w:val="22"/>
                <w:szCs w:val="22"/>
                <w:lang w:val="en-US" w:eastAsia="en-US"/>
              </w:rPr>
              <w:t xml:space="preserve"> </w:t>
            </w:r>
            <w:r w:rsidR="00A60534">
              <w:rPr>
                <w:rFonts w:asciiTheme="minorHAnsi" w:eastAsiaTheme="minorHAnsi" w:hAnsiTheme="minorHAnsi" w:cstheme="minorHAnsi"/>
                <w:b/>
                <w:bCs/>
                <w:i/>
                <w:iCs/>
                <w:sz w:val="22"/>
                <w:szCs w:val="22"/>
                <w:lang w:val="en-US" w:eastAsia="en-US"/>
              </w:rPr>
              <w:t>focusing on r</w:t>
            </w:r>
            <w:r w:rsidR="00A60534" w:rsidRPr="00A60534">
              <w:rPr>
                <w:rFonts w:asciiTheme="minorHAnsi" w:eastAsiaTheme="minorHAnsi" w:hAnsiTheme="minorHAnsi" w:cstheme="minorHAnsi"/>
                <w:b/>
                <w:bCs/>
                <w:i/>
                <w:iCs/>
                <w:sz w:val="22"/>
                <w:szCs w:val="22"/>
                <w:lang w:val="en-US" w:eastAsia="en-US"/>
              </w:rPr>
              <w:t>esult orientation</w:t>
            </w:r>
            <w:r w:rsidR="00A60534">
              <w:rPr>
                <w:rFonts w:asciiTheme="minorHAnsi" w:eastAsiaTheme="minorHAnsi" w:hAnsiTheme="minorHAnsi" w:cstheme="minorHAnsi"/>
                <w:b/>
                <w:bCs/>
                <w:i/>
                <w:iCs/>
                <w:sz w:val="22"/>
                <w:szCs w:val="22"/>
                <w:lang w:val="en-US" w:eastAsia="en-US"/>
              </w:rPr>
              <w:t>;</w:t>
            </w:r>
            <w:r w:rsidR="00A60534" w:rsidRPr="00A60534">
              <w:rPr>
                <w:rFonts w:asciiTheme="minorHAnsi" w:eastAsiaTheme="minorHAnsi" w:hAnsiTheme="minorHAnsi" w:cstheme="minorHAnsi"/>
                <w:b/>
                <w:bCs/>
                <w:i/>
                <w:iCs/>
                <w:sz w:val="22"/>
                <w:szCs w:val="22"/>
                <w:lang w:val="en-US" w:eastAsia="en-US"/>
              </w:rPr>
              <w:t xml:space="preserve"> </w:t>
            </w:r>
            <w:r w:rsidR="00A60534">
              <w:rPr>
                <w:rFonts w:asciiTheme="minorHAnsi" w:eastAsiaTheme="minorHAnsi" w:hAnsiTheme="minorHAnsi" w:cstheme="minorHAnsi"/>
                <w:b/>
                <w:bCs/>
                <w:i/>
                <w:iCs/>
                <w:sz w:val="22"/>
                <w:szCs w:val="22"/>
                <w:lang w:val="en-US" w:eastAsia="en-US"/>
              </w:rPr>
              <w:t>promoting p</w:t>
            </w:r>
            <w:r w:rsidR="00A60534" w:rsidRPr="00A60534">
              <w:rPr>
                <w:rFonts w:asciiTheme="minorHAnsi" w:eastAsiaTheme="minorHAnsi" w:hAnsiTheme="minorHAnsi" w:cstheme="minorHAnsi"/>
                <w:b/>
                <w:bCs/>
                <w:i/>
                <w:iCs/>
                <w:sz w:val="22"/>
                <w:szCs w:val="22"/>
                <w:lang w:val="en-US" w:eastAsia="en-US"/>
              </w:rPr>
              <w:t>eace and security, development and human rights</w:t>
            </w:r>
            <w:r w:rsidR="00A60534">
              <w:rPr>
                <w:rFonts w:asciiTheme="minorHAnsi" w:eastAsiaTheme="minorHAnsi" w:hAnsiTheme="minorHAnsi" w:cstheme="minorHAnsi"/>
                <w:b/>
                <w:bCs/>
                <w:i/>
                <w:iCs/>
                <w:sz w:val="22"/>
                <w:szCs w:val="22"/>
                <w:lang w:val="en-US" w:eastAsia="en-US"/>
              </w:rPr>
              <w:t xml:space="preserve">. The CPD is also in line with </w:t>
            </w:r>
            <w:r w:rsidR="00F422DA">
              <w:rPr>
                <w:rFonts w:asciiTheme="minorHAnsi" w:eastAsiaTheme="minorHAnsi" w:hAnsiTheme="minorHAnsi" w:cstheme="minorHAnsi"/>
                <w:b/>
                <w:bCs/>
                <w:i/>
                <w:iCs/>
                <w:sz w:val="22"/>
                <w:szCs w:val="22"/>
                <w:lang w:val="en-US" w:eastAsia="en-US"/>
              </w:rPr>
              <w:t>the</w:t>
            </w:r>
            <w:r w:rsidRPr="009E4767">
              <w:rPr>
                <w:rFonts w:asciiTheme="minorHAnsi" w:eastAsiaTheme="minorHAnsi" w:hAnsiTheme="minorHAnsi" w:cstheme="minorHAnsi"/>
                <w:b/>
                <w:bCs/>
                <w:i/>
                <w:iCs/>
                <w:sz w:val="22"/>
                <w:szCs w:val="22"/>
                <w:lang w:val="en-US" w:eastAsia="en-US"/>
              </w:rPr>
              <w:t xml:space="preserve"> priority areas of action</w:t>
            </w:r>
            <w:r w:rsidR="009E4767" w:rsidRPr="009E4767">
              <w:rPr>
                <w:rFonts w:asciiTheme="minorHAnsi" w:eastAsiaTheme="minorHAnsi" w:hAnsiTheme="minorHAnsi" w:cstheme="minorHAnsi"/>
                <w:b/>
                <w:bCs/>
                <w:i/>
                <w:iCs/>
                <w:sz w:val="22"/>
                <w:szCs w:val="22"/>
                <w:lang w:val="en-US" w:eastAsia="en-US"/>
              </w:rPr>
              <w:t>,</w:t>
            </w:r>
            <w:r w:rsidRPr="009E4767">
              <w:rPr>
                <w:rFonts w:asciiTheme="minorHAnsi" w:eastAsiaTheme="minorHAnsi" w:hAnsiTheme="minorHAnsi" w:cstheme="minorHAnsi"/>
                <w:b/>
                <w:bCs/>
                <w:i/>
                <w:iCs/>
                <w:sz w:val="22"/>
                <w:szCs w:val="22"/>
                <w:lang w:val="en-US" w:eastAsia="en-US"/>
              </w:rPr>
              <w:t xml:space="preserve"> including Education and Training, Climate Change and Environmental Conservation, and good governance at all levels.</w:t>
            </w:r>
            <w:r w:rsidR="00F422DA">
              <w:rPr>
                <w:rFonts w:asciiTheme="minorHAnsi" w:eastAsiaTheme="minorHAnsi" w:hAnsiTheme="minorHAnsi" w:cstheme="minorHAnsi"/>
                <w:b/>
                <w:bCs/>
                <w:i/>
                <w:iCs/>
                <w:sz w:val="22"/>
                <w:szCs w:val="22"/>
                <w:lang w:val="en-US" w:eastAsia="en-US"/>
              </w:rPr>
              <w:t xml:space="preserve"> </w:t>
            </w:r>
          </w:p>
          <w:p w14:paraId="7AAEB03D" w14:textId="77777777" w:rsidR="00A60534" w:rsidRPr="00A60534" w:rsidRDefault="00A60534" w:rsidP="00E3339E">
            <w:pPr>
              <w:pStyle w:val="HTMLPreformatted"/>
              <w:shd w:val="clear" w:color="auto" w:fill="FFFFFF"/>
              <w:rPr>
                <w:rFonts w:asciiTheme="minorHAnsi" w:eastAsiaTheme="minorHAnsi" w:hAnsiTheme="minorHAnsi" w:cstheme="minorHAnsi"/>
                <w:b/>
                <w:bCs/>
                <w:i/>
                <w:iCs/>
                <w:sz w:val="22"/>
                <w:szCs w:val="22"/>
                <w:lang w:val="en-US" w:eastAsia="en-US"/>
              </w:rPr>
            </w:pPr>
            <w:r w:rsidRPr="00F422DA">
              <w:rPr>
                <w:rFonts w:asciiTheme="minorHAnsi" w:eastAsiaTheme="minorHAnsi" w:hAnsiTheme="minorHAnsi" w:cstheme="minorHAnsi"/>
                <w:b/>
                <w:bCs/>
                <w:i/>
                <w:iCs/>
                <w:sz w:val="22"/>
                <w:szCs w:val="22"/>
                <w:lang w:val="en-US" w:eastAsia="en-US"/>
              </w:rPr>
              <w:t>By implementing the CPD, UNDP will support Togo to translate its vision</w:t>
            </w:r>
            <w:r w:rsidR="00F422DA" w:rsidRPr="00F422DA">
              <w:rPr>
                <w:rFonts w:asciiTheme="minorHAnsi" w:eastAsiaTheme="minorHAnsi" w:hAnsiTheme="minorHAnsi" w:cstheme="minorHAnsi"/>
                <w:b/>
                <w:bCs/>
                <w:i/>
                <w:iCs/>
                <w:sz w:val="22"/>
                <w:szCs w:val="22"/>
                <w:lang w:val="en-US" w:eastAsia="en-US"/>
              </w:rPr>
              <w:t xml:space="preserve"> and its</w:t>
            </w:r>
            <w:r w:rsidRPr="00F422DA">
              <w:rPr>
                <w:rFonts w:asciiTheme="minorHAnsi" w:eastAsiaTheme="minorHAnsi" w:hAnsiTheme="minorHAnsi" w:cstheme="minorHAnsi"/>
                <w:b/>
                <w:bCs/>
                <w:i/>
                <w:iCs/>
                <w:sz w:val="22"/>
                <w:szCs w:val="22"/>
                <w:lang w:val="en-US" w:eastAsia="en-US"/>
              </w:rPr>
              <w:t xml:space="preserve"> policies in the Programme of Action into concrete measures</w:t>
            </w:r>
            <w:r w:rsidR="00F422DA" w:rsidRPr="00F422DA">
              <w:rPr>
                <w:rFonts w:asciiTheme="minorHAnsi" w:eastAsiaTheme="minorHAnsi" w:hAnsiTheme="minorHAnsi" w:cstheme="minorHAnsi"/>
                <w:b/>
                <w:bCs/>
                <w:i/>
                <w:iCs/>
                <w:sz w:val="22"/>
                <w:szCs w:val="22"/>
                <w:lang w:val="en-US" w:eastAsia="en-US"/>
              </w:rPr>
              <w:t>. This will contribute for the country to move forward to meet the graduation criteria’s.</w:t>
            </w:r>
          </w:p>
          <w:p w14:paraId="1AAC0288" w14:textId="77777777" w:rsidR="00E3339E" w:rsidRPr="00E3339E" w:rsidRDefault="00E3339E" w:rsidP="009F4BC9">
            <w:pPr>
              <w:shd w:val="clear" w:color="auto" w:fill="FFFFFF"/>
              <w:rPr>
                <w:rFonts w:cstheme="minorHAnsi"/>
                <w:color w:val="000000" w:themeColor="text1"/>
              </w:rPr>
            </w:pPr>
          </w:p>
        </w:tc>
      </w:tr>
      <w:tr w:rsidR="00D03459" w:rsidRPr="009E4767" w14:paraId="0626644C" w14:textId="77777777" w:rsidTr="00D1343C">
        <w:tc>
          <w:tcPr>
            <w:tcW w:w="6750" w:type="dxa"/>
          </w:tcPr>
          <w:p w14:paraId="4EE8A0C9" w14:textId="77777777" w:rsidR="00D1343C" w:rsidRPr="00D1343C" w:rsidRDefault="00D1343C" w:rsidP="00D1343C">
            <w:pPr>
              <w:numPr>
                <w:ilvl w:val="0"/>
                <w:numId w:val="22"/>
              </w:numPr>
              <w:ind w:left="165" w:hanging="165"/>
              <w:jc w:val="both"/>
              <w:rPr>
                <w:rFonts w:eastAsia="Times New Roman" w:cstheme="minorHAnsi"/>
                <w:szCs w:val="20"/>
                <w:lang w:eastAsia="de-DE"/>
              </w:rPr>
            </w:pPr>
            <w:r w:rsidRPr="00D1343C">
              <w:rPr>
                <w:rFonts w:eastAsia="Times New Roman" w:cstheme="minorHAnsi"/>
                <w:szCs w:val="20"/>
                <w:lang w:eastAsia="de-DE"/>
              </w:rPr>
              <w:t>Regarding “Pillar 2. Promoting inclusive growth and access to basic services”</w:t>
            </w:r>
            <w:r w:rsidRPr="00D1343C">
              <w:rPr>
                <w:rFonts w:eastAsia="Times New Roman" w:cstheme="minorHAnsi"/>
                <w:szCs w:val="20"/>
                <w:lang w:val="en" w:eastAsia="de-DE"/>
              </w:rPr>
              <w:t>: (a) the capacity of public institutions in charge of employment promotion; (b) the entrepreneurial capacities of professional organizations, cooperatives and associations and innovation in the private sector:</w:t>
            </w:r>
          </w:p>
          <w:p w14:paraId="4D6D230C" w14:textId="77777777" w:rsidR="00D1343C" w:rsidRPr="00D1343C" w:rsidRDefault="00D1343C" w:rsidP="00D1343C">
            <w:pPr>
              <w:numPr>
                <w:ilvl w:val="1"/>
                <w:numId w:val="22"/>
              </w:numPr>
              <w:ind w:left="705" w:hanging="360"/>
              <w:jc w:val="both"/>
              <w:rPr>
                <w:rFonts w:eastAsia="Times New Roman" w:cstheme="minorHAnsi"/>
                <w:szCs w:val="20"/>
                <w:lang w:eastAsia="de-DE"/>
              </w:rPr>
            </w:pPr>
            <w:r w:rsidRPr="00D1343C">
              <w:rPr>
                <w:rFonts w:eastAsia="Times New Roman" w:cstheme="minorHAnsi"/>
                <w:szCs w:val="20"/>
                <w:lang w:val="en" w:eastAsia="de-DE"/>
              </w:rPr>
              <w:t>section (a) and (b) focuses mainly on capacity building of institutions and other national organizations, is this approach sufficient to create jobs as targeted by Pillar 2?</w:t>
            </w:r>
          </w:p>
          <w:p w14:paraId="6EE67001" w14:textId="77777777" w:rsidR="00D1343C" w:rsidRPr="00D1343C" w:rsidRDefault="00D1343C" w:rsidP="00D1343C">
            <w:pPr>
              <w:numPr>
                <w:ilvl w:val="1"/>
                <w:numId w:val="22"/>
              </w:numPr>
              <w:ind w:left="795" w:hanging="450"/>
              <w:jc w:val="both"/>
              <w:rPr>
                <w:rFonts w:eastAsia="Times New Roman" w:cstheme="minorHAnsi"/>
                <w:szCs w:val="20"/>
                <w:lang w:eastAsia="de-DE"/>
              </w:rPr>
            </w:pPr>
            <w:r w:rsidRPr="00D1343C">
              <w:rPr>
                <w:rFonts w:eastAsia="Times New Roman" w:cstheme="minorHAnsi"/>
                <w:szCs w:val="20"/>
                <w:lang w:val="en" w:eastAsia="de-DE"/>
              </w:rPr>
              <w:lastRenderedPageBreak/>
              <w:t>Maybe more emphasis should be put on the development of a stronger formal private sector, to enhance the business climate, ensure market access and attract healthy investments to ensure sustainable job creation;</w:t>
            </w:r>
          </w:p>
          <w:p w14:paraId="1963BEBE" w14:textId="77777777" w:rsidR="00D1343C" w:rsidRDefault="00D1343C" w:rsidP="00D1343C">
            <w:pPr>
              <w:numPr>
                <w:ilvl w:val="1"/>
                <w:numId w:val="22"/>
              </w:numPr>
              <w:ind w:left="795" w:hanging="450"/>
              <w:jc w:val="both"/>
              <w:rPr>
                <w:rFonts w:eastAsia="Times New Roman" w:cstheme="minorHAnsi"/>
                <w:szCs w:val="20"/>
                <w:lang w:eastAsia="de-DE"/>
              </w:rPr>
            </w:pPr>
            <w:r w:rsidRPr="00D1343C">
              <w:rPr>
                <w:rFonts w:eastAsia="Times New Roman" w:cstheme="minorHAnsi"/>
                <w:szCs w:val="20"/>
                <w:lang w:eastAsia="de-DE"/>
              </w:rPr>
              <w:t>Not enough emphasis is put on the critical importance to focus on agriculture value chain development to create job and sustainable economic growth as well as regional integration. This would also be the opportunity to enhance collaboration with Germany which is one of its cooperation priorities in the country</w:t>
            </w:r>
          </w:p>
          <w:p w14:paraId="2299338D" w14:textId="77777777" w:rsidR="00BD4E66" w:rsidRDefault="00BD4E66" w:rsidP="00BD4E66">
            <w:pPr>
              <w:ind w:left="795"/>
              <w:jc w:val="both"/>
              <w:rPr>
                <w:rFonts w:eastAsia="Times New Roman" w:cstheme="minorHAnsi"/>
                <w:szCs w:val="20"/>
                <w:lang w:eastAsia="de-DE"/>
              </w:rPr>
            </w:pPr>
          </w:p>
          <w:p w14:paraId="6A5B685C" w14:textId="77777777" w:rsidR="00BD4E66" w:rsidRDefault="00BD4E66" w:rsidP="00BD4E66">
            <w:pPr>
              <w:ind w:left="795"/>
              <w:jc w:val="both"/>
              <w:rPr>
                <w:rFonts w:eastAsia="Times New Roman" w:cstheme="minorHAnsi"/>
                <w:szCs w:val="20"/>
                <w:lang w:eastAsia="de-DE"/>
              </w:rPr>
            </w:pPr>
          </w:p>
          <w:p w14:paraId="4FBF7DD8" w14:textId="77777777" w:rsidR="00BD4E66" w:rsidRDefault="00BD4E66" w:rsidP="00BD4E66">
            <w:pPr>
              <w:ind w:left="795"/>
              <w:jc w:val="both"/>
              <w:rPr>
                <w:rFonts w:eastAsia="Times New Roman" w:cstheme="minorHAnsi"/>
                <w:szCs w:val="20"/>
                <w:lang w:eastAsia="de-DE"/>
              </w:rPr>
            </w:pPr>
          </w:p>
          <w:p w14:paraId="004B9AF1" w14:textId="77777777" w:rsidR="00BD4E66" w:rsidRDefault="00BD4E66" w:rsidP="00BD4E66">
            <w:pPr>
              <w:ind w:left="795"/>
              <w:jc w:val="both"/>
              <w:rPr>
                <w:rFonts w:eastAsia="Times New Roman" w:cstheme="minorHAnsi"/>
                <w:szCs w:val="20"/>
                <w:lang w:eastAsia="de-DE"/>
              </w:rPr>
            </w:pPr>
          </w:p>
          <w:p w14:paraId="6F83D05C" w14:textId="77777777" w:rsidR="00B452E5" w:rsidRDefault="00B452E5" w:rsidP="00BD4E66">
            <w:pPr>
              <w:ind w:left="795"/>
              <w:jc w:val="both"/>
              <w:rPr>
                <w:rFonts w:eastAsia="Times New Roman" w:cstheme="minorHAnsi"/>
                <w:szCs w:val="20"/>
                <w:lang w:eastAsia="de-DE"/>
              </w:rPr>
            </w:pPr>
          </w:p>
          <w:p w14:paraId="2EDD5E33" w14:textId="77777777" w:rsidR="00B452E5" w:rsidRDefault="00B452E5" w:rsidP="00BD4E66">
            <w:pPr>
              <w:ind w:left="795"/>
              <w:jc w:val="both"/>
              <w:rPr>
                <w:rFonts w:eastAsia="Times New Roman" w:cstheme="minorHAnsi"/>
                <w:szCs w:val="20"/>
                <w:lang w:eastAsia="de-DE"/>
              </w:rPr>
            </w:pPr>
          </w:p>
          <w:p w14:paraId="7D73874A" w14:textId="77777777" w:rsidR="00B452E5" w:rsidRDefault="00B452E5" w:rsidP="00BD4E66">
            <w:pPr>
              <w:ind w:left="795"/>
              <w:jc w:val="both"/>
              <w:rPr>
                <w:rFonts w:eastAsia="Times New Roman" w:cstheme="minorHAnsi"/>
                <w:szCs w:val="20"/>
                <w:lang w:eastAsia="de-DE"/>
              </w:rPr>
            </w:pPr>
          </w:p>
          <w:p w14:paraId="541A2DFF" w14:textId="77777777" w:rsidR="00B452E5" w:rsidRDefault="00B452E5" w:rsidP="00BD4E66">
            <w:pPr>
              <w:ind w:left="795"/>
              <w:jc w:val="both"/>
              <w:rPr>
                <w:rFonts w:eastAsia="Times New Roman" w:cstheme="minorHAnsi"/>
                <w:szCs w:val="20"/>
                <w:lang w:eastAsia="de-DE"/>
              </w:rPr>
            </w:pPr>
          </w:p>
          <w:p w14:paraId="0B638341" w14:textId="77777777" w:rsidR="00B452E5" w:rsidRDefault="00B452E5" w:rsidP="00BD4E66">
            <w:pPr>
              <w:ind w:left="795"/>
              <w:jc w:val="both"/>
              <w:rPr>
                <w:rFonts w:eastAsia="Times New Roman" w:cstheme="minorHAnsi"/>
                <w:szCs w:val="20"/>
                <w:lang w:eastAsia="de-DE"/>
              </w:rPr>
            </w:pPr>
          </w:p>
          <w:p w14:paraId="03AF1282" w14:textId="77777777" w:rsidR="00B452E5" w:rsidRDefault="00B452E5" w:rsidP="00BD4E66">
            <w:pPr>
              <w:ind w:left="795"/>
              <w:jc w:val="both"/>
              <w:rPr>
                <w:rFonts w:eastAsia="Times New Roman" w:cstheme="minorHAnsi"/>
                <w:szCs w:val="20"/>
                <w:lang w:eastAsia="de-DE"/>
              </w:rPr>
            </w:pPr>
          </w:p>
          <w:p w14:paraId="6E65BA0C" w14:textId="77777777" w:rsidR="00B452E5" w:rsidRPr="00D1343C" w:rsidRDefault="00B452E5" w:rsidP="00BD4E66">
            <w:pPr>
              <w:ind w:left="795"/>
              <w:jc w:val="both"/>
              <w:rPr>
                <w:rFonts w:eastAsia="Times New Roman" w:cstheme="minorHAnsi"/>
                <w:szCs w:val="20"/>
                <w:lang w:eastAsia="de-DE"/>
              </w:rPr>
            </w:pPr>
          </w:p>
          <w:p w14:paraId="4F9F60BC" w14:textId="77777777" w:rsidR="00D1343C" w:rsidRPr="00D1343C" w:rsidRDefault="00D1343C" w:rsidP="00D1343C">
            <w:pPr>
              <w:numPr>
                <w:ilvl w:val="1"/>
                <w:numId w:val="22"/>
              </w:numPr>
              <w:ind w:left="795" w:hanging="450"/>
              <w:jc w:val="both"/>
              <w:rPr>
                <w:rFonts w:eastAsia="Times New Roman" w:cstheme="minorHAnsi"/>
                <w:szCs w:val="20"/>
                <w:lang w:eastAsia="de-DE"/>
              </w:rPr>
            </w:pPr>
            <w:r w:rsidRPr="00D1343C">
              <w:rPr>
                <w:rFonts w:eastAsia="Times New Roman" w:cstheme="minorHAnsi"/>
                <w:szCs w:val="20"/>
                <w:lang w:eastAsia="de-DE"/>
              </w:rPr>
              <w:t>The document does not address the high population growth although it is one the critical factors of sustainable development. We think that education, (especially secondary and high school for girls), is key when it comes to demography, so we would propose to add an indicator on enrollment rate of girls on page 14.</w:t>
            </w:r>
          </w:p>
          <w:p w14:paraId="304EE83C" w14:textId="77777777" w:rsidR="00D03459" w:rsidRPr="00D1343C" w:rsidRDefault="00D03459" w:rsidP="00D1343C">
            <w:pPr>
              <w:rPr>
                <w:rFonts w:cstheme="minorHAnsi"/>
                <w:color w:val="000000" w:themeColor="text1"/>
              </w:rPr>
            </w:pPr>
          </w:p>
        </w:tc>
        <w:tc>
          <w:tcPr>
            <w:tcW w:w="1325" w:type="dxa"/>
          </w:tcPr>
          <w:p w14:paraId="5E301AC4" w14:textId="77777777" w:rsidR="00D03459" w:rsidRPr="00D1343C" w:rsidRDefault="00D03459" w:rsidP="00D1343C">
            <w:pPr>
              <w:jc w:val="center"/>
              <w:rPr>
                <w:rFonts w:cstheme="minorHAnsi"/>
                <w:color w:val="000000" w:themeColor="text1"/>
              </w:rPr>
            </w:pPr>
          </w:p>
        </w:tc>
        <w:tc>
          <w:tcPr>
            <w:tcW w:w="6415" w:type="dxa"/>
          </w:tcPr>
          <w:p w14:paraId="767FAA4A" w14:textId="77777777" w:rsidR="009E4767" w:rsidRDefault="009E4767" w:rsidP="009E4767">
            <w:pPr>
              <w:pStyle w:val="HTMLPreformatted"/>
              <w:shd w:val="clear" w:color="auto" w:fill="FFFFFF"/>
              <w:rPr>
                <w:rFonts w:asciiTheme="minorHAnsi" w:eastAsiaTheme="minorHAnsi" w:hAnsiTheme="minorHAnsi" w:cstheme="minorHAnsi"/>
                <w:b/>
                <w:bCs/>
                <w:i/>
                <w:iCs/>
                <w:sz w:val="22"/>
                <w:szCs w:val="22"/>
                <w:lang w:val="en-US" w:eastAsia="en-US"/>
              </w:rPr>
            </w:pPr>
            <w:r w:rsidRPr="009E4767">
              <w:rPr>
                <w:rFonts w:asciiTheme="minorHAnsi" w:eastAsiaTheme="minorHAnsi" w:hAnsiTheme="minorHAnsi" w:cstheme="minorHAnsi"/>
                <w:b/>
                <w:bCs/>
                <w:i/>
                <w:iCs/>
                <w:sz w:val="22"/>
                <w:szCs w:val="22"/>
                <w:lang w:val="en-US" w:eastAsia="en-US"/>
              </w:rPr>
              <w:t>The objective of the CPD under Pillar 2 is to strengthen the capacity of the institutions in charge of employment governance and to facilitate the public / private partnership in the field of vocational training. These interventions will contribute to creating a more favorable environm</w:t>
            </w:r>
            <w:r>
              <w:rPr>
                <w:rFonts w:asciiTheme="minorHAnsi" w:eastAsiaTheme="minorHAnsi" w:hAnsiTheme="minorHAnsi" w:cstheme="minorHAnsi"/>
                <w:b/>
                <w:bCs/>
                <w:i/>
                <w:iCs/>
                <w:sz w:val="22"/>
                <w:szCs w:val="22"/>
                <w:lang w:val="en-US" w:eastAsia="en-US"/>
              </w:rPr>
              <w:t xml:space="preserve">ent for job creation, </w:t>
            </w:r>
            <w:r w:rsidRPr="009E4767">
              <w:rPr>
                <w:rFonts w:asciiTheme="minorHAnsi" w:eastAsiaTheme="minorHAnsi" w:hAnsiTheme="minorHAnsi" w:cstheme="minorHAnsi"/>
                <w:b/>
                <w:bCs/>
                <w:i/>
                <w:iCs/>
                <w:sz w:val="22"/>
                <w:szCs w:val="22"/>
                <w:lang w:val="en-US" w:eastAsia="en-US"/>
              </w:rPr>
              <w:t>hence improving the match between the demand and the offer of employment.</w:t>
            </w:r>
            <w:r w:rsidR="003D3985">
              <w:rPr>
                <w:rFonts w:asciiTheme="minorHAnsi" w:eastAsiaTheme="minorHAnsi" w:hAnsiTheme="minorHAnsi" w:cstheme="minorHAnsi"/>
                <w:b/>
                <w:bCs/>
                <w:i/>
                <w:iCs/>
                <w:sz w:val="22"/>
                <w:szCs w:val="22"/>
                <w:lang w:val="en-US" w:eastAsia="en-US"/>
              </w:rPr>
              <w:t xml:space="preserve"> </w:t>
            </w:r>
          </w:p>
          <w:p w14:paraId="1AB4D7F7" w14:textId="77777777" w:rsidR="009E4767" w:rsidRPr="000C6E9E" w:rsidRDefault="00787D42" w:rsidP="00787D42">
            <w:pPr>
              <w:pStyle w:val="HTMLPreformatted"/>
              <w:shd w:val="clear" w:color="auto" w:fill="FFFFFF"/>
              <w:rPr>
                <w:rFonts w:cstheme="minorHAnsi"/>
                <w:b/>
                <w:bCs/>
                <w:i/>
                <w:iCs/>
                <w:lang w:val="en-US"/>
              </w:rPr>
            </w:pPr>
            <w:r w:rsidRPr="00787D42">
              <w:rPr>
                <w:rFonts w:asciiTheme="minorHAnsi" w:eastAsiaTheme="minorHAnsi" w:hAnsiTheme="minorHAnsi" w:cstheme="minorHAnsi"/>
                <w:b/>
                <w:bCs/>
                <w:i/>
                <w:iCs/>
                <w:sz w:val="22"/>
                <w:szCs w:val="22"/>
                <w:lang w:val="en-US" w:eastAsia="en-US"/>
              </w:rPr>
              <w:t>We agree with the second bullet and the vision is to focus on the strategic level to</w:t>
            </w:r>
            <w:r>
              <w:rPr>
                <w:rFonts w:asciiTheme="minorHAnsi" w:eastAsiaTheme="minorHAnsi" w:hAnsiTheme="minorHAnsi" w:cstheme="minorHAnsi"/>
                <w:b/>
                <w:bCs/>
                <w:i/>
                <w:iCs/>
                <w:sz w:val="22"/>
                <w:szCs w:val="22"/>
                <w:lang w:val="en-US" w:eastAsia="en-US"/>
              </w:rPr>
              <w:t xml:space="preserve"> support the country to</w:t>
            </w:r>
            <w:r w:rsidRPr="00787D42">
              <w:rPr>
                <w:rFonts w:asciiTheme="minorHAnsi" w:eastAsiaTheme="minorHAnsi" w:hAnsiTheme="minorHAnsi" w:cstheme="minorHAnsi"/>
                <w:b/>
                <w:bCs/>
                <w:i/>
                <w:iCs/>
                <w:sz w:val="22"/>
                <w:szCs w:val="22"/>
                <w:lang w:val="en-US" w:eastAsia="en-US"/>
              </w:rPr>
              <w:t xml:space="preserve"> create the conditions</w:t>
            </w:r>
            <w:r>
              <w:rPr>
                <w:rFonts w:asciiTheme="minorHAnsi" w:eastAsiaTheme="minorHAnsi" w:hAnsiTheme="minorHAnsi" w:cstheme="minorHAnsi"/>
                <w:b/>
                <w:bCs/>
                <w:i/>
                <w:iCs/>
                <w:sz w:val="22"/>
                <w:szCs w:val="22"/>
                <w:lang w:val="en-US" w:eastAsia="en-US"/>
              </w:rPr>
              <w:t xml:space="preserve"> which </w:t>
            </w:r>
            <w:r>
              <w:rPr>
                <w:rFonts w:asciiTheme="minorHAnsi" w:eastAsiaTheme="minorHAnsi" w:hAnsiTheme="minorHAnsi" w:cstheme="minorHAnsi"/>
                <w:b/>
                <w:bCs/>
                <w:i/>
                <w:iCs/>
                <w:sz w:val="22"/>
                <w:szCs w:val="22"/>
                <w:lang w:val="en-US" w:eastAsia="en-US"/>
              </w:rPr>
              <w:lastRenderedPageBreak/>
              <w:t xml:space="preserve">will enable </w:t>
            </w:r>
            <w:r w:rsidRPr="00787D42">
              <w:rPr>
                <w:rFonts w:asciiTheme="minorHAnsi" w:eastAsiaTheme="minorHAnsi" w:hAnsiTheme="minorHAnsi" w:cstheme="minorHAnsi"/>
                <w:b/>
                <w:bCs/>
                <w:i/>
                <w:iCs/>
                <w:sz w:val="22"/>
                <w:szCs w:val="22"/>
                <w:lang w:val="en-US" w:eastAsia="en-US"/>
              </w:rPr>
              <w:t>the private sector to create</w:t>
            </w:r>
            <w:r>
              <w:rPr>
                <w:rFonts w:asciiTheme="minorHAnsi" w:eastAsiaTheme="minorHAnsi" w:hAnsiTheme="minorHAnsi" w:cstheme="minorHAnsi"/>
                <w:b/>
                <w:bCs/>
                <w:i/>
                <w:iCs/>
                <w:sz w:val="22"/>
                <w:szCs w:val="22"/>
                <w:lang w:val="en-US" w:eastAsia="en-US"/>
              </w:rPr>
              <w:t xml:space="preserve"> sustainable</w:t>
            </w:r>
            <w:r w:rsidRPr="00787D42">
              <w:rPr>
                <w:rFonts w:asciiTheme="minorHAnsi" w:eastAsiaTheme="minorHAnsi" w:hAnsiTheme="minorHAnsi" w:cstheme="minorHAnsi"/>
                <w:b/>
                <w:bCs/>
                <w:i/>
                <w:iCs/>
                <w:sz w:val="22"/>
                <w:szCs w:val="22"/>
                <w:lang w:val="en-US" w:eastAsia="en-US"/>
              </w:rPr>
              <w:t xml:space="preserve"> jobs and have skilled employees</w:t>
            </w:r>
            <w:r>
              <w:rPr>
                <w:rFonts w:asciiTheme="minorHAnsi" w:eastAsiaTheme="minorHAnsi" w:hAnsiTheme="minorHAnsi" w:cstheme="minorHAnsi"/>
                <w:b/>
                <w:bCs/>
                <w:i/>
                <w:iCs/>
                <w:sz w:val="22"/>
                <w:szCs w:val="22"/>
                <w:lang w:val="en-US" w:eastAsia="en-US"/>
              </w:rPr>
              <w:t>.</w:t>
            </w:r>
          </w:p>
          <w:p w14:paraId="26CDD49B" w14:textId="77777777" w:rsidR="009E4767" w:rsidRPr="006D1440" w:rsidRDefault="009E4767" w:rsidP="009E4767">
            <w:pPr>
              <w:shd w:val="clear" w:color="auto" w:fill="FFFFFF"/>
              <w:rPr>
                <w:rFonts w:cstheme="minorHAnsi"/>
                <w:b/>
                <w:bCs/>
                <w:i/>
                <w:iCs/>
              </w:rPr>
            </w:pPr>
            <w:r w:rsidRPr="006D1440">
              <w:rPr>
                <w:rFonts w:cstheme="minorHAnsi"/>
                <w:b/>
                <w:bCs/>
                <w:i/>
                <w:iCs/>
              </w:rPr>
              <w:t xml:space="preserve">In line with the </w:t>
            </w:r>
            <w:r w:rsidR="006D1440" w:rsidRPr="006D1440">
              <w:rPr>
                <w:rFonts w:cstheme="minorHAnsi"/>
                <w:b/>
                <w:bCs/>
                <w:i/>
                <w:iCs/>
              </w:rPr>
              <w:t>recommendations</w:t>
            </w:r>
            <w:r w:rsidRPr="006D1440">
              <w:rPr>
                <w:rFonts w:cstheme="minorHAnsi"/>
                <w:b/>
                <w:bCs/>
                <w:i/>
                <w:iCs/>
              </w:rPr>
              <w:t xml:space="preserve"> of the </w:t>
            </w:r>
            <w:r w:rsidR="006D1440" w:rsidRPr="006D1440">
              <w:rPr>
                <w:rFonts w:cstheme="minorHAnsi"/>
                <w:b/>
                <w:bCs/>
                <w:i/>
                <w:iCs/>
              </w:rPr>
              <w:t>independent</w:t>
            </w:r>
            <w:r w:rsidRPr="006D1440">
              <w:rPr>
                <w:rFonts w:cstheme="minorHAnsi"/>
                <w:b/>
                <w:bCs/>
                <w:i/>
                <w:iCs/>
              </w:rPr>
              <w:t xml:space="preserve"> evaluation, the interventions in this CPD focus on UNDP's comparative advantages in institutional capacity-building.</w:t>
            </w:r>
            <w:r w:rsidR="00787D42">
              <w:rPr>
                <w:rFonts w:cstheme="minorHAnsi"/>
                <w:b/>
                <w:bCs/>
                <w:i/>
                <w:iCs/>
              </w:rPr>
              <w:t xml:space="preserve"> O</w:t>
            </w:r>
            <w:r w:rsidRPr="006D1440">
              <w:rPr>
                <w:rFonts w:cstheme="minorHAnsi"/>
                <w:b/>
                <w:bCs/>
                <w:i/>
                <w:iCs/>
              </w:rPr>
              <w:t>ther development partners including the World Bank, AfDB, IFAD, UNFPA and UNICEF are making good contributions in the areas of agriculture, business climate, demography</w:t>
            </w:r>
            <w:r w:rsidR="006D1440" w:rsidRPr="006D1440">
              <w:rPr>
                <w:rFonts w:cstheme="minorHAnsi"/>
                <w:b/>
                <w:bCs/>
                <w:i/>
                <w:iCs/>
              </w:rPr>
              <w:t xml:space="preserve"> and </w:t>
            </w:r>
            <w:r w:rsidRPr="006D1440">
              <w:rPr>
                <w:rFonts w:cstheme="minorHAnsi"/>
                <w:b/>
                <w:bCs/>
                <w:i/>
                <w:iCs/>
              </w:rPr>
              <w:t>education.</w:t>
            </w:r>
            <w:r w:rsidR="00B452E5">
              <w:rPr>
                <w:rFonts w:cstheme="minorHAnsi"/>
                <w:b/>
                <w:bCs/>
                <w:i/>
                <w:iCs/>
              </w:rPr>
              <w:t xml:space="preserve"> UNDP acknowledges the importance of enhancing the agricultural sector through value chain analysis and page 6 of the CPD has been amended to incorporate focus on private sector support to value chain development and its contribution to the job creation, among others.</w:t>
            </w:r>
          </w:p>
          <w:p w14:paraId="416208CA" w14:textId="77777777" w:rsidR="009E4767" w:rsidRDefault="009E4767" w:rsidP="009E4767">
            <w:pPr>
              <w:shd w:val="clear" w:color="auto" w:fill="FFFFFF"/>
              <w:rPr>
                <w:rFonts w:cstheme="minorHAnsi"/>
                <w:b/>
                <w:bCs/>
                <w:i/>
                <w:iCs/>
              </w:rPr>
            </w:pPr>
            <w:r w:rsidRPr="006D1440">
              <w:rPr>
                <w:rFonts w:cstheme="minorHAnsi"/>
                <w:b/>
                <w:bCs/>
                <w:i/>
                <w:iCs/>
              </w:rPr>
              <w:t>UNDP will develop synergy with all these partners in a complementary perspective</w:t>
            </w:r>
            <w:r w:rsidR="006D1440" w:rsidRPr="006D1440">
              <w:rPr>
                <w:rFonts w:cstheme="minorHAnsi"/>
                <w:b/>
                <w:bCs/>
                <w:i/>
                <w:iCs/>
              </w:rPr>
              <w:t xml:space="preserve">, while </w:t>
            </w:r>
            <w:r w:rsidR="006D1440">
              <w:rPr>
                <w:rFonts w:cstheme="minorHAnsi"/>
                <w:b/>
                <w:bCs/>
                <w:i/>
                <w:iCs/>
              </w:rPr>
              <w:t>encouraging</w:t>
            </w:r>
            <w:r w:rsidR="006D1440" w:rsidRPr="006D1440">
              <w:rPr>
                <w:rFonts w:cstheme="minorHAnsi"/>
                <w:b/>
                <w:bCs/>
                <w:i/>
                <w:iCs/>
              </w:rPr>
              <w:t xml:space="preserve"> them </w:t>
            </w:r>
            <w:r w:rsidR="006D1440">
              <w:rPr>
                <w:rFonts w:cstheme="minorHAnsi"/>
                <w:b/>
                <w:bCs/>
                <w:i/>
                <w:iCs/>
              </w:rPr>
              <w:t xml:space="preserve">to </w:t>
            </w:r>
            <w:r w:rsidR="006D1440" w:rsidRPr="006D1440">
              <w:rPr>
                <w:rFonts w:cstheme="minorHAnsi"/>
                <w:b/>
                <w:bCs/>
                <w:i/>
                <w:iCs/>
              </w:rPr>
              <w:t>tak</w:t>
            </w:r>
            <w:r w:rsidR="006D1440">
              <w:rPr>
                <w:rFonts w:cstheme="minorHAnsi"/>
                <w:b/>
                <w:bCs/>
                <w:i/>
                <w:iCs/>
              </w:rPr>
              <w:t xml:space="preserve">e </w:t>
            </w:r>
            <w:r w:rsidR="006D1440" w:rsidRPr="006D1440">
              <w:rPr>
                <w:rFonts w:cstheme="minorHAnsi"/>
                <w:b/>
                <w:bCs/>
                <w:i/>
                <w:iCs/>
              </w:rPr>
              <w:t>full leadership in these domains of their respective competitive advantage</w:t>
            </w:r>
            <w:r w:rsidR="003518BD">
              <w:rPr>
                <w:rFonts w:cstheme="minorHAnsi"/>
                <w:b/>
                <w:bCs/>
                <w:i/>
                <w:iCs/>
              </w:rPr>
              <w:t>s</w:t>
            </w:r>
            <w:r w:rsidRPr="006D1440">
              <w:rPr>
                <w:rFonts w:cstheme="minorHAnsi"/>
                <w:b/>
                <w:bCs/>
                <w:i/>
                <w:iCs/>
              </w:rPr>
              <w:t>.</w:t>
            </w:r>
          </w:p>
          <w:p w14:paraId="68F7F5FC" w14:textId="77777777" w:rsidR="00787D42" w:rsidRDefault="00787D42" w:rsidP="009E4767">
            <w:pPr>
              <w:shd w:val="clear" w:color="auto" w:fill="FFFFFF"/>
              <w:rPr>
                <w:rFonts w:cstheme="minorHAnsi"/>
                <w:b/>
                <w:bCs/>
                <w:i/>
                <w:iCs/>
              </w:rPr>
            </w:pPr>
          </w:p>
          <w:p w14:paraId="0BA4C521" w14:textId="77777777" w:rsidR="00BD4E66" w:rsidRPr="00C6618F" w:rsidRDefault="00787D42" w:rsidP="00C6618F">
            <w:pPr>
              <w:shd w:val="clear" w:color="auto" w:fill="FFFFFF"/>
              <w:rPr>
                <w:rFonts w:cstheme="minorHAnsi"/>
                <w:b/>
                <w:bCs/>
                <w:i/>
                <w:iCs/>
              </w:rPr>
            </w:pPr>
            <w:r w:rsidRPr="00C6618F">
              <w:rPr>
                <w:rFonts w:cstheme="minorHAnsi"/>
                <w:b/>
                <w:bCs/>
                <w:i/>
                <w:iCs/>
              </w:rPr>
              <w:t xml:space="preserve">We share the vision of the importance of demography </w:t>
            </w:r>
            <w:r w:rsidR="00BD4E66" w:rsidRPr="00C6618F">
              <w:rPr>
                <w:rFonts w:cstheme="minorHAnsi"/>
                <w:b/>
                <w:bCs/>
                <w:i/>
                <w:iCs/>
              </w:rPr>
              <w:t xml:space="preserve">in promoting sustainable development and </w:t>
            </w:r>
            <w:r w:rsidRPr="00C6618F">
              <w:rPr>
                <w:rFonts w:cstheme="minorHAnsi"/>
                <w:b/>
                <w:bCs/>
                <w:i/>
                <w:iCs/>
              </w:rPr>
              <w:t>girls' education</w:t>
            </w:r>
            <w:r w:rsidR="00BD4E66" w:rsidRPr="00C6618F">
              <w:rPr>
                <w:rFonts w:cstheme="minorHAnsi"/>
                <w:b/>
                <w:bCs/>
                <w:i/>
                <w:iCs/>
              </w:rPr>
              <w:t xml:space="preserve"> which are taken in account as transversal areas. We do not have direct actions but </w:t>
            </w:r>
            <w:r w:rsidRPr="00C6618F">
              <w:rPr>
                <w:rFonts w:cstheme="minorHAnsi"/>
                <w:b/>
                <w:bCs/>
                <w:i/>
                <w:iCs/>
              </w:rPr>
              <w:t>will cooperate with partners working in these areas, particularly UNICEF</w:t>
            </w:r>
            <w:r w:rsidR="00BD4E66" w:rsidRPr="00C6618F">
              <w:rPr>
                <w:rFonts w:cstheme="minorHAnsi"/>
                <w:b/>
                <w:bCs/>
                <w:i/>
                <w:iCs/>
              </w:rPr>
              <w:t>, UNFPA and other donors</w:t>
            </w:r>
            <w:r w:rsidRPr="00C6618F">
              <w:rPr>
                <w:rFonts w:cstheme="minorHAnsi"/>
                <w:b/>
                <w:bCs/>
                <w:i/>
                <w:iCs/>
              </w:rPr>
              <w:t>.</w:t>
            </w:r>
            <w:r w:rsidR="00BD4E66" w:rsidRPr="00C6618F">
              <w:rPr>
                <w:rFonts w:cstheme="minorHAnsi"/>
                <w:b/>
                <w:bCs/>
                <w:i/>
                <w:iCs/>
              </w:rPr>
              <w:t xml:space="preserve"> </w:t>
            </w:r>
            <w:r w:rsidR="00C6618F" w:rsidRPr="00C6618F">
              <w:rPr>
                <w:rFonts w:cstheme="minorHAnsi"/>
                <w:b/>
                <w:bCs/>
                <w:i/>
                <w:iCs/>
              </w:rPr>
              <w:t xml:space="preserve">Thereby, </w:t>
            </w:r>
            <w:r w:rsidR="00BD4E66" w:rsidRPr="00C6618F">
              <w:rPr>
                <w:rFonts w:cstheme="minorHAnsi"/>
                <w:b/>
                <w:bCs/>
                <w:i/>
                <w:iCs/>
              </w:rPr>
              <w:t>it would be difficult to have an indicator on girls' enrollment rate and measure it</w:t>
            </w:r>
            <w:r w:rsidR="00C6618F" w:rsidRPr="00C6618F">
              <w:rPr>
                <w:rFonts w:cstheme="minorHAnsi"/>
                <w:b/>
                <w:bCs/>
                <w:i/>
                <w:iCs/>
              </w:rPr>
              <w:t xml:space="preserve"> adequately</w:t>
            </w:r>
            <w:r w:rsidR="00BD4E66" w:rsidRPr="00C6618F">
              <w:rPr>
                <w:rFonts w:cstheme="minorHAnsi"/>
                <w:b/>
                <w:bCs/>
                <w:i/>
                <w:iCs/>
              </w:rPr>
              <w:t xml:space="preserve">. We will </w:t>
            </w:r>
            <w:r w:rsidR="00C6618F" w:rsidRPr="00C6618F">
              <w:rPr>
                <w:rFonts w:cstheme="minorHAnsi"/>
                <w:b/>
                <w:bCs/>
                <w:i/>
                <w:iCs/>
              </w:rPr>
              <w:t xml:space="preserve">work with </w:t>
            </w:r>
            <w:r w:rsidR="00BD4E66" w:rsidRPr="00C6618F">
              <w:rPr>
                <w:rFonts w:cstheme="minorHAnsi"/>
                <w:b/>
                <w:bCs/>
                <w:i/>
                <w:iCs/>
              </w:rPr>
              <w:t>the</w:t>
            </w:r>
            <w:r w:rsidR="00C6618F" w:rsidRPr="00C6618F">
              <w:rPr>
                <w:rFonts w:cstheme="minorHAnsi"/>
                <w:b/>
                <w:bCs/>
                <w:i/>
                <w:iCs/>
              </w:rPr>
              <w:t xml:space="preserve"> partners</w:t>
            </w:r>
            <w:r w:rsidR="00635A52" w:rsidRPr="00C6618F">
              <w:rPr>
                <w:rFonts w:cstheme="minorHAnsi"/>
                <w:b/>
                <w:bCs/>
                <w:i/>
                <w:iCs/>
              </w:rPr>
              <w:t xml:space="preserve"> and other donors</w:t>
            </w:r>
            <w:r w:rsidR="00635A52">
              <w:rPr>
                <w:rFonts w:cstheme="minorHAnsi"/>
                <w:b/>
                <w:bCs/>
                <w:i/>
                <w:iCs/>
              </w:rPr>
              <w:t xml:space="preserve"> to create appropriate interventions and related indicators to monitor progress.</w:t>
            </w:r>
          </w:p>
          <w:p w14:paraId="4B2B2AC6" w14:textId="77777777" w:rsidR="00BD4E66" w:rsidRPr="00C6618F" w:rsidRDefault="00BD4E66" w:rsidP="00C6618F">
            <w:pPr>
              <w:shd w:val="clear" w:color="auto" w:fill="FFFFFF"/>
              <w:rPr>
                <w:rFonts w:cstheme="minorHAnsi"/>
                <w:b/>
                <w:bCs/>
                <w:i/>
                <w:iCs/>
              </w:rPr>
            </w:pPr>
          </w:p>
          <w:p w14:paraId="5214D914" w14:textId="77777777" w:rsidR="00787D42" w:rsidRPr="006D1440" w:rsidRDefault="00787D42" w:rsidP="009E4767">
            <w:pPr>
              <w:shd w:val="clear" w:color="auto" w:fill="FFFFFF"/>
              <w:rPr>
                <w:rFonts w:cstheme="minorHAnsi"/>
                <w:b/>
                <w:bCs/>
                <w:i/>
                <w:iCs/>
              </w:rPr>
            </w:pPr>
          </w:p>
          <w:p w14:paraId="04D8A45E" w14:textId="77777777" w:rsidR="009E4767" w:rsidRPr="009E4767" w:rsidRDefault="009E4767" w:rsidP="009F4BC9">
            <w:pPr>
              <w:shd w:val="clear" w:color="auto" w:fill="FFFFFF"/>
              <w:rPr>
                <w:rFonts w:cstheme="minorHAnsi"/>
                <w:color w:val="000000" w:themeColor="text1"/>
              </w:rPr>
            </w:pPr>
          </w:p>
        </w:tc>
      </w:tr>
    </w:tbl>
    <w:p w14:paraId="09E2694A" w14:textId="77777777" w:rsidR="007F3D8A" w:rsidRPr="009E4767" w:rsidRDefault="007F3D8A"/>
    <w:sectPr w:rsidR="007F3D8A" w:rsidRPr="009E4767" w:rsidSect="00A2312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57E"/>
    <w:multiLevelType w:val="hybridMultilevel"/>
    <w:tmpl w:val="A7CE1A0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04B11869"/>
    <w:multiLevelType w:val="hybridMultilevel"/>
    <w:tmpl w:val="A7CE1A0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0BAA3C79"/>
    <w:multiLevelType w:val="hybridMultilevel"/>
    <w:tmpl w:val="A7CE1A0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0EB85F6D"/>
    <w:multiLevelType w:val="hybridMultilevel"/>
    <w:tmpl w:val="3C865A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1FA4905"/>
    <w:multiLevelType w:val="hybridMultilevel"/>
    <w:tmpl w:val="1A6AC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AB69EF"/>
    <w:multiLevelType w:val="hybridMultilevel"/>
    <w:tmpl w:val="AF5A898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6" w15:restartNumberingAfterBreak="0">
    <w:nsid w:val="23FE08F3"/>
    <w:multiLevelType w:val="hybridMultilevel"/>
    <w:tmpl w:val="52702A30"/>
    <w:lvl w:ilvl="0" w:tplc="A5121FF4">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C725E5"/>
    <w:multiLevelType w:val="hybridMultilevel"/>
    <w:tmpl w:val="FE9A0A6A"/>
    <w:lvl w:ilvl="0" w:tplc="040C0001">
      <w:start w:val="1"/>
      <w:numFmt w:val="bullet"/>
      <w:lvlText w:val=""/>
      <w:lvlJc w:val="left"/>
      <w:pPr>
        <w:ind w:left="-288" w:hanging="360"/>
      </w:pPr>
      <w:rPr>
        <w:rFonts w:ascii="Symbol" w:hAnsi="Symbol" w:hint="default"/>
      </w:rPr>
    </w:lvl>
    <w:lvl w:ilvl="1" w:tplc="040C0003" w:tentative="1">
      <w:start w:val="1"/>
      <w:numFmt w:val="bullet"/>
      <w:lvlText w:val="o"/>
      <w:lvlJc w:val="left"/>
      <w:pPr>
        <w:ind w:left="432" w:hanging="360"/>
      </w:pPr>
      <w:rPr>
        <w:rFonts w:ascii="Courier New" w:hAnsi="Courier New" w:cs="Courier New" w:hint="default"/>
      </w:rPr>
    </w:lvl>
    <w:lvl w:ilvl="2" w:tplc="040C0005" w:tentative="1">
      <w:start w:val="1"/>
      <w:numFmt w:val="bullet"/>
      <w:lvlText w:val=""/>
      <w:lvlJc w:val="left"/>
      <w:pPr>
        <w:ind w:left="1152" w:hanging="360"/>
      </w:pPr>
      <w:rPr>
        <w:rFonts w:ascii="Wingdings" w:hAnsi="Wingdings" w:hint="default"/>
      </w:rPr>
    </w:lvl>
    <w:lvl w:ilvl="3" w:tplc="040C0001" w:tentative="1">
      <w:start w:val="1"/>
      <w:numFmt w:val="bullet"/>
      <w:lvlText w:val=""/>
      <w:lvlJc w:val="left"/>
      <w:pPr>
        <w:ind w:left="1872" w:hanging="360"/>
      </w:pPr>
      <w:rPr>
        <w:rFonts w:ascii="Symbol" w:hAnsi="Symbol" w:hint="default"/>
      </w:rPr>
    </w:lvl>
    <w:lvl w:ilvl="4" w:tplc="040C0003" w:tentative="1">
      <w:start w:val="1"/>
      <w:numFmt w:val="bullet"/>
      <w:lvlText w:val="o"/>
      <w:lvlJc w:val="left"/>
      <w:pPr>
        <w:ind w:left="2592" w:hanging="360"/>
      </w:pPr>
      <w:rPr>
        <w:rFonts w:ascii="Courier New" w:hAnsi="Courier New" w:cs="Courier New" w:hint="default"/>
      </w:rPr>
    </w:lvl>
    <w:lvl w:ilvl="5" w:tplc="040C0005" w:tentative="1">
      <w:start w:val="1"/>
      <w:numFmt w:val="bullet"/>
      <w:lvlText w:val=""/>
      <w:lvlJc w:val="left"/>
      <w:pPr>
        <w:ind w:left="3312" w:hanging="360"/>
      </w:pPr>
      <w:rPr>
        <w:rFonts w:ascii="Wingdings" w:hAnsi="Wingdings" w:hint="default"/>
      </w:rPr>
    </w:lvl>
    <w:lvl w:ilvl="6" w:tplc="040C0001" w:tentative="1">
      <w:start w:val="1"/>
      <w:numFmt w:val="bullet"/>
      <w:lvlText w:val=""/>
      <w:lvlJc w:val="left"/>
      <w:pPr>
        <w:ind w:left="4032" w:hanging="360"/>
      </w:pPr>
      <w:rPr>
        <w:rFonts w:ascii="Symbol" w:hAnsi="Symbol" w:hint="default"/>
      </w:rPr>
    </w:lvl>
    <w:lvl w:ilvl="7" w:tplc="040C0003" w:tentative="1">
      <w:start w:val="1"/>
      <w:numFmt w:val="bullet"/>
      <w:lvlText w:val="o"/>
      <w:lvlJc w:val="left"/>
      <w:pPr>
        <w:ind w:left="4752" w:hanging="360"/>
      </w:pPr>
      <w:rPr>
        <w:rFonts w:ascii="Courier New" w:hAnsi="Courier New" w:cs="Courier New" w:hint="default"/>
      </w:rPr>
    </w:lvl>
    <w:lvl w:ilvl="8" w:tplc="040C0005" w:tentative="1">
      <w:start w:val="1"/>
      <w:numFmt w:val="bullet"/>
      <w:lvlText w:val=""/>
      <w:lvlJc w:val="left"/>
      <w:pPr>
        <w:ind w:left="5472" w:hanging="360"/>
      </w:pPr>
      <w:rPr>
        <w:rFonts w:ascii="Wingdings" w:hAnsi="Wingdings" w:hint="default"/>
      </w:rPr>
    </w:lvl>
  </w:abstractNum>
  <w:abstractNum w:abstractNumId="8" w15:restartNumberingAfterBreak="0">
    <w:nsid w:val="30986CCB"/>
    <w:multiLevelType w:val="hybridMultilevel"/>
    <w:tmpl w:val="CE6C7BE0"/>
    <w:lvl w:ilvl="0" w:tplc="BE0A3314">
      <w:start w:val="1"/>
      <w:numFmt w:val="decimal"/>
      <w:lvlText w:val="%1."/>
      <w:lvlJc w:val="left"/>
      <w:pPr>
        <w:tabs>
          <w:tab w:val="num" w:pos="720"/>
        </w:tabs>
        <w:ind w:left="720" w:hanging="360"/>
      </w:pPr>
    </w:lvl>
    <w:lvl w:ilvl="1" w:tplc="DDD00EDA" w:tentative="1">
      <w:start w:val="1"/>
      <w:numFmt w:val="decimal"/>
      <w:lvlText w:val="%2."/>
      <w:lvlJc w:val="left"/>
      <w:pPr>
        <w:tabs>
          <w:tab w:val="num" w:pos="1440"/>
        </w:tabs>
        <w:ind w:left="1440" w:hanging="360"/>
      </w:pPr>
    </w:lvl>
    <w:lvl w:ilvl="2" w:tplc="30B03888" w:tentative="1">
      <w:start w:val="1"/>
      <w:numFmt w:val="decimal"/>
      <w:lvlText w:val="%3."/>
      <w:lvlJc w:val="left"/>
      <w:pPr>
        <w:tabs>
          <w:tab w:val="num" w:pos="2160"/>
        </w:tabs>
        <w:ind w:left="2160" w:hanging="360"/>
      </w:pPr>
    </w:lvl>
    <w:lvl w:ilvl="3" w:tplc="07B4E76E" w:tentative="1">
      <w:start w:val="1"/>
      <w:numFmt w:val="decimal"/>
      <w:lvlText w:val="%4."/>
      <w:lvlJc w:val="left"/>
      <w:pPr>
        <w:tabs>
          <w:tab w:val="num" w:pos="2880"/>
        </w:tabs>
        <w:ind w:left="2880" w:hanging="360"/>
      </w:pPr>
    </w:lvl>
    <w:lvl w:ilvl="4" w:tplc="E5825044" w:tentative="1">
      <w:start w:val="1"/>
      <w:numFmt w:val="decimal"/>
      <w:lvlText w:val="%5."/>
      <w:lvlJc w:val="left"/>
      <w:pPr>
        <w:tabs>
          <w:tab w:val="num" w:pos="3600"/>
        </w:tabs>
        <w:ind w:left="3600" w:hanging="360"/>
      </w:pPr>
    </w:lvl>
    <w:lvl w:ilvl="5" w:tplc="9C0ADA20" w:tentative="1">
      <w:start w:val="1"/>
      <w:numFmt w:val="decimal"/>
      <w:lvlText w:val="%6."/>
      <w:lvlJc w:val="left"/>
      <w:pPr>
        <w:tabs>
          <w:tab w:val="num" w:pos="4320"/>
        </w:tabs>
        <w:ind w:left="4320" w:hanging="360"/>
      </w:pPr>
    </w:lvl>
    <w:lvl w:ilvl="6" w:tplc="984AC916" w:tentative="1">
      <w:start w:val="1"/>
      <w:numFmt w:val="decimal"/>
      <w:lvlText w:val="%7."/>
      <w:lvlJc w:val="left"/>
      <w:pPr>
        <w:tabs>
          <w:tab w:val="num" w:pos="5040"/>
        </w:tabs>
        <w:ind w:left="5040" w:hanging="360"/>
      </w:pPr>
    </w:lvl>
    <w:lvl w:ilvl="7" w:tplc="EC4E1C04" w:tentative="1">
      <w:start w:val="1"/>
      <w:numFmt w:val="decimal"/>
      <w:lvlText w:val="%8."/>
      <w:lvlJc w:val="left"/>
      <w:pPr>
        <w:tabs>
          <w:tab w:val="num" w:pos="5760"/>
        </w:tabs>
        <w:ind w:left="5760" w:hanging="360"/>
      </w:pPr>
    </w:lvl>
    <w:lvl w:ilvl="8" w:tplc="47027264" w:tentative="1">
      <w:start w:val="1"/>
      <w:numFmt w:val="decimal"/>
      <w:lvlText w:val="%9."/>
      <w:lvlJc w:val="left"/>
      <w:pPr>
        <w:tabs>
          <w:tab w:val="num" w:pos="6480"/>
        </w:tabs>
        <w:ind w:left="6480" w:hanging="360"/>
      </w:pPr>
    </w:lvl>
  </w:abstractNum>
  <w:abstractNum w:abstractNumId="9" w15:restartNumberingAfterBreak="0">
    <w:nsid w:val="31845F5D"/>
    <w:multiLevelType w:val="hybridMultilevel"/>
    <w:tmpl w:val="D6EC9CAC"/>
    <w:lvl w:ilvl="0" w:tplc="DE2A8E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9279F1"/>
    <w:multiLevelType w:val="hybridMultilevel"/>
    <w:tmpl w:val="A7CE1A0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32424A21"/>
    <w:multiLevelType w:val="hybridMultilevel"/>
    <w:tmpl w:val="BAC4705E"/>
    <w:lvl w:ilvl="0" w:tplc="9FEEEF9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39F8262C"/>
    <w:multiLevelType w:val="hybridMultilevel"/>
    <w:tmpl w:val="492A451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7CB68BE"/>
    <w:multiLevelType w:val="hybridMultilevel"/>
    <w:tmpl w:val="130888E6"/>
    <w:lvl w:ilvl="0" w:tplc="040C0001">
      <w:start w:val="1"/>
      <w:numFmt w:val="bullet"/>
      <w:lvlText w:val=""/>
      <w:lvlJc w:val="left"/>
      <w:pPr>
        <w:ind w:left="432" w:hanging="360"/>
      </w:pPr>
      <w:rPr>
        <w:rFonts w:ascii="Symbol" w:hAnsi="Symbol"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14" w15:restartNumberingAfterBreak="0">
    <w:nsid w:val="52AF49AB"/>
    <w:multiLevelType w:val="hybridMultilevel"/>
    <w:tmpl w:val="A7CE1A0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15:restartNumberingAfterBreak="0">
    <w:nsid w:val="5CAA3010"/>
    <w:multiLevelType w:val="hybridMultilevel"/>
    <w:tmpl w:val="0D2CD110"/>
    <w:lvl w:ilvl="0" w:tplc="4FE0D3EA">
      <w:numFmt w:val="bullet"/>
      <w:lvlText w:val="·"/>
      <w:lvlJc w:val="left"/>
      <w:pPr>
        <w:ind w:left="870" w:hanging="510"/>
      </w:pPr>
      <w:rPr>
        <w:rFonts w:ascii="Calibri" w:eastAsia="Calibri" w:hAnsi="Calibri" w:cs="Times New Roman" w:hint="default"/>
      </w:rPr>
    </w:lvl>
    <w:lvl w:ilvl="1" w:tplc="DF347E82">
      <w:numFmt w:val="bullet"/>
      <w:lvlText w:val="-"/>
      <w:lvlJc w:val="left"/>
      <w:pPr>
        <w:ind w:left="1650" w:hanging="570"/>
      </w:pPr>
      <w:rPr>
        <w:rFonts w:ascii="Calibri" w:eastAsia="Calibri" w:hAnsi="Calibri"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7A205D0"/>
    <w:multiLevelType w:val="hybridMultilevel"/>
    <w:tmpl w:val="4F6405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D6F7EA4"/>
    <w:multiLevelType w:val="hybridMultilevel"/>
    <w:tmpl w:val="7C88D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A275FA"/>
    <w:multiLevelType w:val="hybridMultilevel"/>
    <w:tmpl w:val="AF5A898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9" w15:restartNumberingAfterBreak="0">
    <w:nsid w:val="74010D06"/>
    <w:multiLevelType w:val="hybridMultilevel"/>
    <w:tmpl w:val="A7CE1A0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10"/>
  </w:num>
  <w:num w:numId="6">
    <w:abstractNumId w:val="2"/>
  </w:num>
  <w:num w:numId="7">
    <w:abstractNumId w:val="1"/>
  </w:num>
  <w:num w:numId="8">
    <w:abstractNumId w:val="0"/>
  </w:num>
  <w:num w:numId="9">
    <w:abstractNumId w:val="8"/>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5"/>
  </w:num>
  <w:num w:numId="14">
    <w:abstractNumId w:val="7"/>
  </w:num>
  <w:num w:numId="15">
    <w:abstractNumId w:val="13"/>
  </w:num>
  <w:num w:numId="16">
    <w:abstractNumId w:val="17"/>
  </w:num>
  <w:num w:numId="17">
    <w:abstractNumId w:val="3"/>
  </w:num>
  <w:num w:numId="18">
    <w:abstractNumId w:val="9"/>
  </w:num>
  <w:num w:numId="19">
    <w:abstractNumId w:val="16"/>
  </w:num>
  <w:num w:numId="20">
    <w:abstractNumId w:val="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29"/>
    <w:rsid w:val="00014A47"/>
    <w:rsid w:val="00017296"/>
    <w:rsid w:val="00024CF7"/>
    <w:rsid w:val="00034018"/>
    <w:rsid w:val="0006017C"/>
    <w:rsid w:val="0009776C"/>
    <w:rsid w:val="00097B14"/>
    <w:rsid w:val="000A1CC9"/>
    <w:rsid w:val="000A59C8"/>
    <w:rsid w:val="000B6EAC"/>
    <w:rsid w:val="000C6E9E"/>
    <w:rsid w:val="00101055"/>
    <w:rsid w:val="001058A5"/>
    <w:rsid w:val="00137361"/>
    <w:rsid w:val="00145647"/>
    <w:rsid w:val="00160918"/>
    <w:rsid w:val="001668BF"/>
    <w:rsid w:val="00183351"/>
    <w:rsid w:val="001A6B66"/>
    <w:rsid w:val="001A6EE8"/>
    <w:rsid w:val="001C1476"/>
    <w:rsid w:val="001D4A53"/>
    <w:rsid w:val="001E528A"/>
    <w:rsid w:val="002007F1"/>
    <w:rsid w:val="002166C1"/>
    <w:rsid w:val="00247BB9"/>
    <w:rsid w:val="0025066B"/>
    <w:rsid w:val="00255F31"/>
    <w:rsid w:val="00261936"/>
    <w:rsid w:val="00267437"/>
    <w:rsid w:val="002820E4"/>
    <w:rsid w:val="002B119C"/>
    <w:rsid w:val="002C1D33"/>
    <w:rsid w:val="002C6622"/>
    <w:rsid w:val="002E33E4"/>
    <w:rsid w:val="002F5FAD"/>
    <w:rsid w:val="003518BD"/>
    <w:rsid w:val="003642E4"/>
    <w:rsid w:val="003674E7"/>
    <w:rsid w:val="003C189F"/>
    <w:rsid w:val="003D3985"/>
    <w:rsid w:val="003F1595"/>
    <w:rsid w:val="00401F1B"/>
    <w:rsid w:val="00405D98"/>
    <w:rsid w:val="00412F61"/>
    <w:rsid w:val="0041657E"/>
    <w:rsid w:val="00444818"/>
    <w:rsid w:val="00477F8A"/>
    <w:rsid w:val="004B54E9"/>
    <w:rsid w:val="004D2720"/>
    <w:rsid w:val="00540786"/>
    <w:rsid w:val="005411FF"/>
    <w:rsid w:val="00541EBD"/>
    <w:rsid w:val="00573702"/>
    <w:rsid w:val="00585135"/>
    <w:rsid w:val="005C1A6F"/>
    <w:rsid w:val="005E66A4"/>
    <w:rsid w:val="005F1817"/>
    <w:rsid w:val="00617CE9"/>
    <w:rsid w:val="0062011C"/>
    <w:rsid w:val="00635A52"/>
    <w:rsid w:val="006524FE"/>
    <w:rsid w:val="00652DED"/>
    <w:rsid w:val="00661914"/>
    <w:rsid w:val="006913C1"/>
    <w:rsid w:val="00693CDE"/>
    <w:rsid w:val="006D1440"/>
    <w:rsid w:val="006E4C36"/>
    <w:rsid w:val="006E6A91"/>
    <w:rsid w:val="006F1E9C"/>
    <w:rsid w:val="00700375"/>
    <w:rsid w:val="00713891"/>
    <w:rsid w:val="00715750"/>
    <w:rsid w:val="00716DA5"/>
    <w:rsid w:val="007249BE"/>
    <w:rsid w:val="00734FC2"/>
    <w:rsid w:val="00770CCE"/>
    <w:rsid w:val="00770D84"/>
    <w:rsid w:val="00787D42"/>
    <w:rsid w:val="007B50C7"/>
    <w:rsid w:val="007E5B68"/>
    <w:rsid w:val="007F3D8A"/>
    <w:rsid w:val="0080160D"/>
    <w:rsid w:val="008066AA"/>
    <w:rsid w:val="008906D8"/>
    <w:rsid w:val="008B7C71"/>
    <w:rsid w:val="008E1FF6"/>
    <w:rsid w:val="008F1C8E"/>
    <w:rsid w:val="00932C4C"/>
    <w:rsid w:val="009402E5"/>
    <w:rsid w:val="00955B25"/>
    <w:rsid w:val="00981EE0"/>
    <w:rsid w:val="009A1B48"/>
    <w:rsid w:val="009B3B87"/>
    <w:rsid w:val="009C3E3F"/>
    <w:rsid w:val="009D1792"/>
    <w:rsid w:val="009D2CF8"/>
    <w:rsid w:val="009E4767"/>
    <w:rsid w:val="009E57EE"/>
    <w:rsid w:val="009F4BC9"/>
    <w:rsid w:val="00A00916"/>
    <w:rsid w:val="00A0621F"/>
    <w:rsid w:val="00A227A2"/>
    <w:rsid w:val="00A23129"/>
    <w:rsid w:val="00A275AB"/>
    <w:rsid w:val="00A360E9"/>
    <w:rsid w:val="00A45362"/>
    <w:rsid w:val="00A51176"/>
    <w:rsid w:val="00A60534"/>
    <w:rsid w:val="00A667DE"/>
    <w:rsid w:val="00A87A0F"/>
    <w:rsid w:val="00AA23E9"/>
    <w:rsid w:val="00AA561E"/>
    <w:rsid w:val="00AB0503"/>
    <w:rsid w:val="00AF296A"/>
    <w:rsid w:val="00B31875"/>
    <w:rsid w:val="00B33BAB"/>
    <w:rsid w:val="00B452E5"/>
    <w:rsid w:val="00B53A96"/>
    <w:rsid w:val="00B677BC"/>
    <w:rsid w:val="00B7158F"/>
    <w:rsid w:val="00B9335A"/>
    <w:rsid w:val="00BA3754"/>
    <w:rsid w:val="00BA6B9F"/>
    <w:rsid w:val="00BC1304"/>
    <w:rsid w:val="00BC1CEE"/>
    <w:rsid w:val="00BD4E66"/>
    <w:rsid w:val="00BF10C2"/>
    <w:rsid w:val="00C31136"/>
    <w:rsid w:val="00C31FBE"/>
    <w:rsid w:val="00C57017"/>
    <w:rsid w:val="00C6618F"/>
    <w:rsid w:val="00C661C9"/>
    <w:rsid w:val="00C96A0A"/>
    <w:rsid w:val="00CA6EAD"/>
    <w:rsid w:val="00CF1198"/>
    <w:rsid w:val="00D03459"/>
    <w:rsid w:val="00D1343C"/>
    <w:rsid w:val="00D24BE9"/>
    <w:rsid w:val="00D339EE"/>
    <w:rsid w:val="00D77B36"/>
    <w:rsid w:val="00DF024C"/>
    <w:rsid w:val="00E171F8"/>
    <w:rsid w:val="00E20051"/>
    <w:rsid w:val="00E3339E"/>
    <w:rsid w:val="00E4226E"/>
    <w:rsid w:val="00E61A07"/>
    <w:rsid w:val="00E713A1"/>
    <w:rsid w:val="00EA5005"/>
    <w:rsid w:val="00EF706E"/>
    <w:rsid w:val="00F422DA"/>
    <w:rsid w:val="00F45665"/>
    <w:rsid w:val="00F94F6F"/>
    <w:rsid w:val="00FC1202"/>
    <w:rsid w:val="00FC2A8A"/>
    <w:rsid w:val="00FC512F"/>
    <w:rsid w:val="00FD5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D812"/>
  <w15:chartTrackingRefBased/>
  <w15:docId w15:val="{C12C550D-4EC8-4411-B7E9-CF01247D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9C3E3F"/>
    <w:pPr>
      <w:keepNext/>
      <w:spacing w:after="0" w:line="240" w:lineRule="auto"/>
      <w:jc w:val="center"/>
      <w:outlineLvl w:val="1"/>
    </w:pPr>
    <w:rPr>
      <w:rFonts w:ascii="Times New Roman" w:eastAsia="Times New Roman" w:hAnsi="Times New Roman" w:cs="Times New Roman"/>
      <w:b/>
      <w:i/>
      <w:snapToGrid w:val="0"/>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77A"/>
    <w:pPr>
      <w:spacing w:after="0" w:line="240" w:lineRule="auto"/>
      <w:ind w:left="720"/>
    </w:pPr>
    <w:rPr>
      <w:rFonts w:ascii="Calibri" w:hAnsi="Calibri" w:cs="Times New Roman"/>
      <w:lang w:eastAsia="zh-CN"/>
    </w:rPr>
  </w:style>
  <w:style w:type="paragraph" w:styleId="BalloonText">
    <w:name w:val="Balloon Text"/>
    <w:basedOn w:val="Normal"/>
    <w:link w:val="BalloonTextChar"/>
    <w:uiPriority w:val="99"/>
    <w:semiHidden/>
    <w:unhideWhenUsed/>
    <w:rsid w:val="00A00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16"/>
    <w:rPr>
      <w:rFonts w:ascii="Segoe UI" w:hAnsi="Segoe UI" w:cs="Segoe UI"/>
      <w:sz w:val="18"/>
      <w:szCs w:val="18"/>
    </w:rPr>
  </w:style>
  <w:style w:type="paragraph" w:styleId="HTMLPreformatted">
    <w:name w:val="HTML Preformatted"/>
    <w:basedOn w:val="Normal"/>
    <w:link w:val="HTMLPreformattedChar"/>
    <w:uiPriority w:val="99"/>
    <w:unhideWhenUsed/>
    <w:rsid w:val="00A2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A227A2"/>
    <w:rPr>
      <w:rFonts w:ascii="Courier New" w:eastAsia="Times New Roman" w:hAnsi="Courier New" w:cs="Courier New"/>
      <w:sz w:val="20"/>
      <w:szCs w:val="20"/>
      <w:lang w:val="fr-FR" w:eastAsia="fr-FR"/>
    </w:rPr>
  </w:style>
  <w:style w:type="character" w:customStyle="1" w:styleId="Heading2Char">
    <w:name w:val="Heading 2 Char"/>
    <w:basedOn w:val="DefaultParagraphFont"/>
    <w:link w:val="Heading2"/>
    <w:uiPriority w:val="9"/>
    <w:rsid w:val="009C3E3F"/>
    <w:rPr>
      <w:rFonts w:ascii="Times New Roman" w:eastAsia="Times New Roman" w:hAnsi="Times New Roman" w:cs="Times New Roman"/>
      <w:b/>
      <w:i/>
      <w:snapToGrid w:val="0"/>
      <w:sz w:val="24"/>
      <w:szCs w:val="20"/>
      <w:lang w:eastAsia="fr-FR"/>
    </w:rPr>
  </w:style>
  <w:style w:type="paragraph" w:styleId="PlainText">
    <w:name w:val="Plain Text"/>
    <w:basedOn w:val="Normal"/>
    <w:link w:val="PlainTextChar"/>
    <w:uiPriority w:val="99"/>
    <w:unhideWhenUsed/>
    <w:rsid w:val="000C6E9E"/>
    <w:pPr>
      <w:spacing w:after="0" w:line="240" w:lineRule="auto"/>
    </w:pPr>
    <w:rPr>
      <w:rFonts w:ascii="Calibri" w:hAnsi="Calibri"/>
      <w:szCs w:val="21"/>
      <w:lang w:val="fr-FR"/>
    </w:rPr>
  </w:style>
  <w:style w:type="character" w:customStyle="1" w:styleId="PlainTextChar">
    <w:name w:val="Plain Text Char"/>
    <w:basedOn w:val="DefaultParagraphFont"/>
    <w:link w:val="PlainText"/>
    <w:uiPriority w:val="99"/>
    <w:rsid w:val="000C6E9E"/>
    <w:rPr>
      <w:rFonts w:ascii="Calibri" w:hAnsi="Calibri"/>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462">
      <w:bodyDiv w:val="1"/>
      <w:marLeft w:val="0"/>
      <w:marRight w:val="0"/>
      <w:marTop w:val="0"/>
      <w:marBottom w:val="0"/>
      <w:divBdr>
        <w:top w:val="none" w:sz="0" w:space="0" w:color="auto"/>
        <w:left w:val="none" w:sz="0" w:space="0" w:color="auto"/>
        <w:bottom w:val="none" w:sz="0" w:space="0" w:color="auto"/>
        <w:right w:val="none" w:sz="0" w:space="0" w:color="auto"/>
      </w:divBdr>
    </w:div>
    <w:div w:id="91099135">
      <w:bodyDiv w:val="1"/>
      <w:marLeft w:val="0"/>
      <w:marRight w:val="0"/>
      <w:marTop w:val="0"/>
      <w:marBottom w:val="0"/>
      <w:divBdr>
        <w:top w:val="none" w:sz="0" w:space="0" w:color="auto"/>
        <w:left w:val="none" w:sz="0" w:space="0" w:color="auto"/>
        <w:bottom w:val="none" w:sz="0" w:space="0" w:color="auto"/>
        <w:right w:val="none" w:sz="0" w:space="0" w:color="auto"/>
      </w:divBdr>
    </w:div>
    <w:div w:id="116221776">
      <w:bodyDiv w:val="1"/>
      <w:marLeft w:val="0"/>
      <w:marRight w:val="0"/>
      <w:marTop w:val="0"/>
      <w:marBottom w:val="0"/>
      <w:divBdr>
        <w:top w:val="none" w:sz="0" w:space="0" w:color="auto"/>
        <w:left w:val="none" w:sz="0" w:space="0" w:color="auto"/>
        <w:bottom w:val="none" w:sz="0" w:space="0" w:color="auto"/>
        <w:right w:val="none" w:sz="0" w:space="0" w:color="auto"/>
      </w:divBdr>
    </w:div>
    <w:div w:id="134837004">
      <w:bodyDiv w:val="1"/>
      <w:marLeft w:val="0"/>
      <w:marRight w:val="0"/>
      <w:marTop w:val="0"/>
      <w:marBottom w:val="0"/>
      <w:divBdr>
        <w:top w:val="none" w:sz="0" w:space="0" w:color="auto"/>
        <w:left w:val="none" w:sz="0" w:space="0" w:color="auto"/>
        <w:bottom w:val="none" w:sz="0" w:space="0" w:color="auto"/>
        <w:right w:val="none" w:sz="0" w:space="0" w:color="auto"/>
      </w:divBdr>
    </w:div>
    <w:div w:id="161899440">
      <w:bodyDiv w:val="1"/>
      <w:marLeft w:val="0"/>
      <w:marRight w:val="0"/>
      <w:marTop w:val="0"/>
      <w:marBottom w:val="0"/>
      <w:divBdr>
        <w:top w:val="none" w:sz="0" w:space="0" w:color="auto"/>
        <w:left w:val="none" w:sz="0" w:space="0" w:color="auto"/>
        <w:bottom w:val="none" w:sz="0" w:space="0" w:color="auto"/>
        <w:right w:val="none" w:sz="0" w:space="0" w:color="auto"/>
      </w:divBdr>
    </w:div>
    <w:div w:id="253513293">
      <w:bodyDiv w:val="1"/>
      <w:marLeft w:val="0"/>
      <w:marRight w:val="0"/>
      <w:marTop w:val="0"/>
      <w:marBottom w:val="0"/>
      <w:divBdr>
        <w:top w:val="none" w:sz="0" w:space="0" w:color="auto"/>
        <w:left w:val="none" w:sz="0" w:space="0" w:color="auto"/>
        <w:bottom w:val="none" w:sz="0" w:space="0" w:color="auto"/>
        <w:right w:val="none" w:sz="0" w:space="0" w:color="auto"/>
      </w:divBdr>
    </w:div>
    <w:div w:id="322198325">
      <w:bodyDiv w:val="1"/>
      <w:marLeft w:val="0"/>
      <w:marRight w:val="0"/>
      <w:marTop w:val="0"/>
      <w:marBottom w:val="0"/>
      <w:divBdr>
        <w:top w:val="none" w:sz="0" w:space="0" w:color="auto"/>
        <w:left w:val="none" w:sz="0" w:space="0" w:color="auto"/>
        <w:bottom w:val="none" w:sz="0" w:space="0" w:color="auto"/>
        <w:right w:val="none" w:sz="0" w:space="0" w:color="auto"/>
      </w:divBdr>
    </w:div>
    <w:div w:id="373190419">
      <w:bodyDiv w:val="1"/>
      <w:marLeft w:val="0"/>
      <w:marRight w:val="0"/>
      <w:marTop w:val="0"/>
      <w:marBottom w:val="0"/>
      <w:divBdr>
        <w:top w:val="none" w:sz="0" w:space="0" w:color="auto"/>
        <w:left w:val="none" w:sz="0" w:space="0" w:color="auto"/>
        <w:bottom w:val="none" w:sz="0" w:space="0" w:color="auto"/>
        <w:right w:val="none" w:sz="0" w:space="0" w:color="auto"/>
      </w:divBdr>
    </w:div>
    <w:div w:id="409618054">
      <w:bodyDiv w:val="1"/>
      <w:marLeft w:val="0"/>
      <w:marRight w:val="0"/>
      <w:marTop w:val="0"/>
      <w:marBottom w:val="0"/>
      <w:divBdr>
        <w:top w:val="none" w:sz="0" w:space="0" w:color="auto"/>
        <w:left w:val="none" w:sz="0" w:space="0" w:color="auto"/>
        <w:bottom w:val="none" w:sz="0" w:space="0" w:color="auto"/>
        <w:right w:val="none" w:sz="0" w:space="0" w:color="auto"/>
      </w:divBdr>
    </w:div>
    <w:div w:id="442382901">
      <w:bodyDiv w:val="1"/>
      <w:marLeft w:val="0"/>
      <w:marRight w:val="0"/>
      <w:marTop w:val="0"/>
      <w:marBottom w:val="0"/>
      <w:divBdr>
        <w:top w:val="none" w:sz="0" w:space="0" w:color="auto"/>
        <w:left w:val="none" w:sz="0" w:space="0" w:color="auto"/>
        <w:bottom w:val="none" w:sz="0" w:space="0" w:color="auto"/>
        <w:right w:val="none" w:sz="0" w:space="0" w:color="auto"/>
      </w:divBdr>
    </w:div>
    <w:div w:id="476459987">
      <w:bodyDiv w:val="1"/>
      <w:marLeft w:val="0"/>
      <w:marRight w:val="0"/>
      <w:marTop w:val="0"/>
      <w:marBottom w:val="0"/>
      <w:divBdr>
        <w:top w:val="none" w:sz="0" w:space="0" w:color="auto"/>
        <w:left w:val="none" w:sz="0" w:space="0" w:color="auto"/>
        <w:bottom w:val="none" w:sz="0" w:space="0" w:color="auto"/>
        <w:right w:val="none" w:sz="0" w:space="0" w:color="auto"/>
      </w:divBdr>
    </w:div>
    <w:div w:id="489442958">
      <w:bodyDiv w:val="1"/>
      <w:marLeft w:val="0"/>
      <w:marRight w:val="0"/>
      <w:marTop w:val="0"/>
      <w:marBottom w:val="0"/>
      <w:divBdr>
        <w:top w:val="none" w:sz="0" w:space="0" w:color="auto"/>
        <w:left w:val="none" w:sz="0" w:space="0" w:color="auto"/>
        <w:bottom w:val="none" w:sz="0" w:space="0" w:color="auto"/>
        <w:right w:val="none" w:sz="0" w:space="0" w:color="auto"/>
      </w:divBdr>
    </w:div>
    <w:div w:id="554438694">
      <w:bodyDiv w:val="1"/>
      <w:marLeft w:val="0"/>
      <w:marRight w:val="0"/>
      <w:marTop w:val="0"/>
      <w:marBottom w:val="0"/>
      <w:divBdr>
        <w:top w:val="none" w:sz="0" w:space="0" w:color="auto"/>
        <w:left w:val="none" w:sz="0" w:space="0" w:color="auto"/>
        <w:bottom w:val="none" w:sz="0" w:space="0" w:color="auto"/>
        <w:right w:val="none" w:sz="0" w:space="0" w:color="auto"/>
      </w:divBdr>
    </w:div>
    <w:div w:id="618801959">
      <w:bodyDiv w:val="1"/>
      <w:marLeft w:val="0"/>
      <w:marRight w:val="0"/>
      <w:marTop w:val="0"/>
      <w:marBottom w:val="0"/>
      <w:divBdr>
        <w:top w:val="none" w:sz="0" w:space="0" w:color="auto"/>
        <w:left w:val="none" w:sz="0" w:space="0" w:color="auto"/>
        <w:bottom w:val="none" w:sz="0" w:space="0" w:color="auto"/>
        <w:right w:val="none" w:sz="0" w:space="0" w:color="auto"/>
      </w:divBdr>
    </w:div>
    <w:div w:id="813445524">
      <w:bodyDiv w:val="1"/>
      <w:marLeft w:val="0"/>
      <w:marRight w:val="0"/>
      <w:marTop w:val="0"/>
      <w:marBottom w:val="0"/>
      <w:divBdr>
        <w:top w:val="none" w:sz="0" w:space="0" w:color="auto"/>
        <w:left w:val="none" w:sz="0" w:space="0" w:color="auto"/>
        <w:bottom w:val="none" w:sz="0" w:space="0" w:color="auto"/>
        <w:right w:val="none" w:sz="0" w:space="0" w:color="auto"/>
      </w:divBdr>
    </w:div>
    <w:div w:id="868644046">
      <w:bodyDiv w:val="1"/>
      <w:marLeft w:val="0"/>
      <w:marRight w:val="0"/>
      <w:marTop w:val="0"/>
      <w:marBottom w:val="0"/>
      <w:divBdr>
        <w:top w:val="none" w:sz="0" w:space="0" w:color="auto"/>
        <w:left w:val="none" w:sz="0" w:space="0" w:color="auto"/>
        <w:bottom w:val="none" w:sz="0" w:space="0" w:color="auto"/>
        <w:right w:val="none" w:sz="0" w:space="0" w:color="auto"/>
      </w:divBdr>
    </w:div>
    <w:div w:id="945192731">
      <w:bodyDiv w:val="1"/>
      <w:marLeft w:val="0"/>
      <w:marRight w:val="0"/>
      <w:marTop w:val="0"/>
      <w:marBottom w:val="0"/>
      <w:divBdr>
        <w:top w:val="none" w:sz="0" w:space="0" w:color="auto"/>
        <w:left w:val="none" w:sz="0" w:space="0" w:color="auto"/>
        <w:bottom w:val="none" w:sz="0" w:space="0" w:color="auto"/>
        <w:right w:val="none" w:sz="0" w:space="0" w:color="auto"/>
      </w:divBdr>
    </w:div>
    <w:div w:id="986207732">
      <w:bodyDiv w:val="1"/>
      <w:marLeft w:val="0"/>
      <w:marRight w:val="0"/>
      <w:marTop w:val="0"/>
      <w:marBottom w:val="0"/>
      <w:divBdr>
        <w:top w:val="none" w:sz="0" w:space="0" w:color="auto"/>
        <w:left w:val="none" w:sz="0" w:space="0" w:color="auto"/>
        <w:bottom w:val="none" w:sz="0" w:space="0" w:color="auto"/>
        <w:right w:val="none" w:sz="0" w:space="0" w:color="auto"/>
      </w:divBdr>
    </w:div>
    <w:div w:id="1031800958">
      <w:bodyDiv w:val="1"/>
      <w:marLeft w:val="0"/>
      <w:marRight w:val="0"/>
      <w:marTop w:val="0"/>
      <w:marBottom w:val="0"/>
      <w:divBdr>
        <w:top w:val="none" w:sz="0" w:space="0" w:color="auto"/>
        <w:left w:val="none" w:sz="0" w:space="0" w:color="auto"/>
        <w:bottom w:val="none" w:sz="0" w:space="0" w:color="auto"/>
        <w:right w:val="none" w:sz="0" w:space="0" w:color="auto"/>
      </w:divBdr>
    </w:div>
    <w:div w:id="1080106010">
      <w:bodyDiv w:val="1"/>
      <w:marLeft w:val="0"/>
      <w:marRight w:val="0"/>
      <w:marTop w:val="0"/>
      <w:marBottom w:val="0"/>
      <w:divBdr>
        <w:top w:val="none" w:sz="0" w:space="0" w:color="auto"/>
        <w:left w:val="none" w:sz="0" w:space="0" w:color="auto"/>
        <w:bottom w:val="none" w:sz="0" w:space="0" w:color="auto"/>
        <w:right w:val="none" w:sz="0" w:space="0" w:color="auto"/>
      </w:divBdr>
    </w:div>
    <w:div w:id="1083989511">
      <w:bodyDiv w:val="1"/>
      <w:marLeft w:val="0"/>
      <w:marRight w:val="0"/>
      <w:marTop w:val="0"/>
      <w:marBottom w:val="0"/>
      <w:divBdr>
        <w:top w:val="none" w:sz="0" w:space="0" w:color="auto"/>
        <w:left w:val="none" w:sz="0" w:space="0" w:color="auto"/>
        <w:bottom w:val="none" w:sz="0" w:space="0" w:color="auto"/>
        <w:right w:val="none" w:sz="0" w:space="0" w:color="auto"/>
      </w:divBdr>
    </w:div>
    <w:div w:id="1445074108">
      <w:bodyDiv w:val="1"/>
      <w:marLeft w:val="0"/>
      <w:marRight w:val="0"/>
      <w:marTop w:val="0"/>
      <w:marBottom w:val="0"/>
      <w:divBdr>
        <w:top w:val="none" w:sz="0" w:space="0" w:color="auto"/>
        <w:left w:val="none" w:sz="0" w:space="0" w:color="auto"/>
        <w:bottom w:val="none" w:sz="0" w:space="0" w:color="auto"/>
        <w:right w:val="none" w:sz="0" w:space="0" w:color="auto"/>
      </w:divBdr>
    </w:div>
    <w:div w:id="1530412892">
      <w:bodyDiv w:val="1"/>
      <w:marLeft w:val="0"/>
      <w:marRight w:val="0"/>
      <w:marTop w:val="0"/>
      <w:marBottom w:val="0"/>
      <w:divBdr>
        <w:top w:val="none" w:sz="0" w:space="0" w:color="auto"/>
        <w:left w:val="none" w:sz="0" w:space="0" w:color="auto"/>
        <w:bottom w:val="none" w:sz="0" w:space="0" w:color="auto"/>
        <w:right w:val="none" w:sz="0" w:space="0" w:color="auto"/>
      </w:divBdr>
    </w:div>
    <w:div w:id="1535925972">
      <w:bodyDiv w:val="1"/>
      <w:marLeft w:val="0"/>
      <w:marRight w:val="0"/>
      <w:marTop w:val="0"/>
      <w:marBottom w:val="0"/>
      <w:divBdr>
        <w:top w:val="none" w:sz="0" w:space="0" w:color="auto"/>
        <w:left w:val="none" w:sz="0" w:space="0" w:color="auto"/>
        <w:bottom w:val="none" w:sz="0" w:space="0" w:color="auto"/>
        <w:right w:val="none" w:sz="0" w:space="0" w:color="auto"/>
      </w:divBdr>
    </w:div>
    <w:div w:id="1590116347">
      <w:bodyDiv w:val="1"/>
      <w:marLeft w:val="0"/>
      <w:marRight w:val="0"/>
      <w:marTop w:val="0"/>
      <w:marBottom w:val="0"/>
      <w:divBdr>
        <w:top w:val="none" w:sz="0" w:space="0" w:color="auto"/>
        <w:left w:val="none" w:sz="0" w:space="0" w:color="auto"/>
        <w:bottom w:val="none" w:sz="0" w:space="0" w:color="auto"/>
        <w:right w:val="none" w:sz="0" w:space="0" w:color="auto"/>
      </w:divBdr>
    </w:div>
    <w:div w:id="1700930259">
      <w:bodyDiv w:val="1"/>
      <w:marLeft w:val="0"/>
      <w:marRight w:val="0"/>
      <w:marTop w:val="0"/>
      <w:marBottom w:val="0"/>
      <w:divBdr>
        <w:top w:val="none" w:sz="0" w:space="0" w:color="auto"/>
        <w:left w:val="none" w:sz="0" w:space="0" w:color="auto"/>
        <w:bottom w:val="none" w:sz="0" w:space="0" w:color="auto"/>
        <w:right w:val="none" w:sz="0" w:space="0" w:color="auto"/>
      </w:divBdr>
    </w:div>
    <w:div w:id="1759518729">
      <w:bodyDiv w:val="1"/>
      <w:marLeft w:val="0"/>
      <w:marRight w:val="0"/>
      <w:marTop w:val="0"/>
      <w:marBottom w:val="0"/>
      <w:divBdr>
        <w:top w:val="none" w:sz="0" w:space="0" w:color="auto"/>
        <w:left w:val="none" w:sz="0" w:space="0" w:color="auto"/>
        <w:bottom w:val="none" w:sz="0" w:space="0" w:color="auto"/>
        <w:right w:val="none" w:sz="0" w:space="0" w:color="auto"/>
      </w:divBdr>
    </w:div>
    <w:div w:id="1897280497">
      <w:bodyDiv w:val="1"/>
      <w:marLeft w:val="0"/>
      <w:marRight w:val="0"/>
      <w:marTop w:val="0"/>
      <w:marBottom w:val="0"/>
      <w:divBdr>
        <w:top w:val="none" w:sz="0" w:space="0" w:color="auto"/>
        <w:left w:val="none" w:sz="0" w:space="0" w:color="auto"/>
        <w:bottom w:val="none" w:sz="0" w:space="0" w:color="auto"/>
        <w:right w:val="none" w:sz="0" w:space="0" w:color="auto"/>
      </w:divBdr>
    </w:div>
    <w:div w:id="19767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6933</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Jane.O Yeboah</dc:creator>
  <cp:keywords/>
  <dc:description/>
  <cp:lastModifiedBy>Svetlana Iazykova</cp:lastModifiedBy>
  <cp:revision>3</cp:revision>
  <cp:lastPrinted>2018-06-29T07:06:00Z</cp:lastPrinted>
  <dcterms:created xsi:type="dcterms:W3CDTF">2018-11-21T16:56:00Z</dcterms:created>
  <dcterms:modified xsi:type="dcterms:W3CDTF">2018-11-21T17:02:00Z</dcterms:modified>
</cp:coreProperties>
</file>