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0DCF" w14:textId="77777777" w:rsidR="004F7CB1" w:rsidRPr="00CE38CA" w:rsidRDefault="00C11F71"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bookmarkStart w:id="0" w:name="_GoBack"/>
      <w:bookmarkEnd w:id="0"/>
      <w:r w:rsidRPr="00CE38CA">
        <w:rPr>
          <w:b/>
          <w:color w:val="000000"/>
          <w:lang w:val="en-GB"/>
        </w:rPr>
        <w:t>F</w:t>
      </w:r>
      <w:r w:rsidR="00631A08" w:rsidRPr="00CE38CA">
        <w:rPr>
          <w:b/>
          <w:color w:val="000000"/>
          <w:lang w:val="en-GB"/>
        </w:rPr>
        <w:t>irs</w:t>
      </w:r>
      <w:r w:rsidR="00CE38CA">
        <w:rPr>
          <w:b/>
          <w:color w:val="000000"/>
          <w:lang w:val="en-GB"/>
        </w:rPr>
        <w:t>t</w:t>
      </w:r>
      <w:r w:rsidR="00631A08" w:rsidRPr="00CE38CA">
        <w:rPr>
          <w:b/>
          <w:color w:val="000000"/>
          <w:lang w:val="en-GB"/>
        </w:rPr>
        <w:t xml:space="preserve"> </w:t>
      </w:r>
      <w:r w:rsidR="00521019" w:rsidRPr="00CE38CA">
        <w:rPr>
          <w:b/>
          <w:color w:val="000000"/>
          <w:lang w:val="en-GB"/>
        </w:rPr>
        <w:t>regular session 2015</w:t>
      </w:r>
    </w:p>
    <w:p w14:paraId="15908F20" w14:textId="5CD778E6" w:rsidR="004F7CB1" w:rsidRPr="00CE38CA" w:rsidRDefault="00283430"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38CA">
        <w:rPr>
          <w:color w:val="000000"/>
          <w:lang w:val="en-GB"/>
        </w:rPr>
        <w:t xml:space="preserve">26 </w:t>
      </w:r>
      <w:r w:rsidR="007D25FC">
        <w:rPr>
          <w:color w:val="000000"/>
          <w:lang w:val="en-GB"/>
        </w:rPr>
        <w:t>-</w:t>
      </w:r>
      <w:r w:rsidR="00CE38CA">
        <w:rPr>
          <w:color w:val="000000"/>
          <w:lang w:val="en-GB"/>
        </w:rPr>
        <w:t xml:space="preserve"> </w:t>
      </w:r>
      <w:r w:rsidRPr="00CE38CA">
        <w:rPr>
          <w:color w:val="000000"/>
          <w:lang w:val="en-GB"/>
        </w:rPr>
        <w:t>30 January 2015, New York</w:t>
      </w:r>
    </w:p>
    <w:p w14:paraId="65CF78B1" w14:textId="77777777" w:rsidR="004F7CB1" w:rsidRPr="00CE38CA" w:rsidRDefault="004F7CB1" w:rsidP="004F7C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E38CA">
        <w:rPr>
          <w:color w:val="000000"/>
          <w:lang w:val="en-GB"/>
        </w:rPr>
        <w:t xml:space="preserve">Item </w:t>
      </w:r>
      <w:r w:rsidR="00283430" w:rsidRPr="00CE38CA">
        <w:rPr>
          <w:color w:val="000000"/>
          <w:lang w:val="en-GB"/>
        </w:rPr>
        <w:t>3</w:t>
      </w:r>
      <w:r w:rsidRPr="00CE38CA">
        <w:rPr>
          <w:color w:val="000000"/>
          <w:lang w:val="en-GB"/>
        </w:rPr>
        <w:t xml:space="preserve"> of the provisional agenda</w:t>
      </w:r>
    </w:p>
    <w:p w14:paraId="635615BC" w14:textId="77777777" w:rsidR="004F7CB1" w:rsidRPr="00CE38CA" w:rsidRDefault="006D1383" w:rsidP="004F7CB1">
      <w:pPr>
        <w:ind w:right="1260"/>
        <w:rPr>
          <w:b/>
          <w:color w:val="000000"/>
          <w:lang w:val="en-GB"/>
        </w:rPr>
      </w:pPr>
      <w:r w:rsidRPr="00CE38CA">
        <w:rPr>
          <w:b/>
          <w:color w:val="000000"/>
          <w:lang w:val="en-GB"/>
        </w:rPr>
        <w:t>Country programme</w:t>
      </w:r>
      <w:r w:rsidR="00D94115" w:rsidRPr="00CE38CA">
        <w:rPr>
          <w:b/>
          <w:color w:val="000000"/>
          <w:lang w:val="en-GB"/>
        </w:rPr>
        <w:t>s</w:t>
      </w:r>
      <w:r w:rsidR="004F7CB1" w:rsidRPr="00CE38CA">
        <w:rPr>
          <w:b/>
          <w:color w:val="000000"/>
          <w:lang w:val="en-GB"/>
        </w:rPr>
        <w:t xml:space="preserve"> and related matters</w:t>
      </w:r>
    </w:p>
    <w:p w14:paraId="788CBBAA" w14:textId="77777777" w:rsidR="004F7CB1" w:rsidRPr="00CE38CA" w:rsidRDefault="004F7CB1" w:rsidP="004F7CB1">
      <w:pPr>
        <w:pStyle w:val="SingleTxt"/>
        <w:spacing w:after="0" w:line="120" w:lineRule="exact"/>
        <w:rPr>
          <w:color w:val="000000"/>
          <w:sz w:val="10"/>
        </w:rPr>
      </w:pPr>
    </w:p>
    <w:p w14:paraId="4A0857F3" w14:textId="77777777" w:rsidR="004F7CB1" w:rsidRPr="00CE38CA" w:rsidRDefault="004F7CB1" w:rsidP="004F7CB1">
      <w:pPr>
        <w:pStyle w:val="SingleTxt"/>
        <w:spacing w:after="0" w:line="120" w:lineRule="exact"/>
        <w:rPr>
          <w:color w:val="000000"/>
          <w:sz w:val="10"/>
        </w:rPr>
      </w:pPr>
    </w:p>
    <w:p w14:paraId="3D22F466" w14:textId="77777777" w:rsidR="004F7CB1" w:rsidRPr="00CE38CA" w:rsidRDefault="004F7CB1" w:rsidP="004F7CB1">
      <w:pPr>
        <w:pStyle w:val="SingleTxt"/>
        <w:spacing w:after="0" w:line="120" w:lineRule="exact"/>
        <w:rPr>
          <w:color w:val="000000"/>
          <w:sz w:val="10"/>
        </w:rPr>
      </w:pPr>
    </w:p>
    <w:p w14:paraId="0106AED9" w14:textId="77777777" w:rsidR="00C778F9" w:rsidRPr="00CE38CA" w:rsidRDefault="004F7CB1" w:rsidP="004F7C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r w:rsidRPr="00CE38CA">
        <w:rPr>
          <w:rFonts w:asciiTheme="minorHAnsi" w:hAnsiTheme="minorHAnsi"/>
          <w:color w:val="000000"/>
        </w:rPr>
        <w:tab/>
      </w:r>
    </w:p>
    <w:p w14:paraId="786E5A60" w14:textId="0D9D3A1A" w:rsidR="004F7CB1" w:rsidRPr="00CE38CA" w:rsidRDefault="00CE38CA" w:rsidP="004F7C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color w:val="000000"/>
        </w:rPr>
        <w:tab/>
      </w:r>
      <w:r w:rsidR="007D25FC">
        <w:rPr>
          <w:color w:val="000000"/>
        </w:rPr>
        <w:t>D</w:t>
      </w:r>
      <w:r w:rsidR="004F7CB1" w:rsidRPr="00CE38CA">
        <w:rPr>
          <w:color w:val="000000"/>
        </w:rPr>
        <w:t xml:space="preserve">raft country programme document for Chile </w:t>
      </w:r>
      <w:r w:rsidR="00283430" w:rsidRPr="00CE38CA">
        <w:rPr>
          <w:color w:val="000000"/>
        </w:rPr>
        <w:t>(</w:t>
      </w:r>
      <w:r w:rsidR="004F7CB1" w:rsidRPr="00CE38CA">
        <w:rPr>
          <w:color w:val="000000"/>
        </w:rPr>
        <w:t>2015-2018</w:t>
      </w:r>
      <w:r w:rsidR="00283430" w:rsidRPr="00CE38CA">
        <w:rPr>
          <w:color w:val="000000"/>
        </w:rPr>
        <w:t>)</w:t>
      </w:r>
    </w:p>
    <w:p w14:paraId="3C8E00C6" w14:textId="77777777" w:rsidR="00283430" w:rsidRPr="00CE38CA" w:rsidRDefault="00283430" w:rsidP="00283430">
      <w:pPr>
        <w:rPr>
          <w:sz w:val="24"/>
          <w:szCs w:val="24"/>
          <w:lang w:val="en-GB"/>
        </w:rPr>
      </w:pPr>
    </w:p>
    <w:p w14:paraId="2EC08086" w14:textId="77777777" w:rsidR="00283430" w:rsidRPr="00CE38CA" w:rsidRDefault="00283430" w:rsidP="002834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2A0F714B" w14:textId="77777777" w:rsidR="00283430" w:rsidRPr="00CE38CA" w:rsidRDefault="00283430" w:rsidP="002834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rPr>
      </w:pPr>
      <w:r w:rsidRPr="00CE38CA">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83430" w:rsidRPr="00CE38CA" w14:paraId="2CC42CEF" w14:textId="77777777" w:rsidTr="00152089">
        <w:tc>
          <w:tcPr>
            <w:tcW w:w="1060" w:type="dxa"/>
            <w:shd w:val="clear" w:color="auto" w:fill="auto"/>
          </w:tcPr>
          <w:p w14:paraId="2D7A1134" w14:textId="77777777" w:rsidR="00283430" w:rsidRPr="00CE38CA" w:rsidRDefault="00283430" w:rsidP="00283430">
            <w:pPr>
              <w:suppressAutoHyphens/>
              <w:spacing w:after="120"/>
              <w:jc w:val="right"/>
              <w:rPr>
                <w:i/>
                <w:spacing w:val="4"/>
                <w:w w:val="103"/>
                <w:kern w:val="14"/>
                <w:sz w:val="14"/>
                <w:lang w:val="en-GB"/>
              </w:rPr>
            </w:pPr>
          </w:p>
        </w:tc>
        <w:tc>
          <w:tcPr>
            <w:tcW w:w="7315" w:type="dxa"/>
            <w:shd w:val="clear" w:color="auto" w:fill="auto"/>
          </w:tcPr>
          <w:p w14:paraId="3EF2D241" w14:textId="77777777" w:rsidR="00283430" w:rsidRPr="00CE38CA" w:rsidRDefault="00283430" w:rsidP="00283430">
            <w:pPr>
              <w:suppressAutoHyphens/>
              <w:spacing w:after="120"/>
              <w:rPr>
                <w:i/>
                <w:spacing w:val="4"/>
                <w:w w:val="103"/>
                <w:kern w:val="14"/>
                <w:sz w:val="14"/>
                <w:lang w:val="en-GB"/>
              </w:rPr>
            </w:pPr>
          </w:p>
        </w:tc>
        <w:tc>
          <w:tcPr>
            <w:tcW w:w="1527" w:type="dxa"/>
            <w:gridSpan w:val="2"/>
            <w:shd w:val="clear" w:color="auto" w:fill="auto"/>
          </w:tcPr>
          <w:p w14:paraId="0478E3B4" w14:textId="77777777" w:rsidR="00283430" w:rsidRPr="00CE38CA" w:rsidRDefault="00283430" w:rsidP="00283430">
            <w:pPr>
              <w:suppressAutoHyphens/>
              <w:spacing w:after="120"/>
              <w:jc w:val="right"/>
              <w:rPr>
                <w:i/>
                <w:spacing w:val="4"/>
                <w:w w:val="103"/>
                <w:kern w:val="14"/>
                <w:sz w:val="14"/>
                <w:lang w:val="en-GB"/>
              </w:rPr>
            </w:pPr>
            <w:r w:rsidRPr="00CE38CA">
              <w:rPr>
                <w:i/>
                <w:spacing w:val="4"/>
                <w:w w:val="103"/>
                <w:kern w:val="14"/>
                <w:sz w:val="14"/>
                <w:lang w:val="en-GB"/>
              </w:rPr>
              <w:t>Page</w:t>
            </w:r>
          </w:p>
        </w:tc>
      </w:tr>
      <w:tr w:rsidR="00283430" w:rsidRPr="00CE38CA" w14:paraId="73AF7454" w14:textId="77777777" w:rsidTr="00152089">
        <w:tc>
          <w:tcPr>
            <w:tcW w:w="8375" w:type="dxa"/>
            <w:gridSpan w:val="2"/>
            <w:shd w:val="clear" w:color="auto" w:fill="auto"/>
          </w:tcPr>
          <w:p w14:paraId="7CFC9DAB" w14:textId="77777777" w:rsidR="00283430" w:rsidRPr="00CE38CA" w:rsidRDefault="00283430" w:rsidP="00283430">
            <w:pPr>
              <w:numPr>
                <w:ilvl w:val="0"/>
                <w:numId w:val="40"/>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CE38CA">
              <w:rPr>
                <w:spacing w:val="4"/>
                <w:w w:val="103"/>
                <w:kern w:val="14"/>
                <w:lang w:val="en-GB"/>
              </w:rPr>
              <w:tab/>
              <w:t>Programme rationale</w:t>
            </w:r>
            <w:r w:rsidRPr="00CE38CA">
              <w:rPr>
                <w:spacing w:val="60"/>
                <w:w w:val="103"/>
                <w:kern w:val="14"/>
                <w:sz w:val="17"/>
                <w:lang w:val="en-GB"/>
              </w:rPr>
              <w:tab/>
            </w:r>
          </w:p>
        </w:tc>
        <w:tc>
          <w:tcPr>
            <w:tcW w:w="1527" w:type="dxa"/>
            <w:gridSpan w:val="2"/>
            <w:vMerge w:val="restart"/>
            <w:shd w:val="clear" w:color="auto" w:fill="auto"/>
            <w:vAlign w:val="bottom"/>
          </w:tcPr>
          <w:p w14:paraId="0239A8F4" w14:textId="77777777" w:rsidR="00283430" w:rsidRPr="00CE38CA" w:rsidRDefault="00283430" w:rsidP="00283430">
            <w:pPr>
              <w:suppressAutoHyphens/>
              <w:spacing w:after="120" w:line="240" w:lineRule="exact"/>
              <w:jc w:val="right"/>
              <w:rPr>
                <w:spacing w:val="4"/>
                <w:w w:val="103"/>
                <w:kern w:val="14"/>
                <w:lang w:val="en-GB"/>
              </w:rPr>
            </w:pPr>
            <w:r w:rsidRPr="00CE38CA">
              <w:rPr>
                <w:spacing w:val="4"/>
                <w:w w:val="103"/>
                <w:kern w:val="14"/>
                <w:lang w:val="en-GB"/>
              </w:rPr>
              <w:t>2</w:t>
            </w:r>
          </w:p>
          <w:p w14:paraId="7913479E" w14:textId="77777777" w:rsidR="00283430" w:rsidRPr="00CE38CA" w:rsidRDefault="00283430" w:rsidP="00283430">
            <w:pPr>
              <w:suppressAutoHyphens/>
              <w:spacing w:after="120" w:line="240" w:lineRule="exact"/>
              <w:jc w:val="right"/>
              <w:rPr>
                <w:spacing w:val="4"/>
                <w:w w:val="103"/>
                <w:kern w:val="14"/>
                <w:lang w:val="en-GB"/>
              </w:rPr>
            </w:pPr>
            <w:r w:rsidRPr="00CE38CA">
              <w:rPr>
                <w:spacing w:val="4"/>
                <w:w w:val="103"/>
                <w:kern w:val="14"/>
                <w:lang w:val="en-GB"/>
              </w:rPr>
              <w:t>4</w:t>
            </w:r>
          </w:p>
        </w:tc>
      </w:tr>
      <w:tr w:rsidR="00283430" w:rsidRPr="00CE38CA" w14:paraId="3E7D513F" w14:textId="77777777" w:rsidTr="00152089">
        <w:tc>
          <w:tcPr>
            <w:tcW w:w="8375" w:type="dxa"/>
            <w:gridSpan w:val="2"/>
            <w:shd w:val="clear" w:color="auto" w:fill="auto"/>
          </w:tcPr>
          <w:p w14:paraId="2D0EBC11" w14:textId="77777777" w:rsidR="00283430" w:rsidRPr="00CE38CA" w:rsidRDefault="00283430" w:rsidP="00283430">
            <w:pPr>
              <w:numPr>
                <w:ilvl w:val="0"/>
                <w:numId w:val="40"/>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CE38CA">
              <w:rPr>
                <w:spacing w:val="4"/>
                <w:w w:val="103"/>
                <w:kern w:val="14"/>
                <w:lang w:val="en-GB"/>
              </w:rPr>
              <w:tab/>
              <w:t>Programme priorities and partnerships</w:t>
            </w:r>
            <w:r w:rsidRPr="00CE38CA">
              <w:rPr>
                <w:spacing w:val="60"/>
                <w:w w:val="103"/>
                <w:kern w:val="14"/>
                <w:sz w:val="17"/>
                <w:lang w:val="en-GB"/>
              </w:rPr>
              <w:tab/>
            </w:r>
          </w:p>
        </w:tc>
        <w:tc>
          <w:tcPr>
            <w:tcW w:w="1527" w:type="dxa"/>
            <w:gridSpan w:val="2"/>
            <w:vMerge/>
            <w:shd w:val="clear" w:color="auto" w:fill="auto"/>
            <w:vAlign w:val="bottom"/>
          </w:tcPr>
          <w:p w14:paraId="2951B444" w14:textId="77777777" w:rsidR="00283430" w:rsidRPr="00CE38CA" w:rsidRDefault="00283430" w:rsidP="00283430">
            <w:pPr>
              <w:suppressAutoHyphens/>
              <w:spacing w:after="120" w:line="240" w:lineRule="exact"/>
              <w:jc w:val="right"/>
              <w:rPr>
                <w:spacing w:val="4"/>
                <w:w w:val="103"/>
                <w:kern w:val="14"/>
                <w:lang w:val="en-GB"/>
              </w:rPr>
            </w:pPr>
          </w:p>
        </w:tc>
      </w:tr>
      <w:tr w:rsidR="00283430" w:rsidRPr="00CE38CA" w14:paraId="1B6C89E7" w14:textId="77777777" w:rsidTr="00152089">
        <w:tc>
          <w:tcPr>
            <w:tcW w:w="8375" w:type="dxa"/>
            <w:gridSpan w:val="2"/>
            <w:shd w:val="clear" w:color="auto" w:fill="auto"/>
          </w:tcPr>
          <w:p w14:paraId="68A2AEBB" w14:textId="77777777" w:rsidR="00283430" w:rsidRPr="00CE38CA" w:rsidRDefault="00283430" w:rsidP="00283430">
            <w:pPr>
              <w:numPr>
                <w:ilvl w:val="0"/>
                <w:numId w:val="40"/>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CE38CA">
              <w:rPr>
                <w:spacing w:val="4"/>
                <w:w w:val="103"/>
                <w:kern w:val="14"/>
                <w:lang w:val="en-GB"/>
              </w:rPr>
              <w:tab/>
              <w:t>Programme and risk management</w:t>
            </w:r>
            <w:r w:rsidRPr="00CE38CA">
              <w:rPr>
                <w:spacing w:val="60"/>
                <w:w w:val="103"/>
                <w:kern w:val="14"/>
                <w:sz w:val="17"/>
                <w:lang w:val="en-GB"/>
              </w:rPr>
              <w:tab/>
            </w:r>
          </w:p>
        </w:tc>
        <w:tc>
          <w:tcPr>
            <w:tcW w:w="1527" w:type="dxa"/>
            <w:gridSpan w:val="2"/>
            <w:vMerge w:val="restart"/>
            <w:shd w:val="clear" w:color="auto" w:fill="auto"/>
            <w:vAlign w:val="bottom"/>
          </w:tcPr>
          <w:p w14:paraId="44163BC3" w14:textId="43AB1766" w:rsidR="00283430" w:rsidRPr="00CE38CA" w:rsidRDefault="00EF020C" w:rsidP="00283430">
            <w:pPr>
              <w:suppressAutoHyphens/>
              <w:spacing w:after="120" w:line="240" w:lineRule="exact"/>
              <w:jc w:val="right"/>
              <w:rPr>
                <w:spacing w:val="4"/>
                <w:w w:val="103"/>
                <w:kern w:val="14"/>
                <w:lang w:val="en-GB"/>
              </w:rPr>
            </w:pPr>
            <w:r>
              <w:rPr>
                <w:spacing w:val="4"/>
                <w:w w:val="103"/>
                <w:kern w:val="14"/>
                <w:lang w:val="en-GB"/>
              </w:rPr>
              <w:t>6</w:t>
            </w:r>
          </w:p>
          <w:p w14:paraId="23FF7D09" w14:textId="77777777" w:rsidR="00283430" w:rsidRPr="00CE38CA" w:rsidRDefault="00283430" w:rsidP="00283430">
            <w:pPr>
              <w:suppressAutoHyphens/>
              <w:spacing w:after="120" w:line="240" w:lineRule="exact"/>
              <w:jc w:val="right"/>
              <w:rPr>
                <w:spacing w:val="4"/>
                <w:w w:val="103"/>
                <w:kern w:val="14"/>
                <w:lang w:val="en-GB"/>
              </w:rPr>
            </w:pPr>
            <w:r w:rsidRPr="00CE38CA">
              <w:rPr>
                <w:spacing w:val="4"/>
                <w:w w:val="103"/>
                <w:kern w:val="14"/>
                <w:lang w:val="en-GB"/>
              </w:rPr>
              <w:t>7</w:t>
            </w:r>
          </w:p>
        </w:tc>
      </w:tr>
      <w:tr w:rsidR="00283430" w:rsidRPr="00CE38CA" w14:paraId="12E606E1" w14:textId="77777777" w:rsidTr="00152089">
        <w:tc>
          <w:tcPr>
            <w:tcW w:w="8375" w:type="dxa"/>
            <w:gridSpan w:val="2"/>
            <w:shd w:val="clear" w:color="auto" w:fill="auto"/>
          </w:tcPr>
          <w:p w14:paraId="2DF32F45" w14:textId="77777777" w:rsidR="00283430" w:rsidRPr="00CE38CA" w:rsidRDefault="00283430" w:rsidP="00283430">
            <w:pPr>
              <w:numPr>
                <w:ilvl w:val="0"/>
                <w:numId w:val="40"/>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CE38CA">
              <w:rPr>
                <w:spacing w:val="4"/>
                <w:w w:val="103"/>
                <w:kern w:val="14"/>
                <w:lang w:val="en-GB"/>
              </w:rPr>
              <w:tab/>
              <w:t>Monitoring and evaluation</w:t>
            </w:r>
            <w:r w:rsidRPr="00CE38CA">
              <w:rPr>
                <w:spacing w:val="60"/>
                <w:w w:val="103"/>
                <w:kern w:val="14"/>
                <w:sz w:val="17"/>
                <w:lang w:val="en-GB"/>
              </w:rPr>
              <w:tab/>
            </w:r>
          </w:p>
        </w:tc>
        <w:tc>
          <w:tcPr>
            <w:tcW w:w="1527" w:type="dxa"/>
            <w:gridSpan w:val="2"/>
            <w:vMerge/>
            <w:shd w:val="clear" w:color="auto" w:fill="auto"/>
            <w:vAlign w:val="bottom"/>
          </w:tcPr>
          <w:p w14:paraId="6569476D" w14:textId="77777777" w:rsidR="00283430" w:rsidRPr="00CE38CA" w:rsidRDefault="00283430" w:rsidP="00283430">
            <w:pPr>
              <w:suppressAutoHyphens/>
              <w:spacing w:after="120" w:line="240" w:lineRule="exact"/>
              <w:jc w:val="right"/>
              <w:rPr>
                <w:spacing w:val="4"/>
                <w:w w:val="103"/>
                <w:kern w:val="14"/>
                <w:lang w:val="en-GB"/>
              </w:rPr>
            </w:pPr>
          </w:p>
        </w:tc>
      </w:tr>
      <w:tr w:rsidR="00283430" w:rsidRPr="00CE38CA" w14:paraId="2E1EA173" w14:textId="77777777" w:rsidTr="00152089">
        <w:tc>
          <w:tcPr>
            <w:tcW w:w="9369" w:type="dxa"/>
            <w:gridSpan w:val="3"/>
            <w:shd w:val="clear" w:color="auto" w:fill="auto"/>
          </w:tcPr>
          <w:p w14:paraId="1DA296E5" w14:textId="77777777" w:rsidR="00283430" w:rsidRPr="00CE38CA" w:rsidRDefault="00283430" w:rsidP="00283430">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E38CA">
              <w:rPr>
                <w:spacing w:val="4"/>
                <w:w w:val="103"/>
                <w:kern w:val="14"/>
                <w:lang w:val="en-GB"/>
              </w:rPr>
              <w:t>Annex</w:t>
            </w:r>
          </w:p>
        </w:tc>
        <w:tc>
          <w:tcPr>
            <w:tcW w:w="533" w:type="dxa"/>
            <w:shd w:val="clear" w:color="auto" w:fill="auto"/>
            <w:vAlign w:val="bottom"/>
          </w:tcPr>
          <w:p w14:paraId="018388AA" w14:textId="77777777" w:rsidR="00283430" w:rsidRPr="00CE38CA" w:rsidRDefault="00283430" w:rsidP="00283430">
            <w:pPr>
              <w:suppressAutoHyphens/>
              <w:spacing w:after="120" w:line="240" w:lineRule="exact"/>
              <w:jc w:val="right"/>
              <w:rPr>
                <w:spacing w:val="4"/>
                <w:w w:val="103"/>
                <w:kern w:val="14"/>
                <w:lang w:val="en-GB"/>
              </w:rPr>
            </w:pPr>
          </w:p>
        </w:tc>
      </w:tr>
      <w:tr w:rsidR="00283430" w:rsidRPr="00CE38CA" w14:paraId="0D2152F0" w14:textId="77777777" w:rsidTr="00152089">
        <w:tc>
          <w:tcPr>
            <w:tcW w:w="9369" w:type="dxa"/>
            <w:gridSpan w:val="3"/>
            <w:shd w:val="clear" w:color="auto" w:fill="auto"/>
          </w:tcPr>
          <w:p w14:paraId="68247B63" w14:textId="77777777" w:rsidR="00283430" w:rsidRPr="00CE38CA" w:rsidRDefault="00283430" w:rsidP="00C778F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E38CA">
              <w:rPr>
                <w:spacing w:val="4"/>
                <w:w w:val="103"/>
                <w:kern w:val="14"/>
                <w:lang w:val="en-GB"/>
              </w:rPr>
              <w:t xml:space="preserve">Results and resources framework for </w:t>
            </w:r>
            <w:r w:rsidR="00C778F9" w:rsidRPr="00CE38CA">
              <w:rPr>
                <w:spacing w:val="4"/>
                <w:w w:val="103"/>
                <w:kern w:val="14"/>
                <w:lang w:val="en-GB"/>
              </w:rPr>
              <w:t>Chile</w:t>
            </w:r>
            <w:r w:rsidRPr="00CE38CA">
              <w:rPr>
                <w:spacing w:val="4"/>
                <w:w w:val="103"/>
                <w:kern w:val="14"/>
                <w:lang w:val="en-GB"/>
              </w:rPr>
              <w:t xml:space="preserve"> (2015-2018)</w:t>
            </w:r>
          </w:p>
        </w:tc>
        <w:tc>
          <w:tcPr>
            <w:tcW w:w="533" w:type="dxa"/>
            <w:shd w:val="clear" w:color="auto" w:fill="auto"/>
            <w:vAlign w:val="bottom"/>
          </w:tcPr>
          <w:p w14:paraId="5A9E7CA9" w14:textId="77777777" w:rsidR="00283430" w:rsidRPr="00CE38CA" w:rsidRDefault="00283430" w:rsidP="00283430">
            <w:pPr>
              <w:suppressAutoHyphens/>
              <w:spacing w:after="120" w:line="240" w:lineRule="exact"/>
              <w:jc w:val="right"/>
              <w:rPr>
                <w:spacing w:val="4"/>
                <w:w w:val="103"/>
                <w:kern w:val="14"/>
                <w:lang w:val="en-GB"/>
              </w:rPr>
            </w:pPr>
            <w:r w:rsidRPr="00CE38CA">
              <w:rPr>
                <w:spacing w:val="4"/>
                <w:w w:val="103"/>
                <w:kern w:val="14"/>
                <w:lang w:val="en-GB"/>
              </w:rPr>
              <w:t>8</w:t>
            </w:r>
          </w:p>
        </w:tc>
      </w:tr>
    </w:tbl>
    <w:p w14:paraId="5277781C" w14:textId="77777777" w:rsidR="004F7CB1" w:rsidRPr="00CE38CA" w:rsidRDefault="004F7CB1" w:rsidP="004F7CB1">
      <w:pPr>
        <w:rPr>
          <w:sz w:val="6"/>
          <w:lang w:val="en-GB"/>
        </w:rPr>
      </w:pPr>
    </w:p>
    <w:p w14:paraId="4C47A97B" w14:textId="77777777" w:rsidR="004F7CB1" w:rsidRPr="00CE38CA" w:rsidRDefault="004F7CB1" w:rsidP="004F7CB1">
      <w:pPr>
        <w:rPr>
          <w:sz w:val="6"/>
          <w:lang w:val="en-GB"/>
        </w:rPr>
        <w:sectPr w:rsidR="004F7CB1" w:rsidRPr="00CE38CA" w:rsidSect="00A309A5">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70" w:header="576" w:footer="1030" w:gutter="0"/>
          <w:pgNumType w:start="1"/>
          <w:cols w:space="720"/>
          <w:titlePg/>
        </w:sectPr>
      </w:pPr>
    </w:p>
    <w:p w14:paraId="743DAF51" w14:textId="77777777" w:rsidR="00645B72" w:rsidRPr="00CE38CA" w:rsidRDefault="00645B72" w:rsidP="007D25FC">
      <w:pPr>
        <w:pStyle w:val="Heading2"/>
        <w:numPr>
          <w:ilvl w:val="0"/>
          <w:numId w:val="41"/>
        </w:numPr>
        <w:spacing w:after="120"/>
        <w:ind w:left="1260" w:right="794" w:hanging="360"/>
        <w:jc w:val="both"/>
        <w:rPr>
          <w:sz w:val="24"/>
          <w:szCs w:val="24"/>
          <w:lang w:val="en-GB"/>
        </w:rPr>
      </w:pPr>
      <w:r w:rsidRPr="00CE38CA">
        <w:rPr>
          <w:rFonts w:ascii="Times New Roman" w:hAnsi="Times New Roman"/>
          <w:sz w:val="24"/>
          <w:szCs w:val="24"/>
          <w:lang w:val="en-GB"/>
        </w:rPr>
        <w:lastRenderedPageBreak/>
        <w:t xml:space="preserve">Programme </w:t>
      </w:r>
      <w:r w:rsidR="00C778F9" w:rsidRPr="00CE38CA">
        <w:rPr>
          <w:rFonts w:ascii="Times New Roman" w:hAnsi="Times New Roman"/>
          <w:sz w:val="24"/>
          <w:szCs w:val="24"/>
          <w:lang w:val="en-GB"/>
        </w:rPr>
        <w:t>r</w:t>
      </w:r>
      <w:r w:rsidRPr="00CE38CA">
        <w:rPr>
          <w:rFonts w:ascii="Times New Roman" w:hAnsi="Times New Roman"/>
          <w:sz w:val="24"/>
          <w:szCs w:val="24"/>
          <w:lang w:val="en-GB"/>
        </w:rPr>
        <w:t xml:space="preserve">ationale </w:t>
      </w:r>
    </w:p>
    <w:p w14:paraId="0EF1A69D" w14:textId="6F26D724" w:rsidR="00781F09" w:rsidRPr="00CE38CA" w:rsidRDefault="00781F09" w:rsidP="00C778F9">
      <w:pPr>
        <w:pStyle w:val="Normal1"/>
        <w:numPr>
          <w:ilvl w:val="0"/>
          <w:numId w:val="37"/>
        </w:numPr>
        <w:tabs>
          <w:tab w:val="left" w:pos="284"/>
        </w:tabs>
        <w:spacing w:after="120"/>
        <w:ind w:left="1247" w:right="794"/>
        <w:jc w:val="both"/>
        <w:rPr>
          <w:sz w:val="20"/>
          <w:lang w:val="en-GB"/>
        </w:rPr>
      </w:pPr>
      <w:r w:rsidRPr="00CE38CA">
        <w:rPr>
          <w:sz w:val="20"/>
          <w:lang w:val="en-GB"/>
        </w:rPr>
        <w:t xml:space="preserve">Chile is a </w:t>
      </w:r>
      <w:r w:rsidR="00541393" w:rsidRPr="00CE38CA">
        <w:rPr>
          <w:sz w:val="20"/>
          <w:lang w:val="en-GB"/>
        </w:rPr>
        <w:t>middle</w:t>
      </w:r>
      <w:r w:rsidR="00CE38CA">
        <w:rPr>
          <w:sz w:val="20"/>
          <w:lang w:val="en-GB"/>
        </w:rPr>
        <w:t>-</w:t>
      </w:r>
      <w:r w:rsidRPr="00CE38CA">
        <w:rPr>
          <w:sz w:val="20"/>
          <w:lang w:val="en-GB"/>
        </w:rPr>
        <w:t xml:space="preserve">income country </w:t>
      </w:r>
      <w:r w:rsidR="00C37F32">
        <w:rPr>
          <w:sz w:val="20"/>
          <w:lang w:val="en-GB"/>
        </w:rPr>
        <w:t>that</w:t>
      </w:r>
      <w:r w:rsidR="00CE38CA">
        <w:rPr>
          <w:sz w:val="20"/>
          <w:lang w:val="en-GB"/>
        </w:rPr>
        <w:t xml:space="preserve"> has had </w:t>
      </w:r>
      <w:r w:rsidRPr="00CE38CA">
        <w:rPr>
          <w:sz w:val="20"/>
          <w:lang w:val="en-GB"/>
        </w:rPr>
        <w:t xml:space="preserve">a median annual </w:t>
      </w:r>
      <w:r w:rsidR="00CE38CA">
        <w:rPr>
          <w:sz w:val="20"/>
          <w:lang w:val="en-GB"/>
        </w:rPr>
        <w:t xml:space="preserve">gross domestic product growth </w:t>
      </w:r>
      <w:r w:rsidRPr="00CE38CA">
        <w:rPr>
          <w:sz w:val="20"/>
          <w:lang w:val="en-GB"/>
        </w:rPr>
        <w:t>rate of 5.5</w:t>
      </w:r>
      <w:r w:rsidR="00CE38CA">
        <w:rPr>
          <w:sz w:val="20"/>
          <w:lang w:val="en-GB"/>
        </w:rPr>
        <w:t xml:space="preserve"> per cent</w:t>
      </w:r>
      <w:r w:rsidRPr="00CE38CA">
        <w:rPr>
          <w:sz w:val="20"/>
          <w:lang w:val="en-GB"/>
        </w:rPr>
        <w:t xml:space="preserve"> over the past 25 years. It has been a member of the </w:t>
      </w:r>
      <w:r w:rsidR="00CE38CA">
        <w:rPr>
          <w:sz w:val="20"/>
          <w:lang w:val="en-GB"/>
        </w:rPr>
        <w:t>Organisation for Economic Co-operation and Development (</w:t>
      </w:r>
      <w:r w:rsidRPr="00CE38CA">
        <w:rPr>
          <w:sz w:val="20"/>
          <w:lang w:val="en-GB"/>
        </w:rPr>
        <w:t>OECD</w:t>
      </w:r>
      <w:r w:rsidR="00CE38CA">
        <w:rPr>
          <w:sz w:val="20"/>
          <w:lang w:val="en-GB"/>
        </w:rPr>
        <w:t>)</w:t>
      </w:r>
      <w:r w:rsidRPr="00CE38CA">
        <w:rPr>
          <w:sz w:val="20"/>
          <w:lang w:val="en-GB"/>
        </w:rPr>
        <w:t xml:space="preserve"> since 2009 and has a relatively low poverty rate (14.4</w:t>
      </w:r>
      <w:r w:rsidR="00CE38CA">
        <w:rPr>
          <w:sz w:val="20"/>
          <w:lang w:val="en-GB"/>
        </w:rPr>
        <w:t xml:space="preserve"> per cent</w:t>
      </w:r>
      <w:r w:rsidRPr="00CE38CA">
        <w:rPr>
          <w:sz w:val="20"/>
          <w:lang w:val="en-GB"/>
        </w:rPr>
        <w:t xml:space="preserve"> in 2011</w:t>
      </w:r>
      <w:r w:rsidRPr="00CE38CA">
        <w:rPr>
          <w:sz w:val="20"/>
          <w:vertAlign w:val="superscript"/>
          <w:lang w:val="en-GB"/>
        </w:rPr>
        <w:footnoteReference w:id="1"/>
      </w:r>
      <w:r w:rsidRPr="00CE38CA">
        <w:rPr>
          <w:sz w:val="20"/>
          <w:lang w:val="en-GB"/>
        </w:rPr>
        <w:t>), well below the average for Latin America (27.9</w:t>
      </w:r>
      <w:r w:rsidR="00CE38CA">
        <w:rPr>
          <w:sz w:val="20"/>
          <w:lang w:val="en-GB"/>
        </w:rPr>
        <w:t xml:space="preserve"> per cent</w:t>
      </w:r>
      <w:r w:rsidRPr="00CE38CA">
        <w:rPr>
          <w:sz w:val="20"/>
          <w:lang w:val="en-GB"/>
        </w:rPr>
        <w:t>)</w:t>
      </w:r>
      <w:r w:rsidRPr="00CE38CA">
        <w:rPr>
          <w:sz w:val="20"/>
          <w:vertAlign w:val="superscript"/>
          <w:lang w:val="en-GB"/>
        </w:rPr>
        <w:footnoteReference w:id="2"/>
      </w:r>
      <w:r w:rsidRPr="00CE38CA">
        <w:rPr>
          <w:sz w:val="20"/>
          <w:lang w:val="en-GB"/>
        </w:rPr>
        <w:t xml:space="preserve">. The dynamism of the Chilean economy </w:t>
      </w:r>
      <w:r w:rsidR="00CE38CA">
        <w:rPr>
          <w:sz w:val="20"/>
          <w:lang w:val="en-GB"/>
        </w:rPr>
        <w:t>comes</w:t>
      </w:r>
      <w:r w:rsidR="00CE38CA" w:rsidRPr="00CE38CA">
        <w:rPr>
          <w:sz w:val="20"/>
          <w:lang w:val="en-GB"/>
        </w:rPr>
        <w:t xml:space="preserve"> </w:t>
      </w:r>
      <w:r w:rsidRPr="00CE38CA">
        <w:rPr>
          <w:sz w:val="20"/>
          <w:lang w:val="en-GB"/>
        </w:rPr>
        <w:t xml:space="preserve">mainly </w:t>
      </w:r>
      <w:r w:rsidR="00CE38CA">
        <w:rPr>
          <w:sz w:val="20"/>
          <w:lang w:val="en-GB"/>
        </w:rPr>
        <w:t xml:space="preserve">from </w:t>
      </w:r>
      <w:r w:rsidRPr="00CE38CA">
        <w:rPr>
          <w:sz w:val="20"/>
          <w:lang w:val="en-GB"/>
        </w:rPr>
        <w:t xml:space="preserve">natural resources, mining and agricultural products. In 2012, exports reached </w:t>
      </w:r>
      <w:r w:rsidR="00CE38CA">
        <w:rPr>
          <w:sz w:val="20"/>
          <w:lang w:val="en-GB"/>
        </w:rPr>
        <w:t>$</w:t>
      </w:r>
      <w:r w:rsidRPr="00CE38CA">
        <w:rPr>
          <w:sz w:val="20"/>
          <w:lang w:val="en-GB"/>
        </w:rPr>
        <w:t>80</w:t>
      </w:r>
      <w:r w:rsidR="00CE38CA">
        <w:rPr>
          <w:sz w:val="20"/>
          <w:lang w:val="en-GB"/>
        </w:rPr>
        <w:t xml:space="preserve"> million</w:t>
      </w:r>
      <w:r w:rsidRPr="00CE38CA">
        <w:rPr>
          <w:sz w:val="20"/>
          <w:lang w:val="en-GB"/>
        </w:rPr>
        <w:t xml:space="preserve">. </w:t>
      </w:r>
      <w:r w:rsidR="00CE38CA">
        <w:rPr>
          <w:sz w:val="20"/>
          <w:lang w:val="en-GB"/>
        </w:rPr>
        <w:t>In 2012, t</w:t>
      </w:r>
      <w:r w:rsidRPr="00CE38CA">
        <w:rPr>
          <w:sz w:val="20"/>
          <w:lang w:val="en-GB"/>
        </w:rPr>
        <w:t xml:space="preserve">he </w:t>
      </w:r>
      <w:r w:rsidR="00CE38CA">
        <w:rPr>
          <w:sz w:val="20"/>
          <w:lang w:val="en-GB"/>
        </w:rPr>
        <w:t xml:space="preserve">country’s </w:t>
      </w:r>
      <w:r w:rsidRPr="00CE38CA">
        <w:rPr>
          <w:sz w:val="20"/>
          <w:lang w:val="en-GB"/>
        </w:rPr>
        <w:t xml:space="preserve">Human Development Index </w:t>
      </w:r>
      <w:r w:rsidR="00CE38CA">
        <w:rPr>
          <w:sz w:val="20"/>
          <w:lang w:val="en-GB"/>
        </w:rPr>
        <w:t xml:space="preserve">rating was </w:t>
      </w:r>
      <w:r w:rsidRPr="00CE38CA">
        <w:rPr>
          <w:sz w:val="20"/>
          <w:lang w:val="en-GB"/>
        </w:rPr>
        <w:t>0.819, which rank</w:t>
      </w:r>
      <w:r w:rsidR="00CE38CA">
        <w:rPr>
          <w:sz w:val="20"/>
          <w:lang w:val="en-GB"/>
        </w:rPr>
        <w:t>ed</w:t>
      </w:r>
      <w:r w:rsidRPr="00CE38CA">
        <w:rPr>
          <w:sz w:val="20"/>
          <w:lang w:val="en-GB"/>
        </w:rPr>
        <w:t xml:space="preserve"> Chile first in Latin America. However, </w:t>
      </w:r>
      <w:r w:rsidR="00CE38CA">
        <w:rPr>
          <w:sz w:val="20"/>
          <w:lang w:val="en-GB"/>
        </w:rPr>
        <w:t xml:space="preserve">its </w:t>
      </w:r>
      <w:r w:rsidRPr="00CE38CA">
        <w:rPr>
          <w:sz w:val="20"/>
          <w:lang w:val="en-GB"/>
        </w:rPr>
        <w:t xml:space="preserve">Gini coefficient </w:t>
      </w:r>
      <w:r w:rsidR="00CE38CA">
        <w:rPr>
          <w:sz w:val="20"/>
          <w:lang w:val="en-GB"/>
        </w:rPr>
        <w:t>was</w:t>
      </w:r>
      <w:r w:rsidRPr="00CE38CA">
        <w:rPr>
          <w:sz w:val="20"/>
          <w:lang w:val="en-GB"/>
        </w:rPr>
        <w:t xml:space="preserve"> 0.52 </w:t>
      </w:r>
      <w:r w:rsidR="00CE38CA">
        <w:rPr>
          <w:sz w:val="20"/>
          <w:lang w:val="en-GB"/>
        </w:rPr>
        <w:t xml:space="preserve">in </w:t>
      </w:r>
      <w:r w:rsidRPr="00CE38CA">
        <w:rPr>
          <w:sz w:val="20"/>
          <w:lang w:val="en-GB"/>
        </w:rPr>
        <w:t xml:space="preserve">2011, which </w:t>
      </w:r>
      <w:r w:rsidR="00CE38CA">
        <w:rPr>
          <w:sz w:val="20"/>
          <w:lang w:val="en-GB"/>
        </w:rPr>
        <w:t>wa</w:t>
      </w:r>
      <w:r w:rsidRPr="00CE38CA">
        <w:rPr>
          <w:sz w:val="20"/>
          <w:lang w:val="en-GB"/>
        </w:rPr>
        <w:t>s much higher than the OECD average (0.31</w:t>
      </w:r>
      <w:r w:rsidRPr="00CE38CA">
        <w:rPr>
          <w:sz w:val="20"/>
          <w:vertAlign w:val="superscript"/>
          <w:lang w:val="en-GB"/>
        </w:rPr>
        <w:footnoteReference w:id="3"/>
      </w:r>
      <w:r w:rsidRPr="00CE38CA">
        <w:rPr>
          <w:sz w:val="20"/>
          <w:lang w:val="en-GB"/>
        </w:rPr>
        <w:t xml:space="preserve">).  </w:t>
      </w:r>
    </w:p>
    <w:p w14:paraId="679193E6" w14:textId="25A00C83" w:rsidR="00781F09" w:rsidRPr="00CE38CA" w:rsidRDefault="00781F09" w:rsidP="004F7D06">
      <w:pPr>
        <w:pStyle w:val="Normal1"/>
        <w:numPr>
          <w:ilvl w:val="0"/>
          <w:numId w:val="36"/>
        </w:numPr>
        <w:tabs>
          <w:tab w:val="left" w:pos="284"/>
        </w:tabs>
        <w:spacing w:after="120"/>
        <w:ind w:left="1247" w:right="794" w:firstLine="0"/>
        <w:jc w:val="both"/>
        <w:rPr>
          <w:sz w:val="20"/>
          <w:lang w:val="en-GB"/>
        </w:rPr>
      </w:pPr>
      <w:r w:rsidRPr="00CE38CA">
        <w:rPr>
          <w:sz w:val="20"/>
          <w:lang w:val="en-GB"/>
        </w:rPr>
        <w:t>After 24 years of democracy, Chile presents a high level of governmental effectiveness and stability. In 2012, Chile led the Latin American Government Effectiveness Index.</w:t>
      </w:r>
      <w:r w:rsidRPr="00CE38CA">
        <w:rPr>
          <w:sz w:val="20"/>
          <w:vertAlign w:val="superscript"/>
          <w:lang w:val="en-GB"/>
        </w:rPr>
        <w:footnoteReference w:id="4"/>
      </w:r>
      <w:r w:rsidRPr="00CE38CA">
        <w:rPr>
          <w:sz w:val="20"/>
          <w:lang w:val="en-GB"/>
        </w:rPr>
        <w:t xml:space="preserve">  However, considering </w:t>
      </w:r>
      <w:r w:rsidR="008C2B41" w:rsidRPr="00CE38CA">
        <w:rPr>
          <w:sz w:val="20"/>
          <w:lang w:val="en-GB"/>
        </w:rPr>
        <w:t xml:space="preserve">the </w:t>
      </w:r>
      <w:r w:rsidRPr="00CE38CA">
        <w:rPr>
          <w:sz w:val="20"/>
          <w:lang w:val="en-GB"/>
        </w:rPr>
        <w:t>functioning of its democratic system and its institutions as a whole, the nation presents uneven progress and challenges. Between 1990 and 2013, the electoral participation in Chile dropped by 35</w:t>
      </w:r>
      <w:r w:rsidR="00152089">
        <w:rPr>
          <w:sz w:val="20"/>
          <w:lang w:val="en-GB"/>
        </w:rPr>
        <w:t xml:space="preserve"> per cent</w:t>
      </w:r>
      <w:r w:rsidRPr="00CE38CA">
        <w:rPr>
          <w:sz w:val="20"/>
          <w:lang w:val="en-GB"/>
        </w:rPr>
        <w:t>, especially among young people. In 2012, only 28</w:t>
      </w:r>
      <w:r w:rsidR="00152089">
        <w:rPr>
          <w:sz w:val="20"/>
          <w:lang w:val="en-GB"/>
        </w:rPr>
        <w:t xml:space="preserve"> per cent</w:t>
      </w:r>
      <w:r w:rsidRPr="00CE38CA">
        <w:rPr>
          <w:sz w:val="20"/>
          <w:lang w:val="en-GB"/>
        </w:rPr>
        <w:t xml:space="preserve"> of survey respondents, between the ages of 18 and 24, stated that they had voted in the local elections that year</w:t>
      </w:r>
      <w:r w:rsidR="00152089">
        <w:rPr>
          <w:sz w:val="20"/>
          <w:lang w:val="en-GB"/>
        </w:rPr>
        <w:t>.</w:t>
      </w:r>
      <w:r w:rsidRPr="00CE38CA">
        <w:rPr>
          <w:sz w:val="20"/>
          <w:vertAlign w:val="superscript"/>
          <w:lang w:val="en-GB"/>
        </w:rPr>
        <w:footnoteReference w:id="5"/>
      </w:r>
      <w:r w:rsidRPr="00CE38CA">
        <w:rPr>
          <w:sz w:val="20"/>
          <w:lang w:val="en-GB"/>
        </w:rPr>
        <w:t xml:space="preserve"> In addition, there is a deficit </w:t>
      </w:r>
      <w:r w:rsidR="00152089">
        <w:rPr>
          <w:sz w:val="20"/>
          <w:lang w:val="en-GB"/>
        </w:rPr>
        <w:t xml:space="preserve">in women’s </w:t>
      </w:r>
      <w:r w:rsidRPr="00CE38CA">
        <w:rPr>
          <w:sz w:val="20"/>
          <w:lang w:val="en-GB"/>
        </w:rPr>
        <w:t xml:space="preserve">representation, </w:t>
      </w:r>
      <w:r w:rsidR="00152089">
        <w:rPr>
          <w:sz w:val="20"/>
          <w:lang w:val="en-GB"/>
        </w:rPr>
        <w:t xml:space="preserve">with </w:t>
      </w:r>
      <w:r w:rsidRPr="00CE38CA">
        <w:rPr>
          <w:sz w:val="20"/>
          <w:lang w:val="en-GB"/>
        </w:rPr>
        <w:t>only 13.9</w:t>
      </w:r>
      <w:r w:rsidR="00152089">
        <w:rPr>
          <w:sz w:val="20"/>
          <w:lang w:val="en-GB"/>
        </w:rPr>
        <w:t xml:space="preserve"> per cent</w:t>
      </w:r>
      <w:r w:rsidRPr="00CE38CA">
        <w:rPr>
          <w:sz w:val="20"/>
          <w:lang w:val="en-GB"/>
        </w:rPr>
        <w:t xml:space="preserve"> of members of Congress </w:t>
      </w:r>
      <w:r w:rsidR="00152089">
        <w:rPr>
          <w:sz w:val="20"/>
          <w:lang w:val="en-GB"/>
        </w:rPr>
        <w:t xml:space="preserve">being </w:t>
      </w:r>
      <w:r w:rsidRPr="00CE38CA">
        <w:rPr>
          <w:sz w:val="20"/>
          <w:lang w:val="en-GB"/>
        </w:rPr>
        <w:t>women</w:t>
      </w:r>
      <w:r w:rsidR="00152089">
        <w:rPr>
          <w:sz w:val="20"/>
          <w:lang w:val="en-GB"/>
        </w:rPr>
        <w:t>.</w:t>
      </w:r>
      <w:r w:rsidRPr="00CE38CA">
        <w:rPr>
          <w:sz w:val="20"/>
          <w:lang w:val="en-GB"/>
        </w:rPr>
        <w:t xml:space="preserve"> </w:t>
      </w:r>
      <w:r w:rsidR="00152089">
        <w:rPr>
          <w:sz w:val="20"/>
          <w:lang w:val="en-GB"/>
        </w:rPr>
        <w:t xml:space="preserve">Similarly, </w:t>
      </w:r>
      <w:r w:rsidRPr="00CE38CA">
        <w:rPr>
          <w:sz w:val="20"/>
          <w:lang w:val="en-GB"/>
        </w:rPr>
        <w:t>other groups</w:t>
      </w:r>
      <w:r w:rsidR="00152089">
        <w:rPr>
          <w:sz w:val="20"/>
          <w:lang w:val="en-GB"/>
        </w:rPr>
        <w:t xml:space="preserve"> also have low levels of representation: </w:t>
      </w:r>
      <w:r w:rsidRPr="00CE38CA">
        <w:rPr>
          <w:sz w:val="20"/>
          <w:lang w:val="en-GB"/>
        </w:rPr>
        <w:t>young people (15</w:t>
      </w:r>
      <w:r w:rsidR="00152089">
        <w:rPr>
          <w:sz w:val="20"/>
          <w:lang w:val="en-GB"/>
        </w:rPr>
        <w:t xml:space="preserve"> per cent</w:t>
      </w:r>
      <w:r w:rsidRPr="00CE38CA">
        <w:rPr>
          <w:sz w:val="20"/>
          <w:lang w:val="en-GB"/>
        </w:rPr>
        <w:t xml:space="preserve"> of members of Congress are between the ages of 21 and 35 compared to the 33.3</w:t>
      </w:r>
      <w:r w:rsidR="003A7091">
        <w:rPr>
          <w:sz w:val="20"/>
          <w:lang w:val="en-GB"/>
        </w:rPr>
        <w:t xml:space="preserve"> per cent</w:t>
      </w:r>
      <w:r w:rsidRPr="00CE38CA">
        <w:rPr>
          <w:sz w:val="20"/>
          <w:lang w:val="en-GB"/>
        </w:rPr>
        <w:t xml:space="preserve"> who are 55 or older</w:t>
      </w:r>
      <w:r w:rsidRPr="00CE38CA">
        <w:rPr>
          <w:sz w:val="20"/>
          <w:vertAlign w:val="superscript"/>
          <w:lang w:val="en-GB"/>
        </w:rPr>
        <w:footnoteReference w:id="6"/>
      </w:r>
      <w:r w:rsidRPr="00CE38CA">
        <w:rPr>
          <w:sz w:val="20"/>
          <w:lang w:val="en-GB"/>
        </w:rPr>
        <w:t>) and indigenous people (no member of Congress identifies him or herself as a representative of an indigenous group</w:t>
      </w:r>
      <w:r w:rsidRPr="00CE38CA">
        <w:rPr>
          <w:sz w:val="20"/>
          <w:vertAlign w:val="superscript"/>
          <w:lang w:val="en-GB"/>
        </w:rPr>
        <w:footnoteReference w:id="7"/>
      </w:r>
      <w:r w:rsidRPr="00CE38CA">
        <w:rPr>
          <w:sz w:val="20"/>
          <w:lang w:val="en-GB"/>
        </w:rPr>
        <w:t>). There are also limited spaces and mechanisms for formal participation in the public-government sphere and a low level of satisfaction with the functioning of democracy (59</w:t>
      </w:r>
      <w:r w:rsidR="003A7091">
        <w:rPr>
          <w:sz w:val="20"/>
          <w:lang w:val="en-GB"/>
        </w:rPr>
        <w:t xml:space="preserve"> per cent</w:t>
      </w:r>
      <w:r w:rsidRPr="00CE38CA">
        <w:rPr>
          <w:sz w:val="20"/>
          <w:lang w:val="en-GB"/>
        </w:rPr>
        <w:t xml:space="preserve"> of respondents stated that they were </w:t>
      </w:r>
      <w:r w:rsidR="003A7091">
        <w:rPr>
          <w:sz w:val="20"/>
          <w:lang w:val="en-GB"/>
        </w:rPr>
        <w:t>‘</w:t>
      </w:r>
      <w:r w:rsidRPr="00CE38CA">
        <w:rPr>
          <w:sz w:val="20"/>
          <w:lang w:val="en-GB"/>
        </w:rPr>
        <w:t>not very</w:t>
      </w:r>
      <w:r w:rsidR="003A7091">
        <w:rPr>
          <w:sz w:val="20"/>
          <w:lang w:val="en-GB"/>
        </w:rPr>
        <w:t>’</w:t>
      </w:r>
      <w:r w:rsidRPr="00CE38CA">
        <w:rPr>
          <w:sz w:val="20"/>
          <w:lang w:val="en-GB"/>
        </w:rPr>
        <w:t xml:space="preserve"> or </w:t>
      </w:r>
      <w:r w:rsidR="003A7091">
        <w:rPr>
          <w:sz w:val="20"/>
          <w:lang w:val="en-GB"/>
        </w:rPr>
        <w:t>‘</w:t>
      </w:r>
      <w:r w:rsidRPr="00CE38CA">
        <w:rPr>
          <w:sz w:val="20"/>
          <w:lang w:val="en-GB"/>
        </w:rPr>
        <w:t>not at all</w:t>
      </w:r>
      <w:r w:rsidR="003A7091">
        <w:rPr>
          <w:sz w:val="20"/>
          <w:lang w:val="en-GB"/>
        </w:rPr>
        <w:t>’</w:t>
      </w:r>
      <w:r w:rsidRPr="00CE38CA">
        <w:rPr>
          <w:sz w:val="20"/>
          <w:lang w:val="en-GB"/>
        </w:rPr>
        <w:t xml:space="preserve"> satisfied with the democratic system).</w:t>
      </w:r>
      <w:r w:rsidRPr="00CE38CA">
        <w:rPr>
          <w:sz w:val="20"/>
          <w:vertAlign w:val="superscript"/>
          <w:lang w:val="en-GB"/>
        </w:rPr>
        <w:footnoteReference w:id="8"/>
      </w:r>
      <w:r w:rsidRPr="00CE38CA">
        <w:rPr>
          <w:sz w:val="20"/>
          <w:lang w:val="en-GB"/>
        </w:rPr>
        <w:t xml:space="preserve"> The causes of this situation are multiple and complex and interact with one another. On the one hand, the electoral system generates underrepresentation of certain sectors (since 1990, the two main coalitions have obtained an average of 97</w:t>
      </w:r>
      <w:r w:rsidR="003A7091">
        <w:rPr>
          <w:sz w:val="20"/>
          <w:lang w:val="en-GB"/>
        </w:rPr>
        <w:t xml:space="preserve"> per cent</w:t>
      </w:r>
      <w:r w:rsidRPr="00CE38CA">
        <w:rPr>
          <w:sz w:val="20"/>
          <w:lang w:val="en-GB"/>
        </w:rPr>
        <w:t xml:space="preserve"> of seats in a stable manner, despite a 35</w:t>
      </w:r>
      <w:r w:rsidR="003A7091">
        <w:rPr>
          <w:sz w:val="20"/>
          <w:lang w:val="en-GB"/>
        </w:rPr>
        <w:t xml:space="preserve"> per cent</w:t>
      </w:r>
      <w:r w:rsidRPr="00CE38CA">
        <w:rPr>
          <w:sz w:val="20"/>
          <w:lang w:val="en-GB"/>
        </w:rPr>
        <w:t xml:space="preserve"> decrease in the number of votes obtained</w:t>
      </w:r>
      <w:r w:rsidRPr="00CE38CA">
        <w:rPr>
          <w:sz w:val="20"/>
          <w:vertAlign w:val="superscript"/>
          <w:lang w:val="en-GB"/>
        </w:rPr>
        <w:footnoteReference w:id="9"/>
      </w:r>
      <w:r w:rsidRPr="00CE38CA">
        <w:rPr>
          <w:sz w:val="20"/>
          <w:lang w:val="en-GB"/>
        </w:rPr>
        <w:t xml:space="preserve">). In addition, parties that do not have public financing have reduced capacity </w:t>
      </w:r>
      <w:r w:rsidR="003A7091">
        <w:rPr>
          <w:sz w:val="20"/>
          <w:lang w:val="en-GB"/>
        </w:rPr>
        <w:t xml:space="preserve">to </w:t>
      </w:r>
      <w:r w:rsidRPr="00CE38CA">
        <w:rPr>
          <w:sz w:val="20"/>
          <w:lang w:val="en-GB"/>
        </w:rPr>
        <w:t xml:space="preserve">influence. </w:t>
      </w:r>
      <w:r w:rsidR="003A7091">
        <w:rPr>
          <w:sz w:val="20"/>
          <w:lang w:val="en-GB"/>
        </w:rPr>
        <w:t>I</w:t>
      </w:r>
      <w:r w:rsidRPr="00CE38CA">
        <w:rPr>
          <w:sz w:val="20"/>
          <w:lang w:val="en-GB"/>
        </w:rPr>
        <w:t>nsufficient regulatory frameworks in the areas of probity and integrity of public service affect the operation of institutions such as the Congress, which along with political parties, ha</w:t>
      </w:r>
      <w:r w:rsidR="003A7091">
        <w:rPr>
          <w:sz w:val="20"/>
          <w:lang w:val="en-GB"/>
        </w:rPr>
        <w:t>s</w:t>
      </w:r>
      <w:r w:rsidRPr="00CE38CA">
        <w:rPr>
          <w:sz w:val="20"/>
          <w:lang w:val="en-GB"/>
        </w:rPr>
        <w:t xml:space="preserve"> a low level of public confidence</w:t>
      </w:r>
      <w:r w:rsidR="003A7091">
        <w:rPr>
          <w:sz w:val="20"/>
          <w:lang w:val="en-GB"/>
        </w:rPr>
        <w:t>.</w:t>
      </w:r>
      <w:r w:rsidRPr="00CE38CA">
        <w:rPr>
          <w:sz w:val="20"/>
          <w:vertAlign w:val="superscript"/>
          <w:lang w:val="en-GB"/>
        </w:rPr>
        <w:footnoteReference w:id="10"/>
      </w:r>
      <w:r w:rsidRPr="00CE38CA">
        <w:rPr>
          <w:sz w:val="20"/>
          <w:lang w:val="en-GB"/>
        </w:rPr>
        <w:t xml:space="preserve"> </w:t>
      </w:r>
    </w:p>
    <w:p w14:paraId="56E3C79A" w14:textId="1EE18247" w:rsidR="00781F09" w:rsidRPr="00CE38CA" w:rsidRDefault="00781F09" w:rsidP="004F7D06">
      <w:pPr>
        <w:pStyle w:val="Normal1"/>
        <w:numPr>
          <w:ilvl w:val="0"/>
          <w:numId w:val="36"/>
        </w:numPr>
        <w:tabs>
          <w:tab w:val="left" w:pos="284"/>
        </w:tabs>
        <w:spacing w:after="120"/>
        <w:ind w:left="1247" w:right="794" w:firstLine="0"/>
        <w:jc w:val="both"/>
        <w:rPr>
          <w:sz w:val="20"/>
          <w:lang w:val="en-GB"/>
        </w:rPr>
      </w:pPr>
      <w:r w:rsidRPr="00CE38CA">
        <w:rPr>
          <w:sz w:val="20"/>
          <w:lang w:val="en-GB"/>
        </w:rPr>
        <w:t xml:space="preserve">Therefore, macroeconomic </w:t>
      </w:r>
      <w:r w:rsidR="008A6CB7" w:rsidRPr="00CE38CA">
        <w:rPr>
          <w:sz w:val="20"/>
          <w:lang w:val="en-GB"/>
        </w:rPr>
        <w:t>wealth</w:t>
      </w:r>
      <w:r w:rsidRPr="00CE38CA">
        <w:rPr>
          <w:sz w:val="20"/>
          <w:lang w:val="en-GB"/>
        </w:rPr>
        <w:t xml:space="preserve"> and institutional stability</w:t>
      </w:r>
      <w:r w:rsidR="008A6CB7">
        <w:rPr>
          <w:sz w:val="20"/>
          <w:lang w:val="en-GB"/>
        </w:rPr>
        <w:t>,</w:t>
      </w:r>
      <w:r w:rsidRPr="00CE38CA">
        <w:rPr>
          <w:sz w:val="20"/>
          <w:lang w:val="en-GB"/>
        </w:rPr>
        <w:t xml:space="preserve"> in a context of limited representation and confidence in the democratic system, has </w:t>
      </w:r>
      <w:r w:rsidR="000D2D15" w:rsidRPr="00CE38CA">
        <w:rPr>
          <w:sz w:val="20"/>
          <w:lang w:val="en-GB"/>
        </w:rPr>
        <w:t xml:space="preserve">not </w:t>
      </w:r>
      <w:r w:rsidR="008A6CB7">
        <w:rPr>
          <w:sz w:val="20"/>
          <w:lang w:val="en-GB"/>
        </w:rPr>
        <w:t xml:space="preserve">led to </w:t>
      </w:r>
      <w:r w:rsidRPr="00CE38CA">
        <w:rPr>
          <w:sz w:val="20"/>
          <w:lang w:val="en-GB"/>
        </w:rPr>
        <w:t xml:space="preserve">equitable and sustainable human development or effective citizen participation, which is reflected in the social movements that began in 2011. Demands for the reduction of social, political, economic, ethnic, gender and territorial inequalities, </w:t>
      </w:r>
      <w:r w:rsidR="008A6CB7">
        <w:rPr>
          <w:sz w:val="20"/>
          <w:lang w:val="en-GB"/>
        </w:rPr>
        <w:t>in addition</w:t>
      </w:r>
      <w:r w:rsidR="008A6CB7" w:rsidRPr="00CE38CA">
        <w:rPr>
          <w:sz w:val="20"/>
          <w:lang w:val="en-GB"/>
        </w:rPr>
        <w:t xml:space="preserve"> </w:t>
      </w:r>
      <w:r w:rsidRPr="00CE38CA">
        <w:rPr>
          <w:sz w:val="20"/>
          <w:lang w:val="en-GB"/>
        </w:rPr>
        <w:t xml:space="preserve">to unequal exercise of rights, are at the core of the challenges the country </w:t>
      </w:r>
      <w:r w:rsidR="008A6CB7">
        <w:rPr>
          <w:sz w:val="20"/>
          <w:lang w:val="en-GB"/>
        </w:rPr>
        <w:t xml:space="preserve">must face </w:t>
      </w:r>
      <w:r w:rsidRPr="00CE38CA">
        <w:rPr>
          <w:sz w:val="20"/>
          <w:lang w:val="en-GB"/>
        </w:rPr>
        <w:t xml:space="preserve">and </w:t>
      </w:r>
      <w:r w:rsidR="008A6CB7">
        <w:rPr>
          <w:sz w:val="20"/>
          <w:lang w:val="en-GB"/>
        </w:rPr>
        <w:t>address</w:t>
      </w:r>
      <w:r w:rsidR="008A6CB7" w:rsidRPr="00CE38CA">
        <w:rPr>
          <w:sz w:val="20"/>
          <w:lang w:val="en-GB"/>
        </w:rPr>
        <w:t xml:space="preserve"> </w:t>
      </w:r>
      <w:r w:rsidRPr="00CE38CA">
        <w:rPr>
          <w:sz w:val="20"/>
          <w:lang w:val="en-GB"/>
        </w:rPr>
        <w:t>in the areas of income and wealth, which in turn impact basic aspects for quality of life</w:t>
      </w:r>
      <w:r w:rsidR="008A6CB7">
        <w:rPr>
          <w:sz w:val="20"/>
          <w:lang w:val="en-GB"/>
        </w:rPr>
        <w:t>,</w:t>
      </w:r>
      <w:r w:rsidRPr="00CE38CA">
        <w:rPr>
          <w:sz w:val="20"/>
          <w:lang w:val="en-GB"/>
        </w:rPr>
        <w:t xml:space="preserve"> such as health, education and the possibility to enjoy a healthy environment. Inequalities </w:t>
      </w:r>
      <w:r w:rsidR="008A6CB7">
        <w:rPr>
          <w:sz w:val="20"/>
          <w:lang w:val="en-GB"/>
        </w:rPr>
        <w:t xml:space="preserve">mainly </w:t>
      </w:r>
      <w:r w:rsidRPr="00CE38CA">
        <w:rPr>
          <w:sz w:val="20"/>
          <w:lang w:val="en-GB"/>
        </w:rPr>
        <w:t xml:space="preserve">affect lower income groups, including female heads of household, youth, indigenous people and the population living outside the capital city, which demonstrates the need to promote policies that address these inequalities. The </w:t>
      </w:r>
      <w:r w:rsidR="008A6CB7">
        <w:rPr>
          <w:sz w:val="20"/>
          <w:lang w:val="en-GB"/>
        </w:rPr>
        <w:t>Millennium Develop</w:t>
      </w:r>
      <w:r w:rsidR="00C37F32">
        <w:rPr>
          <w:sz w:val="20"/>
          <w:lang w:val="en-GB"/>
        </w:rPr>
        <w:t>ment</w:t>
      </w:r>
      <w:r w:rsidR="008A6CB7">
        <w:rPr>
          <w:sz w:val="20"/>
          <w:lang w:val="en-GB"/>
        </w:rPr>
        <w:t xml:space="preserve"> Goals (</w:t>
      </w:r>
      <w:r w:rsidRPr="00CE38CA">
        <w:rPr>
          <w:sz w:val="20"/>
          <w:lang w:val="en-GB"/>
        </w:rPr>
        <w:t>MDG</w:t>
      </w:r>
      <w:r w:rsidR="008A6CB7">
        <w:rPr>
          <w:sz w:val="20"/>
          <w:lang w:val="en-GB"/>
        </w:rPr>
        <w:t>)</w:t>
      </w:r>
      <w:r w:rsidRPr="00CE38CA">
        <w:rPr>
          <w:sz w:val="20"/>
          <w:lang w:val="en-GB"/>
        </w:rPr>
        <w:t xml:space="preserve"> report</w:t>
      </w:r>
      <w:r w:rsidR="00392CAB">
        <w:rPr>
          <w:sz w:val="20"/>
          <w:lang w:val="en-GB"/>
        </w:rPr>
        <w:t xml:space="preserve"> 2012</w:t>
      </w:r>
      <w:r w:rsidRPr="00CE38CA">
        <w:rPr>
          <w:sz w:val="20"/>
          <w:lang w:val="en-GB"/>
        </w:rPr>
        <w:t xml:space="preserve"> on the indigenous population showed the gaps that persist between the indigenous population and non-indigenous groups (regarding poverty, 19.2</w:t>
      </w:r>
      <w:r w:rsidR="008A6CB7">
        <w:rPr>
          <w:sz w:val="20"/>
          <w:lang w:val="en-GB"/>
        </w:rPr>
        <w:t xml:space="preserve"> per cent</w:t>
      </w:r>
      <w:r w:rsidRPr="00CE38CA">
        <w:rPr>
          <w:sz w:val="20"/>
          <w:lang w:val="en-GB"/>
        </w:rPr>
        <w:t xml:space="preserve"> v</w:t>
      </w:r>
      <w:r w:rsidR="008A6CB7">
        <w:rPr>
          <w:sz w:val="20"/>
          <w:lang w:val="en-GB"/>
        </w:rPr>
        <w:t>ersus</w:t>
      </w:r>
      <w:r w:rsidRPr="00CE38CA">
        <w:rPr>
          <w:sz w:val="20"/>
          <w:lang w:val="en-GB"/>
        </w:rPr>
        <w:t xml:space="preserve"> 14.4</w:t>
      </w:r>
      <w:r w:rsidR="008A6CB7">
        <w:rPr>
          <w:sz w:val="20"/>
          <w:lang w:val="en-GB"/>
        </w:rPr>
        <w:t xml:space="preserve"> per </w:t>
      </w:r>
      <w:r w:rsidR="008A6CB7">
        <w:rPr>
          <w:sz w:val="20"/>
          <w:lang w:val="en-GB"/>
        </w:rPr>
        <w:lastRenderedPageBreak/>
        <w:t>cent, respectively</w:t>
      </w:r>
      <w:r w:rsidRPr="00CE38CA">
        <w:rPr>
          <w:sz w:val="20"/>
          <w:vertAlign w:val="superscript"/>
          <w:lang w:val="en-GB"/>
        </w:rPr>
        <w:footnoteReference w:id="11"/>
      </w:r>
      <w:r w:rsidRPr="00CE38CA">
        <w:rPr>
          <w:sz w:val="20"/>
          <w:lang w:val="en-GB"/>
        </w:rPr>
        <w:t>) as well as the absence of information disaggregated by ethnic groups.</w:t>
      </w:r>
      <w:r w:rsidRPr="00CE38CA">
        <w:rPr>
          <w:sz w:val="20"/>
          <w:vertAlign w:val="superscript"/>
          <w:lang w:val="en-GB"/>
        </w:rPr>
        <w:footnoteReference w:id="12"/>
      </w:r>
      <w:r w:rsidRPr="00CE38CA">
        <w:rPr>
          <w:sz w:val="20"/>
          <w:lang w:val="en-GB"/>
        </w:rPr>
        <w:t xml:space="preserve"> </w:t>
      </w:r>
    </w:p>
    <w:p w14:paraId="7B6D521B" w14:textId="57D4165E" w:rsidR="00781F09" w:rsidRPr="00CE38CA" w:rsidRDefault="00781F09" w:rsidP="004F7D06">
      <w:pPr>
        <w:pStyle w:val="Normal1"/>
        <w:numPr>
          <w:ilvl w:val="0"/>
          <w:numId w:val="36"/>
        </w:numPr>
        <w:tabs>
          <w:tab w:val="left" w:pos="284"/>
        </w:tabs>
        <w:spacing w:after="120"/>
        <w:ind w:left="1247" w:right="794" w:firstLine="0"/>
        <w:jc w:val="both"/>
        <w:rPr>
          <w:sz w:val="20"/>
          <w:lang w:val="en-GB"/>
        </w:rPr>
      </w:pPr>
      <w:r w:rsidRPr="00CE38CA">
        <w:rPr>
          <w:sz w:val="20"/>
          <w:lang w:val="en-GB"/>
        </w:rPr>
        <w:t>On the other hand, the current economic model generates tensions between conservation and sustainability policies and the maintenance of economic development levels. This is also reflected in the levels of unequal access to environmental goods and services. The new institutions of environmental and energy governance, established in 2010, including the ministries of Environment and Energy, the Council of Ministers for Sustainability and Climate Change along with other services, has raised the hierarchy of environmental issues and increased inter-sectoral coordination. However, challenges remain regarding the definition of sectoral competences, mainly on conservation and use of protected areas, and more effective participation of regions, municipalities and citizens in decision-making. In this sense, 62</w:t>
      </w:r>
      <w:r w:rsidR="004C2BCD">
        <w:rPr>
          <w:sz w:val="20"/>
          <w:lang w:val="en-GB"/>
        </w:rPr>
        <w:t xml:space="preserve"> per cent</w:t>
      </w:r>
      <w:r w:rsidRPr="00CE38CA">
        <w:rPr>
          <w:sz w:val="20"/>
          <w:lang w:val="en-GB"/>
        </w:rPr>
        <w:t xml:space="preserve"> of Chile’s territory is affected by desertification, </w:t>
      </w:r>
      <w:r w:rsidR="004C2BCD">
        <w:rPr>
          <w:sz w:val="20"/>
          <w:lang w:val="en-GB"/>
        </w:rPr>
        <w:t xml:space="preserve">which </w:t>
      </w:r>
      <w:r w:rsidRPr="00CE38CA">
        <w:rPr>
          <w:sz w:val="20"/>
          <w:lang w:val="en-GB"/>
        </w:rPr>
        <w:t>has an impact on 1.7 million people</w:t>
      </w:r>
      <w:r w:rsidR="004C2BCD">
        <w:rPr>
          <w:sz w:val="20"/>
          <w:lang w:val="en-GB"/>
        </w:rPr>
        <w:t>,</w:t>
      </w:r>
      <w:r w:rsidRPr="00CE38CA">
        <w:rPr>
          <w:sz w:val="20"/>
          <w:vertAlign w:val="superscript"/>
          <w:lang w:val="en-GB"/>
        </w:rPr>
        <w:footnoteReference w:id="13"/>
      </w:r>
      <w:r w:rsidRPr="00CE38CA">
        <w:rPr>
          <w:sz w:val="20"/>
          <w:lang w:val="en-GB"/>
        </w:rPr>
        <w:t xml:space="preserve"> mainly in rural areas, where inhabitants face greater levels of poverty and migration. Chile has 1.4 million hectares to be reforested, which represents an opportunity for local economic and sustainable business development actions</w:t>
      </w:r>
      <w:r w:rsidR="004C2BCD">
        <w:rPr>
          <w:sz w:val="20"/>
          <w:lang w:val="en-GB"/>
        </w:rPr>
        <w:t>.</w:t>
      </w:r>
      <w:r w:rsidRPr="00CE38CA">
        <w:rPr>
          <w:sz w:val="20"/>
          <w:vertAlign w:val="superscript"/>
          <w:lang w:val="en-GB"/>
        </w:rPr>
        <w:footnoteReference w:id="14"/>
      </w:r>
      <w:r w:rsidRPr="00CE38CA">
        <w:rPr>
          <w:sz w:val="20"/>
          <w:lang w:val="en-GB"/>
        </w:rPr>
        <w:t xml:space="preserve"> The National Biodiversity Strategy, currently under review, identified over 300 priority sites for conservation that need to be incorporated </w:t>
      </w:r>
      <w:r w:rsidR="004C2BCD">
        <w:rPr>
          <w:sz w:val="20"/>
          <w:lang w:val="en-GB"/>
        </w:rPr>
        <w:t>in</w:t>
      </w:r>
      <w:r w:rsidRPr="00CE38CA">
        <w:rPr>
          <w:sz w:val="20"/>
          <w:lang w:val="en-GB"/>
        </w:rPr>
        <w:t>to the new Strategic Biodiversity Plan (2011-2020</w:t>
      </w:r>
      <w:r w:rsidRPr="00CE38CA">
        <w:rPr>
          <w:sz w:val="20"/>
          <w:vertAlign w:val="superscript"/>
          <w:lang w:val="en-GB"/>
        </w:rPr>
        <w:footnoteReference w:id="15"/>
      </w:r>
      <w:r w:rsidRPr="00CE38CA">
        <w:rPr>
          <w:sz w:val="20"/>
          <w:lang w:val="en-GB"/>
        </w:rPr>
        <w:t>) and the Aichi Targets. The presence of non-conventional renewable energies in the country’s electricity generation matrix reached 3.9</w:t>
      </w:r>
      <w:r w:rsidR="004C2BCD">
        <w:rPr>
          <w:sz w:val="20"/>
          <w:lang w:val="en-GB"/>
        </w:rPr>
        <w:t xml:space="preserve"> per cent</w:t>
      </w:r>
      <w:r w:rsidRPr="00CE38CA">
        <w:rPr>
          <w:sz w:val="20"/>
          <w:lang w:val="en-GB"/>
        </w:rPr>
        <w:t xml:space="preserve"> of the installed capacity for electricity generation in November 2010</w:t>
      </w:r>
      <w:r w:rsidR="004C2BCD">
        <w:rPr>
          <w:sz w:val="20"/>
          <w:lang w:val="en-GB"/>
        </w:rPr>
        <w:t>.</w:t>
      </w:r>
      <w:r w:rsidRPr="00CE38CA">
        <w:rPr>
          <w:sz w:val="20"/>
          <w:vertAlign w:val="superscript"/>
          <w:lang w:val="en-GB"/>
        </w:rPr>
        <w:footnoteReference w:id="16"/>
      </w:r>
      <w:r w:rsidRPr="00CE38CA">
        <w:rPr>
          <w:sz w:val="20"/>
          <w:lang w:val="en-GB"/>
        </w:rPr>
        <w:t xml:space="preserve"> The goal is to reach 20</w:t>
      </w:r>
      <w:r w:rsidR="004C2BCD">
        <w:rPr>
          <w:sz w:val="20"/>
          <w:lang w:val="en-GB"/>
        </w:rPr>
        <w:t xml:space="preserve"> per cent </w:t>
      </w:r>
      <w:r w:rsidRPr="00CE38CA">
        <w:rPr>
          <w:sz w:val="20"/>
          <w:lang w:val="en-GB"/>
        </w:rPr>
        <w:t>participation of clean energies in the energy matrix by 2025 (Law 20.698). Chile is making progress in capacity building to improve the management and coordination of climate change, although there are still gaps in key information to adequately define mitigation and adaptation and progress in meeting the goal of reducing emissions by 20</w:t>
      </w:r>
      <w:r w:rsidR="004C2BCD">
        <w:rPr>
          <w:sz w:val="20"/>
          <w:lang w:val="en-GB"/>
        </w:rPr>
        <w:t xml:space="preserve"> per cent</w:t>
      </w:r>
      <w:r w:rsidRPr="00CE38CA">
        <w:rPr>
          <w:sz w:val="20"/>
          <w:lang w:val="en-GB"/>
        </w:rPr>
        <w:t xml:space="preserve"> </w:t>
      </w:r>
      <w:r w:rsidR="004C2BCD">
        <w:rPr>
          <w:sz w:val="20"/>
          <w:lang w:val="en-GB"/>
        </w:rPr>
        <w:t>by</w:t>
      </w:r>
      <w:r w:rsidRPr="00CE38CA">
        <w:rPr>
          <w:sz w:val="20"/>
          <w:lang w:val="en-GB"/>
        </w:rPr>
        <w:t xml:space="preserve"> 2020</w:t>
      </w:r>
      <w:r w:rsidR="00EE27D8" w:rsidRPr="00CE38CA">
        <w:rPr>
          <w:sz w:val="20"/>
          <w:lang w:val="en-GB"/>
        </w:rPr>
        <w:t>.</w:t>
      </w:r>
    </w:p>
    <w:p w14:paraId="2BF3DCFB" w14:textId="158CFC8C" w:rsidR="00781F09" w:rsidRPr="00CE38CA" w:rsidRDefault="00781F09" w:rsidP="004F7D06">
      <w:pPr>
        <w:pStyle w:val="Normal1"/>
        <w:numPr>
          <w:ilvl w:val="0"/>
          <w:numId w:val="36"/>
        </w:numPr>
        <w:tabs>
          <w:tab w:val="left" w:pos="284"/>
        </w:tabs>
        <w:spacing w:after="120"/>
        <w:ind w:left="1247" w:right="794" w:firstLine="0"/>
        <w:jc w:val="both"/>
        <w:rPr>
          <w:sz w:val="20"/>
          <w:lang w:val="en-GB"/>
        </w:rPr>
      </w:pPr>
      <w:r w:rsidRPr="00CE38CA">
        <w:rPr>
          <w:sz w:val="20"/>
          <w:lang w:val="en-GB"/>
        </w:rPr>
        <w:t xml:space="preserve">The natural hazards affecting Chile (earthquakes and volcanoes) </w:t>
      </w:r>
      <w:r w:rsidR="00816A57">
        <w:rPr>
          <w:sz w:val="20"/>
          <w:lang w:val="en-GB"/>
        </w:rPr>
        <w:t xml:space="preserve">have increased as a result </w:t>
      </w:r>
      <w:r w:rsidRPr="00CE38CA">
        <w:rPr>
          <w:sz w:val="20"/>
          <w:lang w:val="en-GB"/>
        </w:rPr>
        <w:t xml:space="preserve">of risk conditions related to institutional weaknesses in planning and response. The level of destruction caused by the 2010 earthquake resulted in the deployment of additional efforts to comprehensively address risk management. This process led to the drafting of a bill to create a new National Civil Protection and Emergency System and a new National Civil Protection Agency, which is pending approval. This new institutional structure could reinforce coordination of all stakeholders involved in risk reduction in line with the Hyogo Action Framework (2005-2015).  </w:t>
      </w:r>
    </w:p>
    <w:p w14:paraId="457156BC" w14:textId="15779F0E" w:rsidR="00781F09" w:rsidRPr="00CE38CA" w:rsidRDefault="00781F09" w:rsidP="004F7D06">
      <w:pPr>
        <w:pStyle w:val="Normal1"/>
        <w:numPr>
          <w:ilvl w:val="0"/>
          <w:numId w:val="36"/>
        </w:numPr>
        <w:tabs>
          <w:tab w:val="left" w:pos="284"/>
        </w:tabs>
        <w:spacing w:after="120"/>
        <w:ind w:left="1247" w:right="794" w:firstLine="0"/>
        <w:jc w:val="both"/>
        <w:rPr>
          <w:sz w:val="20"/>
          <w:lang w:val="en-GB"/>
        </w:rPr>
      </w:pPr>
      <w:r w:rsidRPr="00CE38CA">
        <w:rPr>
          <w:sz w:val="20"/>
          <w:lang w:val="en-GB"/>
        </w:rPr>
        <w:t>Chile currently has higher levels of relative development than other countries in the region. Its solid economic performance over the past few decades, the modernization of several services and productive sectors, and international recognition, have created a scenario conducive to the transfer of capacities and knowledge on successful public policies, such as the employment program</w:t>
      </w:r>
      <w:r w:rsidR="000065EE">
        <w:rPr>
          <w:sz w:val="20"/>
          <w:lang w:val="en-GB"/>
        </w:rPr>
        <w:t>me</w:t>
      </w:r>
      <w:r w:rsidRPr="00CE38CA">
        <w:rPr>
          <w:sz w:val="20"/>
          <w:lang w:val="en-GB"/>
        </w:rPr>
        <w:t xml:space="preserve"> for young people or the preschool education quality program</w:t>
      </w:r>
      <w:r w:rsidR="000065EE">
        <w:rPr>
          <w:sz w:val="20"/>
          <w:lang w:val="en-GB"/>
        </w:rPr>
        <w:t>me</w:t>
      </w:r>
      <w:r w:rsidRPr="00CE38CA">
        <w:rPr>
          <w:sz w:val="20"/>
          <w:lang w:val="en-GB"/>
        </w:rPr>
        <w:t xml:space="preserve"> executed in Haiti. This has been reflected in the large number of triangular cooperation initiatives that have allowed Chile to strengthen its position as a cooperating country in the region, with a more solid foreign policy. This process is aided by its OECD membership and its initial projections for becoming an emerging donor</w:t>
      </w:r>
      <w:r w:rsidR="000065EE">
        <w:rPr>
          <w:sz w:val="20"/>
          <w:lang w:val="en-GB"/>
        </w:rPr>
        <w:t>,</w:t>
      </w:r>
      <w:r w:rsidRPr="00CE38CA">
        <w:rPr>
          <w:sz w:val="20"/>
          <w:lang w:val="en-GB"/>
        </w:rPr>
        <w:t xml:space="preserve"> while still preserving its role as a beneficiary, receiving assistance in areas </w:t>
      </w:r>
      <w:r w:rsidR="000065EE">
        <w:rPr>
          <w:sz w:val="20"/>
          <w:lang w:val="en-GB"/>
        </w:rPr>
        <w:t>where</w:t>
      </w:r>
      <w:r w:rsidRPr="00CE38CA">
        <w:rPr>
          <w:sz w:val="20"/>
          <w:lang w:val="en-GB"/>
        </w:rPr>
        <w:t xml:space="preserve"> it presents </w:t>
      </w:r>
      <w:r w:rsidR="000065EE">
        <w:rPr>
          <w:sz w:val="20"/>
          <w:lang w:val="en-GB"/>
        </w:rPr>
        <w:t>the greatest</w:t>
      </w:r>
      <w:r w:rsidR="000065EE" w:rsidRPr="00CE38CA">
        <w:rPr>
          <w:sz w:val="20"/>
          <w:lang w:val="en-GB"/>
        </w:rPr>
        <w:t xml:space="preserve"> </w:t>
      </w:r>
      <w:r w:rsidRPr="00CE38CA">
        <w:rPr>
          <w:sz w:val="20"/>
          <w:lang w:val="en-GB"/>
        </w:rPr>
        <w:t xml:space="preserve">challenges. </w:t>
      </w:r>
    </w:p>
    <w:p w14:paraId="28194410" w14:textId="46635C0F" w:rsidR="00781F09" w:rsidRPr="00CE38CA" w:rsidRDefault="00B65FEB" w:rsidP="00533A10">
      <w:pPr>
        <w:pStyle w:val="Normal1"/>
        <w:numPr>
          <w:ilvl w:val="0"/>
          <w:numId w:val="36"/>
        </w:numPr>
        <w:tabs>
          <w:tab w:val="left" w:pos="284"/>
        </w:tabs>
        <w:ind w:left="1253" w:right="792" w:firstLine="0"/>
        <w:jc w:val="both"/>
        <w:rPr>
          <w:sz w:val="20"/>
          <w:lang w:val="en-GB"/>
        </w:rPr>
      </w:pPr>
      <w:r w:rsidRPr="00CE38CA">
        <w:rPr>
          <w:sz w:val="20"/>
          <w:lang w:val="en-GB"/>
        </w:rPr>
        <w:t xml:space="preserve">Among the main achievements during this period, UNDP has succeeded </w:t>
      </w:r>
      <w:r w:rsidR="000065EE">
        <w:rPr>
          <w:sz w:val="20"/>
          <w:lang w:val="en-GB"/>
        </w:rPr>
        <w:t xml:space="preserve">in </w:t>
      </w:r>
      <w:r w:rsidRPr="00CE38CA">
        <w:rPr>
          <w:sz w:val="20"/>
          <w:lang w:val="en-GB"/>
        </w:rPr>
        <w:t>in</w:t>
      </w:r>
      <w:r w:rsidR="00D17214" w:rsidRPr="00CE38CA">
        <w:rPr>
          <w:sz w:val="20"/>
          <w:lang w:val="en-GB"/>
        </w:rPr>
        <w:t>corporating</w:t>
      </w:r>
      <w:r w:rsidRPr="00CE38CA">
        <w:rPr>
          <w:sz w:val="20"/>
          <w:lang w:val="en-GB"/>
        </w:rPr>
        <w:t xml:space="preserve"> new approaches to analy</w:t>
      </w:r>
      <w:r w:rsidR="000065EE">
        <w:rPr>
          <w:sz w:val="20"/>
          <w:lang w:val="en-GB"/>
        </w:rPr>
        <w:t>s</w:t>
      </w:r>
      <w:r w:rsidRPr="00CE38CA">
        <w:rPr>
          <w:sz w:val="20"/>
          <w:lang w:val="en-GB"/>
        </w:rPr>
        <w:t xml:space="preserve">e, assess and report on poverty by introducing </w:t>
      </w:r>
      <w:r w:rsidR="004463C0" w:rsidRPr="00CE38CA">
        <w:rPr>
          <w:sz w:val="20"/>
          <w:lang w:val="en-GB"/>
        </w:rPr>
        <w:t xml:space="preserve">new variables </w:t>
      </w:r>
      <w:r w:rsidR="00573453" w:rsidRPr="00CE38CA">
        <w:rPr>
          <w:sz w:val="20"/>
          <w:lang w:val="en-GB"/>
        </w:rPr>
        <w:t>to complement</w:t>
      </w:r>
      <w:r w:rsidR="004463C0" w:rsidRPr="00CE38CA">
        <w:rPr>
          <w:sz w:val="20"/>
          <w:lang w:val="en-GB"/>
        </w:rPr>
        <w:t xml:space="preserve"> economic or income-based</w:t>
      </w:r>
      <w:r w:rsidR="000065EE">
        <w:rPr>
          <w:sz w:val="20"/>
          <w:lang w:val="en-GB"/>
        </w:rPr>
        <w:t xml:space="preserve"> approaches</w:t>
      </w:r>
      <w:r w:rsidR="004463C0" w:rsidRPr="00CE38CA">
        <w:rPr>
          <w:sz w:val="20"/>
          <w:lang w:val="en-GB"/>
        </w:rPr>
        <w:t xml:space="preserve">, such as </w:t>
      </w:r>
      <w:r w:rsidR="00466A64" w:rsidRPr="00CE38CA">
        <w:rPr>
          <w:sz w:val="20"/>
          <w:lang w:val="en-GB"/>
        </w:rPr>
        <w:t>a</w:t>
      </w:r>
      <w:r w:rsidR="004463C0" w:rsidRPr="00CE38CA">
        <w:rPr>
          <w:sz w:val="20"/>
          <w:lang w:val="en-GB"/>
        </w:rPr>
        <w:t xml:space="preserve"> multidimensional perspective or </w:t>
      </w:r>
      <w:r w:rsidR="00466A64" w:rsidRPr="00CE38CA">
        <w:rPr>
          <w:sz w:val="20"/>
          <w:lang w:val="en-GB"/>
        </w:rPr>
        <w:t xml:space="preserve">the concept of </w:t>
      </w:r>
      <w:r w:rsidR="004463C0" w:rsidRPr="00CE38CA">
        <w:rPr>
          <w:sz w:val="20"/>
          <w:lang w:val="en-GB"/>
        </w:rPr>
        <w:t>well-being</w:t>
      </w:r>
      <w:r w:rsidR="00466A64" w:rsidRPr="00CE38CA">
        <w:rPr>
          <w:sz w:val="20"/>
          <w:lang w:val="en-GB"/>
        </w:rPr>
        <w:t>,</w:t>
      </w:r>
      <w:r w:rsidR="00C75546" w:rsidRPr="00CE38CA">
        <w:rPr>
          <w:sz w:val="20"/>
          <w:lang w:val="en-GB"/>
        </w:rPr>
        <w:t xml:space="preserve"> </w:t>
      </w:r>
      <w:r w:rsidR="00573453" w:rsidRPr="00CE38CA">
        <w:rPr>
          <w:sz w:val="20"/>
          <w:lang w:val="en-GB"/>
        </w:rPr>
        <w:t>resulting in</w:t>
      </w:r>
      <w:r w:rsidR="00C75546" w:rsidRPr="00CE38CA">
        <w:rPr>
          <w:sz w:val="20"/>
          <w:lang w:val="en-GB"/>
        </w:rPr>
        <w:t xml:space="preserve"> </w:t>
      </w:r>
      <w:r w:rsidR="00466A64" w:rsidRPr="00CE38CA">
        <w:rPr>
          <w:sz w:val="20"/>
          <w:lang w:val="en-GB"/>
        </w:rPr>
        <w:t>public policies t</w:t>
      </w:r>
      <w:r w:rsidR="00573453" w:rsidRPr="00CE38CA">
        <w:rPr>
          <w:sz w:val="20"/>
          <w:lang w:val="en-GB"/>
        </w:rPr>
        <w:t>hat</w:t>
      </w:r>
      <w:r w:rsidR="00466A64" w:rsidRPr="00CE38CA">
        <w:rPr>
          <w:sz w:val="20"/>
          <w:lang w:val="en-GB"/>
        </w:rPr>
        <w:t xml:space="preserve"> benefit the most </w:t>
      </w:r>
      <w:r w:rsidR="00466A64" w:rsidRPr="00CE38CA">
        <w:rPr>
          <w:sz w:val="20"/>
          <w:lang w:val="en-GB"/>
        </w:rPr>
        <w:lastRenderedPageBreak/>
        <w:t xml:space="preserve">vulnerable </w:t>
      </w:r>
      <w:r w:rsidR="00573453" w:rsidRPr="00CE38CA">
        <w:rPr>
          <w:sz w:val="20"/>
          <w:lang w:val="en-GB"/>
        </w:rPr>
        <w:t>more effectively</w:t>
      </w:r>
      <w:r w:rsidR="004463C0" w:rsidRPr="00CE38CA">
        <w:rPr>
          <w:sz w:val="20"/>
          <w:lang w:val="en-GB"/>
        </w:rPr>
        <w:t xml:space="preserve">. </w:t>
      </w:r>
      <w:r w:rsidR="000065EE">
        <w:rPr>
          <w:sz w:val="20"/>
          <w:lang w:val="en-GB"/>
        </w:rPr>
        <w:t xml:space="preserve">For </w:t>
      </w:r>
      <w:r w:rsidR="00466A64" w:rsidRPr="00CE38CA">
        <w:rPr>
          <w:sz w:val="20"/>
          <w:lang w:val="en-GB"/>
        </w:rPr>
        <w:t>example, t</w:t>
      </w:r>
      <w:r w:rsidR="004463C0" w:rsidRPr="00CE38CA">
        <w:rPr>
          <w:sz w:val="20"/>
          <w:lang w:val="en-GB"/>
        </w:rPr>
        <w:t xml:space="preserve">he 2012 </w:t>
      </w:r>
      <w:r w:rsidR="000065EE">
        <w:rPr>
          <w:sz w:val="20"/>
          <w:lang w:val="en-GB"/>
        </w:rPr>
        <w:t>n</w:t>
      </w:r>
      <w:r w:rsidR="00573453" w:rsidRPr="00CE38CA">
        <w:rPr>
          <w:sz w:val="20"/>
          <w:lang w:val="en-GB"/>
        </w:rPr>
        <w:t xml:space="preserve">ational </w:t>
      </w:r>
      <w:r w:rsidR="000065EE">
        <w:rPr>
          <w:sz w:val="20"/>
          <w:lang w:val="en-GB"/>
        </w:rPr>
        <w:t>h</w:t>
      </w:r>
      <w:r w:rsidR="00905000" w:rsidRPr="00CE38CA">
        <w:rPr>
          <w:sz w:val="20"/>
          <w:lang w:val="en-GB"/>
        </w:rPr>
        <w:t xml:space="preserve">uman </w:t>
      </w:r>
      <w:r w:rsidR="000065EE">
        <w:rPr>
          <w:sz w:val="20"/>
          <w:lang w:val="en-GB"/>
        </w:rPr>
        <w:t>d</w:t>
      </w:r>
      <w:r w:rsidR="00905000" w:rsidRPr="00CE38CA">
        <w:rPr>
          <w:sz w:val="20"/>
          <w:lang w:val="en-GB"/>
        </w:rPr>
        <w:t>evelopment</w:t>
      </w:r>
      <w:r w:rsidR="004463C0" w:rsidRPr="00CE38CA">
        <w:rPr>
          <w:sz w:val="20"/>
          <w:lang w:val="en-GB"/>
        </w:rPr>
        <w:t xml:space="preserve"> </w:t>
      </w:r>
      <w:r w:rsidR="000065EE">
        <w:rPr>
          <w:sz w:val="20"/>
          <w:lang w:val="en-GB"/>
        </w:rPr>
        <w:t>r</w:t>
      </w:r>
      <w:r w:rsidR="004463C0" w:rsidRPr="00CE38CA">
        <w:rPr>
          <w:sz w:val="20"/>
          <w:lang w:val="en-GB"/>
        </w:rPr>
        <w:t xml:space="preserve">eport </w:t>
      </w:r>
      <w:r w:rsidR="00905000" w:rsidRPr="00CE38CA">
        <w:rPr>
          <w:sz w:val="20"/>
          <w:lang w:val="en-GB"/>
        </w:rPr>
        <w:t>in</w:t>
      </w:r>
      <w:r w:rsidR="005312AF">
        <w:rPr>
          <w:sz w:val="20"/>
          <w:lang w:val="en-GB"/>
        </w:rPr>
        <w:t>tro</w:t>
      </w:r>
      <w:r w:rsidR="00905000" w:rsidRPr="00CE38CA">
        <w:rPr>
          <w:sz w:val="20"/>
          <w:lang w:val="en-GB"/>
        </w:rPr>
        <w:t>duced measuring</w:t>
      </w:r>
      <w:r w:rsidR="004463C0" w:rsidRPr="00CE38CA">
        <w:rPr>
          <w:sz w:val="20"/>
          <w:lang w:val="en-GB"/>
        </w:rPr>
        <w:t xml:space="preserve"> well-being in the </w:t>
      </w:r>
      <w:r w:rsidR="00573453" w:rsidRPr="00CE38CA">
        <w:rPr>
          <w:sz w:val="20"/>
          <w:lang w:val="en-GB"/>
        </w:rPr>
        <w:t xml:space="preserve">Government´s </w:t>
      </w:r>
      <w:r w:rsidR="005312AF">
        <w:rPr>
          <w:sz w:val="20"/>
          <w:lang w:val="en-GB"/>
        </w:rPr>
        <w:t>National Socioeconomic Characterization (</w:t>
      </w:r>
      <w:r w:rsidR="004463C0" w:rsidRPr="00CE38CA">
        <w:rPr>
          <w:sz w:val="20"/>
          <w:lang w:val="en-GB"/>
        </w:rPr>
        <w:t>CASEN</w:t>
      </w:r>
      <w:r w:rsidR="005312AF">
        <w:rPr>
          <w:sz w:val="20"/>
          <w:lang w:val="en-GB"/>
        </w:rPr>
        <w:t>)</w:t>
      </w:r>
      <w:r w:rsidR="004463C0" w:rsidRPr="00CE38CA">
        <w:rPr>
          <w:sz w:val="20"/>
          <w:lang w:val="en-GB"/>
        </w:rPr>
        <w:t xml:space="preserve"> Survey. </w:t>
      </w:r>
      <w:r w:rsidR="00905000" w:rsidRPr="00CE38CA">
        <w:rPr>
          <w:sz w:val="20"/>
          <w:lang w:val="en-GB"/>
        </w:rPr>
        <w:t>Moreover</w:t>
      </w:r>
      <w:r w:rsidR="004463C0" w:rsidRPr="00CE38CA">
        <w:rPr>
          <w:sz w:val="20"/>
          <w:lang w:val="en-GB"/>
        </w:rPr>
        <w:t xml:space="preserve">, </w:t>
      </w:r>
      <w:r w:rsidR="005312AF">
        <w:rPr>
          <w:sz w:val="20"/>
          <w:lang w:val="en-GB"/>
        </w:rPr>
        <w:t xml:space="preserve">the </w:t>
      </w:r>
      <w:r w:rsidR="00C75546" w:rsidRPr="00CE38CA">
        <w:rPr>
          <w:sz w:val="20"/>
          <w:lang w:val="en-GB"/>
        </w:rPr>
        <w:t xml:space="preserve">UNDP role as facilitator of dialogue and consensus-building resulted in the 2014 </w:t>
      </w:r>
      <w:r w:rsidR="005312AF">
        <w:rPr>
          <w:sz w:val="20"/>
          <w:lang w:val="en-GB"/>
        </w:rPr>
        <w:t>a</w:t>
      </w:r>
      <w:r w:rsidR="00C75546" w:rsidRPr="00CE38CA">
        <w:rPr>
          <w:sz w:val="20"/>
          <w:lang w:val="en-GB"/>
        </w:rPr>
        <w:t xml:space="preserve">ssessment </w:t>
      </w:r>
      <w:r w:rsidR="005312AF">
        <w:rPr>
          <w:sz w:val="20"/>
          <w:lang w:val="en-GB"/>
        </w:rPr>
        <w:t>r</w:t>
      </w:r>
      <w:r w:rsidR="00C75546" w:rsidRPr="00CE38CA">
        <w:rPr>
          <w:sz w:val="20"/>
          <w:lang w:val="en-GB"/>
        </w:rPr>
        <w:t>eport, consolidating the vision of several think tanks from different political movements</w:t>
      </w:r>
      <w:r w:rsidR="00670B01" w:rsidRPr="00CE38CA">
        <w:rPr>
          <w:sz w:val="20"/>
          <w:lang w:val="en-GB"/>
        </w:rPr>
        <w:t>; th</w:t>
      </w:r>
      <w:r w:rsidR="005312AF">
        <w:rPr>
          <w:sz w:val="20"/>
          <w:lang w:val="en-GB"/>
        </w:rPr>
        <w:t xml:space="preserve">is group’s </w:t>
      </w:r>
      <w:r w:rsidR="00670B01" w:rsidRPr="00CE38CA">
        <w:rPr>
          <w:sz w:val="20"/>
          <w:lang w:val="en-GB"/>
        </w:rPr>
        <w:t xml:space="preserve">articulation by UNDP has promoted the </w:t>
      </w:r>
      <w:r w:rsidR="005312AF">
        <w:rPr>
          <w:sz w:val="20"/>
          <w:lang w:val="en-GB"/>
        </w:rPr>
        <w:t xml:space="preserve">most recent </w:t>
      </w:r>
      <w:r w:rsidR="00670B01" w:rsidRPr="00CE38CA">
        <w:rPr>
          <w:sz w:val="20"/>
          <w:lang w:val="en-GB"/>
        </w:rPr>
        <w:t xml:space="preserve">reforms </w:t>
      </w:r>
      <w:r w:rsidR="005312AF">
        <w:rPr>
          <w:sz w:val="20"/>
          <w:lang w:val="en-GB"/>
        </w:rPr>
        <w:t xml:space="preserve">of </w:t>
      </w:r>
      <w:r w:rsidR="00670B01" w:rsidRPr="00CE38CA">
        <w:rPr>
          <w:sz w:val="20"/>
          <w:lang w:val="en-GB"/>
        </w:rPr>
        <w:t xml:space="preserve">the political system and </w:t>
      </w:r>
      <w:r w:rsidR="005312AF">
        <w:rPr>
          <w:sz w:val="20"/>
          <w:lang w:val="en-GB"/>
        </w:rPr>
        <w:t xml:space="preserve">is </w:t>
      </w:r>
      <w:r w:rsidR="00670B01" w:rsidRPr="00CE38CA">
        <w:rPr>
          <w:sz w:val="20"/>
          <w:lang w:val="en-GB"/>
        </w:rPr>
        <w:t>help</w:t>
      </w:r>
      <w:r w:rsidR="005312AF">
        <w:rPr>
          <w:sz w:val="20"/>
          <w:lang w:val="en-GB"/>
        </w:rPr>
        <w:t>ing</w:t>
      </w:r>
      <w:r w:rsidR="00670B01" w:rsidRPr="00CE38CA">
        <w:rPr>
          <w:sz w:val="20"/>
          <w:lang w:val="en-GB"/>
        </w:rPr>
        <w:t xml:space="preserve"> </w:t>
      </w:r>
      <w:r w:rsidR="005312AF">
        <w:rPr>
          <w:sz w:val="20"/>
          <w:lang w:val="en-GB"/>
        </w:rPr>
        <w:t xml:space="preserve">to </w:t>
      </w:r>
      <w:r w:rsidR="00670B01" w:rsidRPr="00CE38CA">
        <w:rPr>
          <w:sz w:val="20"/>
          <w:lang w:val="en-GB"/>
        </w:rPr>
        <w:t>lay the foundations for pending reforms</w:t>
      </w:r>
      <w:r w:rsidR="00C75546" w:rsidRPr="00CE38CA">
        <w:rPr>
          <w:sz w:val="20"/>
          <w:lang w:val="en-GB"/>
        </w:rPr>
        <w:t xml:space="preserve">. </w:t>
      </w:r>
      <w:r w:rsidR="00781F09" w:rsidRPr="00CE38CA">
        <w:rPr>
          <w:sz w:val="20"/>
          <w:lang w:val="en-GB"/>
        </w:rPr>
        <w:t>The outcome evaluations conducted in 2013</w:t>
      </w:r>
      <w:r w:rsidR="00781F09" w:rsidRPr="00CE38CA">
        <w:rPr>
          <w:sz w:val="20"/>
          <w:vertAlign w:val="superscript"/>
          <w:lang w:val="en-GB"/>
        </w:rPr>
        <w:footnoteReference w:id="17"/>
      </w:r>
      <w:r w:rsidR="00781F09" w:rsidRPr="00CE38CA">
        <w:rPr>
          <w:sz w:val="20"/>
          <w:lang w:val="en-GB"/>
        </w:rPr>
        <w:t xml:space="preserve"> showed that there is a need to improve the results frameworks in order to improve the monitoring of initiatives and evidence-based programming. The joint initiative with the European Union, which addresses desertification issues, has replicated methodologies and systems applied by the </w:t>
      </w:r>
      <w:r w:rsidR="005312AF">
        <w:rPr>
          <w:sz w:val="20"/>
          <w:lang w:val="en-GB"/>
        </w:rPr>
        <w:t>s</w:t>
      </w:r>
      <w:r w:rsidR="00781F09" w:rsidRPr="00CE38CA">
        <w:rPr>
          <w:sz w:val="20"/>
          <w:lang w:val="en-GB"/>
        </w:rPr>
        <w:t xml:space="preserve">mall </w:t>
      </w:r>
      <w:r w:rsidR="005312AF">
        <w:rPr>
          <w:sz w:val="20"/>
          <w:lang w:val="en-GB"/>
        </w:rPr>
        <w:t>g</w:t>
      </w:r>
      <w:r w:rsidR="00781F09" w:rsidRPr="00CE38CA">
        <w:rPr>
          <w:sz w:val="20"/>
          <w:lang w:val="en-GB"/>
        </w:rPr>
        <w:t xml:space="preserve">rants </w:t>
      </w:r>
      <w:r w:rsidR="005312AF">
        <w:rPr>
          <w:sz w:val="20"/>
          <w:lang w:val="en-GB"/>
        </w:rPr>
        <w:t>p</w:t>
      </w:r>
      <w:r w:rsidR="00781F09" w:rsidRPr="00CE38CA">
        <w:rPr>
          <w:sz w:val="20"/>
          <w:lang w:val="en-GB"/>
        </w:rPr>
        <w:t>rogram</w:t>
      </w:r>
      <w:r w:rsidR="005312AF">
        <w:rPr>
          <w:sz w:val="20"/>
          <w:lang w:val="en-GB"/>
        </w:rPr>
        <w:t>me</w:t>
      </w:r>
      <w:r w:rsidR="00781F09" w:rsidRPr="00CE38CA">
        <w:rPr>
          <w:sz w:val="20"/>
          <w:lang w:val="en-GB"/>
        </w:rPr>
        <w:t xml:space="preserve"> during the previous cycle, proving the effectiveness of actions designed and implemented by communities </w:t>
      </w:r>
      <w:r w:rsidR="005312AF">
        <w:rPr>
          <w:sz w:val="20"/>
          <w:lang w:val="en-GB"/>
        </w:rPr>
        <w:t xml:space="preserve">in their role </w:t>
      </w:r>
      <w:r w:rsidR="00781F09" w:rsidRPr="00CE38CA">
        <w:rPr>
          <w:sz w:val="20"/>
          <w:lang w:val="en-GB"/>
        </w:rPr>
        <w:t xml:space="preserve">as stakeholders and beneficiaries. In this sense, the participation of beneficiaries throughout the project cycle, from </w:t>
      </w:r>
      <w:r w:rsidR="005312AF">
        <w:rPr>
          <w:sz w:val="20"/>
          <w:lang w:val="en-GB"/>
        </w:rPr>
        <w:t>problem-</w:t>
      </w:r>
      <w:r w:rsidR="00781F09" w:rsidRPr="00CE38CA">
        <w:rPr>
          <w:sz w:val="20"/>
          <w:lang w:val="en-GB"/>
        </w:rPr>
        <w:t>defini</w:t>
      </w:r>
      <w:r w:rsidR="005312AF">
        <w:rPr>
          <w:sz w:val="20"/>
          <w:lang w:val="en-GB"/>
        </w:rPr>
        <w:t>ng</w:t>
      </w:r>
      <w:r w:rsidR="00781F09" w:rsidRPr="00CE38CA">
        <w:rPr>
          <w:sz w:val="20"/>
          <w:lang w:val="en-GB"/>
        </w:rPr>
        <w:t xml:space="preserve"> </w:t>
      </w:r>
      <w:r w:rsidR="005312AF">
        <w:rPr>
          <w:sz w:val="20"/>
          <w:lang w:val="en-GB"/>
        </w:rPr>
        <w:t xml:space="preserve">to </w:t>
      </w:r>
      <w:r w:rsidR="00781F09" w:rsidRPr="00CE38CA">
        <w:rPr>
          <w:sz w:val="20"/>
          <w:lang w:val="en-GB"/>
        </w:rPr>
        <w:t>administration of resources and gathering and transmission of lessons learned, has contributed to the communities´</w:t>
      </w:r>
      <w:r w:rsidR="00E565FE" w:rsidRPr="00CE38CA">
        <w:rPr>
          <w:sz w:val="20"/>
          <w:lang w:val="en-GB"/>
        </w:rPr>
        <w:t xml:space="preserve"> </w:t>
      </w:r>
      <w:r w:rsidR="00781F09" w:rsidRPr="00CE38CA">
        <w:rPr>
          <w:sz w:val="20"/>
          <w:lang w:val="en-GB"/>
        </w:rPr>
        <w:t>empowerment and to a balance of power between men and women, by involving women on the same terms as men</w:t>
      </w:r>
      <w:r w:rsidR="005312AF">
        <w:rPr>
          <w:sz w:val="20"/>
          <w:lang w:val="en-GB"/>
        </w:rPr>
        <w:t>.</w:t>
      </w:r>
      <w:r w:rsidR="00781F09" w:rsidRPr="00CE38CA">
        <w:rPr>
          <w:sz w:val="20"/>
          <w:vertAlign w:val="superscript"/>
          <w:lang w:val="en-GB"/>
        </w:rPr>
        <w:footnoteReference w:id="18"/>
      </w:r>
      <w:r w:rsidR="00781F09" w:rsidRPr="00CE38CA">
        <w:rPr>
          <w:sz w:val="20"/>
          <w:lang w:val="en-GB"/>
        </w:rPr>
        <w:t xml:space="preserve"> </w:t>
      </w:r>
    </w:p>
    <w:p w14:paraId="6C54E483" w14:textId="77777777" w:rsidR="00781F09" w:rsidRPr="00CE38CA" w:rsidRDefault="00781F09" w:rsidP="0066117E">
      <w:pPr>
        <w:pStyle w:val="Normal1"/>
        <w:tabs>
          <w:tab w:val="left" w:pos="284"/>
        </w:tabs>
        <w:ind w:left="1247" w:right="794"/>
        <w:jc w:val="both"/>
        <w:rPr>
          <w:sz w:val="20"/>
          <w:lang w:val="en-GB"/>
        </w:rPr>
      </w:pPr>
    </w:p>
    <w:p w14:paraId="0FCF7978" w14:textId="77777777" w:rsidR="00781F09" w:rsidRPr="00CE38CA" w:rsidRDefault="00781F09" w:rsidP="00FD36E7">
      <w:pPr>
        <w:pStyle w:val="Heading2"/>
        <w:numPr>
          <w:ilvl w:val="0"/>
          <w:numId w:val="41"/>
        </w:numPr>
        <w:spacing w:after="120"/>
        <w:ind w:left="1260" w:right="794" w:hanging="450"/>
        <w:jc w:val="both"/>
        <w:rPr>
          <w:sz w:val="20"/>
          <w:lang w:val="en-GB"/>
        </w:rPr>
      </w:pPr>
      <w:r w:rsidRPr="00CE38CA">
        <w:rPr>
          <w:rFonts w:ascii="Times New Roman" w:hAnsi="Times New Roman"/>
          <w:sz w:val="24"/>
          <w:lang w:val="en-GB"/>
        </w:rPr>
        <w:t xml:space="preserve">Programme </w:t>
      </w:r>
      <w:r w:rsidR="004F7D06" w:rsidRPr="00CE38CA">
        <w:rPr>
          <w:rFonts w:ascii="Times New Roman" w:hAnsi="Times New Roman"/>
          <w:sz w:val="24"/>
          <w:lang w:val="en-GB"/>
        </w:rPr>
        <w:t>priorities and p</w:t>
      </w:r>
      <w:r w:rsidRPr="00CE38CA">
        <w:rPr>
          <w:rFonts w:ascii="Times New Roman" w:hAnsi="Times New Roman"/>
          <w:sz w:val="24"/>
          <w:lang w:val="en-GB"/>
        </w:rPr>
        <w:t>artnerships</w:t>
      </w:r>
    </w:p>
    <w:p w14:paraId="167A36AB" w14:textId="6A3269EF" w:rsidR="00073F61" w:rsidRPr="00073F61" w:rsidRDefault="00781F09" w:rsidP="00A309A5">
      <w:pPr>
        <w:pStyle w:val="Normal1"/>
        <w:numPr>
          <w:ilvl w:val="0"/>
          <w:numId w:val="36"/>
        </w:numPr>
        <w:tabs>
          <w:tab w:val="left" w:pos="284"/>
        </w:tabs>
        <w:spacing w:after="120"/>
        <w:ind w:left="1247" w:right="794" w:firstLine="0"/>
        <w:jc w:val="both"/>
        <w:rPr>
          <w:sz w:val="20"/>
          <w:lang w:val="en-GB"/>
        </w:rPr>
      </w:pPr>
      <w:r w:rsidRPr="00EF020C">
        <w:rPr>
          <w:b/>
          <w:sz w:val="20"/>
          <w:lang w:val="en-GB"/>
        </w:rPr>
        <w:t xml:space="preserve"> </w:t>
      </w:r>
      <w:r w:rsidRPr="00EF020C">
        <w:rPr>
          <w:i/>
          <w:sz w:val="20"/>
          <w:lang w:val="en-GB"/>
        </w:rPr>
        <w:t>Inclusive and sustainable development.</w:t>
      </w:r>
      <w:r w:rsidRPr="00EF020C">
        <w:rPr>
          <w:sz w:val="20"/>
          <w:lang w:val="en-GB"/>
        </w:rPr>
        <w:t xml:space="preserve"> Addressing the various dimensions of inequality is Chile’s greatest challenge as a high </w:t>
      </w:r>
      <w:r w:rsidR="00B70EC9" w:rsidRPr="00EF020C">
        <w:rPr>
          <w:sz w:val="20"/>
          <w:lang w:val="en-GB"/>
        </w:rPr>
        <w:t>middle-</w:t>
      </w:r>
      <w:r w:rsidRPr="00EF020C">
        <w:rPr>
          <w:sz w:val="20"/>
          <w:lang w:val="en-GB"/>
        </w:rPr>
        <w:t>income country. Public policies should focus on narrowing the gaps that affect the groups in the</w:t>
      </w:r>
      <w:r w:rsidRPr="00760089">
        <w:rPr>
          <w:sz w:val="20"/>
          <w:lang w:val="en-GB"/>
        </w:rPr>
        <w:t xml:space="preserve"> lowest income quintiles, including women, youth</w:t>
      </w:r>
      <w:r w:rsidRPr="00903BF1">
        <w:rPr>
          <w:sz w:val="20"/>
          <w:lang w:val="en-GB"/>
        </w:rPr>
        <w:t xml:space="preserve"> and indigenous groups in areas such as income, education</w:t>
      </w:r>
      <w:r w:rsidRPr="00F87A16">
        <w:rPr>
          <w:sz w:val="20"/>
          <w:lang w:val="en-GB"/>
        </w:rPr>
        <w:t xml:space="preserve"> and employment. In addition, </w:t>
      </w:r>
      <w:r w:rsidRPr="00323BCF">
        <w:rPr>
          <w:sz w:val="20"/>
          <w:lang w:val="en-GB"/>
        </w:rPr>
        <w:t xml:space="preserve">inequality </w:t>
      </w:r>
      <w:r w:rsidRPr="004D0CE2">
        <w:rPr>
          <w:sz w:val="20"/>
          <w:lang w:val="en-GB"/>
        </w:rPr>
        <w:t xml:space="preserve">observed at the territorial level between </w:t>
      </w:r>
      <w:r w:rsidRPr="00D62035">
        <w:rPr>
          <w:sz w:val="20"/>
          <w:lang w:val="en-GB"/>
        </w:rPr>
        <w:t xml:space="preserve">regions </w:t>
      </w:r>
      <w:r w:rsidR="005D5A36" w:rsidRPr="00B1025B">
        <w:rPr>
          <w:sz w:val="20"/>
          <w:lang w:val="en-GB"/>
        </w:rPr>
        <w:t xml:space="preserve">– </w:t>
      </w:r>
      <w:r w:rsidRPr="00C537AC">
        <w:rPr>
          <w:sz w:val="20"/>
          <w:lang w:val="en-GB"/>
        </w:rPr>
        <w:t xml:space="preserve">in </w:t>
      </w:r>
      <w:r w:rsidR="005D5A36" w:rsidRPr="0074369B">
        <w:rPr>
          <w:sz w:val="20"/>
          <w:lang w:val="en-GB"/>
        </w:rPr>
        <w:t>terms o</w:t>
      </w:r>
      <w:r w:rsidR="005D5A36" w:rsidRPr="00F64D6A">
        <w:rPr>
          <w:sz w:val="20"/>
          <w:lang w:val="en-GB"/>
        </w:rPr>
        <w:t>f</w:t>
      </w:r>
      <w:r w:rsidRPr="00F942ED">
        <w:rPr>
          <w:sz w:val="20"/>
          <w:lang w:val="en-GB"/>
        </w:rPr>
        <w:t xml:space="preserve"> </w:t>
      </w:r>
      <w:r w:rsidR="005D5A36" w:rsidRPr="000C2CBD">
        <w:rPr>
          <w:sz w:val="20"/>
          <w:lang w:val="en-GB"/>
        </w:rPr>
        <w:t xml:space="preserve">its </w:t>
      </w:r>
      <w:r w:rsidRPr="00E65BEE">
        <w:rPr>
          <w:sz w:val="20"/>
          <w:lang w:val="en-GB"/>
        </w:rPr>
        <w:t>socio-economic aspects</w:t>
      </w:r>
      <w:r w:rsidR="005D5A36" w:rsidRPr="003C1251">
        <w:rPr>
          <w:sz w:val="20"/>
          <w:lang w:val="en-GB"/>
        </w:rPr>
        <w:t xml:space="preserve">, </w:t>
      </w:r>
      <w:r w:rsidRPr="00551292">
        <w:rPr>
          <w:sz w:val="20"/>
          <w:lang w:val="en-GB"/>
        </w:rPr>
        <w:t>access to natural resources</w:t>
      </w:r>
      <w:r w:rsidR="005D5A36" w:rsidRPr="0071469E">
        <w:rPr>
          <w:sz w:val="20"/>
          <w:lang w:val="en-GB"/>
        </w:rPr>
        <w:t xml:space="preserve">, and </w:t>
      </w:r>
      <w:r w:rsidRPr="003A6E5B">
        <w:rPr>
          <w:sz w:val="20"/>
          <w:lang w:val="en-GB"/>
        </w:rPr>
        <w:t xml:space="preserve">the opportunity to enjoy a healthy environment </w:t>
      </w:r>
      <w:r w:rsidR="005D5A36" w:rsidRPr="003A6E5B">
        <w:rPr>
          <w:sz w:val="20"/>
          <w:lang w:val="en-GB"/>
        </w:rPr>
        <w:t xml:space="preserve">– </w:t>
      </w:r>
      <w:r w:rsidRPr="003A6E5B">
        <w:rPr>
          <w:sz w:val="20"/>
          <w:lang w:val="en-GB"/>
        </w:rPr>
        <w:t>require</w:t>
      </w:r>
      <w:r w:rsidR="005D5A36" w:rsidRPr="003A6E5B">
        <w:rPr>
          <w:sz w:val="20"/>
          <w:lang w:val="en-GB"/>
        </w:rPr>
        <w:t>s</w:t>
      </w:r>
      <w:r w:rsidRPr="00A65F22">
        <w:rPr>
          <w:sz w:val="20"/>
          <w:lang w:val="en-GB"/>
        </w:rPr>
        <w:t xml:space="preserve"> action that will generate capacities and competencies of</w:t>
      </w:r>
      <w:r w:rsidR="00EE7C98" w:rsidRPr="00A65F22">
        <w:rPr>
          <w:sz w:val="20"/>
          <w:lang w:val="en-GB"/>
        </w:rPr>
        <w:t xml:space="preserve"> </w:t>
      </w:r>
      <w:r w:rsidRPr="00A65F22">
        <w:rPr>
          <w:sz w:val="20"/>
          <w:lang w:val="en-GB"/>
        </w:rPr>
        <w:t>regional</w:t>
      </w:r>
      <w:r w:rsidR="00073F61" w:rsidRPr="00A65F22">
        <w:rPr>
          <w:sz w:val="20"/>
          <w:lang w:val="en-GB"/>
        </w:rPr>
        <w:t xml:space="preserve"> and</w:t>
      </w:r>
      <w:r w:rsidRPr="00EF2FFE">
        <w:rPr>
          <w:sz w:val="20"/>
          <w:lang w:val="en-GB"/>
        </w:rPr>
        <w:t xml:space="preserve"> local governments and citizens</w:t>
      </w:r>
      <w:r w:rsidRPr="0004183C">
        <w:rPr>
          <w:sz w:val="20"/>
          <w:lang w:val="en-GB"/>
        </w:rPr>
        <w:t xml:space="preserve"> </w:t>
      </w:r>
      <w:r w:rsidR="005D5A36" w:rsidRPr="00A309A5">
        <w:rPr>
          <w:sz w:val="20"/>
          <w:lang w:val="en-GB"/>
        </w:rPr>
        <w:t xml:space="preserve">so that they can </w:t>
      </w:r>
      <w:r w:rsidRPr="00A309A5">
        <w:rPr>
          <w:sz w:val="20"/>
          <w:lang w:val="en-GB"/>
        </w:rPr>
        <w:t xml:space="preserve">address their own development challenges. Urban segregation is another manifestation of inequality in access to services and quality of life. </w:t>
      </w:r>
      <w:r w:rsidR="00450073" w:rsidRPr="00A309A5">
        <w:rPr>
          <w:sz w:val="20"/>
          <w:lang w:val="en-GB"/>
        </w:rPr>
        <w:t xml:space="preserve"> </w:t>
      </w:r>
      <w:r w:rsidR="00073F61" w:rsidRPr="00A309A5">
        <w:rPr>
          <w:sz w:val="20"/>
          <w:lang w:val="en-GB"/>
        </w:rPr>
        <w:t>The programme will s</w:t>
      </w:r>
      <w:r w:rsidRPr="00A309A5">
        <w:rPr>
          <w:sz w:val="20"/>
          <w:lang w:val="en-GB"/>
        </w:rPr>
        <w:t xml:space="preserve">upport the design and implementation of </w:t>
      </w:r>
      <w:r w:rsidR="00450073" w:rsidRPr="00A309A5">
        <w:rPr>
          <w:sz w:val="20"/>
          <w:lang w:val="en-GB"/>
        </w:rPr>
        <w:t xml:space="preserve">resilient </w:t>
      </w:r>
      <w:r w:rsidRPr="00A309A5">
        <w:rPr>
          <w:sz w:val="20"/>
          <w:lang w:val="en-GB"/>
        </w:rPr>
        <w:t xml:space="preserve">public policies that improve social protection and targeting, the measurement of socio-economic variables, and the creation of labour skills in order to improve access to job opportunities, education reform, land policy, and transfer of skills and capabilities to regions outside the capital. </w:t>
      </w:r>
      <w:r w:rsidR="00450073" w:rsidRPr="00A309A5">
        <w:rPr>
          <w:sz w:val="20"/>
          <w:lang w:val="en-GB"/>
        </w:rPr>
        <w:t xml:space="preserve">Furthermore, development gains require public policies resilient to economic downturns or environmental hazards. </w:t>
      </w:r>
      <w:r w:rsidRPr="00A309A5">
        <w:rPr>
          <w:sz w:val="20"/>
          <w:lang w:val="en-GB"/>
        </w:rPr>
        <w:t xml:space="preserve">An alliance with the ministries of Social Development, Education, Labour and Housing has </w:t>
      </w:r>
      <w:r w:rsidR="00073F61" w:rsidRPr="00A309A5">
        <w:rPr>
          <w:sz w:val="20"/>
          <w:lang w:val="en-GB"/>
        </w:rPr>
        <w:t xml:space="preserve">reached </w:t>
      </w:r>
      <w:r w:rsidRPr="00A309A5">
        <w:rPr>
          <w:sz w:val="20"/>
          <w:lang w:val="en-GB"/>
        </w:rPr>
        <w:t xml:space="preserve">a </w:t>
      </w:r>
      <w:r w:rsidR="00073F61" w:rsidRPr="00A309A5">
        <w:rPr>
          <w:sz w:val="20"/>
          <w:lang w:val="en-GB"/>
        </w:rPr>
        <w:t xml:space="preserve">level </w:t>
      </w:r>
      <w:r w:rsidRPr="00A309A5">
        <w:rPr>
          <w:sz w:val="20"/>
          <w:lang w:val="en-GB"/>
        </w:rPr>
        <w:t xml:space="preserve">dynamic </w:t>
      </w:r>
      <w:r w:rsidR="00073F61" w:rsidRPr="00A309A5">
        <w:rPr>
          <w:sz w:val="20"/>
          <w:lang w:val="en-GB"/>
        </w:rPr>
        <w:t>collaboration</w:t>
      </w:r>
      <w:r w:rsidRPr="00A309A5">
        <w:rPr>
          <w:sz w:val="20"/>
          <w:lang w:val="en-GB"/>
        </w:rPr>
        <w:t xml:space="preserve"> to strengthen and install capacity within these institutions, </w:t>
      </w:r>
      <w:r w:rsidR="00073F61" w:rsidRPr="00A309A5">
        <w:rPr>
          <w:sz w:val="20"/>
          <w:lang w:val="en-GB"/>
        </w:rPr>
        <w:t xml:space="preserve">buttressed by UNDP </w:t>
      </w:r>
      <w:r w:rsidRPr="00A309A5">
        <w:rPr>
          <w:sz w:val="20"/>
          <w:lang w:val="en-GB"/>
        </w:rPr>
        <w:t>involvement in the public debate on inequality. In addition, UNDP has launched its own research agenda in order to generate data and indicators for an effective strategy for deconstructing inequality, offering an updated</w:t>
      </w:r>
      <w:r w:rsidR="00073F61" w:rsidRPr="00A309A5">
        <w:rPr>
          <w:sz w:val="20"/>
          <w:lang w:val="en-GB"/>
        </w:rPr>
        <w:t xml:space="preserve">, </w:t>
      </w:r>
      <w:r w:rsidRPr="00A309A5">
        <w:rPr>
          <w:sz w:val="20"/>
          <w:lang w:val="en-GB"/>
        </w:rPr>
        <w:t xml:space="preserve">multidimensional perspective. The </w:t>
      </w:r>
      <w:r w:rsidR="00073F61" w:rsidRPr="00A309A5">
        <w:rPr>
          <w:sz w:val="20"/>
          <w:lang w:val="en-GB"/>
        </w:rPr>
        <w:t>n</w:t>
      </w:r>
      <w:r w:rsidRPr="00A309A5">
        <w:rPr>
          <w:sz w:val="20"/>
          <w:lang w:val="en-GB"/>
        </w:rPr>
        <w:t xml:space="preserve">ational </w:t>
      </w:r>
      <w:r w:rsidR="00073F61" w:rsidRPr="00A309A5">
        <w:rPr>
          <w:sz w:val="20"/>
          <w:lang w:val="en-GB"/>
        </w:rPr>
        <w:t>h</w:t>
      </w:r>
      <w:r w:rsidRPr="00A309A5">
        <w:rPr>
          <w:sz w:val="20"/>
          <w:lang w:val="en-GB"/>
        </w:rPr>
        <w:t xml:space="preserve">uman </w:t>
      </w:r>
      <w:r w:rsidR="00073F61" w:rsidRPr="00A309A5">
        <w:rPr>
          <w:sz w:val="20"/>
          <w:lang w:val="en-GB"/>
        </w:rPr>
        <w:t>d</w:t>
      </w:r>
      <w:r w:rsidRPr="00A309A5">
        <w:rPr>
          <w:sz w:val="20"/>
          <w:lang w:val="en-GB"/>
        </w:rPr>
        <w:t xml:space="preserve">evelopment reports will address the territorial and local perspective as part of the effort to generate knowledge on inequality gaps among regions. </w:t>
      </w:r>
    </w:p>
    <w:p w14:paraId="752D7A7F" w14:textId="48A572CE" w:rsidR="00781F09" w:rsidRPr="00073F61" w:rsidRDefault="00073F61" w:rsidP="00A309A5">
      <w:pPr>
        <w:pStyle w:val="Normal1"/>
        <w:numPr>
          <w:ilvl w:val="0"/>
          <w:numId w:val="36"/>
        </w:numPr>
        <w:tabs>
          <w:tab w:val="left" w:pos="284"/>
        </w:tabs>
        <w:spacing w:after="120"/>
        <w:ind w:left="1247" w:right="794" w:firstLine="0"/>
        <w:jc w:val="both"/>
        <w:rPr>
          <w:sz w:val="20"/>
          <w:lang w:val="en-GB"/>
        </w:rPr>
      </w:pPr>
      <w:r>
        <w:rPr>
          <w:sz w:val="20"/>
          <w:lang w:val="en-GB"/>
        </w:rPr>
        <w:t>UNDP will s</w:t>
      </w:r>
      <w:r w:rsidR="00781F09" w:rsidRPr="00073F61">
        <w:rPr>
          <w:sz w:val="20"/>
          <w:lang w:val="en-GB"/>
        </w:rPr>
        <w:t xml:space="preserve">upport capacity building </w:t>
      </w:r>
      <w:r>
        <w:rPr>
          <w:sz w:val="20"/>
          <w:lang w:val="en-GB"/>
        </w:rPr>
        <w:t xml:space="preserve">efforts </w:t>
      </w:r>
      <w:r w:rsidR="00781F09" w:rsidRPr="00073F61">
        <w:rPr>
          <w:sz w:val="20"/>
          <w:lang w:val="en-GB"/>
        </w:rPr>
        <w:t xml:space="preserve">to improve management of natural and energy resources and to increase </w:t>
      </w:r>
      <w:r>
        <w:rPr>
          <w:sz w:val="20"/>
          <w:lang w:val="en-GB"/>
        </w:rPr>
        <w:t xml:space="preserve">the </w:t>
      </w:r>
      <w:r w:rsidR="00781F09" w:rsidRPr="00073F61">
        <w:rPr>
          <w:sz w:val="20"/>
          <w:lang w:val="en-GB"/>
        </w:rPr>
        <w:t xml:space="preserve">active participation of regional and local governments, and citizens, in the promotion of a green economy </w:t>
      </w:r>
      <w:r w:rsidR="00AF5A08" w:rsidRPr="00073F61">
        <w:rPr>
          <w:sz w:val="20"/>
          <w:lang w:val="en-GB"/>
        </w:rPr>
        <w:t>through the use of</w:t>
      </w:r>
      <w:r>
        <w:rPr>
          <w:sz w:val="20"/>
          <w:lang w:val="en-GB"/>
        </w:rPr>
        <w:t>:</w:t>
      </w:r>
      <w:r w:rsidR="00AF5A08" w:rsidRPr="00073F61">
        <w:rPr>
          <w:sz w:val="20"/>
          <w:lang w:val="en-GB"/>
        </w:rPr>
        <w:t xml:space="preserve"> renewable energies and energy efficiency, </w:t>
      </w:r>
      <w:r w:rsidR="00781F09" w:rsidRPr="00073F61">
        <w:rPr>
          <w:sz w:val="20"/>
          <w:lang w:val="en-GB"/>
        </w:rPr>
        <w:t xml:space="preserve">the design and implementation of climate change adaptation and mitigation measures, the fight against desertification, and the establishment of adequate financial and legal mechanisms for the conservation and sustainable management of ecosystems. In this context, </w:t>
      </w:r>
      <w:r>
        <w:rPr>
          <w:sz w:val="20"/>
          <w:lang w:val="en-GB"/>
        </w:rPr>
        <w:t xml:space="preserve">UNDP will work to strengthen its </w:t>
      </w:r>
      <w:r w:rsidR="00781F09" w:rsidRPr="00073F61">
        <w:rPr>
          <w:sz w:val="20"/>
          <w:lang w:val="en-GB"/>
        </w:rPr>
        <w:t xml:space="preserve">alliances with the ministries of the Environment and Energy as well as </w:t>
      </w:r>
      <w:r>
        <w:rPr>
          <w:sz w:val="20"/>
          <w:lang w:val="en-GB"/>
        </w:rPr>
        <w:t xml:space="preserve">with </w:t>
      </w:r>
      <w:r w:rsidR="00781F09" w:rsidRPr="00073F61">
        <w:rPr>
          <w:sz w:val="20"/>
          <w:lang w:val="en-GB"/>
        </w:rPr>
        <w:t xml:space="preserve">regional and local governments in order to define policies and strategies, </w:t>
      </w:r>
      <w:r>
        <w:rPr>
          <w:sz w:val="20"/>
          <w:lang w:val="en-GB"/>
        </w:rPr>
        <w:t xml:space="preserve">and </w:t>
      </w:r>
      <w:r w:rsidR="00781F09" w:rsidRPr="00073F61">
        <w:rPr>
          <w:sz w:val="20"/>
          <w:lang w:val="en-GB"/>
        </w:rPr>
        <w:t>provid</w:t>
      </w:r>
      <w:r>
        <w:rPr>
          <w:sz w:val="20"/>
          <w:lang w:val="en-GB"/>
        </w:rPr>
        <w:t>e</w:t>
      </w:r>
      <w:r w:rsidR="00781F09" w:rsidRPr="00073F61">
        <w:rPr>
          <w:sz w:val="20"/>
          <w:lang w:val="en-GB"/>
        </w:rPr>
        <w:t xml:space="preserve"> a space for other key institutions to ensure environmental sustainability, such as the Ministry of the Treasury. The strengthening of existing alliances with the E</w:t>
      </w:r>
      <w:r>
        <w:rPr>
          <w:sz w:val="20"/>
          <w:lang w:val="en-GB"/>
        </w:rPr>
        <w:t xml:space="preserve">uropean </w:t>
      </w:r>
      <w:r w:rsidR="00781F09" w:rsidRPr="00073F61">
        <w:rPr>
          <w:sz w:val="20"/>
          <w:lang w:val="en-GB"/>
        </w:rPr>
        <w:t>U</w:t>
      </w:r>
      <w:r>
        <w:rPr>
          <w:sz w:val="20"/>
          <w:lang w:val="en-GB"/>
        </w:rPr>
        <w:t>nion</w:t>
      </w:r>
      <w:r w:rsidR="00781F09" w:rsidRPr="00073F61">
        <w:rPr>
          <w:sz w:val="20"/>
          <w:lang w:val="en-GB"/>
        </w:rPr>
        <w:t xml:space="preserve"> to combat desertification, and with the </w:t>
      </w:r>
      <w:r>
        <w:rPr>
          <w:sz w:val="20"/>
          <w:lang w:val="en-GB"/>
        </w:rPr>
        <w:t>Global Environment Facility (</w:t>
      </w:r>
      <w:r w:rsidR="00781F09" w:rsidRPr="00073F61">
        <w:rPr>
          <w:sz w:val="20"/>
          <w:lang w:val="en-GB"/>
        </w:rPr>
        <w:t>GEF</w:t>
      </w:r>
      <w:r>
        <w:rPr>
          <w:sz w:val="20"/>
          <w:lang w:val="en-GB"/>
        </w:rPr>
        <w:t>)</w:t>
      </w:r>
      <w:r w:rsidR="00781F09" w:rsidRPr="00073F61">
        <w:rPr>
          <w:sz w:val="20"/>
          <w:lang w:val="en-GB"/>
        </w:rPr>
        <w:t xml:space="preserve"> for biodiversity conservation, will underpin actions at the </w:t>
      </w:r>
      <w:r w:rsidR="00781F09" w:rsidRPr="00073F61">
        <w:rPr>
          <w:sz w:val="20"/>
          <w:lang w:val="en-GB"/>
        </w:rPr>
        <w:lastRenderedPageBreak/>
        <w:t xml:space="preserve">community level, through the promotion of sustainable productive activities promoted by </w:t>
      </w:r>
      <w:r w:rsidR="008A0352" w:rsidRPr="00073F61">
        <w:rPr>
          <w:sz w:val="20"/>
          <w:lang w:val="en-GB"/>
        </w:rPr>
        <w:t>communities</w:t>
      </w:r>
      <w:r w:rsidR="008A0352">
        <w:rPr>
          <w:sz w:val="20"/>
          <w:lang w:val="en-GB"/>
        </w:rPr>
        <w:t xml:space="preserve"> that</w:t>
      </w:r>
      <w:r w:rsidR="00781F09" w:rsidRPr="00073F61">
        <w:rPr>
          <w:sz w:val="20"/>
          <w:lang w:val="en-GB"/>
        </w:rPr>
        <w:t xml:space="preserve"> are replicable and generate environmental benefits from the beneficiaries themselves</w:t>
      </w:r>
      <w:r>
        <w:rPr>
          <w:sz w:val="20"/>
          <w:lang w:val="en-GB"/>
        </w:rPr>
        <w:t>.</w:t>
      </w:r>
      <w:r w:rsidR="00781F09" w:rsidRPr="00073F61">
        <w:rPr>
          <w:sz w:val="20"/>
          <w:lang w:val="en-GB"/>
        </w:rPr>
        <w:t xml:space="preserve"> </w:t>
      </w:r>
      <w:r>
        <w:rPr>
          <w:sz w:val="20"/>
          <w:lang w:val="en-GB"/>
        </w:rPr>
        <w:t xml:space="preserve">It will also include </w:t>
      </w:r>
      <w:r w:rsidR="00781F09" w:rsidRPr="00073F61">
        <w:rPr>
          <w:sz w:val="20"/>
          <w:lang w:val="en-GB"/>
        </w:rPr>
        <w:t xml:space="preserve">capacity building of regional and local governments for planning, design and management of public policies through a participatory approach, promoting public-private partnerships to involve the private sector in improving the quality of life of communities in developing their productive activities.  </w:t>
      </w:r>
    </w:p>
    <w:p w14:paraId="6CC15F82" w14:textId="7E14CEE1" w:rsidR="00781F09" w:rsidRPr="00DA2E8C" w:rsidRDefault="00781F09" w:rsidP="00A309A5">
      <w:pPr>
        <w:pStyle w:val="Normal1"/>
        <w:numPr>
          <w:ilvl w:val="0"/>
          <w:numId w:val="36"/>
        </w:numPr>
        <w:tabs>
          <w:tab w:val="left" w:pos="284"/>
          <w:tab w:val="left" w:pos="1620"/>
        </w:tabs>
        <w:spacing w:after="120"/>
        <w:ind w:left="1247" w:right="794" w:firstLine="0"/>
        <w:jc w:val="both"/>
        <w:rPr>
          <w:sz w:val="20"/>
          <w:lang w:val="en-GB"/>
        </w:rPr>
      </w:pPr>
      <w:r w:rsidRPr="00A309A5">
        <w:rPr>
          <w:i/>
          <w:sz w:val="20"/>
          <w:lang w:val="en-GB"/>
        </w:rPr>
        <w:t>Inclusive and participatory democracy.</w:t>
      </w:r>
      <w:r w:rsidRPr="00DA2E8C">
        <w:rPr>
          <w:sz w:val="20"/>
          <w:lang w:val="en-GB"/>
        </w:rPr>
        <w:t xml:space="preserve"> The main challenge for strengthening democracy is improving the functioning of institutions and adjusting them so that they better reflect citizen demands and expectations, ensuring citizen participation, </w:t>
      </w:r>
      <w:r w:rsidR="00073F61" w:rsidRPr="00DA2E8C">
        <w:rPr>
          <w:sz w:val="20"/>
          <w:lang w:val="en-GB"/>
        </w:rPr>
        <w:t xml:space="preserve">because </w:t>
      </w:r>
      <w:r w:rsidRPr="00DA2E8C">
        <w:rPr>
          <w:sz w:val="20"/>
          <w:lang w:val="en-GB"/>
        </w:rPr>
        <w:t>both process and results are important. The consolidation of a modern</w:t>
      </w:r>
      <w:r w:rsidR="00073F61" w:rsidRPr="00DA2E8C">
        <w:rPr>
          <w:sz w:val="20"/>
          <w:lang w:val="en-GB"/>
        </w:rPr>
        <w:t xml:space="preserve">, </w:t>
      </w:r>
      <w:r w:rsidRPr="00DA2E8C">
        <w:rPr>
          <w:sz w:val="20"/>
          <w:lang w:val="en-GB"/>
        </w:rPr>
        <w:t>efficient government requires adequate administrative, financial and human resources at the central, regional and local levels, with transparent management processes and mechanisms for participation that contribute to ensuring probity and transparenc</w:t>
      </w:r>
      <w:r w:rsidRPr="00322A79">
        <w:rPr>
          <w:sz w:val="20"/>
          <w:lang w:val="en-GB"/>
        </w:rPr>
        <w:t xml:space="preserve">y in public management. From established alliances with academic, social and political stakeholders, </w:t>
      </w:r>
      <w:r w:rsidR="00DA2E8C" w:rsidRPr="00760089">
        <w:rPr>
          <w:sz w:val="20"/>
          <w:lang w:val="en-GB"/>
        </w:rPr>
        <w:t xml:space="preserve">UNDP will continue to </w:t>
      </w:r>
      <w:r w:rsidRPr="00760089">
        <w:rPr>
          <w:sz w:val="20"/>
          <w:lang w:val="en-GB"/>
        </w:rPr>
        <w:t xml:space="preserve">support </w:t>
      </w:r>
      <w:r w:rsidR="00DA2E8C" w:rsidRPr="00760089">
        <w:rPr>
          <w:sz w:val="20"/>
          <w:lang w:val="en-GB"/>
        </w:rPr>
        <w:t xml:space="preserve">knowledge </w:t>
      </w:r>
      <w:r w:rsidRPr="00760089">
        <w:rPr>
          <w:sz w:val="20"/>
          <w:lang w:val="en-GB"/>
        </w:rPr>
        <w:t xml:space="preserve">generation </w:t>
      </w:r>
      <w:r w:rsidR="00DA2E8C" w:rsidRPr="00760089">
        <w:rPr>
          <w:sz w:val="20"/>
          <w:lang w:val="en-GB"/>
        </w:rPr>
        <w:t xml:space="preserve">and </w:t>
      </w:r>
      <w:r w:rsidRPr="00760089">
        <w:rPr>
          <w:sz w:val="20"/>
          <w:lang w:val="en-GB"/>
        </w:rPr>
        <w:t xml:space="preserve">advocacy </w:t>
      </w:r>
      <w:r w:rsidR="00DA2E8C" w:rsidRPr="00760089">
        <w:rPr>
          <w:sz w:val="20"/>
          <w:lang w:val="en-GB"/>
        </w:rPr>
        <w:t xml:space="preserve">in order </w:t>
      </w:r>
      <w:r w:rsidRPr="00760089">
        <w:rPr>
          <w:sz w:val="20"/>
          <w:lang w:val="en-GB"/>
        </w:rPr>
        <w:t>to reinforce changes to the political system</w:t>
      </w:r>
      <w:r w:rsidR="00DA2E8C" w:rsidRPr="00760089">
        <w:rPr>
          <w:sz w:val="20"/>
          <w:lang w:val="en-GB"/>
        </w:rPr>
        <w:t xml:space="preserve"> – </w:t>
      </w:r>
      <w:r w:rsidRPr="00760089">
        <w:rPr>
          <w:sz w:val="20"/>
          <w:lang w:val="en-GB"/>
        </w:rPr>
        <w:t xml:space="preserve">including the electoral system, financing of political parties </w:t>
      </w:r>
      <w:r w:rsidR="00DA2E8C" w:rsidRPr="00903BF1">
        <w:rPr>
          <w:sz w:val="20"/>
          <w:lang w:val="en-GB"/>
        </w:rPr>
        <w:t>and</w:t>
      </w:r>
      <w:r w:rsidRPr="00903BF1">
        <w:rPr>
          <w:sz w:val="20"/>
          <w:lang w:val="en-GB"/>
        </w:rPr>
        <w:t xml:space="preserve"> the new constitution, all of which are necessary for the strengthening of democracy from a rights-based</w:t>
      </w:r>
      <w:r w:rsidR="00DA2E8C" w:rsidRPr="00903BF1">
        <w:rPr>
          <w:sz w:val="20"/>
          <w:lang w:val="en-GB"/>
        </w:rPr>
        <w:t xml:space="preserve">, </w:t>
      </w:r>
      <w:r w:rsidRPr="00903BF1">
        <w:rPr>
          <w:sz w:val="20"/>
          <w:lang w:val="en-GB"/>
        </w:rPr>
        <w:t>participat</w:t>
      </w:r>
      <w:r w:rsidR="00DA2E8C" w:rsidRPr="00903BF1">
        <w:rPr>
          <w:sz w:val="20"/>
          <w:lang w:val="en-GB"/>
        </w:rPr>
        <w:t xml:space="preserve">ory </w:t>
      </w:r>
      <w:r w:rsidRPr="00903BF1">
        <w:rPr>
          <w:sz w:val="20"/>
          <w:lang w:val="en-GB"/>
        </w:rPr>
        <w:t>approach</w:t>
      </w:r>
      <w:r w:rsidR="00DA2E8C" w:rsidRPr="00903BF1">
        <w:rPr>
          <w:sz w:val="20"/>
          <w:lang w:val="en-GB"/>
        </w:rPr>
        <w:t xml:space="preserve"> –</w:t>
      </w:r>
      <w:r w:rsidR="00DA2E8C">
        <w:rPr>
          <w:sz w:val="20"/>
          <w:lang w:val="en-GB"/>
        </w:rPr>
        <w:t xml:space="preserve"> and will continue to </w:t>
      </w:r>
      <w:r w:rsidRPr="00DA2E8C">
        <w:rPr>
          <w:sz w:val="20"/>
          <w:lang w:val="en-GB"/>
        </w:rPr>
        <w:t>contribut</w:t>
      </w:r>
      <w:r w:rsidR="00DA2E8C">
        <w:rPr>
          <w:sz w:val="20"/>
          <w:lang w:val="en-GB"/>
        </w:rPr>
        <w:t>e</w:t>
      </w:r>
      <w:r w:rsidRPr="00DA2E8C">
        <w:rPr>
          <w:sz w:val="20"/>
          <w:lang w:val="en-GB"/>
        </w:rPr>
        <w:t xml:space="preserve"> </w:t>
      </w:r>
      <w:r w:rsidR="00DA2E8C" w:rsidRPr="00DA2E8C">
        <w:rPr>
          <w:sz w:val="20"/>
          <w:lang w:val="en-GB"/>
        </w:rPr>
        <w:t xml:space="preserve">to </w:t>
      </w:r>
      <w:r w:rsidRPr="00DA2E8C">
        <w:rPr>
          <w:sz w:val="20"/>
          <w:lang w:val="en-GB"/>
        </w:rPr>
        <w:t>the debate and decision-making processes. The alliance with Congress will contribute to strengthen</w:t>
      </w:r>
      <w:r w:rsidR="00DA2E8C">
        <w:rPr>
          <w:sz w:val="20"/>
          <w:lang w:val="en-GB"/>
        </w:rPr>
        <w:t>ing</w:t>
      </w:r>
      <w:r w:rsidRPr="00DA2E8C">
        <w:rPr>
          <w:sz w:val="20"/>
          <w:lang w:val="en-GB"/>
        </w:rPr>
        <w:t xml:space="preserve"> ethics and transparency through capacity building for </w:t>
      </w:r>
      <w:r w:rsidR="00DA2E8C">
        <w:rPr>
          <w:sz w:val="20"/>
          <w:lang w:val="en-GB"/>
        </w:rPr>
        <w:t xml:space="preserve">its </w:t>
      </w:r>
      <w:r w:rsidRPr="00DA2E8C">
        <w:rPr>
          <w:sz w:val="20"/>
          <w:lang w:val="en-GB"/>
        </w:rPr>
        <w:t xml:space="preserve">members, </w:t>
      </w:r>
      <w:r w:rsidR="00DA2E8C">
        <w:rPr>
          <w:sz w:val="20"/>
          <w:lang w:val="en-GB"/>
        </w:rPr>
        <w:t xml:space="preserve">including </w:t>
      </w:r>
      <w:r w:rsidRPr="00DA2E8C">
        <w:rPr>
          <w:sz w:val="20"/>
          <w:lang w:val="en-GB"/>
        </w:rPr>
        <w:t xml:space="preserve">advisors and other officials, </w:t>
      </w:r>
      <w:r w:rsidR="00DA2E8C">
        <w:rPr>
          <w:sz w:val="20"/>
          <w:lang w:val="en-GB"/>
        </w:rPr>
        <w:t xml:space="preserve">and help to </w:t>
      </w:r>
      <w:r w:rsidRPr="00DA2E8C">
        <w:rPr>
          <w:sz w:val="20"/>
          <w:lang w:val="en-GB"/>
        </w:rPr>
        <w:t>promot</w:t>
      </w:r>
      <w:r w:rsidR="00DA2E8C">
        <w:rPr>
          <w:sz w:val="20"/>
          <w:lang w:val="en-GB"/>
        </w:rPr>
        <w:t>e</w:t>
      </w:r>
      <w:r w:rsidRPr="00DA2E8C">
        <w:rPr>
          <w:sz w:val="20"/>
          <w:lang w:val="en-GB"/>
        </w:rPr>
        <w:t xml:space="preserve"> the participation of civil society in the legislative process through the identification and deployment of mechanisms that allow representation and accountability to be improved. Building </w:t>
      </w:r>
      <w:r w:rsidR="00DA2E8C">
        <w:rPr>
          <w:sz w:val="20"/>
          <w:lang w:val="en-GB"/>
        </w:rPr>
        <w:t xml:space="preserve">the </w:t>
      </w:r>
      <w:r w:rsidRPr="00DA2E8C">
        <w:rPr>
          <w:sz w:val="20"/>
          <w:lang w:val="en-GB"/>
        </w:rPr>
        <w:t xml:space="preserve">capacities </w:t>
      </w:r>
      <w:r w:rsidR="00DA2E8C">
        <w:rPr>
          <w:sz w:val="20"/>
          <w:lang w:val="en-GB"/>
        </w:rPr>
        <w:t xml:space="preserve">of </w:t>
      </w:r>
      <w:r w:rsidRPr="00DA2E8C">
        <w:rPr>
          <w:sz w:val="20"/>
          <w:lang w:val="en-GB"/>
        </w:rPr>
        <w:t xml:space="preserve">women leaders in order to increase their political participation and </w:t>
      </w:r>
      <w:r w:rsidR="00DA2E8C">
        <w:rPr>
          <w:sz w:val="20"/>
          <w:lang w:val="en-GB"/>
        </w:rPr>
        <w:t xml:space="preserve">taking </w:t>
      </w:r>
      <w:r w:rsidRPr="00DA2E8C">
        <w:rPr>
          <w:sz w:val="20"/>
          <w:lang w:val="en-GB"/>
        </w:rPr>
        <w:t>measures to address gender violence in collaboration with the National Women’s Service and civil society organizations are also priority areas of action. Furthermore, support on the issue of indigenous people will focus on assess</w:t>
      </w:r>
      <w:r w:rsidR="00DA2E8C">
        <w:rPr>
          <w:sz w:val="20"/>
          <w:lang w:val="en-GB"/>
        </w:rPr>
        <w:t>ing</w:t>
      </w:r>
      <w:r w:rsidRPr="00DA2E8C">
        <w:rPr>
          <w:sz w:val="20"/>
          <w:lang w:val="en-GB"/>
        </w:rPr>
        <w:t xml:space="preserve"> and help</w:t>
      </w:r>
      <w:r w:rsidR="00DA2E8C">
        <w:rPr>
          <w:sz w:val="20"/>
          <w:lang w:val="en-GB"/>
        </w:rPr>
        <w:t>ing</w:t>
      </w:r>
      <w:r w:rsidRPr="00DA2E8C">
        <w:rPr>
          <w:sz w:val="20"/>
          <w:lang w:val="en-GB"/>
        </w:rPr>
        <w:t xml:space="preserve"> </w:t>
      </w:r>
      <w:r w:rsidR="00DA2E8C">
        <w:rPr>
          <w:sz w:val="20"/>
          <w:lang w:val="en-GB"/>
        </w:rPr>
        <w:t xml:space="preserve">to </w:t>
      </w:r>
      <w:r w:rsidRPr="00DA2E8C">
        <w:rPr>
          <w:sz w:val="20"/>
          <w:lang w:val="en-GB"/>
        </w:rPr>
        <w:t>redesign policies aimed at reducing the gap between indigenous and non-indigenous groups</w:t>
      </w:r>
      <w:r w:rsidR="00322A79">
        <w:rPr>
          <w:sz w:val="20"/>
          <w:lang w:val="en-GB"/>
        </w:rPr>
        <w:t>.</w:t>
      </w:r>
      <w:r w:rsidRPr="00DA2E8C">
        <w:rPr>
          <w:sz w:val="20"/>
          <w:lang w:val="en-GB"/>
        </w:rPr>
        <w:t xml:space="preserve"> </w:t>
      </w:r>
      <w:r w:rsidR="00322A79">
        <w:rPr>
          <w:sz w:val="20"/>
          <w:lang w:val="en-GB"/>
        </w:rPr>
        <w:t xml:space="preserve">It will include the </w:t>
      </w:r>
      <w:r w:rsidRPr="00DA2E8C">
        <w:rPr>
          <w:sz w:val="20"/>
          <w:lang w:val="en-GB"/>
        </w:rPr>
        <w:t>participation of indigenous communities and incorporat</w:t>
      </w:r>
      <w:r w:rsidR="00322A79">
        <w:rPr>
          <w:sz w:val="20"/>
          <w:lang w:val="en-GB"/>
        </w:rPr>
        <w:t>e</w:t>
      </w:r>
      <w:r w:rsidRPr="00DA2E8C">
        <w:rPr>
          <w:sz w:val="20"/>
          <w:lang w:val="en-GB"/>
        </w:rPr>
        <w:t xml:space="preserve"> indicators and approaches with ethnic relevance aimed at increasing the efficiency and effectiveness of such policies. In the local context, </w:t>
      </w:r>
      <w:r w:rsidR="00322A79">
        <w:rPr>
          <w:sz w:val="20"/>
          <w:lang w:val="en-GB"/>
        </w:rPr>
        <w:t xml:space="preserve">UNDP will </w:t>
      </w:r>
      <w:r w:rsidRPr="00DA2E8C">
        <w:rPr>
          <w:sz w:val="20"/>
          <w:lang w:val="en-GB"/>
        </w:rPr>
        <w:t xml:space="preserve">focus on the development of methodologies </w:t>
      </w:r>
      <w:r w:rsidR="00322A79">
        <w:rPr>
          <w:sz w:val="20"/>
          <w:lang w:val="en-GB"/>
        </w:rPr>
        <w:t xml:space="preserve">to </w:t>
      </w:r>
      <w:r w:rsidRPr="00DA2E8C">
        <w:rPr>
          <w:sz w:val="20"/>
          <w:lang w:val="en-GB"/>
        </w:rPr>
        <w:t>promot</w:t>
      </w:r>
      <w:r w:rsidR="00322A79">
        <w:rPr>
          <w:sz w:val="20"/>
          <w:lang w:val="en-GB"/>
        </w:rPr>
        <w:t>e</w:t>
      </w:r>
      <w:r w:rsidRPr="00DA2E8C">
        <w:rPr>
          <w:sz w:val="20"/>
          <w:lang w:val="en-GB"/>
        </w:rPr>
        <w:t xml:space="preserve"> participation and social dialogue in decentralization processes</w:t>
      </w:r>
      <w:r w:rsidR="00322A79">
        <w:rPr>
          <w:sz w:val="20"/>
          <w:lang w:val="en-GB"/>
        </w:rPr>
        <w:t>,</w:t>
      </w:r>
      <w:r w:rsidRPr="00DA2E8C">
        <w:rPr>
          <w:sz w:val="20"/>
          <w:lang w:val="en-GB"/>
        </w:rPr>
        <w:t xml:space="preserve"> and </w:t>
      </w:r>
      <w:r w:rsidR="00322A79">
        <w:rPr>
          <w:sz w:val="20"/>
          <w:lang w:val="en-GB"/>
        </w:rPr>
        <w:t xml:space="preserve">on </w:t>
      </w:r>
      <w:r w:rsidRPr="00DA2E8C">
        <w:rPr>
          <w:sz w:val="20"/>
          <w:lang w:val="en-GB"/>
        </w:rPr>
        <w:t>the implementation of decentralization pilot program</w:t>
      </w:r>
      <w:r w:rsidR="00322A79">
        <w:rPr>
          <w:sz w:val="20"/>
          <w:lang w:val="en-GB"/>
        </w:rPr>
        <w:t>me</w:t>
      </w:r>
      <w:r w:rsidRPr="00DA2E8C">
        <w:rPr>
          <w:sz w:val="20"/>
          <w:lang w:val="en-GB"/>
        </w:rPr>
        <w:t xml:space="preserve">s that can be replicated, through a method that </w:t>
      </w:r>
      <w:r w:rsidR="00322A79" w:rsidRPr="00DA2E8C">
        <w:rPr>
          <w:sz w:val="20"/>
          <w:lang w:val="en-GB"/>
        </w:rPr>
        <w:t xml:space="preserve">participating stakeholders </w:t>
      </w:r>
      <w:r w:rsidRPr="00DA2E8C">
        <w:rPr>
          <w:sz w:val="20"/>
          <w:lang w:val="en-GB"/>
        </w:rPr>
        <w:t>ha</w:t>
      </w:r>
      <w:r w:rsidR="00322A79">
        <w:rPr>
          <w:sz w:val="20"/>
          <w:lang w:val="en-GB"/>
        </w:rPr>
        <w:t>ve</w:t>
      </w:r>
      <w:r w:rsidRPr="00DA2E8C">
        <w:rPr>
          <w:sz w:val="20"/>
          <w:lang w:val="en-GB"/>
        </w:rPr>
        <w:t xml:space="preserve"> assessed and validated. This initiative will require the multidisciplinary support of all public and private stakeholders linked to the territory</w:t>
      </w:r>
      <w:r w:rsidR="00322A79">
        <w:rPr>
          <w:sz w:val="20"/>
          <w:lang w:val="en-GB"/>
        </w:rPr>
        <w:t>,</w:t>
      </w:r>
      <w:r w:rsidRPr="00DA2E8C">
        <w:rPr>
          <w:sz w:val="20"/>
          <w:lang w:val="en-GB"/>
        </w:rPr>
        <w:t xml:space="preserve"> with the opportunity </w:t>
      </w:r>
      <w:r w:rsidR="00760089">
        <w:rPr>
          <w:sz w:val="20"/>
          <w:lang w:val="en-GB"/>
        </w:rPr>
        <w:t xml:space="preserve">for them </w:t>
      </w:r>
      <w:r w:rsidRPr="00DA2E8C">
        <w:rPr>
          <w:sz w:val="20"/>
          <w:lang w:val="en-GB"/>
        </w:rPr>
        <w:t xml:space="preserve">to generate synergies and lessons in a key challenge </w:t>
      </w:r>
      <w:r w:rsidR="00760089">
        <w:rPr>
          <w:sz w:val="20"/>
          <w:lang w:val="en-GB"/>
        </w:rPr>
        <w:t xml:space="preserve">area </w:t>
      </w:r>
      <w:r w:rsidRPr="00DA2E8C">
        <w:rPr>
          <w:sz w:val="20"/>
          <w:lang w:val="en-GB"/>
        </w:rPr>
        <w:t>for the Latin American region.</w:t>
      </w:r>
    </w:p>
    <w:p w14:paraId="5179E45A" w14:textId="61CE4305" w:rsidR="00781F09" w:rsidRPr="00CE38CA" w:rsidRDefault="00781F09" w:rsidP="004F7D06">
      <w:pPr>
        <w:pStyle w:val="Normal1"/>
        <w:numPr>
          <w:ilvl w:val="0"/>
          <w:numId w:val="36"/>
        </w:numPr>
        <w:tabs>
          <w:tab w:val="left" w:pos="284"/>
          <w:tab w:val="left" w:pos="1701"/>
        </w:tabs>
        <w:spacing w:after="120"/>
        <w:ind w:left="1247" w:right="794" w:firstLine="0"/>
        <w:jc w:val="both"/>
        <w:rPr>
          <w:sz w:val="20"/>
          <w:lang w:val="en-GB"/>
        </w:rPr>
      </w:pPr>
      <w:r w:rsidRPr="00A309A5">
        <w:rPr>
          <w:i/>
          <w:sz w:val="20"/>
          <w:lang w:val="en-GB"/>
        </w:rPr>
        <w:t>Disaster risk and resilience.</w:t>
      </w:r>
      <w:r w:rsidRPr="00CE38CA">
        <w:rPr>
          <w:sz w:val="20"/>
          <w:lang w:val="en-GB"/>
        </w:rPr>
        <w:t xml:space="preserve"> </w:t>
      </w:r>
      <w:r w:rsidR="00903BF1">
        <w:rPr>
          <w:sz w:val="20"/>
          <w:lang w:val="en-GB"/>
        </w:rPr>
        <w:t>UNDP will s</w:t>
      </w:r>
      <w:r w:rsidRPr="00CE38CA">
        <w:rPr>
          <w:sz w:val="20"/>
          <w:lang w:val="en-GB"/>
        </w:rPr>
        <w:t xml:space="preserve">upport mainstreaming the risk reduction approach </w:t>
      </w:r>
      <w:r w:rsidR="009B052F" w:rsidRPr="00CE38CA">
        <w:rPr>
          <w:sz w:val="20"/>
          <w:lang w:val="en-GB"/>
        </w:rPr>
        <w:t>in</w:t>
      </w:r>
      <w:r w:rsidR="008F4CAE" w:rsidRPr="00CE38CA">
        <w:rPr>
          <w:sz w:val="20"/>
          <w:lang w:val="en-GB"/>
        </w:rPr>
        <w:t xml:space="preserve"> </w:t>
      </w:r>
      <w:r w:rsidRPr="00CE38CA">
        <w:rPr>
          <w:sz w:val="20"/>
          <w:lang w:val="en-GB"/>
        </w:rPr>
        <w:t xml:space="preserve">the planning </w:t>
      </w:r>
      <w:r w:rsidR="009B052F" w:rsidRPr="00CE38CA">
        <w:rPr>
          <w:sz w:val="20"/>
          <w:lang w:val="en-GB"/>
        </w:rPr>
        <w:t>process</w:t>
      </w:r>
      <w:r w:rsidRPr="00CE38CA">
        <w:rPr>
          <w:sz w:val="20"/>
          <w:lang w:val="en-GB"/>
        </w:rPr>
        <w:t xml:space="preserve">, institutional structure and public investments. This will include the development of planning capacities at the central and sub-national levels; the development of proposals, instruments and methodologies with a gender focus; and the creation of knowledge and dissemination of successful experiences. The structure of partnerships with the United Nations </w:t>
      </w:r>
      <w:r w:rsidR="00903BF1">
        <w:rPr>
          <w:sz w:val="20"/>
          <w:lang w:val="en-GB"/>
        </w:rPr>
        <w:t>s</w:t>
      </w:r>
      <w:r w:rsidRPr="00CE38CA">
        <w:rPr>
          <w:sz w:val="20"/>
          <w:lang w:val="en-GB"/>
        </w:rPr>
        <w:t xml:space="preserve">ystem, </w:t>
      </w:r>
      <w:r w:rsidR="003D67E4" w:rsidRPr="00CE38CA">
        <w:rPr>
          <w:sz w:val="20"/>
          <w:lang w:val="en-GB"/>
        </w:rPr>
        <w:t>the National Emergency Bureau</w:t>
      </w:r>
      <w:r w:rsidRPr="00CE38CA">
        <w:rPr>
          <w:sz w:val="20"/>
          <w:lang w:val="en-GB"/>
        </w:rPr>
        <w:t>, civil society, aid organizations, and local and regional governments will strengthen the effects of awareness and capacity building actions, in order to address the crisis in a coordinated and effective manner.</w:t>
      </w:r>
      <w:r w:rsidR="008F4CAE" w:rsidRPr="00CE38CA">
        <w:rPr>
          <w:sz w:val="20"/>
          <w:lang w:val="en-GB"/>
        </w:rPr>
        <w:t xml:space="preserve"> Addressing risks will </w:t>
      </w:r>
      <w:r w:rsidR="009B052F" w:rsidRPr="00CE38CA">
        <w:rPr>
          <w:sz w:val="20"/>
          <w:lang w:val="en-GB"/>
        </w:rPr>
        <w:t>entail</w:t>
      </w:r>
      <w:r w:rsidR="008F4CAE" w:rsidRPr="00CE38CA">
        <w:rPr>
          <w:sz w:val="20"/>
          <w:lang w:val="en-GB"/>
        </w:rPr>
        <w:t xml:space="preserve"> taking into account </w:t>
      </w:r>
      <w:r w:rsidR="009B052F" w:rsidRPr="00CE38CA">
        <w:rPr>
          <w:sz w:val="20"/>
          <w:lang w:val="en-GB"/>
        </w:rPr>
        <w:t xml:space="preserve">those derived from </w:t>
      </w:r>
      <w:r w:rsidR="00450073" w:rsidRPr="00CE38CA">
        <w:rPr>
          <w:sz w:val="20"/>
          <w:lang w:val="en-GB"/>
        </w:rPr>
        <w:t xml:space="preserve">natural </w:t>
      </w:r>
      <w:r w:rsidR="009B052F" w:rsidRPr="00CE38CA">
        <w:rPr>
          <w:sz w:val="20"/>
          <w:lang w:val="en-GB"/>
        </w:rPr>
        <w:t xml:space="preserve">disasters but also </w:t>
      </w:r>
      <w:r w:rsidR="00F63D65" w:rsidRPr="00CE38CA">
        <w:rPr>
          <w:sz w:val="20"/>
          <w:lang w:val="en-GB"/>
        </w:rPr>
        <w:t>climatic and other environmental</w:t>
      </w:r>
      <w:r w:rsidR="009B052F" w:rsidRPr="00CE38CA">
        <w:rPr>
          <w:sz w:val="20"/>
          <w:lang w:val="en-GB"/>
        </w:rPr>
        <w:t xml:space="preserve"> risks, </w:t>
      </w:r>
      <w:r w:rsidR="00903BF1">
        <w:rPr>
          <w:sz w:val="20"/>
          <w:lang w:val="en-GB"/>
        </w:rPr>
        <w:t xml:space="preserve">by </w:t>
      </w:r>
      <w:r w:rsidR="009B052F" w:rsidRPr="00CE38CA">
        <w:rPr>
          <w:sz w:val="20"/>
          <w:lang w:val="en-GB"/>
        </w:rPr>
        <w:t xml:space="preserve">introducing a comprehensive perspective </w:t>
      </w:r>
      <w:r w:rsidR="00903BF1">
        <w:rPr>
          <w:sz w:val="20"/>
          <w:lang w:val="en-GB"/>
        </w:rPr>
        <w:t xml:space="preserve">at </w:t>
      </w:r>
      <w:r w:rsidR="00E77782" w:rsidRPr="00CE38CA">
        <w:rPr>
          <w:sz w:val="20"/>
          <w:lang w:val="en-GB"/>
        </w:rPr>
        <w:t xml:space="preserve">the planning stage </w:t>
      </w:r>
      <w:r w:rsidR="00A134B8" w:rsidRPr="00CE38CA">
        <w:rPr>
          <w:sz w:val="20"/>
          <w:lang w:val="en-GB"/>
        </w:rPr>
        <w:t>to ensure</w:t>
      </w:r>
      <w:r w:rsidR="00E77782" w:rsidRPr="00CE38CA">
        <w:rPr>
          <w:sz w:val="20"/>
          <w:lang w:val="en-GB"/>
        </w:rPr>
        <w:t xml:space="preserve"> </w:t>
      </w:r>
      <w:r w:rsidR="00A134B8" w:rsidRPr="00CE38CA">
        <w:rPr>
          <w:sz w:val="20"/>
          <w:lang w:val="en-GB"/>
        </w:rPr>
        <w:t xml:space="preserve">integral </w:t>
      </w:r>
      <w:r w:rsidR="009B052F" w:rsidRPr="00CE38CA">
        <w:rPr>
          <w:sz w:val="20"/>
          <w:lang w:val="en-GB"/>
        </w:rPr>
        <w:t>development</w:t>
      </w:r>
      <w:r w:rsidR="00E77782" w:rsidRPr="00CE38CA">
        <w:rPr>
          <w:sz w:val="20"/>
          <w:lang w:val="en-GB"/>
        </w:rPr>
        <w:t xml:space="preserve"> process</w:t>
      </w:r>
      <w:r w:rsidR="00A134B8" w:rsidRPr="00CE38CA">
        <w:rPr>
          <w:sz w:val="20"/>
          <w:lang w:val="en-GB"/>
        </w:rPr>
        <w:t>es</w:t>
      </w:r>
      <w:r w:rsidR="00450073" w:rsidRPr="00CE38CA">
        <w:rPr>
          <w:sz w:val="20"/>
          <w:lang w:val="en-GB"/>
        </w:rPr>
        <w:t xml:space="preserve"> and enhanced </w:t>
      </w:r>
      <w:r w:rsidR="00113AAE" w:rsidRPr="00CE38CA">
        <w:rPr>
          <w:sz w:val="20"/>
          <w:lang w:val="en-GB"/>
        </w:rPr>
        <w:t>resilience</w:t>
      </w:r>
      <w:r w:rsidR="00450073" w:rsidRPr="00CE38CA">
        <w:rPr>
          <w:sz w:val="20"/>
          <w:lang w:val="en-GB"/>
        </w:rPr>
        <w:t xml:space="preserve"> in the face of disasters. </w:t>
      </w:r>
      <w:r w:rsidRPr="00CE38CA">
        <w:rPr>
          <w:sz w:val="20"/>
          <w:lang w:val="en-GB"/>
        </w:rPr>
        <w:t>Th</w:t>
      </w:r>
      <w:r w:rsidR="00903BF1">
        <w:rPr>
          <w:sz w:val="20"/>
          <w:lang w:val="en-GB"/>
        </w:rPr>
        <w:t xml:space="preserve">ese efforts </w:t>
      </w:r>
      <w:r w:rsidRPr="00CE38CA">
        <w:rPr>
          <w:sz w:val="20"/>
          <w:lang w:val="en-GB"/>
        </w:rPr>
        <w:t>will complement work with local governments</w:t>
      </w:r>
      <w:r w:rsidR="002C352F" w:rsidRPr="00CE38CA">
        <w:rPr>
          <w:sz w:val="20"/>
          <w:lang w:val="en-GB"/>
        </w:rPr>
        <w:t>, key actors for risk management and local development,</w:t>
      </w:r>
      <w:r w:rsidRPr="00CE38CA">
        <w:rPr>
          <w:sz w:val="20"/>
          <w:lang w:val="en-GB"/>
        </w:rPr>
        <w:t xml:space="preserve"> </w:t>
      </w:r>
      <w:r w:rsidR="00903BF1">
        <w:rPr>
          <w:sz w:val="20"/>
          <w:lang w:val="en-GB"/>
        </w:rPr>
        <w:t xml:space="preserve">in order </w:t>
      </w:r>
      <w:r w:rsidRPr="00CE38CA">
        <w:rPr>
          <w:sz w:val="20"/>
          <w:lang w:val="en-GB"/>
        </w:rPr>
        <w:t xml:space="preserve">to define regional development strategies that broaden </w:t>
      </w:r>
      <w:r w:rsidR="00903BF1">
        <w:rPr>
          <w:sz w:val="20"/>
          <w:lang w:val="en-GB"/>
        </w:rPr>
        <w:t xml:space="preserve">the </w:t>
      </w:r>
      <w:r w:rsidRPr="00CE38CA">
        <w:rPr>
          <w:sz w:val="20"/>
          <w:lang w:val="en-GB"/>
        </w:rPr>
        <w:t xml:space="preserve">development </w:t>
      </w:r>
      <w:r w:rsidR="00F63D65" w:rsidRPr="00CE38CA">
        <w:rPr>
          <w:sz w:val="20"/>
          <w:lang w:val="en-GB"/>
        </w:rPr>
        <w:t xml:space="preserve">planning </w:t>
      </w:r>
      <w:r w:rsidRPr="00CE38CA">
        <w:rPr>
          <w:sz w:val="20"/>
          <w:lang w:val="en-GB"/>
        </w:rPr>
        <w:t xml:space="preserve">capacities </w:t>
      </w:r>
      <w:r w:rsidR="008F4CAE" w:rsidRPr="00CE38CA">
        <w:rPr>
          <w:sz w:val="20"/>
          <w:lang w:val="en-GB"/>
        </w:rPr>
        <w:t xml:space="preserve">of </w:t>
      </w:r>
      <w:r w:rsidRPr="00CE38CA">
        <w:rPr>
          <w:sz w:val="20"/>
          <w:lang w:val="en-GB"/>
        </w:rPr>
        <w:t>regional areas</w:t>
      </w:r>
      <w:r w:rsidR="00957587" w:rsidRPr="00CE38CA">
        <w:rPr>
          <w:sz w:val="20"/>
          <w:lang w:val="en-GB"/>
        </w:rPr>
        <w:t xml:space="preserve"> </w:t>
      </w:r>
      <w:r w:rsidR="00903BF1">
        <w:rPr>
          <w:sz w:val="20"/>
          <w:lang w:val="en-GB"/>
        </w:rPr>
        <w:t xml:space="preserve">so they can help to </w:t>
      </w:r>
      <w:r w:rsidR="00957587" w:rsidRPr="00CE38CA">
        <w:rPr>
          <w:sz w:val="20"/>
          <w:lang w:val="en-GB"/>
        </w:rPr>
        <w:t>reduc</w:t>
      </w:r>
      <w:r w:rsidR="00903BF1">
        <w:rPr>
          <w:sz w:val="20"/>
          <w:lang w:val="en-GB"/>
        </w:rPr>
        <w:t>e</w:t>
      </w:r>
      <w:r w:rsidR="00957587" w:rsidRPr="00CE38CA">
        <w:rPr>
          <w:sz w:val="20"/>
          <w:lang w:val="en-GB"/>
        </w:rPr>
        <w:t xml:space="preserve"> </w:t>
      </w:r>
      <w:r w:rsidR="00903BF1">
        <w:rPr>
          <w:sz w:val="20"/>
          <w:lang w:val="en-GB"/>
        </w:rPr>
        <w:t xml:space="preserve">the </w:t>
      </w:r>
      <w:r w:rsidR="00957587" w:rsidRPr="00CE38CA">
        <w:rPr>
          <w:sz w:val="20"/>
          <w:lang w:val="en-GB"/>
        </w:rPr>
        <w:t>environmental and socioeconomic vulnerabilities of the most exposed groups</w:t>
      </w:r>
      <w:r w:rsidRPr="00CE38CA">
        <w:rPr>
          <w:sz w:val="20"/>
          <w:lang w:val="en-GB"/>
        </w:rPr>
        <w:t xml:space="preserve">. These efforts will contribute to reducing territorial </w:t>
      </w:r>
      <w:r w:rsidR="00957587" w:rsidRPr="00CE38CA">
        <w:rPr>
          <w:sz w:val="20"/>
          <w:lang w:val="en-GB"/>
        </w:rPr>
        <w:t xml:space="preserve">inequality </w:t>
      </w:r>
      <w:r w:rsidRPr="00CE38CA">
        <w:rPr>
          <w:sz w:val="20"/>
          <w:lang w:val="en-GB"/>
        </w:rPr>
        <w:t>gaps that persist in various areas and to consolidating the effects of interventions, thus helping to build more capable</w:t>
      </w:r>
      <w:r w:rsidR="00903BF1">
        <w:rPr>
          <w:sz w:val="20"/>
          <w:lang w:val="en-GB"/>
        </w:rPr>
        <w:t xml:space="preserve">, </w:t>
      </w:r>
      <w:r w:rsidRPr="00CE38CA">
        <w:rPr>
          <w:sz w:val="20"/>
          <w:lang w:val="en-GB"/>
        </w:rPr>
        <w:t xml:space="preserve">resilient communities. </w:t>
      </w:r>
    </w:p>
    <w:p w14:paraId="4C3A40B6" w14:textId="5F535595" w:rsidR="00781F09" w:rsidRPr="00CE38CA" w:rsidRDefault="00781F09" w:rsidP="00533A10">
      <w:pPr>
        <w:pStyle w:val="Normal1"/>
        <w:numPr>
          <w:ilvl w:val="0"/>
          <w:numId w:val="36"/>
        </w:numPr>
        <w:tabs>
          <w:tab w:val="left" w:pos="426"/>
          <w:tab w:val="left" w:pos="1701"/>
        </w:tabs>
        <w:spacing w:after="120"/>
        <w:ind w:left="1247" w:right="794" w:firstLine="0"/>
        <w:jc w:val="both"/>
        <w:rPr>
          <w:sz w:val="20"/>
          <w:lang w:val="en-GB"/>
        </w:rPr>
      </w:pPr>
      <w:r w:rsidRPr="00A309A5">
        <w:rPr>
          <w:i/>
          <w:sz w:val="20"/>
          <w:lang w:val="en-GB"/>
        </w:rPr>
        <w:lastRenderedPageBreak/>
        <w:t>South-</w:t>
      </w:r>
      <w:r w:rsidR="00F87A16">
        <w:rPr>
          <w:i/>
          <w:sz w:val="20"/>
          <w:lang w:val="en-GB"/>
        </w:rPr>
        <w:t>S</w:t>
      </w:r>
      <w:r w:rsidRPr="00A309A5">
        <w:rPr>
          <w:i/>
          <w:sz w:val="20"/>
          <w:lang w:val="en-GB"/>
        </w:rPr>
        <w:t>outh cooperation.</w:t>
      </w:r>
      <w:r w:rsidRPr="00CE38CA">
        <w:rPr>
          <w:sz w:val="20"/>
          <w:lang w:val="en-GB"/>
        </w:rPr>
        <w:t xml:space="preserve"> The potential of </w:t>
      </w:r>
      <w:r w:rsidR="00F87A16">
        <w:rPr>
          <w:sz w:val="20"/>
          <w:lang w:val="en-GB"/>
        </w:rPr>
        <w:t>S</w:t>
      </w:r>
      <w:r w:rsidRPr="00CE38CA">
        <w:rPr>
          <w:sz w:val="20"/>
          <w:lang w:val="en-GB"/>
        </w:rPr>
        <w:t>outh-</w:t>
      </w:r>
      <w:r w:rsidR="00F87A16">
        <w:rPr>
          <w:sz w:val="20"/>
          <w:lang w:val="en-GB"/>
        </w:rPr>
        <w:t>S</w:t>
      </w:r>
      <w:r w:rsidRPr="00CE38CA">
        <w:rPr>
          <w:sz w:val="20"/>
          <w:lang w:val="en-GB"/>
        </w:rPr>
        <w:t>outh cooperation</w:t>
      </w:r>
      <w:r w:rsidR="00F87A16">
        <w:rPr>
          <w:sz w:val="20"/>
          <w:lang w:val="en-GB"/>
        </w:rPr>
        <w:t>,</w:t>
      </w:r>
      <w:r w:rsidRPr="00CE38CA">
        <w:rPr>
          <w:sz w:val="20"/>
          <w:lang w:val="en-GB"/>
        </w:rPr>
        <w:t xml:space="preserve"> as a means of generating synergies at the regional level and towards other regions, facilitating the exchange of best practices between countries, generates a space in which Chile can contribute and receive capacities and knowledge in the development of public policies. In its role as a facilitator, UNDP will support capacity building for the Chilean International Cooperation Agency and the Ministry of Foreign Affairs through the strengthening of the Chilean Fund against Hunger and Poverty. It will also</w:t>
      </w:r>
      <w:r w:rsidRPr="00CE38CA" w:rsidDel="005A04AC">
        <w:rPr>
          <w:sz w:val="20"/>
          <w:lang w:val="en-GB"/>
        </w:rPr>
        <w:t xml:space="preserve"> </w:t>
      </w:r>
      <w:r w:rsidRPr="00CE38CA">
        <w:rPr>
          <w:sz w:val="20"/>
          <w:lang w:val="en-GB"/>
        </w:rPr>
        <w:t>aim at increasing institutional management capacity for cooperation, strengthening a national strategy</w:t>
      </w:r>
      <w:r w:rsidR="00F87A16">
        <w:rPr>
          <w:sz w:val="20"/>
          <w:lang w:val="en-GB"/>
        </w:rPr>
        <w:t>,</w:t>
      </w:r>
      <w:r w:rsidRPr="00CE38CA">
        <w:rPr>
          <w:sz w:val="20"/>
          <w:lang w:val="en-GB"/>
        </w:rPr>
        <w:t xml:space="preserve"> and establish</w:t>
      </w:r>
      <w:r w:rsidR="00F87A16">
        <w:rPr>
          <w:sz w:val="20"/>
          <w:lang w:val="en-GB"/>
        </w:rPr>
        <w:t>ing</w:t>
      </w:r>
      <w:r w:rsidRPr="00CE38CA">
        <w:rPr>
          <w:sz w:val="20"/>
          <w:lang w:val="en-GB"/>
        </w:rPr>
        <w:t xml:space="preserve"> partnerships with other cooperation entities, such as </w:t>
      </w:r>
      <w:r w:rsidR="00F87A16">
        <w:rPr>
          <w:sz w:val="20"/>
          <w:lang w:val="en-GB"/>
        </w:rPr>
        <w:t>non-governmental organizations</w:t>
      </w:r>
      <w:r w:rsidR="00F87A16" w:rsidRPr="00CE38CA">
        <w:rPr>
          <w:sz w:val="20"/>
          <w:lang w:val="en-GB"/>
        </w:rPr>
        <w:t xml:space="preserve"> </w:t>
      </w:r>
      <w:r w:rsidRPr="00CE38CA">
        <w:rPr>
          <w:sz w:val="20"/>
          <w:lang w:val="en-GB"/>
        </w:rPr>
        <w:t xml:space="preserve">and universities, and </w:t>
      </w:r>
      <w:r w:rsidR="00F87A16">
        <w:rPr>
          <w:sz w:val="20"/>
          <w:lang w:val="en-GB"/>
        </w:rPr>
        <w:t xml:space="preserve">will also help to </w:t>
      </w:r>
      <w:r w:rsidRPr="00CE38CA">
        <w:rPr>
          <w:sz w:val="20"/>
          <w:lang w:val="en-GB"/>
        </w:rPr>
        <w:t xml:space="preserve">develop platforms and products that contribute to the replicability of successful experiences. Finally, </w:t>
      </w:r>
      <w:r w:rsidR="00F87A16">
        <w:rPr>
          <w:sz w:val="20"/>
          <w:lang w:val="en-GB"/>
        </w:rPr>
        <w:t xml:space="preserve">UNDP will explore </w:t>
      </w:r>
      <w:r w:rsidRPr="00CE38CA">
        <w:rPr>
          <w:sz w:val="20"/>
          <w:lang w:val="en-GB"/>
        </w:rPr>
        <w:t xml:space="preserve">new avenues for promoting cooperation from the United Nations </w:t>
      </w:r>
      <w:r w:rsidR="00F87A16">
        <w:rPr>
          <w:sz w:val="20"/>
          <w:lang w:val="en-GB"/>
        </w:rPr>
        <w:t>s</w:t>
      </w:r>
      <w:r w:rsidRPr="00CE38CA">
        <w:rPr>
          <w:sz w:val="20"/>
          <w:lang w:val="en-GB"/>
        </w:rPr>
        <w:t xml:space="preserve">ystem, other institutional entities, and regional and local governments, in order to open up spaces that contribute to development and </w:t>
      </w:r>
      <w:r w:rsidR="00F87A16">
        <w:rPr>
          <w:sz w:val="20"/>
          <w:lang w:val="en-GB"/>
        </w:rPr>
        <w:t xml:space="preserve">that </w:t>
      </w:r>
      <w:r w:rsidRPr="00CE38CA">
        <w:rPr>
          <w:sz w:val="20"/>
          <w:lang w:val="en-GB"/>
        </w:rPr>
        <w:t>clos</w:t>
      </w:r>
      <w:r w:rsidR="00F87A16">
        <w:rPr>
          <w:sz w:val="20"/>
          <w:lang w:val="en-GB"/>
        </w:rPr>
        <w:t>e</w:t>
      </w:r>
      <w:r w:rsidRPr="00CE38CA">
        <w:rPr>
          <w:sz w:val="20"/>
          <w:lang w:val="en-GB"/>
        </w:rPr>
        <w:t xml:space="preserve"> inequality gaps among regions.  </w:t>
      </w:r>
    </w:p>
    <w:p w14:paraId="0B888714" w14:textId="77777777" w:rsidR="00781F09" w:rsidRPr="00CE38CA" w:rsidRDefault="004F7D06" w:rsidP="00533A10">
      <w:pPr>
        <w:pStyle w:val="Heading1"/>
        <w:numPr>
          <w:ilvl w:val="0"/>
          <w:numId w:val="41"/>
        </w:numPr>
        <w:tabs>
          <w:tab w:val="left" w:pos="1800"/>
        </w:tabs>
        <w:spacing w:after="120"/>
        <w:ind w:left="1260" w:right="794" w:hanging="540"/>
        <w:jc w:val="both"/>
        <w:rPr>
          <w:sz w:val="22"/>
          <w:lang w:val="en-GB"/>
        </w:rPr>
      </w:pPr>
      <w:r w:rsidRPr="00CE38CA">
        <w:rPr>
          <w:rFonts w:ascii="Times New Roman" w:hAnsi="Times New Roman"/>
          <w:sz w:val="22"/>
          <w:lang w:val="en-GB"/>
        </w:rPr>
        <w:t>Programme and r</w:t>
      </w:r>
      <w:r w:rsidR="00781F09" w:rsidRPr="00CE38CA">
        <w:rPr>
          <w:rFonts w:ascii="Times New Roman" w:hAnsi="Times New Roman"/>
          <w:sz w:val="22"/>
          <w:lang w:val="en-GB"/>
        </w:rPr>
        <w:t xml:space="preserve">isk </w:t>
      </w:r>
      <w:r w:rsidRPr="00CE38CA">
        <w:rPr>
          <w:rFonts w:ascii="Times New Roman" w:hAnsi="Times New Roman"/>
          <w:sz w:val="22"/>
          <w:lang w:val="en-GB"/>
        </w:rPr>
        <w:t>m</w:t>
      </w:r>
      <w:r w:rsidR="00781F09" w:rsidRPr="00CE38CA">
        <w:rPr>
          <w:rFonts w:ascii="Times New Roman" w:hAnsi="Times New Roman"/>
          <w:sz w:val="22"/>
          <w:lang w:val="en-GB"/>
        </w:rPr>
        <w:t xml:space="preserve">anagement </w:t>
      </w:r>
    </w:p>
    <w:p w14:paraId="5A8A0CA3" w14:textId="43A0654D" w:rsidR="00C63988" w:rsidRPr="00CE38CA" w:rsidRDefault="00C33780" w:rsidP="004F7D06">
      <w:pPr>
        <w:pStyle w:val="Normal1"/>
        <w:numPr>
          <w:ilvl w:val="0"/>
          <w:numId w:val="36"/>
        </w:numPr>
        <w:tabs>
          <w:tab w:val="left" w:pos="426"/>
          <w:tab w:val="left" w:pos="1560"/>
        </w:tabs>
        <w:spacing w:after="120"/>
        <w:ind w:left="1247" w:right="794" w:firstLine="0"/>
        <w:jc w:val="both"/>
        <w:rPr>
          <w:color w:val="auto"/>
          <w:sz w:val="20"/>
          <w:lang w:val="en-GB"/>
        </w:rPr>
      </w:pPr>
      <w:r w:rsidRPr="00CE38CA">
        <w:rPr>
          <w:color w:val="auto"/>
          <w:sz w:val="20"/>
          <w:lang w:val="en-GB"/>
        </w:rPr>
        <w:t xml:space="preserve">This country programme document outlines UNDP contributions to national results and serves as the primary unit of accountability to the Executive Board for results alignment and resources assigned to the programme at country level. </w:t>
      </w:r>
      <w:r w:rsidR="004D0CE2">
        <w:rPr>
          <w:color w:val="auto"/>
          <w:sz w:val="20"/>
          <w:lang w:val="en-GB"/>
        </w:rPr>
        <w:t>Mana</w:t>
      </w:r>
      <w:r w:rsidR="00E444B3">
        <w:rPr>
          <w:color w:val="auto"/>
          <w:sz w:val="20"/>
          <w:lang w:val="en-GB"/>
        </w:rPr>
        <w:t>gement</w:t>
      </w:r>
      <w:r w:rsidR="004D0CE2">
        <w:rPr>
          <w:color w:val="auto"/>
          <w:sz w:val="20"/>
          <w:lang w:val="en-GB"/>
        </w:rPr>
        <w:t xml:space="preserve"> a</w:t>
      </w:r>
      <w:r w:rsidRPr="00CE38CA">
        <w:rPr>
          <w:color w:val="auto"/>
          <w:sz w:val="20"/>
          <w:lang w:val="en-GB"/>
        </w:rPr>
        <w:t xml:space="preserve">ccountabilities at the country, regional and headquarter levels with respect to country programmes </w:t>
      </w:r>
      <w:r w:rsidR="004D0CE2">
        <w:rPr>
          <w:color w:val="auto"/>
          <w:sz w:val="20"/>
          <w:lang w:val="en-GB"/>
        </w:rPr>
        <w:t xml:space="preserve">are </w:t>
      </w:r>
      <w:r w:rsidRPr="00CE38CA">
        <w:rPr>
          <w:color w:val="auto"/>
          <w:sz w:val="20"/>
          <w:lang w:val="en-GB"/>
        </w:rPr>
        <w:t xml:space="preserve">prescribed in the organization’s </w:t>
      </w:r>
      <w:hyperlink r:id="rId17" w:history="1">
        <w:r w:rsidRPr="00CE38CA">
          <w:rPr>
            <w:rStyle w:val="Hyperlink"/>
            <w:color w:val="auto"/>
            <w:sz w:val="20"/>
            <w:lang w:val="en-GB"/>
          </w:rPr>
          <w:t>programme and operations policies and procedures</w:t>
        </w:r>
      </w:hyperlink>
      <w:r w:rsidRPr="00CE38CA">
        <w:rPr>
          <w:color w:val="auto"/>
          <w:sz w:val="20"/>
          <w:lang w:val="en-GB"/>
        </w:rPr>
        <w:t xml:space="preserve"> and </w:t>
      </w:r>
      <w:r w:rsidR="004D0CE2">
        <w:rPr>
          <w:color w:val="auto"/>
          <w:sz w:val="20"/>
          <w:lang w:val="en-GB"/>
        </w:rPr>
        <w:t xml:space="preserve">in </w:t>
      </w:r>
      <w:r w:rsidRPr="00CE38CA">
        <w:rPr>
          <w:color w:val="auto"/>
          <w:sz w:val="20"/>
          <w:lang w:val="en-GB"/>
        </w:rPr>
        <w:t xml:space="preserve">the </w:t>
      </w:r>
      <w:hyperlink r:id="rId18" w:history="1">
        <w:r w:rsidRPr="00CE38CA">
          <w:rPr>
            <w:rStyle w:val="Hyperlink"/>
            <w:color w:val="auto"/>
            <w:sz w:val="20"/>
            <w:lang w:val="en-GB"/>
          </w:rPr>
          <w:t>internal controls framework</w:t>
        </w:r>
      </w:hyperlink>
      <w:r w:rsidRPr="00CE38CA">
        <w:rPr>
          <w:color w:val="auto"/>
          <w:sz w:val="20"/>
          <w:lang w:val="en-GB"/>
        </w:rPr>
        <w:t>.</w:t>
      </w:r>
    </w:p>
    <w:p w14:paraId="7D13B808" w14:textId="7B2EDB04" w:rsidR="00C63988" w:rsidRPr="00CE38CA" w:rsidRDefault="00781F09" w:rsidP="004F7D06">
      <w:pPr>
        <w:pStyle w:val="Normal1"/>
        <w:numPr>
          <w:ilvl w:val="0"/>
          <w:numId w:val="36"/>
        </w:numPr>
        <w:tabs>
          <w:tab w:val="left" w:pos="426"/>
          <w:tab w:val="left" w:pos="1560"/>
        </w:tabs>
        <w:spacing w:after="120"/>
        <w:ind w:left="1247" w:right="794" w:firstLine="0"/>
        <w:jc w:val="both"/>
        <w:rPr>
          <w:color w:val="auto"/>
          <w:sz w:val="20"/>
          <w:lang w:val="en-GB"/>
        </w:rPr>
      </w:pPr>
      <w:r w:rsidRPr="00CE38CA">
        <w:rPr>
          <w:sz w:val="20"/>
          <w:lang w:val="en-GB"/>
        </w:rPr>
        <w:t xml:space="preserve">The </w:t>
      </w:r>
      <w:r w:rsidR="004D0CE2">
        <w:rPr>
          <w:sz w:val="20"/>
          <w:lang w:val="en-GB"/>
        </w:rPr>
        <w:t>p</w:t>
      </w:r>
      <w:r w:rsidRPr="00CE38CA">
        <w:rPr>
          <w:sz w:val="20"/>
          <w:lang w:val="en-GB"/>
        </w:rPr>
        <w:t>rogramme will be executed under the coordination of the Ministry of the Secretary</w:t>
      </w:r>
      <w:r w:rsidR="004D0CE2">
        <w:rPr>
          <w:sz w:val="20"/>
          <w:lang w:val="en-GB"/>
        </w:rPr>
        <w:t>-</w:t>
      </w:r>
      <w:r w:rsidRPr="00CE38CA">
        <w:rPr>
          <w:sz w:val="20"/>
          <w:lang w:val="en-GB"/>
        </w:rPr>
        <w:t xml:space="preserve">General of the Presidency as a technical counterpart and the Ministry of Foreign Affairs as </w:t>
      </w:r>
      <w:r w:rsidR="00AF5A08" w:rsidRPr="00CE38CA">
        <w:rPr>
          <w:sz w:val="20"/>
          <w:lang w:val="en-GB"/>
        </w:rPr>
        <w:t>the official</w:t>
      </w:r>
      <w:r w:rsidRPr="00CE38CA">
        <w:rPr>
          <w:sz w:val="20"/>
          <w:lang w:val="en-GB"/>
        </w:rPr>
        <w:t xml:space="preserve"> counterpart. A </w:t>
      </w:r>
      <w:r w:rsidR="004D0CE2">
        <w:rPr>
          <w:sz w:val="20"/>
          <w:lang w:val="en-GB"/>
        </w:rPr>
        <w:t>p</w:t>
      </w:r>
      <w:r w:rsidRPr="00CE38CA">
        <w:rPr>
          <w:sz w:val="20"/>
          <w:lang w:val="en-GB"/>
        </w:rPr>
        <w:t xml:space="preserve">rogramme </w:t>
      </w:r>
      <w:r w:rsidR="004D0CE2">
        <w:rPr>
          <w:sz w:val="20"/>
          <w:lang w:val="en-GB"/>
        </w:rPr>
        <w:t>b</w:t>
      </w:r>
      <w:r w:rsidRPr="00CE38CA">
        <w:rPr>
          <w:sz w:val="20"/>
          <w:lang w:val="en-GB"/>
        </w:rPr>
        <w:t xml:space="preserve">oard, integrating the above-mentioned ministries, and other key implementing partners and counterparts, will be formed in order to provide support for monitoring and ensure the effectiveness and efficiency of the </w:t>
      </w:r>
      <w:r w:rsidR="004D0CE2">
        <w:rPr>
          <w:sz w:val="20"/>
          <w:lang w:val="en-GB"/>
        </w:rPr>
        <w:t>p</w:t>
      </w:r>
      <w:r w:rsidRPr="00CE38CA">
        <w:rPr>
          <w:sz w:val="20"/>
          <w:lang w:val="en-GB"/>
        </w:rPr>
        <w:t xml:space="preserve">rogramme. </w:t>
      </w:r>
      <w:r w:rsidR="00C63988" w:rsidRPr="00CE38CA">
        <w:rPr>
          <w:sz w:val="20"/>
          <w:lang w:val="en-GB"/>
        </w:rPr>
        <w:t xml:space="preserve">The </w:t>
      </w:r>
      <w:r w:rsidR="004D0CE2">
        <w:rPr>
          <w:sz w:val="20"/>
          <w:lang w:val="en-GB"/>
        </w:rPr>
        <w:t>p</w:t>
      </w:r>
      <w:r w:rsidR="00C63988" w:rsidRPr="00CE38CA">
        <w:rPr>
          <w:sz w:val="20"/>
          <w:lang w:val="en-GB"/>
        </w:rPr>
        <w:t xml:space="preserve">rogramme will be implemented through the national implementation modality, under the responsibility of government institutions. However, other implementation modalities might be pursued, including </w:t>
      </w:r>
      <w:r w:rsidR="004D0CE2">
        <w:rPr>
          <w:sz w:val="20"/>
          <w:lang w:val="en-GB"/>
        </w:rPr>
        <w:t xml:space="preserve">through </w:t>
      </w:r>
      <w:r w:rsidR="00C63988" w:rsidRPr="00CE38CA">
        <w:rPr>
          <w:sz w:val="20"/>
          <w:lang w:val="en-GB"/>
        </w:rPr>
        <w:t>U</w:t>
      </w:r>
      <w:r w:rsidR="004D0CE2">
        <w:rPr>
          <w:sz w:val="20"/>
          <w:lang w:val="en-GB"/>
        </w:rPr>
        <w:t xml:space="preserve">nited </w:t>
      </w:r>
      <w:r w:rsidR="00C63988" w:rsidRPr="00CE38CA">
        <w:rPr>
          <w:sz w:val="20"/>
          <w:lang w:val="en-GB"/>
        </w:rPr>
        <w:t>N</w:t>
      </w:r>
      <w:r w:rsidR="004D0CE2">
        <w:rPr>
          <w:sz w:val="20"/>
          <w:lang w:val="en-GB"/>
        </w:rPr>
        <w:t>ations</w:t>
      </w:r>
      <w:r w:rsidR="00C63988" w:rsidRPr="00CE38CA">
        <w:rPr>
          <w:sz w:val="20"/>
          <w:lang w:val="en-GB"/>
        </w:rPr>
        <w:t xml:space="preserve"> </w:t>
      </w:r>
      <w:r w:rsidR="004D0CE2">
        <w:rPr>
          <w:sz w:val="20"/>
          <w:lang w:val="en-GB"/>
        </w:rPr>
        <w:t>organizations</w:t>
      </w:r>
      <w:r w:rsidR="00C63988" w:rsidRPr="00CE38CA">
        <w:rPr>
          <w:sz w:val="20"/>
          <w:lang w:val="en-GB"/>
        </w:rPr>
        <w:t xml:space="preserve">, </w:t>
      </w:r>
      <w:r w:rsidR="004D0CE2">
        <w:rPr>
          <w:sz w:val="20"/>
          <w:lang w:val="en-GB"/>
        </w:rPr>
        <w:t>non-governmental organizations</w:t>
      </w:r>
      <w:r w:rsidR="004D0CE2" w:rsidRPr="00CE38CA">
        <w:rPr>
          <w:sz w:val="20"/>
          <w:lang w:val="en-GB"/>
        </w:rPr>
        <w:t xml:space="preserve"> </w:t>
      </w:r>
      <w:r w:rsidR="004D0CE2">
        <w:rPr>
          <w:sz w:val="20"/>
          <w:lang w:val="en-GB"/>
        </w:rPr>
        <w:t xml:space="preserve">and </w:t>
      </w:r>
      <w:r w:rsidR="00C63988" w:rsidRPr="00CE38CA">
        <w:rPr>
          <w:sz w:val="20"/>
          <w:lang w:val="en-GB"/>
        </w:rPr>
        <w:t xml:space="preserve">direct UNDP implementation </w:t>
      </w:r>
      <w:r w:rsidR="004D0CE2">
        <w:rPr>
          <w:sz w:val="20"/>
          <w:lang w:val="en-GB"/>
        </w:rPr>
        <w:t xml:space="preserve">in order </w:t>
      </w:r>
      <w:r w:rsidR="00C63988" w:rsidRPr="00CE38CA">
        <w:rPr>
          <w:sz w:val="20"/>
          <w:lang w:val="en-GB"/>
        </w:rPr>
        <w:t>to enable effective responses under specific circumstances.</w:t>
      </w:r>
      <w:r w:rsidR="007A5C12" w:rsidRPr="00CE38CA">
        <w:rPr>
          <w:lang w:val="en-GB"/>
        </w:rPr>
        <w:t xml:space="preserve"> </w:t>
      </w:r>
      <w:r w:rsidR="007A5C12" w:rsidRPr="00CE38CA">
        <w:rPr>
          <w:sz w:val="20"/>
          <w:lang w:val="en-GB"/>
        </w:rPr>
        <w:t>Fast</w:t>
      </w:r>
      <w:r w:rsidR="004D0CE2">
        <w:rPr>
          <w:sz w:val="20"/>
          <w:lang w:val="en-GB"/>
        </w:rPr>
        <w:t>-</w:t>
      </w:r>
      <w:r w:rsidR="007A5C12" w:rsidRPr="00CE38CA">
        <w:rPr>
          <w:sz w:val="20"/>
          <w:lang w:val="en-GB"/>
        </w:rPr>
        <w:t>track procedures could be also be adopted for rapid response.</w:t>
      </w:r>
    </w:p>
    <w:p w14:paraId="1416BA68" w14:textId="577ED304" w:rsidR="007E1259" w:rsidRPr="00E444B3" w:rsidRDefault="00781F09" w:rsidP="00533A10">
      <w:pPr>
        <w:pStyle w:val="ListParagraph"/>
        <w:numPr>
          <w:ilvl w:val="0"/>
          <w:numId w:val="36"/>
        </w:numPr>
        <w:tabs>
          <w:tab w:val="left" w:pos="426"/>
          <w:tab w:val="left" w:pos="1701"/>
          <w:tab w:val="left" w:pos="1985"/>
        </w:tabs>
        <w:spacing w:after="120"/>
        <w:ind w:left="1253" w:right="792" w:firstLine="0"/>
        <w:jc w:val="both"/>
        <w:rPr>
          <w:lang w:val="en-GB"/>
        </w:rPr>
      </w:pPr>
      <w:r w:rsidRPr="00CE38CA">
        <w:rPr>
          <w:lang w:val="en-GB"/>
        </w:rPr>
        <w:t xml:space="preserve">The </w:t>
      </w:r>
      <w:r w:rsidR="00E444B3">
        <w:rPr>
          <w:lang w:val="en-GB"/>
        </w:rPr>
        <w:t>p</w:t>
      </w:r>
      <w:r w:rsidRPr="00CE38CA">
        <w:rPr>
          <w:lang w:val="en-GB"/>
        </w:rPr>
        <w:t xml:space="preserve">rogramme is aligned with national priorities and the areas identified in the </w:t>
      </w:r>
      <w:r w:rsidR="00E444B3">
        <w:rPr>
          <w:lang w:val="en-GB"/>
        </w:rPr>
        <w:t xml:space="preserve">United Nations Development Assistance Framework </w:t>
      </w:r>
      <w:r w:rsidR="00D62035">
        <w:rPr>
          <w:lang w:val="en-GB"/>
        </w:rPr>
        <w:t xml:space="preserve">(UNDAF) </w:t>
      </w:r>
      <w:r w:rsidRPr="00CE38CA">
        <w:rPr>
          <w:lang w:val="en-GB"/>
        </w:rPr>
        <w:t xml:space="preserve">and </w:t>
      </w:r>
      <w:r w:rsidR="00E444B3">
        <w:rPr>
          <w:lang w:val="en-GB"/>
        </w:rPr>
        <w:t xml:space="preserve">the </w:t>
      </w:r>
      <w:r w:rsidRPr="00CE38CA">
        <w:rPr>
          <w:lang w:val="en-GB"/>
        </w:rPr>
        <w:t xml:space="preserve">UNDP </w:t>
      </w:r>
      <w:r w:rsidR="00E444B3">
        <w:rPr>
          <w:lang w:val="en-GB"/>
        </w:rPr>
        <w:t>s</w:t>
      </w:r>
      <w:r w:rsidRPr="00CE38CA">
        <w:rPr>
          <w:lang w:val="en-GB"/>
        </w:rPr>
        <w:t xml:space="preserve">trategic </w:t>
      </w:r>
      <w:r w:rsidR="00E444B3">
        <w:rPr>
          <w:lang w:val="en-GB"/>
        </w:rPr>
        <w:t>p</w:t>
      </w:r>
      <w:r w:rsidRPr="00CE38CA">
        <w:rPr>
          <w:lang w:val="en-GB"/>
        </w:rPr>
        <w:t>lan</w:t>
      </w:r>
      <w:r w:rsidR="00AF5A08" w:rsidRPr="00CE38CA">
        <w:rPr>
          <w:lang w:val="en-GB"/>
        </w:rPr>
        <w:t xml:space="preserve">, </w:t>
      </w:r>
      <w:r w:rsidR="00E444B3">
        <w:rPr>
          <w:lang w:val="en-GB"/>
        </w:rPr>
        <w:t xml:space="preserve">2014-2017, with </w:t>
      </w:r>
      <w:r w:rsidR="00AF5A08" w:rsidRPr="00CE38CA">
        <w:rPr>
          <w:lang w:val="en-GB"/>
        </w:rPr>
        <w:t xml:space="preserve">the </w:t>
      </w:r>
      <w:r w:rsidR="00E444B3">
        <w:rPr>
          <w:lang w:val="en-GB"/>
        </w:rPr>
        <w:t>s</w:t>
      </w:r>
      <w:r w:rsidR="00AF5A08" w:rsidRPr="00CE38CA">
        <w:rPr>
          <w:lang w:val="en-GB"/>
        </w:rPr>
        <w:t xml:space="preserve">ustainable </w:t>
      </w:r>
      <w:r w:rsidR="00E444B3">
        <w:rPr>
          <w:lang w:val="en-GB"/>
        </w:rPr>
        <w:t>d</w:t>
      </w:r>
      <w:r w:rsidR="00AF5A08" w:rsidRPr="00CE38CA">
        <w:rPr>
          <w:lang w:val="en-GB"/>
        </w:rPr>
        <w:t xml:space="preserve">evelopment </w:t>
      </w:r>
      <w:r w:rsidR="00E444B3">
        <w:rPr>
          <w:lang w:val="en-GB"/>
        </w:rPr>
        <w:t>g</w:t>
      </w:r>
      <w:r w:rsidR="00AF5A08" w:rsidRPr="00CE38CA">
        <w:rPr>
          <w:lang w:val="en-GB"/>
        </w:rPr>
        <w:t>oals as a point of reference</w:t>
      </w:r>
      <w:r w:rsidRPr="00CE38CA">
        <w:rPr>
          <w:lang w:val="en-GB"/>
        </w:rPr>
        <w:t>.</w:t>
      </w:r>
      <w:r w:rsidR="009E38F0" w:rsidRPr="00E444B3">
        <w:rPr>
          <w:lang w:val="en-GB"/>
        </w:rPr>
        <w:t xml:space="preserve"> </w:t>
      </w:r>
      <w:r w:rsidRPr="00E444B3">
        <w:rPr>
          <w:lang w:val="en-GB"/>
        </w:rPr>
        <w:t xml:space="preserve">In addition, </w:t>
      </w:r>
      <w:r w:rsidR="00E444B3">
        <w:rPr>
          <w:lang w:val="en-GB"/>
        </w:rPr>
        <w:t xml:space="preserve">UNDP will follow </w:t>
      </w:r>
      <w:r w:rsidRPr="00E444B3">
        <w:rPr>
          <w:lang w:val="en-GB"/>
        </w:rPr>
        <w:t xml:space="preserve">results-based management principles in order to progressively increase the </w:t>
      </w:r>
      <w:r w:rsidR="00E444B3">
        <w:rPr>
          <w:lang w:val="en-GB"/>
        </w:rPr>
        <w:t>p</w:t>
      </w:r>
      <w:r w:rsidRPr="00E444B3">
        <w:rPr>
          <w:lang w:val="en-GB"/>
        </w:rPr>
        <w:t xml:space="preserve">rogramme’s level of effectiveness, integrating, progressively and systematically, the parameters of the </w:t>
      </w:r>
      <w:r w:rsidR="00E444B3">
        <w:rPr>
          <w:lang w:val="en-GB"/>
        </w:rPr>
        <w:t>s</w:t>
      </w:r>
      <w:r w:rsidRPr="00E444B3">
        <w:rPr>
          <w:lang w:val="en-GB"/>
        </w:rPr>
        <w:t xml:space="preserve">trategic </w:t>
      </w:r>
      <w:r w:rsidR="00E444B3">
        <w:rPr>
          <w:lang w:val="en-GB"/>
        </w:rPr>
        <w:t>p</w:t>
      </w:r>
      <w:r w:rsidRPr="00E444B3">
        <w:rPr>
          <w:lang w:val="en-GB"/>
        </w:rPr>
        <w:t xml:space="preserve">lan in the design of projects and programmes, with special emphasis on the issues-based approach, </w:t>
      </w:r>
      <w:r w:rsidR="00E444B3">
        <w:rPr>
          <w:lang w:val="en-GB"/>
        </w:rPr>
        <w:t>S</w:t>
      </w:r>
      <w:r w:rsidRPr="00E444B3">
        <w:rPr>
          <w:lang w:val="en-GB"/>
        </w:rPr>
        <w:t>outh-</w:t>
      </w:r>
      <w:r w:rsidR="00E444B3">
        <w:rPr>
          <w:lang w:val="en-GB"/>
        </w:rPr>
        <w:t>S</w:t>
      </w:r>
      <w:r w:rsidRPr="00E444B3">
        <w:rPr>
          <w:lang w:val="en-GB"/>
        </w:rPr>
        <w:t xml:space="preserve">outh cooperation, and targeting. During this cycle, the </w:t>
      </w:r>
      <w:r w:rsidR="00E444B3">
        <w:rPr>
          <w:lang w:val="en-GB"/>
        </w:rPr>
        <w:t>country o</w:t>
      </w:r>
      <w:r w:rsidRPr="00E444B3">
        <w:rPr>
          <w:lang w:val="en-GB"/>
        </w:rPr>
        <w:t>ffice’s capacity to design indicators and gather and analyse data will be strengthened in order to provide more and better information for adequate evidence-based programming and monitoring. This implies the adoption of new workflows and the constitution of an internal task force, which will reach counterparts</w:t>
      </w:r>
    </w:p>
    <w:p w14:paraId="79325218" w14:textId="61E0CB69" w:rsidR="00781F09" w:rsidRPr="00CE38CA" w:rsidRDefault="00781F09" w:rsidP="00203154">
      <w:pPr>
        <w:pStyle w:val="Normal1"/>
        <w:numPr>
          <w:ilvl w:val="0"/>
          <w:numId w:val="36"/>
        </w:numPr>
        <w:tabs>
          <w:tab w:val="left" w:pos="1701"/>
        </w:tabs>
        <w:spacing w:after="120"/>
        <w:ind w:left="1276" w:right="794" w:firstLine="0"/>
        <w:jc w:val="both"/>
        <w:rPr>
          <w:sz w:val="20"/>
          <w:lang w:val="en-GB"/>
        </w:rPr>
      </w:pPr>
      <w:r w:rsidRPr="00CE38CA">
        <w:rPr>
          <w:sz w:val="20"/>
          <w:lang w:val="en-GB"/>
        </w:rPr>
        <w:t xml:space="preserve">Among risks that could affect adequate </w:t>
      </w:r>
      <w:r w:rsidR="00E444B3">
        <w:rPr>
          <w:sz w:val="20"/>
          <w:lang w:val="en-GB"/>
        </w:rPr>
        <w:t xml:space="preserve">programme </w:t>
      </w:r>
      <w:r w:rsidRPr="00CE38CA">
        <w:rPr>
          <w:sz w:val="20"/>
          <w:lang w:val="en-GB"/>
        </w:rPr>
        <w:t xml:space="preserve">implementation </w:t>
      </w:r>
      <w:r w:rsidR="00E444B3">
        <w:rPr>
          <w:sz w:val="20"/>
          <w:lang w:val="en-GB"/>
        </w:rPr>
        <w:t xml:space="preserve">there is the potential </w:t>
      </w:r>
      <w:r w:rsidRPr="00CE38CA">
        <w:rPr>
          <w:sz w:val="20"/>
          <w:lang w:val="en-GB"/>
        </w:rPr>
        <w:t>difficult</w:t>
      </w:r>
      <w:r w:rsidR="00E444B3">
        <w:rPr>
          <w:sz w:val="20"/>
          <w:lang w:val="en-GB"/>
        </w:rPr>
        <w:t>y</w:t>
      </w:r>
      <w:r w:rsidRPr="00CE38CA">
        <w:rPr>
          <w:sz w:val="20"/>
          <w:lang w:val="en-GB"/>
        </w:rPr>
        <w:t xml:space="preserve"> </w:t>
      </w:r>
      <w:r w:rsidR="00E444B3">
        <w:rPr>
          <w:sz w:val="20"/>
          <w:lang w:val="en-GB"/>
        </w:rPr>
        <w:t xml:space="preserve">in </w:t>
      </w:r>
      <w:r w:rsidRPr="00CE38CA">
        <w:rPr>
          <w:sz w:val="20"/>
          <w:lang w:val="en-GB"/>
        </w:rPr>
        <w:t xml:space="preserve">mobilizing resources </w:t>
      </w:r>
      <w:r w:rsidR="00E444B3">
        <w:rPr>
          <w:sz w:val="20"/>
          <w:lang w:val="en-GB"/>
        </w:rPr>
        <w:t>with</w:t>
      </w:r>
      <w:r w:rsidRPr="00CE38CA">
        <w:rPr>
          <w:sz w:val="20"/>
          <w:lang w:val="en-GB"/>
        </w:rPr>
        <w:t xml:space="preserve">in </w:t>
      </w:r>
      <w:r w:rsidR="00E444B3">
        <w:rPr>
          <w:sz w:val="20"/>
          <w:lang w:val="en-GB"/>
        </w:rPr>
        <w:t xml:space="preserve">the current restricted international </w:t>
      </w:r>
      <w:r w:rsidRPr="00CE38CA">
        <w:rPr>
          <w:sz w:val="20"/>
          <w:lang w:val="en-GB"/>
        </w:rPr>
        <w:t>context</w:t>
      </w:r>
      <w:r w:rsidR="00E444B3">
        <w:rPr>
          <w:sz w:val="20"/>
          <w:lang w:val="en-GB"/>
        </w:rPr>
        <w:t>,</w:t>
      </w:r>
      <w:r w:rsidRPr="00CE38CA">
        <w:rPr>
          <w:sz w:val="20"/>
          <w:lang w:val="en-GB"/>
        </w:rPr>
        <w:t xml:space="preserve"> </w:t>
      </w:r>
      <w:r w:rsidR="00E444B3">
        <w:rPr>
          <w:sz w:val="20"/>
          <w:lang w:val="en-GB"/>
        </w:rPr>
        <w:t xml:space="preserve">especially when </w:t>
      </w:r>
      <w:r w:rsidRPr="00CE38CA">
        <w:rPr>
          <w:sz w:val="20"/>
          <w:lang w:val="en-GB"/>
        </w:rPr>
        <w:t>considering the classification of Chile as middle</w:t>
      </w:r>
      <w:r w:rsidR="00E444B3">
        <w:rPr>
          <w:sz w:val="20"/>
          <w:lang w:val="en-GB"/>
        </w:rPr>
        <w:t>-</w:t>
      </w:r>
      <w:r w:rsidRPr="00CE38CA">
        <w:rPr>
          <w:sz w:val="20"/>
          <w:lang w:val="en-GB"/>
        </w:rPr>
        <w:t xml:space="preserve">income country. In this sense, the resource mobilization strategy will be redesigned at the national and international levels in order to reach the execution standards required to meet </w:t>
      </w:r>
      <w:r w:rsidR="00E444B3">
        <w:rPr>
          <w:sz w:val="20"/>
          <w:lang w:val="en-GB"/>
        </w:rPr>
        <w:t>p</w:t>
      </w:r>
      <w:r w:rsidRPr="00CE38CA">
        <w:rPr>
          <w:sz w:val="20"/>
          <w:lang w:val="en-GB"/>
        </w:rPr>
        <w:t xml:space="preserve">rogramme objectives. As a country with a certain level of exposure to natural risks, Chile could suffer an event that would affect the execution of planned activities by changing the focus of national priorities. In this case, the </w:t>
      </w:r>
      <w:r w:rsidR="00E444B3">
        <w:rPr>
          <w:sz w:val="20"/>
          <w:lang w:val="en-GB"/>
        </w:rPr>
        <w:t>p</w:t>
      </w:r>
      <w:r w:rsidRPr="00CE38CA">
        <w:rPr>
          <w:sz w:val="20"/>
          <w:lang w:val="en-GB"/>
        </w:rPr>
        <w:t xml:space="preserve">rogramme will shift in order to provide support in </w:t>
      </w:r>
      <w:r w:rsidR="00E444B3">
        <w:rPr>
          <w:sz w:val="20"/>
          <w:lang w:val="en-GB"/>
        </w:rPr>
        <w:t xml:space="preserve">an </w:t>
      </w:r>
      <w:r w:rsidRPr="00CE38CA">
        <w:rPr>
          <w:sz w:val="20"/>
          <w:lang w:val="en-GB"/>
        </w:rPr>
        <w:lastRenderedPageBreak/>
        <w:t xml:space="preserve">emergency situation and mobilize resources at the international level in order to resolve the crisis and mitigate its effects.  </w:t>
      </w:r>
    </w:p>
    <w:p w14:paraId="64BF7EE0" w14:textId="77777777" w:rsidR="00781F09" w:rsidRPr="00CE38CA" w:rsidRDefault="00781F09" w:rsidP="00203154">
      <w:pPr>
        <w:pStyle w:val="Heading1"/>
        <w:numPr>
          <w:ilvl w:val="0"/>
          <w:numId w:val="41"/>
        </w:numPr>
        <w:tabs>
          <w:tab w:val="left" w:pos="1800"/>
        </w:tabs>
        <w:spacing w:after="120"/>
        <w:ind w:left="1260" w:right="794" w:hanging="540"/>
        <w:jc w:val="both"/>
        <w:rPr>
          <w:sz w:val="24"/>
          <w:szCs w:val="24"/>
          <w:lang w:val="en-GB"/>
        </w:rPr>
      </w:pPr>
      <w:r w:rsidRPr="00CE38CA">
        <w:rPr>
          <w:rFonts w:ascii="Times New Roman" w:hAnsi="Times New Roman"/>
          <w:sz w:val="24"/>
          <w:szCs w:val="24"/>
          <w:lang w:val="en-GB"/>
        </w:rPr>
        <w:t xml:space="preserve">Monitoring and </w:t>
      </w:r>
      <w:r w:rsidR="004F7D06" w:rsidRPr="00CE38CA">
        <w:rPr>
          <w:rFonts w:ascii="Times New Roman" w:hAnsi="Times New Roman"/>
          <w:sz w:val="24"/>
          <w:szCs w:val="24"/>
          <w:lang w:val="en-GB"/>
        </w:rPr>
        <w:t>e</w:t>
      </w:r>
      <w:r w:rsidRPr="00CE38CA">
        <w:rPr>
          <w:rFonts w:ascii="Times New Roman" w:hAnsi="Times New Roman"/>
          <w:sz w:val="24"/>
          <w:szCs w:val="24"/>
          <w:lang w:val="en-GB"/>
        </w:rPr>
        <w:t xml:space="preserve">valuation </w:t>
      </w:r>
    </w:p>
    <w:p w14:paraId="65C2907A" w14:textId="54C0783B" w:rsidR="00B1025B" w:rsidRDefault="00781F09" w:rsidP="00A309A5">
      <w:pPr>
        <w:pStyle w:val="Normal1"/>
        <w:numPr>
          <w:ilvl w:val="0"/>
          <w:numId w:val="36"/>
        </w:numPr>
        <w:tabs>
          <w:tab w:val="left" w:pos="426"/>
          <w:tab w:val="left" w:pos="1560"/>
        </w:tabs>
        <w:spacing w:after="120"/>
        <w:ind w:left="1247" w:right="794" w:firstLine="0"/>
        <w:jc w:val="both"/>
        <w:rPr>
          <w:sz w:val="20"/>
          <w:lang w:val="en-GB"/>
        </w:rPr>
      </w:pPr>
      <w:r w:rsidRPr="00B1025B">
        <w:rPr>
          <w:sz w:val="20"/>
          <w:lang w:val="en-GB"/>
        </w:rPr>
        <w:t xml:space="preserve">The monitoring and evaluation of the </w:t>
      </w:r>
      <w:r w:rsidR="00D62035" w:rsidRPr="00B1025B">
        <w:rPr>
          <w:sz w:val="20"/>
          <w:lang w:val="en-GB"/>
        </w:rPr>
        <w:t>p</w:t>
      </w:r>
      <w:r w:rsidRPr="00B1025B">
        <w:rPr>
          <w:sz w:val="20"/>
          <w:lang w:val="en-GB"/>
        </w:rPr>
        <w:t xml:space="preserve">rogramme will be based on indicators, baselines and targets defined in the </w:t>
      </w:r>
      <w:r w:rsidR="00D62035" w:rsidRPr="00B1025B">
        <w:rPr>
          <w:sz w:val="20"/>
          <w:lang w:val="en-GB"/>
        </w:rPr>
        <w:t>UNDP s</w:t>
      </w:r>
      <w:r w:rsidRPr="00B1025B">
        <w:rPr>
          <w:sz w:val="20"/>
          <w:lang w:val="en-GB"/>
        </w:rPr>
        <w:t xml:space="preserve">trategic </w:t>
      </w:r>
      <w:r w:rsidR="00D62035" w:rsidRPr="00B1025B">
        <w:rPr>
          <w:sz w:val="20"/>
          <w:lang w:val="en-GB"/>
        </w:rPr>
        <w:t>p</w:t>
      </w:r>
      <w:r w:rsidRPr="00B1025B">
        <w:rPr>
          <w:sz w:val="20"/>
          <w:lang w:val="en-GB"/>
        </w:rPr>
        <w:t xml:space="preserve">lan and the UNDAF. </w:t>
      </w:r>
      <w:r w:rsidR="00D62035" w:rsidRPr="00B1025B">
        <w:rPr>
          <w:sz w:val="20"/>
          <w:lang w:val="en-GB"/>
        </w:rPr>
        <w:t>UNDP will disaggregate i</w:t>
      </w:r>
      <w:r w:rsidRPr="00B1025B">
        <w:rPr>
          <w:sz w:val="20"/>
          <w:lang w:val="en-GB"/>
        </w:rPr>
        <w:t>ndicators by sex and other variables, where applicable. The indicators and targets will use national information sources</w:t>
      </w:r>
      <w:r w:rsidR="00B1025B" w:rsidRPr="00C537AC">
        <w:rPr>
          <w:sz w:val="20"/>
          <w:lang w:val="en-GB"/>
        </w:rPr>
        <w:t>,</w:t>
      </w:r>
      <w:r w:rsidRPr="00F64D6A">
        <w:rPr>
          <w:sz w:val="20"/>
          <w:lang w:val="en-GB"/>
        </w:rPr>
        <w:t xml:space="preserve"> such as the National Statistics Insti</w:t>
      </w:r>
      <w:r w:rsidRPr="00F942ED">
        <w:rPr>
          <w:sz w:val="20"/>
          <w:lang w:val="en-GB"/>
        </w:rPr>
        <w:t>tute, Electoral Service and reports and documents produced by sectoral agencies and other partners. UNDP will support national institutions in the generation of base information and will establish partnerships with other research centres in order to improv</w:t>
      </w:r>
      <w:r w:rsidRPr="000C2CBD">
        <w:rPr>
          <w:sz w:val="20"/>
          <w:lang w:val="en-GB"/>
        </w:rPr>
        <w:t>e monitoring and analysis capacities in the implementation of public policies. If applicable, projects will incorporate the generation of information and production of data for evidence and analysis into their objectives.</w:t>
      </w:r>
    </w:p>
    <w:p w14:paraId="4B88DAC0" w14:textId="67811008" w:rsidR="00B1025B" w:rsidRDefault="00B1025B" w:rsidP="00A309A5">
      <w:pPr>
        <w:pStyle w:val="Normal1"/>
        <w:numPr>
          <w:ilvl w:val="0"/>
          <w:numId w:val="36"/>
        </w:numPr>
        <w:tabs>
          <w:tab w:val="left" w:pos="0"/>
          <w:tab w:val="left" w:pos="426"/>
          <w:tab w:val="left" w:pos="1560"/>
        </w:tabs>
        <w:spacing w:after="120"/>
        <w:ind w:left="1247" w:right="794" w:firstLine="0"/>
        <w:jc w:val="both"/>
        <w:rPr>
          <w:sz w:val="20"/>
          <w:lang w:val="en-GB"/>
        </w:rPr>
      </w:pPr>
      <w:r>
        <w:rPr>
          <w:sz w:val="20"/>
          <w:lang w:val="en-GB"/>
        </w:rPr>
        <w:t>UNDP will complement programme m</w:t>
      </w:r>
      <w:r w:rsidR="00781F09" w:rsidRPr="00B1025B">
        <w:rPr>
          <w:sz w:val="20"/>
          <w:lang w:val="en-GB"/>
        </w:rPr>
        <w:t xml:space="preserve">onitoring with </w:t>
      </w:r>
      <w:r>
        <w:rPr>
          <w:sz w:val="20"/>
          <w:lang w:val="en-GB"/>
        </w:rPr>
        <w:t xml:space="preserve">similar </w:t>
      </w:r>
      <w:r w:rsidR="00781F09" w:rsidRPr="00B1025B">
        <w:rPr>
          <w:sz w:val="20"/>
          <w:lang w:val="en-GB"/>
        </w:rPr>
        <w:t xml:space="preserve">work conducted </w:t>
      </w:r>
      <w:r>
        <w:rPr>
          <w:sz w:val="20"/>
          <w:lang w:val="en-GB"/>
        </w:rPr>
        <w:t xml:space="preserve">in the context </w:t>
      </w:r>
      <w:r w:rsidR="00781F09" w:rsidRPr="00B1025B">
        <w:rPr>
          <w:sz w:val="20"/>
          <w:lang w:val="en-GB"/>
        </w:rPr>
        <w:t>of UNDAF monitoring procedures. UNDP will contribute to UNDAF annual work plans with products and specific indicators, reinforcing internal monitoring and contributing to the search for synergies and more coordinated efforts with U</w:t>
      </w:r>
      <w:r>
        <w:rPr>
          <w:sz w:val="20"/>
          <w:lang w:val="en-GB"/>
        </w:rPr>
        <w:t xml:space="preserve">nited </w:t>
      </w:r>
      <w:r w:rsidR="00781F09" w:rsidRPr="00B1025B">
        <w:rPr>
          <w:sz w:val="20"/>
          <w:lang w:val="en-GB"/>
        </w:rPr>
        <w:t>N</w:t>
      </w:r>
      <w:r>
        <w:rPr>
          <w:sz w:val="20"/>
          <w:lang w:val="en-GB"/>
        </w:rPr>
        <w:t>ations</w:t>
      </w:r>
      <w:r w:rsidR="00781F09" w:rsidRPr="00B1025B">
        <w:rPr>
          <w:sz w:val="20"/>
          <w:lang w:val="en-GB"/>
        </w:rPr>
        <w:t xml:space="preserve"> </w:t>
      </w:r>
      <w:r>
        <w:rPr>
          <w:sz w:val="20"/>
          <w:lang w:val="en-GB"/>
        </w:rPr>
        <w:t>s</w:t>
      </w:r>
      <w:r w:rsidR="00781F09" w:rsidRPr="00B1025B">
        <w:rPr>
          <w:sz w:val="20"/>
          <w:lang w:val="en-GB"/>
        </w:rPr>
        <w:t xml:space="preserve">ystem </w:t>
      </w:r>
      <w:r>
        <w:rPr>
          <w:sz w:val="20"/>
          <w:lang w:val="en-GB"/>
        </w:rPr>
        <w:t>organizations</w:t>
      </w:r>
      <w:r w:rsidRPr="00B1025B">
        <w:rPr>
          <w:sz w:val="20"/>
          <w:lang w:val="en-GB"/>
        </w:rPr>
        <w:t xml:space="preserve"> </w:t>
      </w:r>
      <w:r w:rsidR="00781F09" w:rsidRPr="00B1025B">
        <w:rPr>
          <w:sz w:val="20"/>
          <w:lang w:val="en-GB"/>
        </w:rPr>
        <w:t xml:space="preserve">in Chile. To the extent possible, joint work will be promoted in the design, gathering and analysis of data and for the reporting of achievements and progress in the context of the </w:t>
      </w:r>
      <w:r>
        <w:rPr>
          <w:sz w:val="20"/>
          <w:lang w:val="en-GB"/>
        </w:rPr>
        <w:t>p</w:t>
      </w:r>
      <w:r w:rsidR="00781F09" w:rsidRPr="00B1025B">
        <w:rPr>
          <w:sz w:val="20"/>
          <w:lang w:val="en-GB"/>
        </w:rPr>
        <w:t xml:space="preserve">rogramme. </w:t>
      </w:r>
      <w:r>
        <w:rPr>
          <w:sz w:val="20"/>
          <w:lang w:val="en-GB"/>
        </w:rPr>
        <w:t>UNDP will strengthen a</w:t>
      </w:r>
      <w:r w:rsidR="00781F09" w:rsidRPr="00B1025B">
        <w:rPr>
          <w:sz w:val="20"/>
          <w:lang w:val="en-GB"/>
        </w:rPr>
        <w:t>lliances with other partners for the design and use of indicators, incorporating beneficiaries, counterparts, think tanks, academia and civil society organizations.</w:t>
      </w:r>
    </w:p>
    <w:p w14:paraId="025B1F31" w14:textId="2AB24228" w:rsidR="00781F09" w:rsidRPr="00B1025B" w:rsidRDefault="00781F09" w:rsidP="00A309A5">
      <w:pPr>
        <w:pStyle w:val="Normal1"/>
        <w:numPr>
          <w:ilvl w:val="0"/>
          <w:numId w:val="36"/>
        </w:numPr>
        <w:tabs>
          <w:tab w:val="left" w:pos="0"/>
          <w:tab w:val="left" w:pos="426"/>
          <w:tab w:val="left" w:pos="1560"/>
        </w:tabs>
        <w:spacing w:after="120"/>
        <w:ind w:left="1247" w:right="794" w:firstLine="0"/>
        <w:jc w:val="both"/>
        <w:rPr>
          <w:sz w:val="20"/>
          <w:lang w:val="en-GB"/>
        </w:rPr>
      </w:pPr>
      <w:r w:rsidRPr="00B1025B">
        <w:rPr>
          <w:sz w:val="20"/>
          <w:lang w:val="en-GB"/>
        </w:rPr>
        <w:t xml:space="preserve">The </w:t>
      </w:r>
      <w:r w:rsidR="00B1025B">
        <w:rPr>
          <w:sz w:val="20"/>
          <w:lang w:val="en-GB"/>
        </w:rPr>
        <w:t>e</w:t>
      </w:r>
      <w:r w:rsidRPr="00B1025B">
        <w:rPr>
          <w:sz w:val="20"/>
          <w:lang w:val="en-GB"/>
        </w:rPr>
        <w:t xml:space="preserve">valuation </w:t>
      </w:r>
      <w:r w:rsidR="00B1025B">
        <w:rPr>
          <w:sz w:val="20"/>
          <w:lang w:val="en-GB"/>
        </w:rPr>
        <w:t>p</w:t>
      </w:r>
      <w:r w:rsidRPr="00B1025B">
        <w:rPr>
          <w:sz w:val="20"/>
          <w:lang w:val="en-GB"/>
        </w:rPr>
        <w:t xml:space="preserve">lan includes a balanced selection of outcomes and projects. </w:t>
      </w:r>
      <w:r w:rsidR="00B1025B">
        <w:rPr>
          <w:sz w:val="20"/>
          <w:lang w:val="en-GB"/>
        </w:rPr>
        <w:t>UNDP and its partners will gather e</w:t>
      </w:r>
      <w:r w:rsidRPr="00B1025B">
        <w:rPr>
          <w:sz w:val="20"/>
          <w:lang w:val="en-GB"/>
        </w:rPr>
        <w:t xml:space="preserve">vidence on progress made and lessons learned in order to support </w:t>
      </w:r>
      <w:r w:rsidR="00B1025B">
        <w:rPr>
          <w:sz w:val="20"/>
          <w:lang w:val="en-GB"/>
        </w:rPr>
        <w:t xml:space="preserve">the </w:t>
      </w:r>
      <w:r w:rsidRPr="00B1025B">
        <w:rPr>
          <w:sz w:val="20"/>
          <w:lang w:val="en-GB"/>
        </w:rPr>
        <w:t xml:space="preserve">continuous improvement in the design of actions with a results-based approach. </w:t>
      </w:r>
      <w:r w:rsidR="00B1025B">
        <w:rPr>
          <w:sz w:val="20"/>
          <w:lang w:val="en-GB"/>
        </w:rPr>
        <w:t>They will identify i</w:t>
      </w:r>
      <w:r w:rsidRPr="00B1025B">
        <w:rPr>
          <w:sz w:val="20"/>
          <w:lang w:val="en-GB"/>
        </w:rPr>
        <w:t xml:space="preserve">nitiatives with a potential for replication and innovative in any </w:t>
      </w:r>
      <w:r w:rsidR="00B1025B">
        <w:rPr>
          <w:sz w:val="20"/>
          <w:lang w:val="en-GB"/>
        </w:rPr>
        <w:t xml:space="preserve">programme </w:t>
      </w:r>
      <w:r w:rsidRPr="00B1025B">
        <w:rPr>
          <w:sz w:val="20"/>
          <w:lang w:val="en-GB"/>
        </w:rPr>
        <w:t xml:space="preserve">phase, and </w:t>
      </w:r>
      <w:r w:rsidR="00B1025B">
        <w:rPr>
          <w:sz w:val="20"/>
          <w:lang w:val="en-GB"/>
        </w:rPr>
        <w:t xml:space="preserve">they will integrate </w:t>
      </w:r>
      <w:r w:rsidRPr="00B1025B">
        <w:rPr>
          <w:sz w:val="20"/>
          <w:lang w:val="en-GB"/>
        </w:rPr>
        <w:t>beneficiaries of the action into their assessment</w:t>
      </w:r>
      <w:r w:rsidR="00B1025B">
        <w:rPr>
          <w:sz w:val="20"/>
          <w:lang w:val="en-GB"/>
        </w:rPr>
        <w:t>s</w:t>
      </w:r>
      <w:r w:rsidRPr="00B1025B">
        <w:rPr>
          <w:sz w:val="20"/>
          <w:lang w:val="en-GB"/>
        </w:rPr>
        <w:t xml:space="preserve"> in order to elicit their perspective</w:t>
      </w:r>
      <w:r w:rsidR="00B1025B">
        <w:rPr>
          <w:sz w:val="20"/>
          <w:lang w:val="en-GB"/>
        </w:rPr>
        <w:t>s</w:t>
      </w:r>
      <w:r w:rsidRPr="00B1025B">
        <w:rPr>
          <w:sz w:val="20"/>
          <w:lang w:val="en-GB"/>
        </w:rPr>
        <w:t xml:space="preserve"> and lessons learned.</w:t>
      </w:r>
    </w:p>
    <w:p w14:paraId="7CC840DC" w14:textId="77777777" w:rsidR="004F46EF" w:rsidRPr="00CE38CA" w:rsidRDefault="00781F09" w:rsidP="004F46EF">
      <w:pPr>
        <w:pStyle w:val="Normal1"/>
        <w:ind w:left="1247" w:right="794"/>
        <w:rPr>
          <w:sz w:val="20"/>
          <w:lang w:val="en-GB"/>
        </w:rPr>
      </w:pPr>
      <w:r w:rsidRPr="00CE38CA">
        <w:rPr>
          <w:sz w:val="20"/>
          <w:lang w:val="en-GB"/>
        </w:rPr>
        <w:br w:type="page"/>
      </w:r>
    </w:p>
    <w:p w14:paraId="296D429E" w14:textId="77777777" w:rsidR="00781F09" w:rsidRPr="00CE38CA" w:rsidRDefault="00781F09" w:rsidP="0066117E">
      <w:pPr>
        <w:ind w:left="1247" w:right="794"/>
        <w:jc w:val="both"/>
        <w:rPr>
          <w:lang w:val="en-GB"/>
        </w:rPr>
        <w:sectPr w:rsidR="00781F09" w:rsidRPr="00CE38CA" w:rsidSect="00645F5E">
          <w:footerReference w:type="even" r:id="rId19"/>
          <w:footerReference w:type="default" r:id="rId20"/>
          <w:pgSz w:w="12240" w:h="15840"/>
          <w:pgMar w:top="1152" w:right="1440" w:bottom="1152" w:left="1440" w:header="720" w:footer="720" w:gutter="0"/>
          <w:cols w:space="720"/>
          <w:docGrid w:linePitch="272"/>
        </w:sectPr>
      </w:pPr>
    </w:p>
    <w:p w14:paraId="5FA17A31" w14:textId="77777777" w:rsidR="006B6E78" w:rsidRPr="00CE38CA" w:rsidRDefault="00DA1B69" w:rsidP="006B6E78">
      <w:pPr>
        <w:pStyle w:val="Heading4"/>
        <w:spacing w:after="120"/>
        <w:rPr>
          <w:rFonts w:ascii="Times New Roman" w:hAnsi="Times New Roman"/>
          <w:sz w:val="24"/>
          <w:szCs w:val="24"/>
          <w:lang w:val="en-GB"/>
        </w:rPr>
      </w:pPr>
      <w:r w:rsidRPr="00CE38CA">
        <w:rPr>
          <w:rFonts w:ascii="Times New Roman" w:hAnsi="Times New Roman"/>
          <w:bCs/>
          <w:color w:val="000000"/>
          <w:sz w:val="24"/>
          <w:szCs w:val="24"/>
          <w:lang w:val="en-GB"/>
        </w:rPr>
        <w:lastRenderedPageBreak/>
        <w:t>A</w:t>
      </w:r>
      <w:r w:rsidR="004F46EF" w:rsidRPr="00CE38CA">
        <w:rPr>
          <w:rFonts w:ascii="Times New Roman" w:hAnsi="Times New Roman"/>
          <w:bCs/>
          <w:color w:val="000000"/>
          <w:sz w:val="24"/>
          <w:szCs w:val="24"/>
          <w:lang w:val="en-GB"/>
        </w:rPr>
        <w:t>nnex</w:t>
      </w:r>
      <w:r w:rsidRPr="00CE38CA">
        <w:rPr>
          <w:rFonts w:ascii="Times New Roman" w:hAnsi="Times New Roman"/>
          <w:bCs/>
          <w:color w:val="000000"/>
          <w:sz w:val="24"/>
          <w:szCs w:val="24"/>
          <w:lang w:val="en-GB"/>
        </w:rPr>
        <w:t>.</w:t>
      </w:r>
      <w:r w:rsidR="00424A78" w:rsidRPr="00CE38CA">
        <w:rPr>
          <w:rFonts w:ascii="Times New Roman" w:hAnsi="Times New Roman"/>
          <w:bCs/>
          <w:color w:val="000000"/>
          <w:sz w:val="24"/>
          <w:szCs w:val="24"/>
          <w:lang w:val="en-GB"/>
        </w:rPr>
        <w:t xml:space="preserve"> </w:t>
      </w:r>
      <w:r w:rsidR="006B6E78" w:rsidRPr="00CE38CA">
        <w:rPr>
          <w:rFonts w:ascii="Times New Roman" w:hAnsi="Times New Roman"/>
          <w:bCs/>
          <w:color w:val="000000"/>
          <w:sz w:val="24"/>
          <w:szCs w:val="24"/>
          <w:lang w:val="en-GB"/>
        </w:rPr>
        <w:t xml:space="preserve"> R</w:t>
      </w:r>
      <w:r w:rsidR="004F46EF" w:rsidRPr="00CE38CA">
        <w:rPr>
          <w:rFonts w:ascii="Times New Roman" w:hAnsi="Times New Roman"/>
          <w:bCs/>
          <w:color w:val="000000"/>
          <w:sz w:val="24"/>
          <w:szCs w:val="24"/>
          <w:lang w:val="en-GB"/>
        </w:rPr>
        <w:t xml:space="preserve">esults and resources framework for Chile </w:t>
      </w:r>
      <w:r w:rsidR="004F7D06" w:rsidRPr="00CE38CA">
        <w:rPr>
          <w:rFonts w:ascii="Times New Roman" w:hAnsi="Times New Roman"/>
          <w:bCs/>
          <w:color w:val="000000"/>
          <w:sz w:val="24"/>
          <w:szCs w:val="24"/>
          <w:lang w:val="en-GB"/>
        </w:rPr>
        <w:t>(2015-2018)</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75"/>
        <w:gridCol w:w="358"/>
        <w:gridCol w:w="1343"/>
        <w:gridCol w:w="404"/>
        <w:gridCol w:w="19"/>
        <w:gridCol w:w="4309"/>
        <w:gridCol w:w="1805"/>
        <w:gridCol w:w="407"/>
        <w:gridCol w:w="2153"/>
      </w:tblGrid>
      <w:tr w:rsidR="007A05B6" w:rsidRPr="00CE38CA" w14:paraId="47B52D0C" w14:textId="77777777" w:rsidTr="00203154">
        <w:trPr>
          <w:trHeight w:val="25"/>
        </w:trPr>
        <w:tc>
          <w:tcPr>
            <w:tcW w:w="5000" w:type="pct"/>
            <w:gridSpan w:val="9"/>
            <w:shd w:val="clear" w:color="auto" w:fill="auto"/>
            <w:tcMar>
              <w:top w:w="72" w:type="dxa"/>
              <w:left w:w="144" w:type="dxa"/>
              <w:bottom w:w="72" w:type="dxa"/>
              <w:right w:w="144" w:type="dxa"/>
            </w:tcMar>
          </w:tcPr>
          <w:p w14:paraId="50D99EFD" w14:textId="5903AFB6" w:rsidR="007A05B6" w:rsidRPr="00CE38CA" w:rsidRDefault="007A05B6" w:rsidP="004F7CB1">
            <w:pPr>
              <w:contextualSpacing/>
              <w:rPr>
                <w:sz w:val="16"/>
                <w:szCs w:val="16"/>
                <w:lang w:val="en-GB"/>
              </w:rPr>
            </w:pPr>
            <w:r w:rsidRPr="00CE38CA">
              <w:rPr>
                <w:b/>
                <w:bCs/>
                <w:color w:val="000000"/>
                <w:sz w:val="16"/>
                <w:szCs w:val="16"/>
                <w:lang w:val="en-GB"/>
              </w:rPr>
              <w:t xml:space="preserve">NATIONAL PRIORITY OR GOAL: </w:t>
            </w:r>
            <w:r w:rsidR="00645B72" w:rsidRPr="00CE38CA">
              <w:rPr>
                <w:b/>
                <w:bCs/>
                <w:color w:val="000000"/>
                <w:sz w:val="16"/>
                <w:szCs w:val="16"/>
                <w:lang w:val="en-GB"/>
              </w:rPr>
              <w:t xml:space="preserve"> </w:t>
            </w:r>
            <w:r w:rsidR="00A041F7" w:rsidRPr="00CE38CA">
              <w:rPr>
                <w:sz w:val="16"/>
                <w:szCs w:val="16"/>
                <w:lang w:val="en-GB"/>
              </w:rPr>
              <w:t>Compliance with MDG</w:t>
            </w:r>
            <w:r w:rsidR="0074369B">
              <w:rPr>
                <w:sz w:val="16"/>
                <w:szCs w:val="16"/>
                <w:lang w:val="en-GB"/>
              </w:rPr>
              <w:t>s</w:t>
            </w:r>
            <w:r w:rsidR="00A041F7" w:rsidRPr="00CE38CA">
              <w:rPr>
                <w:sz w:val="16"/>
                <w:szCs w:val="16"/>
                <w:lang w:val="en-GB"/>
              </w:rPr>
              <w:t>, education reform, development of universal social protection policy, new gender agenda based on women’s rights, equality, and autonomy</w:t>
            </w:r>
            <w:r w:rsidR="0074369B">
              <w:rPr>
                <w:sz w:val="16"/>
                <w:szCs w:val="16"/>
                <w:lang w:val="en-GB"/>
              </w:rPr>
              <w:t>,</w:t>
            </w:r>
            <w:r w:rsidR="00A041F7" w:rsidRPr="00CE38CA">
              <w:rPr>
                <w:sz w:val="16"/>
                <w:szCs w:val="16"/>
                <w:lang w:val="en-GB"/>
              </w:rPr>
              <w:t xml:space="preserve"> </w:t>
            </w:r>
            <w:r w:rsidR="0074369B">
              <w:rPr>
                <w:sz w:val="16"/>
                <w:szCs w:val="16"/>
                <w:lang w:val="en-GB"/>
              </w:rPr>
              <w:t>n</w:t>
            </w:r>
            <w:r w:rsidR="00A041F7" w:rsidRPr="00CE38CA">
              <w:rPr>
                <w:sz w:val="16"/>
                <w:szCs w:val="16"/>
                <w:lang w:val="en-GB"/>
              </w:rPr>
              <w:t xml:space="preserve">ational </w:t>
            </w:r>
            <w:r w:rsidR="0074369B">
              <w:rPr>
                <w:sz w:val="16"/>
                <w:szCs w:val="16"/>
                <w:lang w:val="en-GB"/>
              </w:rPr>
              <w:t>p</w:t>
            </w:r>
            <w:r w:rsidR="00A041F7" w:rsidRPr="00CE38CA">
              <w:rPr>
                <w:sz w:val="16"/>
                <w:szCs w:val="16"/>
                <w:lang w:val="en-GB"/>
              </w:rPr>
              <w:t xml:space="preserve">lan for </w:t>
            </w:r>
            <w:r w:rsidR="0074369B">
              <w:rPr>
                <w:sz w:val="16"/>
                <w:szCs w:val="16"/>
                <w:lang w:val="en-GB"/>
              </w:rPr>
              <w:t>c</w:t>
            </w:r>
            <w:r w:rsidR="00A041F7" w:rsidRPr="00CE38CA">
              <w:rPr>
                <w:sz w:val="16"/>
                <w:szCs w:val="16"/>
                <w:lang w:val="en-GB"/>
              </w:rPr>
              <w:t xml:space="preserve">limate </w:t>
            </w:r>
            <w:r w:rsidR="0074369B">
              <w:rPr>
                <w:sz w:val="16"/>
                <w:szCs w:val="16"/>
                <w:lang w:val="en-GB"/>
              </w:rPr>
              <w:t>c</w:t>
            </w:r>
            <w:r w:rsidR="00A041F7" w:rsidRPr="00CE38CA">
              <w:rPr>
                <w:sz w:val="16"/>
                <w:szCs w:val="16"/>
                <w:lang w:val="en-GB"/>
              </w:rPr>
              <w:t xml:space="preserve">hange, energy policy, promotion of non-conventional renewable energy (NCRE), creation of the Biodiversity and Protected Areas Service, </w:t>
            </w:r>
            <w:r w:rsidR="0074369B">
              <w:rPr>
                <w:sz w:val="16"/>
                <w:szCs w:val="16"/>
                <w:lang w:val="en-GB"/>
              </w:rPr>
              <w:t xml:space="preserve">and </w:t>
            </w:r>
            <w:r w:rsidR="00A041F7" w:rsidRPr="00CE38CA">
              <w:rPr>
                <w:sz w:val="16"/>
                <w:szCs w:val="16"/>
                <w:lang w:val="en-GB"/>
              </w:rPr>
              <w:t>environmental education</w:t>
            </w:r>
            <w:r w:rsidR="00645B72" w:rsidRPr="00CE38CA">
              <w:rPr>
                <w:sz w:val="16"/>
                <w:szCs w:val="16"/>
                <w:lang w:val="en-GB"/>
              </w:rPr>
              <w:t>.</w:t>
            </w:r>
          </w:p>
        </w:tc>
      </w:tr>
      <w:tr w:rsidR="007A05B6" w:rsidRPr="00CE38CA" w14:paraId="3D3F47D0" w14:textId="77777777" w:rsidTr="00203154">
        <w:trPr>
          <w:trHeight w:val="124"/>
        </w:trPr>
        <w:tc>
          <w:tcPr>
            <w:tcW w:w="5000" w:type="pct"/>
            <w:gridSpan w:val="9"/>
            <w:shd w:val="clear" w:color="auto" w:fill="auto"/>
            <w:tcMar>
              <w:top w:w="72" w:type="dxa"/>
              <w:left w:w="144" w:type="dxa"/>
              <w:bottom w:w="72" w:type="dxa"/>
              <w:right w:w="144" w:type="dxa"/>
            </w:tcMar>
          </w:tcPr>
          <w:p w14:paraId="0C8DF6BC" w14:textId="1D16D46A" w:rsidR="007A05B6" w:rsidRPr="00CE38CA" w:rsidRDefault="007A05B6" w:rsidP="00645B72">
            <w:pPr>
              <w:rPr>
                <w:b/>
                <w:bCs/>
                <w:sz w:val="16"/>
                <w:szCs w:val="16"/>
                <w:lang w:val="en-GB"/>
              </w:rPr>
            </w:pPr>
            <w:r w:rsidRPr="00CE38CA">
              <w:rPr>
                <w:b/>
                <w:bCs/>
                <w:color w:val="000000"/>
                <w:sz w:val="16"/>
                <w:szCs w:val="16"/>
                <w:lang w:val="en-GB"/>
              </w:rPr>
              <w:t>UNDAF (OR EQUIV</w:t>
            </w:r>
            <w:r w:rsidR="00A041F7" w:rsidRPr="00CE38CA">
              <w:rPr>
                <w:b/>
                <w:bCs/>
                <w:color w:val="000000"/>
                <w:sz w:val="16"/>
                <w:szCs w:val="16"/>
                <w:lang w:val="en-GB"/>
              </w:rPr>
              <w:t>ALENT) OUTCOME INVOLVING UNDP 2</w:t>
            </w:r>
            <w:r w:rsidRPr="00CE38CA">
              <w:rPr>
                <w:b/>
                <w:bCs/>
                <w:color w:val="000000"/>
                <w:sz w:val="16"/>
                <w:szCs w:val="16"/>
                <w:lang w:val="en-GB"/>
              </w:rPr>
              <w:t>:</w:t>
            </w:r>
            <w:r w:rsidRPr="00CE38CA">
              <w:rPr>
                <w:color w:val="000000"/>
                <w:sz w:val="16"/>
                <w:szCs w:val="16"/>
                <w:lang w:val="en-GB"/>
              </w:rPr>
              <w:t xml:space="preserve"> </w:t>
            </w:r>
            <w:r w:rsidR="00645B72" w:rsidRPr="00CE38CA">
              <w:rPr>
                <w:color w:val="000000"/>
                <w:sz w:val="16"/>
                <w:szCs w:val="16"/>
                <w:lang w:val="en-GB"/>
              </w:rPr>
              <w:t xml:space="preserve"> </w:t>
            </w:r>
            <w:r w:rsidR="00A041F7" w:rsidRPr="00CE38CA">
              <w:rPr>
                <w:sz w:val="16"/>
                <w:szCs w:val="16"/>
                <w:lang w:val="en-GB"/>
              </w:rPr>
              <w:t>Capacities of public agencies to design, implement, and evaluate social policies</w:t>
            </w:r>
            <w:r w:rsidR="00645B72" w:rsidRPr="00CE38CA">
              <w:rPr>
                <w:sz w:val="16"/>
                <w:szCs w:val="16"/>
                <w:lang w:val="en-GB"/>
              </w:rPr>
              <w:t xml:space="preserve">, </w:t>
            </w:r>
            <w:r w:rsidR="00A041F7" w:rsidRPr="00CE38CA">
              <w:rPr>
                <w:sz w:val="16"/>
                <w:szCs w:val="16"/>
                <w:lang w:val="en-GB"/>
              </w:rPr>
              <w:t xml:space="preserve">with a </w:t>
            </w:r>
            <w:r w:rsidR="00645B72" w:rsidRPr="00CE38CA">
              <w:rPr>
                <w:sz w:val="16"/>
                <w:szCs w:val="16"/>
                <w:lang w:val="en-GB"/>
              </w:rPr>
              <w:t xml:space="preserve">strengthened </w:t>
            </w:r>
            <w:r w:rsidR="00A041F7" w:rsidRPr="00CE38CA">
              <w:rPr>
                <w:sz w:val="16"/>
                <w:szCs w:val="16"/>
                <w:lang w:val="en-GB"/>
              </w:rPr>
              <w:t>rights</w:t>
            </w:r>
            <w:r w:rsidR="007E0329" w:rsidRPr="00CE38CA">
              <w:rPr>
                <w:sz w:val="16"/>
                <w:szCs w:val="16"/>
                <w:lang w:val="en-GB"/>
              </w:rPr>
              <w:t>-based approach</w:t>
            </w:r>
            <w:r w:rsidR="00645B72" w:rsidRPr="00CE38CA">
              <w:rPr>
                <w:sz w:val="16"/>
                <w:szCs w:val="16"/>
                <w:lang w:val="en-GB"/>
              </w:rPr>
              <w:t xml:space="preserve">, </w:t>
            </w:r>
            <w:r w:rsidR="00A041F7" w:rsidRPr="00CE38CA">
              <w:rPr>
                <w:sz w:val="16"/>
                <w:szCs w:val="16"/>
                <w:lang w:val="en-GB"/>
              </w:rPr>
              <w:t>t</w:t>
            </w:r>
            <w:r w:rsidR="00645B72" w:rsidRPr="00CE38CA">
              <w:rPr>
                <w:sz w:val="16"/>
                <w:szCs w:val="16"/>
                <w:lang w:val="en-GB"/>
              </w:rPr>
              <w:t>o</w:t>
            </w:r>
            <w:r w:rsidR="00A041F7" w:rsidRPr="00CE38CA">
              <w:rPr>
                <w:sz w:val="16"/>
                <w:szCs w:val="16"/>
                <w:lang w:val="en-GB"/>
              </w:rPr>
              <w:t xml:space="preserve"> reduce inequalities</w:t>
            </w:r>
            <w:r w:rsidR="008B18A2" w:rsidRPr="00CE38CA">
              <w:rPr>
                <w:sz w:val="16"/>
                <w:szCs w:val="16"/>
                <w:lang w:val="en-GB"/>
              </w:rPr>
              <w:t xml:space="preserve"> created</w:t>
            </w:r>
            <w:r w:rsidR="0074369B">
              <w:rPr>
                <w:sz w:val="16"/>
                <w:szCs w:val="16"/>
                <w:lang w:val="en-GB"/>
              </w:rPr>
              <w:t>.</w:t>
            </w:r>
          </w:p>
        </w:tc>
      </w:tr>
      <w:tr w:rsidR="00772802" w:rsidRPr="00CE38CA" w14:paraId="4AACA8AF" w14:textId="77777777" w:rsidTr="00203154">
        <w:trPr>
          <w:trHeight w:val="124"/>
        </w:trPr>
        <w:tc>
          <w:tcPr>
            <w:tcW w:w="5000" w:type="pct"/>
            <w:gridSpan w:val="9"/>
            <w:shd w:val="clear" w:color="auto" w:fill="auto"/>
            <w:tcMar>
              <w:top w:w="72" w:type="dxa"/>
              <w:left w:w="144" w:type="dxa"/>
              <w:bottom w:w="72" w:type="dxa"/>
              <w:right w:w="144" w:type="dxa"/>
            </w:tcMar>
          </w:tcPr>
          <w:p w14:paraId="3FB2D546" w14:textId="150871D6" w:rsidR="00772802" w:rsidRPr="00CE38CA" w:rsidRDefault="00923F17" w:rsidP="002509B0">
            <w:pPr>
              <w:rPr>
                <w:b/>
                <w:bCs/>
                <w:color w:val="000000"/>
                <w:sz w:val="16"/>
                <w:szCs w:val="16"/>
                <w:lang w:val="en-GB"/>
              </w:rPr>
            </w:pPr>
            <w:r w:rsidRPr="00CE38CA">
              <w:rPr>
                <w:b/>
                <w:bCs/>
                <w:color w:val="000000"/>
                <w:sz w:val="16"/>
                <w:szCs w:val="16"/>
                <w:lang w:val="en-GB"/>
              </w:rPr>
              <w:t>RELATED STRATEGIC PLAN OUTCOME</w:t>
            </w:r>
            <w:r w:rsidR="00637443" w:rsidRPr="00CE38CA">
              <w:rPr>
                <w:b/>
                <w:bCs/>
                <w:color w:val="000000"/>
                <w:sz w:val="16"/>
                <w:szCs w:val="16"/>
                <w:lang w:val="en-GB"/>
              </w:rPr>
              <w:t xml:space="preserve"> 1</w:t>
            </w:r>
            <w:r w:rsidRPr="00CE38CA">
              <w:rPr>
                <w:b/>
                <w:bCs/>
                <w:color w:val="000000"/>
                <w:sz w:val="16"/>
                <w:szCs w:val="16"/>
                <w:lang w:val="en-GB"/>
              </w:rPr>
              <w:t xml:space="preserve"> (from </w:t>
            </w:r>
            <w:r w:rsidR="0074369B">
              <w:rPr>
                <w:b/>
                <w:bCs/>
                <w:color w:val="000000"/>
                <w:sz w:val="16"/>
                <w:szCs w:val="16"/>
                <w:lang w:val="en-GB"/>
              </w:rPr>
              <w:t>s</w:t>
            </w:r>
            <w:r w:rsidRPr="00CE38CA">
              <w:rPr>
                <w:b/>
                <w:bCs/>
                <w:color w:val="000000"/>
                <w:sz w:val="16"/>
                <w:szCs w:val="16"/>
                <w:lang w:val="en-GB"/>
              </w:rPr>
              <w:t xml:space="preserve">trategic </w:t>
            </w:r>
            <w:r w:rsidR="0074369B">
              <w:rPr>
                <w:b/>
                <w:bCs/>
                <w:color w:val="000000"/>
                <w:sz w:val="16"/>
                <w:szCs w:val="16"/>
                <w:lang w:val="en-GB"/>
              </w:rPr>
              <w:t>p</w:t>
            </w:r>
            <w:r w:rsidRPr="00CE38CA">
              <w:rPr>
                <w:b/>
                <w:bCs/>
                <w:color w:val="000000"/>
                <w:sz w:val="16"/>
                <w:szCs w:val="16"/>
                <w:lang w:val="en-GB"/>
              </w:rPr>
              <w:t>lan</w:t>
            </w:r>
            <w:r w:rsidR="0074369B">
              <w:rPr>
                <w:b/>
                <w:bCs/>
                <w:color w:val="000000"/>
                <w:sz w:val="16"/>
                <w:szCs w:val="16"/>
                <w:lang w:val="en-GB"/>
              </w:rPr>
              <w:t>,</w:t>
            </w:r>
            <w:r w:rsidRPr="00CE38CA">
              <w:rPr>
                <w:b/>
                <w:bCs/>
                <w:color w:val="000000"/>
                <w:sz w:val="16"/>
                <w:szCs w:val="16"/>
                <w:lang w:val="en-GB"/>
              </w:rPr>
              <w:t xml:space="preserve"> </w:t>
            </w:r>
            <w:r w:rsidR="00CB23DD" w:rsidRPr="00CE38CA">
              <w:rPr>
                <w:b/>
                <w:bCs/>
                <w:color w:val="000000"/>
                <w:sz w:val="16"/>
                <w:szCs w:val="16"/>
                <w:lang w:val="en-GB"/>
              </w:rPr>
              <w:t>2014</w:t>
            </w:r>
            <w:r w:rsidR="00A041F7" w:rsidRPr="00CE38CA">
              <w:rPr>
                <w:b/>
                <w:bCs/>
                <w:color w:val="000000"/>
                <w:sz w:val="16"/>
                <w:szCs w:val="16"/>
                <w:lang w:val="en-GB"/>
              </w:rPr>
              <w:t>-2017</w:t>
            </w:r>
            <w:r w:rsidR="00A041F7" w:rsidRPr="00CE38CA">
              <w:rPr>
                <w:b/>
                <w:sz w:val="16"/>
                <w:szCs w:val="16"/>
                <w:lang w:val="en-GB"/>
              </w:rPr>
              <w:t xml:space="preserve">): </w:t>
            </w:r>
            <w:r w:rsidR="00645B72" w:rsidRPr="00CE38CA">
              <w:rPr>
                <w:b/>
                <w:sz w:val="16"/>
                <w:szCs w:val="16"/>
                <w:lang w:val="en-GB"/>
              </w:rPr>
              <w:t xml:space="preserve"> </w:t>
            </w:r>
            <w:r w:rsidR="008B18A2" w:rsidRPr="00CE38CA">
              <w:rPr>
                <w:sz w:val="16"/>
                <w:szCs w:val="16"/>
                <w:lang w:val="en-GB"/>
              </w:rPr>
              <w:t>G</w:t>
            </w:r>
            <w:r w:rsidR="00A041F7" w:rsidRPr="00CE38CA">
              <w:rPr>
                <w:sz w:val="16"/>
                <w:szCs w:val="16"/>
                <w:lang w:val="en-GB"/>
              </w:rPr>
              <w:t xml:space="preserve">rowth </w:t>
            </w:r>
            <w:r w:rsidR="008B18A2" w:rsidRPr="00CE38CA">
              <w:rPr>
                <w:sz w:val="16"/>
                <w:szCs w:val="16"/>
                <w:lang w:val="en-GB"/>
              </w:rPr>
              <w:t xml:space="preserve">is inclusive and sustainable </w:t>
            </w:r>
            <w:r w:rsidR="002509B0" w:rsidRPr="00CE38CA">
              <w:rPr>
                <w:sz w:val="16"/>
                <w:szCs w:val="16"/>
                <w:lang w:val="en-GB"/>
              </w:rPr>
              <w:t>based on strong</w:t>
            </w:r>
            <w:r w:rsidR="00A041F7" w:rsidRPr="00CE38CA">
              <w:rPr>
                <w:sz w:val="16"/>
                <w:szCs w:val="16"/>
                <w:lang w:val="en-GB"/>
              </w:rPr>
              <w:t xml:space="preserve"> productive capacities that </w:t>
            </w:r>
            <w:r w:rsidR="002509B0" w:rsidRPr="00CE38CA">
              <w:rPr>
                <w:sz w:val="16"/>
                <w:szCs w:val="16"/>
                <w:lang w:val="en-GB"/>
              </w:rPr>
              <w:t xml:space="preserve">create livelihoods and employment </w:t>
            </w:r>
            <w:r w:rsidR="00A041F7" w:rsidRPr="00CE38CA">
              <w:rPr>
                <w:sz w:val="16"/>
                <w:szCs w:val="16"/>
                <w:lang w:val="en-GB"/>
              </w:rPr>
              <w:t>for the poor and excluded.</w:t>
            </w:r>
          </w:p>
        </w:tc>
      </w:tr>
      <w:tr w:rsidR="007A05B6" w:rsidRPr="00CE38CA" w14:paraId="3FA729DF" w14:textId="77777777" w:rsidTr="00203154">
        <w:trPr>
          <w:trHeight w:val="322"/>
        </w:trPr>
        <w:tc>
          <w:tcPr>
            <w:tcW w:w="963" w:type="pct"/>
            <w:shd w:val="clear" w:color="auto" w:fill="auto"/>
            <w:tcMar>
              <w:top w:w="72" w:type="dxa"/>
              <w:left w:w="144" w:type="dxa"/>
              <w:bottom w:w="72" w:type="dxa"/>
              <w:right w:w="144" w:type="dxa"/>
            </w:tcMar>
            <w:vAlign w:val="center"/>
          </w:tcPr>
          <w:p w14:paraId="5CD01BA3" w14:textId="77777777" w:rsidR="007A05B6" w:rsidRPr="00CE38CA" w:rsidRDefault="007A05B6" w:rsidP="00125266">
            <w:pPr>
              <w:jc w:val="center"/>
              <w:rPr>
                <w:color w:val="000000"/>
                <w:sz w:val="16"/>
                <w:szCs w:val="16"/>
                <w:lang w:val="en-GB"/>
              </w:rPr>
            </w:pPr>
            <w:r w:rsidRPr="00CE38CA">
              <w:rPr>
                <w:b/>
                <w:bCs/>
                <w:color w:val="000000"/>
                <w:sz w:val="16"/>
                <w:szCs w:val="16"/>
                <w:lang w:val="en-GB"/>
              </w:rPr>
              <w:t>UNDAF OUTCOME INDICATOR(S), BASELINES, TARGET(S)</w:t>
            </w:r>
          </w:p>
        </w:tc>
        <w:tc>
          <w:tcPr>
            <w:tcW w:w="636" w:type="pct"/>
            <w:gridSpan w:val="2"/>
            <w:shd w:val="clear" w:color="auto" w:fill="auto"/>
            <w:vAlign w:val="center"/>
          </w:tcPr>
          <w:p w14:paraId="36C122CB" w14:textId="77777777" w:rsidR="007A05B6" w:rsidRPr="00CE38CA" w:rsidRDefault="007A05B6" w:rsidP="00125266">
            <w:pPr>
              <w:jc w:val="center"/>
              <w:rPr>
                <w:b/>
                <w:color w:val="000000"/>
                <w:sz w:val="16"/>
                <w:szCs w:val="16"/>
                <w:lang w:val="en-GB"/>
              </w:rPr>
            </w:pPr>
            <w:r w:rsidRPr="00CE38CA">
              <w:rPr>
                <w:b/>
                <w:color w:val="000000"/>
                <w:sz w:val="16"/>
                <w:szCs w:val="16"/>
                <w:lang w:val="en-GB"/>
              </w:rPr>
              <w:t>DATA SOURCE AND FREQUENCY OF DATA COLLECTION, AND RESPONSIBILITIES</w:t>
            </w:r>
          </w:p>
        </w:tc>
        <w:tc>
          <w:tcPr>
            <w:tcW w:w="1769" w:type="pct"/>
            <w:gridSpan w:val="3"/>
            <w:shd w:val="clear" w:color="auto" w:fill="auto"/>
            <w:tcMar>
              <w:top w:w="72" w:type="dxa"/>
              <w:left w:w="144" w:type="dxa"/>
              <w:bottom w:w="72" w:type="dxa"/>
              <w:right w:w="144" w:type="dxa"/>
            </w:tcMar>
            <w:vAlign w:val="center"/>
          </w:tcPr>
          <w:p w14:paraId="2A6092C6" w14:textId="77777777" w:rsidR="007A05B6" w:rsidRPr="00CE38CA" w:rsidRDefault="007A05B6" w:rsidP="004F7CB1">
            <w:pPr>
              <w:jc w:val="center"/>
              <w:rPr>
                <w:color w:val="000000"/>
                <w:sz w:val="16"/>
                <w:szCs w:val="16"/>
                <w:lang w:val="en-GB"/>
              </w:rPr>
            </w:pPr>
            <w:r w:rsidRPr="00CE38CA">
              <w:rPr>
                <w:b/>
                <w:bCs/>
                <w:color w:val="000000"/>
                <w:sz w:val="16"/>
                <w:szCs w:val="16"/>
                <w:lang w:val="en-GB"/>
              </w:rPr>
              <w:t>INDICATIVE COUNTRY PROGRAMME OUTPUTS</w:t>
            </w:r>
          </w:p>
        </w:tc>
        <w:tc>
          <w:tcPr>
            <w:tcW w:w="827" w:type="pct"/>
            <w:gridSpan w:val="2"/>
            <w:shd w:val="clear" w:color="auto" w:fill="auto"/>
            <w:vAlign w:val="center"/>
          </w:tcPr>
          <w:p w14:paraId="55EB8547" w14:textId="77777777" w:rsidR="007A05B6" w:rsidRPr="00CE38CA" w:rsidRDefault="007A05B6" w:rsidP="00125266">
            <w:pPr>
              <w:jc w:val="center"/>
              <w:rPr>
                <w:b/>
                <w:bCs/>
                <w:color w:val="000000"/>
                <w:sz w:val="16"/>
                <w:szCs w:val="16"/>
                <w:lang w:val="en-GB"/>
              </w:rPr>
            </w:pPr>
            <w:r w:rsidRPr="00CE38CA">
              <w:rPr>
                <w:b/>
                <w:bCs/>
                <w:color w:val="000000"/>
                <w:sz w:val="16"/>
                <w:szCs w:val="16"/>
                <w:lang w:val="en-GB"/>
              </w:rPr>
              <w:t>MAJOR PARTNERS</w:t>
            </w:r>
            <w:r w:rsidR="009B4DA7" w:rsidRPr="00CE38CA">
              <w:rPr>
                <w:b/>
                <w:bCs/>
                <w:color w:val="000000"/>
                <w:sz w:val="16"/>
                <w:szCs w:val="16"/>
                <w:lang w:val="en-GB"/>
              </w:rPr>
              <w:t xml:space="preserve"> </w:t>
            </w:r>
            <w:r w:rsidRPr="00CE38CA">
              <w:rPr>
                <w:b/>
                <w:bCs/>
                <w:color w:val="000000"/>
                <w:sz w:val="16"/>
                <w:szCs w:val="16"/>
                <w:lang w:val="en-GB"/>
              </w:rPr>
              <w:t>/</w:t>
            </w:r>
            <w:r w:rsidR="009B4DA7" w:rsidRPr="00CE38CA">
              <w:rPr>
                <w:b/>
                <w:bCs/>
                <w:color w:val="000000"/>
                <w:sz w:val="16"/>
                <w:szCs w:val="16"/>
                <w:lang w:val="en-GB"/>
              </w:rPr>
              <w:t xml:space="preserve"> </w:t>
            </w:r>
            <w:r w:rsidRPr="00CE38CA">
              <w:rPr>
                <w:b/>
                <w:bCs/>
                <w:color w:val="000000"/>
                <w:sz w:val="16"/>
                <w:szCs w:val="16"/>
                <w:lang w:val="en-GB"/>
              </w:rPr>
              <w:t>PARTNERSHIPS</w:t>
            </w:r>
          </w:p>
          <w:p w14:paraId="4764DC58" w14:textId="77777777" w:rsidR="007A05B6" w:rsidRPr="00CE38CA" w:rsidRDefault="007A05B6" w:rsidP="00125266">
            <w:pPr>
              <w:jc w:val="center"/>
              <w:rPr>
                <w:b/>
                <w:bCs/>
                <w:color w:val="000000"/>
                <w:sz w:val="16"/>
                <w:szCs w:val="16"/>
                <w:lang w:val="en-GB"/>
              </w:rPr>
            </w:pPr>
            <w:r w:rsidRPr="00CE38CA">
              <w:rPr>
                <w:b/>
                <w:bCs/>
                <w:color w:val="000000"/>
                <w:sz w:val="16"/>
                <w:szCs w:val="16"/>
                <w:lang w:val="en-GB"/>
              </w:rPr>
              <w:t>FRAMEWORKS</w:t>
            </w:r>
          </w:p>
        </w:tc>
        <w:tc>
          <w:tcPr>
            <w:tcW w:w="805" w:type="pct"/>
            <w:shd w:val="clear" w:color="auto" w:fill="auto"/>
            <w:tcMar>
              <w:top w:w="15" w:type="dxa"/>
              <w:left w:w="108" w:type="dxa"/>
              <w:bottom w:w="0" w:type="dxa"/>
              <w:right w:w="108" w:type="dxa"/>
            </w:tcMar>
            <w:vAlign w:val="center"/>
          </w:tcPr>
          <w:p w14:paraId="0365F6DC" w14:textId="6E691005" w:rsidR="007A05B6" w:rsidRPr="00CE38CA" w:rsidRDefault="007A05B6" w:rsidP="00125266">
            <w:pPr>
              <w:jc w:val="center"/>
              <w:rPr>
                <w:b/>
                <w:bCs/>
                <w:color w:val="000000"/>
                <w:sz w:val="16"/>
                <w:szCs w:val="16"/>
                <w:lang w:val="en-GB"/>
              </w:rPr>
            </w:pPr>
            <w:r w:rsidRPr="00CE38CA">
              <w:rPr>
                <w:b/>
                <w:bCs/>
                <w:color w:val="000000"/>
                <w:sz w:val="16"/>
                <w:szCs w:val="16"/>
                <w:lang w:val="en-GB"/>
              </w:rPr>
              <w:t>INDICATIVE RESOURCES BY OUTCOME ($)</w:t>
            </w:r>
          </w:p>
          <w:p w14:paraId="79BC160F" w14:textId="77777777" w:rsidR="007A05B6" w:rsidRPr="00CE38CA" w:rsidRDefault="007A05B6" w:rsidP="00125266">
            <w:pPr>
              <w:jc w:val="center"/>
              <w:rPr>
                <w:i/>
                <w:color w:val="0000FF"/>
                <w:sz w:val="16"/>
                <w:szCs w:val="16"/>
                <w:lang w:val="en-GB"/>
              </w:rPr>
            </w:pPr>
          </w:p>
        </w:tc>
      </w:tr>
      <w:tr w:rsidR="00637443" w:rsidRPr="00CE38CA" w14:paraId="634275F8" w14:textId="77777777" w:rsidTr="004F46EF">
        <w:trPr>
          <w:trHeight w:val="584"/>
        </w:trPr>
        <w:tc>
          <w:tcPr>
            <w:tcW w:w="963" w:type="pct"/>
            <w:vMerge w:val="restart"/>
            <w:tcMar>
              <w:top w:w="72" w:type="dxa"/>
              <w:left w:w="144" w:type="dxa"/>
              <w:bottom w:w="72" w:type="dxa"/>
              <w:right w:w="144" w:type="dxa"/>
            </w:tcMar>
          </w:tcPr>
          <w:p w14:paraId="0AFE238F" w14:textId="07FB3E51"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xml:space="preserve">: Percentage of the population over the retirement age that receive a pension </w:t>
            </w:r>
          </w:p>
          <w:p w14:paraId="52A6ECBB" w14:textId="0003D811"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74.5 (ILO, 2012)</w:t>
            </w:r>
          </w:p>
          <w:p w14:paraId="68D49C38" w14:textId="1B8A33A0"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None</w:t>
            </w:r>
          </w:p>
          <w:p w14:paraId="3F7A0BD3" w14:textId="77777777" w:rsidR="00637443" w:rsidRPr="00CE38CA" w:rsidRDefault="00637443" w:rsidP="00A309A5">
            <w:pPr>
              <w:pStyle w:val="Normal1"/>
              <w:rPr>
                <w:rFonts w:ascii="Tahoma" w:hAnsi="Tahoma" w:cs="Tahoma"/>
                <w:b/>
                <w:spacing w:val="-4"/>
                <w:w w:val="98"/>
                <w:kern w:val="14"/>
                <w:sz w:val="16"/>
                <w:szCs w:val="16"/>
                <w:lang w:val="en-GB"/>
              </w:rPr>
            </w:pPr>
          </w:p>
          <w:p w14:paraId="482484AE" w14:textId="4C926A03"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Percentage of unemployed who do not receive unemployment benefits</w:t>
            </w:r>
          </w:p>
          <w:p w14:paraId="3C02D7AF" w14:textId="2E84B5EE"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70.1 (ILO, 2013)</w:t>
            </w:r>
          </w:p>
          <w:p w14:paraId="5419318F" w14:textId="38D16C1D"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None</w:t>
            </w:r>
          </w:p>
          <w:p w14:paraId="658F24BF" w14:textId="77777777" w:rsidR="00637443" w:rsidRPr="00CE38CA" w:rsidRDefault="00637443" w:rsidP="00A309A5">
            <w:pPr>
              <w:pStyle w:val="Normal1"/>
              <w:rPr>
                <w:rFonts w:ascii="Tahoma" w:hAnsi="Tahoma" w:cs="Tahoma"/>
                <w:b/>
                <w:spacing w:val="-4"/>
                <w:w w:val="98"/>
                <w:kern w:val="14"/>
                <w:sz w:val="16"/>
                <w:szCs w:val="16"/>
                <w:lang w:val="en-GB"/>
              </w:rPr>
            </w:pPr>
          </w:p>
          <w:p w14:paraId="3F819F82" w14:textId="552D5798" w:rsidR="00637443" w:rsidRPr="00CE38CA" w:rsidRDefault="00637443" w:rsidP="00A309A5">
            <w:pPr>
              <w:pStyle w:val="Normal1"/>
              <w:rPr>
                <w:rFonts w:ascii="Courier" w:eastAsia="Calibri"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w:t>
            </w:r>
            <w:r w:rsidR="007E0329" w:rsidRPr="00CE38CA">
              <w:rPr>
                <w:rFonts w:eastAsia="Calibri"/>
                <w:sz w:val="16"/>
                <w:szCs w:val="16"/>
                <w:lang w:val="en-GB"/>
              </w:rPr>
              <w:t xml:space="preserve"> </w:t>
            </w:r>
            <w:r w:rsidRPr="00CE38CA">
              <w:rPr>
                <w:rFonts w:eastAsia="Calibri"/>
                <w:sz w:val="16"/>
                <w:szCs w:val="16"/>
                <w:lang w:val="en-GB"/>
              </w:rPr>
              <w:t xml:space="preserve">Socio-economic </w:t>
            </w:r>
            <w:r w:rsidR="007E0329" w:rsidRPr="00CE38CA">
              <w:rPr>
                <w:rFonts w:eastAsia="Calibri"/>
                <w:sz w:val="16"/>
                <w:szCs w:val="16"/>
                <w:lang w:val="en-GB"/>
              </w:rPr>
              <w:t xml:space="preserve">measurement </w:t>
            </w:r>
            <w:r w:rsidRPr="00CE38CA">
              <w:rPr>
                <w:rFonts w:eastAsia="Calibri"/>
                <w:sz w:val="16"/>
                <w:szCs w:val="16"/>
                <w:lang w:val="en-GB"/>
              </w:rPr>
              <w:t xml:space="preserve">instruments reformulated </w:t>
            </w:r>
            <w:r w:rsidR="007E0329" w:rsidRPr="00CE38CA">
              <w:rPr>
                <w:rFonts w:eastAsia="Calibri"/>
                <w:sz w:val="16"/>
                <w:szCs w:val="16"/>
                <w:lang w:val="en-GB"/>
              </w:rPr>
              <w:t>with</w:t>
            </w:r>
            <w:r w:rsidRPr="00CE38CA">
              <w:rPr>
                <w:rFonts w:eastAsia="Calibri"/>
                <w:sz w:val="16"/>
                <w:szCs w:val="16"/>
                <w:lang w:val="en-GB"/>
              </w:rPr>
              <w:t xml:space="preserve"> a rights</w:t>
            </w:r>
            <w:r w:rsidR="007E0329" w:rsidRPr="00CE38CA">
              <w:rPr>
                <w:rFonts w:eastAsia="Calibri"/>
                <w:sz w:val="16"/>
                <w:szCs w:val="16"/>
                <w:lang w:val="en-GB"/>
              </w:rPr>
              <w:t>-based approach</w:t>
            </w:r>
          </w:p>
          <w:p w14:paraId="6AD11C2F" w14:textId="34443651"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xml:space="preserve">: Instruments do not incorporate </w:t>
            </w:r>
            <w:r w:rsidR="007E0329" w:rsidRPr="00CE38CA">
              <w:rPr>
                <w:rFonts w:eastAsia="Calibri"/>
                <w:sz w:val="16"/>
                <w:szCs w:val="16"/>
                <w:lang w:val="en-GB"/>
              </w:rPr>
              <w:t xml:space="preserve">the </w:t>
            </w:r>
            <w:r w:rsidRPr="00CE38CA">
              <w:rPr>
                <w:rFonts w:eastAsia="Calibri"/>
                <w:sz w:val="16"/>
                <w:szCs w:val="16"/>
                <w:lang w:val="en-GB"/>
              </w:rPr>
              <w:t xml:space="preserve">rights </w:t>
            </w:r>
            <w:r w:rsidR="007E0329" w:rsidRPr="00CE38CA">
              <w:rPr>
                <w:rFonts w:eastAsia="Calibri"/>
                <w:sz w:val="16"/>
                <w:szCs w:val="16"/>
                <w:lang w:val="en-GB"/>
              </w:rPr>
              <w:t>approach</w:t>
            </w:r>
          </w:p>
          <w:p w14:paraId="73332EBB" w14:textId="06FF577E"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xml:space="preserve">: Social benefits allocation system reformulated with </w:t>
            </w:r>
            <w:r w:rsidR="007E0329" w:rsidRPr="00CE38CA">
              <w:rPr>
                <w:rFonts w:eastAsia="Calibri"/>
                <w:sz w:val="16"/>
                <w:szCs w:val="16"/>
                <w:lang w:val="en-GB"/>
              </w:rPr>
              <w:t xml:space="preserve">a </w:t>
            </w:r>
            <w:r w:rsidRPr="00CE38CA">
              <w:rPr>
                <w:rFonts w:eastAsia="Calibri"/>
                <w:sz w:val="16"/>
                <w:szCs w:val="16"/>
                <w:lang w:val="en-GB"/>
              </w:rPr>
              <w:t>rights</w:t>
            </w:r>
            <w:r w:rsidR="007E0329" w:rsidRPr="00CE38CA">
              <w:rPr>
                <w:rFonts w:eastAsia="Calibri"/>
                <w:sz w:val="16"/>
                <w:szCs w:val="16"/>
                <w:lang w:val="en-GB"/>
              </w:rPr>
              <w:t>-based</w:t>
            </w:r>
            <w:r w:rsidRPr="00CE38CA">
              <w:rPr>
                <w:rFonts w:eastAsia="Calibri"/>
                <w:sz w:val="16"/>
                <w:szCs w:val="16"/>
                <w:lang w:val="en-GB"/>
              </w:rPr>
              <w:t xml:space="preserve"> </w:t>
            </w:r>
            <w:r w:rsidR="007E0329" w:rsidRPr="00CE38CA">
              <w:rPr>
                <w:rFonts w:eastAsia="Calibri"/>
                <w:sz w:val="16"/>
                <w:szCs w:val="16"/>
                <w:lang w:val="en-GB"/>
              </w:rPr>
              <w:t>approach</w:t>
            </w:r>
          </w:p>
          <w:p w14:paraId="0D94BF49" w14:textId="77777777" w:rsidR="00637443" w:rsidRPr="00CE38CA" w:rsidRDefault="00637443" w:rsidP="00A309A5">
            <w:pPr>
              <w:pStyle w:val="Normal1"/>
              <w:rPr>
                <w:rFonts w:ascii="Tahoma" w:hAnsi="Tahoma" w:cs="Tahoma"/>
                <w:b/>
                <w:spacing w:val="-4"/>
                <w:w w:val="98"/>
                <w:kern w:val="14"/>
                <w:sz w:val="16"/>
                <w:szCs w:val="16"/>
                <w:lang w:val="en-GB"/>
              </w:rPr>
            </w:pPr>
          </w:p>
          <w:p w14:paraId="1E7B1708" w14:textId="491C82A9"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Matrix of inequality indicators</w:t>
            </w:r>
          </w:p>
          <w:p w14:paraId="732F5AA1" w14:textId="37E49456"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There is no set of indicators on inequality validated at the national level</w:t>
            </w:r>
          </w:p>
          <w:p w14:paraId="7AB4D2B0" w14:textId="014A3053"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xml:space="preserve">: Matrix validated by </w:t>
            </w:r>
            <w:r w:rsidR="007E0329" w:rsidRPr="00CE38CA">
              <w:rPr>
                <w:rFonts w:eastAsia="Calibri"/>
                <w:sz w:val="16"/>
                <w:szCs w:val="16"/>
                <w:lang w:val="en-GB"/>
              </w:rPr>
              <w:t xml:space="preserve">the </w:t>
            </w:r>
            <w:r w:rsidRPr="00CE38CA">
              <w:rPr>
                <w:rFonts w:eastAsia="Calibri"/>
                <w:sz w:val="16"/>
                <w:szCs w:val="16"/>
                <w:lang w:val="en-GB"/>
              </w:rPr>
              <w:t xml:space="preserve">Ministry of Social Development </w:t>
            </w:r>
          </w:p>
          <w:p w14:paraId="0603A20D" w14:textId="77777777" w:rsidR="00637443" w:rsidRPr="00CE38CA" w:rsidRDefault="00637443" w:rsidP="00A309A5">
            <w:pPr>
              <w:pStyle w:val="Normal1"/>
              <w:rPr>
                <w:rFonts w:ascii="Tahoma" w:hAnsi="Tahoma" w:cs="Tahoma"/>
                <w:b/>
                <w:spacing w:val="-4"/>
                <w:w w:val="98"/>
                <w:kern w:val="14"/>
                <w:sz w:val="16"/>
                <w:szCs w:val="16"/>
                <w:lang w:val="en-GB"/>
              </w:rPr>
            </w:pPr>
          </w:p>
          <w:p w14:paraId="546C86CB" w14:textId="65CD57C2"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Annual CO</w:t>
            </w:r>
            <w:r w:rsidR="005E7154" w:rsidRPr="00CE38CA">
              <w:rPr>
                <w:rFonts w:eastAsia="Calibri"/>
                <w:sz w:val="16"/>
                <w:szCs w:val="16"/>
                <w:vertAlign w:val="subscript"/>
                <w:lang w:val="en-GB"/>
              </w:rPr>
              <w:t>2</w:t>
            </w:r>
            <w:r w:rsidRPr="00CE38CA">
              <w:rPr>
                <w:rFonts w:eastAsia="Calibri"/>
                <w:sz w:val="16"/>
                <w:szCs w:val="16"/>
                <w:lang w:val="en-GB"/>
              </w:rPr>
              <w:t xml:space="preserve"> emissions</w:t>
            </w:r>
          </w:p>
          <w:p w14:paraId="627BEAD1" w14:textId="571B6D56"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92,100,000 Ton. (2010)</w:t>
            </w:r>
          </w:p>
          <w:p w14:paraId="46EC424C" w14:textId="274AEC80"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lastRenderedPageBreak/>
              <w:t>T</w:t>
            </w:r>
            <w:r w:rsidR="00F64D6A">
              <w:rPr>
                <w:rFonts w:eastAsia="Calibri"/>
                <w:sz w:val="16"/>
                <w:szCs w:val="16"/>
                <w:lang w:val="en-GB"/>
              </w:rPr>
              <w:t>arget</w:t>
            </w:r>
            <w:r w:rsidRPr="00CE38CA">
              <w:rPr>
                <w:rFonts w:eastAsia="Calibri"/>
                <w:sz w:val="16"/>
                <w:szCs w:val="16"/>
                <w:lang w:val="en-GB"/>
              </w:rPr>
              <w:t>: 20% reduction by 2020</w:t>
            </w:r>
          </w:p>
          <w:p w14:paraId="70B82670" w14:textId="77777777" w:rsidR="00637443" w:rsidRPr="00CE38CA" w:rsidRDefault="00637443" w:rsidP="006D1383">
            <w:pPr>
              <w:pStyle w:val="Normal1"/>
              <w:jc w:val="both"/>
              <w:rPr>
                <w:sz w:val="16"/>
                <w:szCs w:val="16"/>
                <w:lang w:val="en-GB"/>
              </w:rPr>
            </w:pPr>
          </w:p>
          <w:p w14:paraId="63A785CE" w14:textId="005FA2DA"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Consumption of renewable energies compared to total energy consumption (</w:t>
            </w:r>
            <w:r w:rsidR="006339B0" w:rsidRPr="00CE38CA">
              <w:rPr>
                <w:rFonts w:eastAsia="Calibri"/>
                <w:sz w:val="16"/>
                <w:szCs w:val="16"/>
                <w:lang w:val="en-GB"/>
              </w:rPr>
              <w:t>joules</w:t>
            </w:r>
            <w:r w:rsidRPr="00CE38CA">
              <w:rPr>
                <w:rFonts w:eastAsia="Calibri"/>
                <w:sz w:val="16"/>
                <w:szCs w:val="16"/>
                <w:lang w:val="en-GB"/>
              </w:rPr>
              <w:t>)</w:t>
            </w:r>
          </w:p>
          <w:p w14:paraId="2CC51810" w14:textId="523E6657"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257,232 vs. 954,252</w:t>
            </w:r>
          </w:p>
          <w:p w14:paraId="2038EAB1" w14:textId="77F00B0E"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No national target</w:t>
            </w:r>
          </w:p>
          <w:p w14:paraId="429049B7" w14:textId="77777777" w:rsidR="00637443" w:rsidRPr="00CE38CA" w:rsidRDefault="00637443" w:rsidP="00A309A5">
            <w:pPr>
              <w:pStyle w:val="Normal1"/>
              <w:rPr>
                <w:rFonts w:ascii="Tahoma" w:hAnsi="Tahoma" w:cs="Tahoma"/>
                <w:b/>
                <w:spacing w:val="-4"/>
                <w:w w:val="98"/>
                <w:kern w:val="14"/>
                <w:sz w:val="16"/>
                <w:szCs w:val="16"/>
                <w:lang w:val="en-GB"/>
              </w:rPr>
            </w:pPr>
          </w:p>
          <w:p w14:paraId="3468BAE9" w14:textId="4EE50D0C"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I</w:t>
            </w:r>
            <w:r w:rsidR="00F64D6A">
              <w:rPr>
                <w:rFonts w:eastAsia="Calibri"/>
                <w:sz w:val="16"/>
                <w:szCs w:val="16"/>
                <w:lang w:val="en-GB"/>
              </w:rPr>
              <w:t>ndicator</w:t>
            </w:r>
            <w:r w:rsidRPr="00CE38CA">
              <w:rPr>
                <w:rFonts w:eastAsia="Calibri"/>
                <w:sz w:val="16"/>
                <w:szCs w:val="16"/>
                <w:lang w:val="en-GB"/>
              </w:rPr>
              <w:t xml:space="preserve">: Hectares of land managed under a sustainable use regime </w:t>
            </w:r>
          </w:p>
          <w:p w14:paraId="30D756C9" w14:textId="3EE8F93D"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B</w:t>
            </w:r>
            <w:r w:rsidR="00F64D6A">
              <w:rPr>
                <w:rFonts w:eastAsia="Calibri"/>
                <w:sz w:val="16"/>
                <w:szCs w:val="16"/>
                <w:lang w:val="en-GB"/>
              </w:rPr>
              <w:t>aseline</w:t>
            </w:r>
            <w:r w:rsidRPr="00CE38CA">
              <w:rPr>
                <w:rFonts w:eastAsia="Calibri"/>
                <w:sz w:val="16"/>
                <w:szCs w:val="16"/>
                <w:lang w:val="en-GB"/>
              </w:rPr>
              <w:t>: 2,294,109 (2011, 2013)</w:t>
            </w:r>
          </w:p>
          <w:p w14:paraId="50292433" w14:textId="5E9A153F" w:rsidR="00637443" w:rsidRPr="00CE38CA" w:rsidRDefault="00637443" w:rsidP="00A309A5">
            <w:pPr>
              <w:pStyle w:val="Normal1"/>
              <w:rPr>
                <w:rFonts w:ascii="Courier" w:hAnsi="Courier"/>
                <w:sz w:val="16"/>
                <w:szCs w:val="16"/>
                <w:lang w:val="en-GB"/>
              </w:rPr>
            </w:pPr>
            <w:r w:rsidRPr="00CE38CA">
              <w:rPr>
                <w:rFonts w:eastAsia="Calibri"/>
                <w:sz w:val="16"/>
                <w:szCs w:val="16"/>
                <w:lang w:val="en-GB"/>
              </w:rPr>
              <w:t>T</w:t>
            </w:r>
            <w:r w:rsidR="00F64D6A">
              <w:rPr>
                <w:rFonts w:eastAsia="Calibri"/>
                <w:sz w:val="16"/>
                <w:szCs w:val="16"/>
                <w:lang w:val="en-GB"/>
              </w:rPr>
              <w:t>arget</w:t>
            </w:r>
            <w:r w:rsidRPr="00CE38CA">
              <w:rPr>
                <w:rFonts w:eastAsia="Calibri"/>
                <w:sz w:val="16"/>
                <w:szCs w:val="16"/>
                <w:lang w:val="en-GB"/>
              </w:rPr>
              <w:t>: No national target</w:t>
            </w:r>
          </w:p>
          <w:p w14:paraId="555EA7CB" w14:textId="77777777" w:rsidR="00637443" w:rsidRPr="00CE38CA" w:rsidRDefault="00637443" w:rsidP="006D1383">
            <w:pPr>
              <w:pStyle w:val="Normal1"/>
              <w:jc w:val="both"/>
              <w:rPr>
                <w:sz w:val="16"/>
                <w:szCs w:val="16"/>
                <w:lang w:val="en-GB"/>
              </w:rPr>
            </w:pPr>
          </w:p>
        </w:tc>
        <w:tc>
          <w:tcPr>
            <w:tcW w:w="636" w:type="pct"/>
            <w:gridSpan w:val="2"/>
            <w:vMerge w:val="restart"/>
          </w:tcPr>
          <w:p w14:paraId="2B580CD6" w14:textId="2C6DC300" w:rsidR="00637443" w:rsidRPr="00CE38CA" w:rsidRDefault="0004183C" w:rsidP="006D1383">
            <w:pPr>
              <w:pStyle w:val="Normal1"/>
              <w:rPr>
                <w:sz w:val="16"/>
                <w:szCs w:val="16"/>
                <w:lang w:val="en-GB"/>
              </w:rPr>
            </w:pPr>
            <w:r>
              <w:rPr>
                <w:rFonts w:eastAsia="Calibri"/>
                <w:sz w:val="16"/>
                <w:szCs w:val="16"/>
                <w:lang w:val="en-GB"/>
              </w:rPr>
              <w:lastRenderedPageBreak/>
              <w:t>International Labour Organization (</w:t>
            </w:r>
            <w:r w:rsidR="00637443" w:rsidRPr="00CE38CA">
              <w:rPr>
                <w:rFonts w:eastAsia="Calibri"/>
                <w:sz w:val="16"/>
                <w:szCs w:val="16"/>
                <w:lang w:val="en-GB"/>
              </w:rPr>
              <w:t>ILO</w:t>
            </w:r>
            <w:r>
              <w:rPr>
                <w:rFonts w:eastAsia="Calibri"/>
                <w:sz w:val="16"/>
                <w:szCs w:val="16"/>
                <w:lang w:val="en-GB"/>
              </w:rPr>
              <w:t>)</w:t>
            </w:r>
          </w:p>
          <w:p w14:paraId="6BF12B68" w14:textId="77777777" w:rsidR="00637443" w:rsidRPr="00CE38CA" w:rsidRDefault="00637443" w:rsidP="006D1383">
            <w:pPr>
              <w:pStyle w:val="Normal1"/>
              <w:rPr>
                <w:sz w:val="16"/>
                <w:szCs w:val="16"/>
                <w:lang w:val="en-GB"/>
              </w:rPr>
            </w:pPr>
          </w:p>
          <w:p w14:paraId="1E1B216E" w14:textId="77777777" w:rsidR="00637443" w:rsidRPr="00CE38CA" w:rsidRDefault="00637443" w:rsidP="006D1383">
            <w:pPr>
              <w:pStyle w:val="Normal1"/>
              <w:rPr>
                <w:sz w:val="16"/>
                <w:szCs w:val="16"/>
                <w:lang w:val="en-GB"/>
              </w:rPr>
            </w:pPr>
          </w:p>
          <w:p w14:paraId="11DE3B20" w14:textId="77777777" w:rsidR="00637443" w:rsidRPr="00CE38CA" w:rsidRDefault="00637443" w:rsidP="006D1383">
            <w:pPr>
              <w:pStyle w:val="Normal1"/>
              <w:rPr>
                <w:sz w:val="16"/>
                <w:szCs w:val="16"/>
                <w:lang w:val="en-GB"/>
              </w:rPr>
            </w:pPr>
          </w:p>
          <w:p w14:paraId="158EFD04" w14:textId="77777777" w:rsidR="00F57D99" w:rsidRPr="00CE38CA" w:rsidRDefault="00F57D99" w:rsidP="006D1383">
            <w:pPr>
              <w:pStyle w:val="Normal1"/>
              <w:rPr>
                <w:sz w:val="16"/>
                <w:szCs w:val="16"/>
                <w:lang w:val="en-GB"/>
              </w:rPr>
            </w:pPr>
          </w:p>
          <w:p w14:paraId="298D3362" w14:textId="77777777" w:rsidR="00637443" w:rsidRPr="00CE38CA" w:rsidRDefault="00637443" w:rsidP="006D1383">
            <w:pPr>
              <w:pStyle w:val="Normal1"/>
              <w:rPr>
                <w:sz w:val="16"/>
                <w:szCs w:val="16"/>
                <w:lang w:val="en-GB"/>
              </w:rPr>
            </w:pPr>
          </w:p>
          <w:p w14:paraId="28F90188" w14:textId="77777777" w:rsidR="00637443" w:rsidRPr="00CE38CA" w:rsidRDefault="00637443" w:rsidP="006D1383">
            <w:pPr>
              <w:pStyle w:val="Normal1"/>
              <w:rPr>
                <w:sz w:val="16"/>
                <w:szCs w:val="16"/>
                <w:lang w:val="en-GB"/>
              </w:rPr>
            </w:pPr>
            <w:r w:rsidRPr="00CE38CA">
              <w:rPr>
                <w:rFonts w:eastAsia="Calibri"/>
                <w:sz w:val="16"/>
                <w:szCs w:val="16"/>
                <w:lang w:val="en-GB"/>
              </w:rPr>
              <w:t>ILO</w:t>
            </w:r>
          </w:p>
          <w:p w14:paraId="73BC8A75" w14:textId="77777777" w:rsidR="00637443" w:rsidRPr="00CE38CA" w:rsidRDefault="00637443" w:rsidP="006D1383">
            <w:pPr>
              <w:pStyle w:val="Normal1"/>
              <w:rPr>
                <w:sz w:val="16"/>
                <w:szCs w:val="16"/>
                <w:lang w:val="en-GB"/>
              </w:rPr>
            </w:pPr>
          </w:p>
          <w:p w14:paraId="2318925B" w14:textId="77777777" w:rsidR="00637443" w:rsidRPr="00CE38CA" w:rsidRDefault="00637443" w:rsidP="006D1383">
            <w:pPr>
              <w:pStyle w:val="Normal1"/>
              <w:rPr>
                <w:sz w:val="16"/>
                <w:szCs w:val="16"/>
                <w:lang w:val="en-GB"/>
              </w:rPr>
            </w:pPr>
          </w:p>
          <w:p w14:paraId="00B37D9C" w14:textId="77777777" w:rsidR="00637443" w:rsidRPr="00CE38CA" w:rsidRDefault="00637443" w:rsidP="006D1383">
            <w:pPr>
              <w:pStyle w:val="Normal1"/>
              <w:rPr>
                <w:sz w:val="16"/>
                <w:szCs w:val="16"/>
                <w:lang w:val="en-GB"/>
              </w:rPr>
            </w:pPr>
          </w:p>
          <w:p w14:paraId="00E68744" w14:textId="77777777" w:rsidR="00637443" w:rsidRPr="00CE38CA" w:rsidRDefault="00637443" w:rsidP="006D1383">
            <w:pPr>
              <w:pStyle w:val="Normal1"/>
              <w:rPr>
                <w:sz w:val="16"/>
                <w:szCs w:val="16"/>
                <w:lang w:val="en-GB"/>
              </w:rPr>
            </w:pPr>
          </w:p>
          <w:p w14:paraId="26DFFB05" w14:textId="77777777" w:rsidR="007E0329" w:rsidRPr="00CE38CA" w:rsidRDefault="007E0329" w:rsidP="006D1383">
            <w:pPr>
              <w:pStyle w:val="Normal1"/>
              <w:rPr>
                <w:sz w:val="16"/>
                <w:szCs w:val="16"/>
                <w:lang w:val="en-GB"/>
              </w:rPr>
            </w:pPr>
          </w:p>
          <w:p w14:paraId="79ADC072" w14:textId="77777777" w:rsidR="00F57D99" w:rsidRPr="00CE38CA" w:rsidRDefault="00F57D99" w:rsidP="006D1383">
            <w:pPr>
              <w:pStyle w:val="Normal1"/>
              <w:rPr>
                <w:sz w:val="16"/>
                <w:szCs w:val="16"/>
                <w:lang w:val="en-GB"/>
              </w:rPr>
            </w:pPr>
          </w:p>
          <w:p w14:paraId="19BCCDDD" w14:textId="0AAE66A4" w:rsidR="00637443" w:rsidRPr="00CE38CA" w:rsidRDefault="00637443" w:rsidP="006D1383">
            <w:pPr>
              <w:pStyle w:val="Normal1"/>
              <w:rPr>
                <w:sz w:val="16"/>
                <w:szCs w:val="16"/>
                <w:lang w:val="en-GB"/>
              </w:rPr>
            </w:pPr>
            <w:r w:rsidRPr="00CE38CA">
              <w:rPr>
                <w:rFonts w:eastAsia="Calibri"/>
                <w:sz w:val="16"/>
                <w:szCs w:val="16"/>
                <w:lang w:val="en-GB"/>
              </w:rPr>
              <w:t>U</w:t>
            </w:r>
            <w:r w:rsidR="00F64D6A">
              <w:rPr>
                <w:rFonts w:eastAsia="Calibri"/>
                <w:sz w:val="16"/>
                <w:szCs w:val="16"/>
                <w:lang w:val="en-GB"/>
              </w:rPr>
              <w:t xml:space="preserve">nited </w:t>
            </w:r>
            <w:r w:rsidRPr="00CE38CA">
              <w:rPr>
                <w:rFonts w:eastAsia="Calibri"/>
                <w:sz w:val="16"/>
                <w:szCs w:val="16"/>
                <w:lang w:val="en-GB"/>
              </w:rPr>
              <w:t>N</w:t>
            </w:r>
            <w:r w:rsidR="00F64D6A">
              <w:rPr>
                <w:rFonts w:eastAsia="Calibri"/>
                <w:sz w:val="16"/>
                <w:szCs w:val="16"/>
                <w:lang w:val="en-GB"/>
              </w:rPr>
              <w:t>ations</w:t>
            </w:r>
            <w:r w:rsidR="007E0329" w:rsidRPr="00CE38CA">
              <w:rPr>
                <w:rFonts w:eastAsia="Calibri"/>
                <w:sz w:val="16"/>
                <w:szCs w:val="16"/>
                <w:lang w:val="en-GB"/>
              </w:rPr>
              <w:t xml:space="preserve"> </w:t>
            </w:r>
            <w:r w:rsidR="00F64D6A">
              <w:rPr>
                <w:rFonts w:eastAsia="Calibri"/>
                <w:sz w:val="16"/>
                <w:szCs w:val="16"/>
                <w:lang w:val="en-GB"/>
              </w:rPr>
              <w:t>s</w:t>
            </w:r>
            <w:r w:rsidR="007E0329" w:rsidRPr="00CE38CA">
              <w:rPr>
                <w:rFonts w:eastAsia="Calibri"/>
                <w:sz w:val="16"/>
                <w:szCs w:val="16"/>
                <w:lang w:val="en-GB"/>
              </w:rPr>
              <w:t>ystem</w:t>
            </w:r>
          </w:p>
          <w:p w14:paraId="7B325D7D" w14:textId="77777777" w:rsidR="00637443" w:rsidRPr="00CE38CA" w:rsidRDefault="00637443" w:rsidP="006D1383">
            <w:pPr>
              <w:pStyle w:val="Normal1"/>
              <w:rPr>
                <w:sz w:val="16"/>
                <w:szCs w:val="16"/>
                <w:lang w:val="en-GB"/>
              </w:rPr>
            </w:pPr>
          </w:p>
          <w:p w14:paraId="56398C2E" w14:textId="77777777" w:rsidR="00637443" w:rsidRPr="00CE38CA" w:rsidRDefault="00637443" w:rsidP="006D1383">
            <w:pPr>
              <w:pStyle w:val="Normal1"/>
              <w:rPr>
                <w:sz w:val="16"/>
                <w:szCs w:val="16"/>
                <w:lang w:val="en-GB"/>
              </w:rPr>
            </w:pPr>
          </w:p>
          <w:p w14:paraId="78C39FA4" w14:textId="77777777" w:rsidR="00637443" w:rsidRPr="00CE38CA" w:rsidRDefault="00637443" w:rsidP="006D1383">
            <w:pPr>
              <w:pStyle w:val="Normal1"/>
              <w:rPr>
                <w:sz w:val="16"/>
                <w:szCs w:val="16"/>
                <w:lang w:val="en-GB"/>
              </w:rPr>
            </w:pPr>
          </w:p>
          <w:p w14:paraId="03D05C1B" w14:textId="77777777" w:rsidR="00637443" w:rsidRPr="00CE38CA" w:rsidRDefault="00637443" w:rsidP="006D1383">
            <w:pPr>
              <w:pStyle w:val="Normal1"/>
              <w:rPr>
                <w:sz w:val="16"/>
                <w:szCs w:val="16"/>
                <w:lang w:val="en-GB"/>
              </w:rPr>
            </w:pPr>
          </w:p>
          <w:p w14:paraId="6B6A1F4B" w14:textId="77777777" w:rsidR="00637443" w:rsidRPr="00CE38CA" w:rsidRDefault="00637443" w:rsidP="006D1383">
            <w:pPr>
              <w:pStyle w:val="Normal1"/>
              <w:rPr>
                <w:sz w:val="16"/>
                <w:szCs w:val="16"/>
                <w:lang w:val="en-GB"/>
              </w:rPr>
            </w:pPr>
          </w:p>
          <w:p w14:paraId="613F75E2" w14:textId="77777777" w:rsidR="00637443" w:rsidRPr="00CE38CA" w:rsidRDefault="00637443" w:rsidP="006D1383">
            <w:pPr>
              <w:pStyle w:val="Normal1"/>
              <w:rPr>
                <w:sz w:val="16"/>
                <w:szCs w:val="16"/>
                <w:lang w:val="en-GB"/>
              </w:rPr>
            </w:pPr>
          </w:p>
          <w:p w14:paraId="5A9A3FD5" w14:textId="77777777" w:rsidR="00637443" w:rsidRPr="00CE38CA" w:rsidRDefault="00637443" w:rsidP="006D1383">
            <w:pPr>
              <w:pStyle w:val="Normal1"/>
              <w:rPr>
                <w:sz w:val="16"/>
                <w:szCs w:val="16"/>
                <w:lang w:val="en-GB"/>
              </w:rPr>
            </w:pPr>
          </w:p>
          <w:p w14:paraId="6A8FBB53" w14:textId="77777777" w:rsidR="007E0329" w:rsidRPr="00CE38CA" w:rsidRDefault="007E0329" w:rsidP="006D1383">
            <w:pPr>
              <w:pStyle w:val="Normal1"/>
              <w:rPr>
                <w:sz w:val="16"/>
                <w:szCs w:val="16"/>
                <w:lang w:val="en-GB"/>
              </w:rPr>
            </w:pPr>
          </w:p>
          <w:p w14:paraId="27123D0A" w14:textId="5FA44E02" w:rsidR="00637443" w:rsidRPr="00CE38CA" w:rsidRDefault="00637443" w:rsidP="006D1383">
            <w:pPr>
              <w:pStyle w:val="Normal1"/>
              <w:rPr>
                <w:sz w:val="16"/>
                <w:szCs w:val="16"/>
                <w:lang w:val="en-GB"/>
              </w:rPr>
            </w:pPr>
            <w:r w:rsidRPr="00CE38CA">
              <w:rPr>
                <w:rFonts w:eastAsia="Calibri"/>
                <w:sz w:val="16"/>
                <w:szCs w:val="16"/>
                <w:lang w:val="en-GB"/>
              </w:rPr>
              <w:t>U</w:t>
            </w:r>
            <w:r w:rsidR="00F64D6A">
              <w:rPr>
                <w:rFonts w:eastAsia="Calibri"/>
                <w:sz w:val="16"/>
                <w:szCs w:val="16"/>
                <w:lang w:val="en-GB"/>
              </w:rPr>
              <w:t xml:space="preserve">nited </w:t>
            </w:r>
            <w:r w:rsidRPr="00CE38CA">
              <w:rPr>
                <w:rFonts w:eastAsia="Calibri"/>
                <w:sz w:val="16"/>
                <w:szCs w:val="16"/>
                <w:lang w:val="en-GB"/>
              </w:rPr>
              <w:t>N</w:t>
            </w:r>
            <w:r w:rsidR="00F64D6A">
              <w:rPr>
                <w:rFonts w:eastAsia="Calibri"/>
                <w:sz w:val="16"/>
                <w:szCs w:val="16"/>
                <w:lang w:val="en-GB"/>
              </w:rPr>
              <w:t>ations</w:t>
            </w:r>
            <w:r w:rsidR="007E0329" w:rsidRPr="00CE38CA">
              <w:rPr>
                <w:rFonts w:eastAsia="Calibri"/>
                <w:sz w:val="16"/>
                <w:szCs w:val="16"/>
                <w:lang w:val="en-GB"/>
              </w:rPr>
              <w:t xml:space="preserve"> </w:t>
            </w:r>
            <w:r w:rsidR="00F64D6A">
              <w:rPr>
                <w:rFonts w:eastAsia="Calibri"/>
                <w:sz w:val="16"/>
                <w:szCs w:val="16"/>
                <w:lang w:val="en-GB"/>
              </w:rPr>
              <w:t>s</w:t>
            </w:r>
            <w:r w:rsidR="007E0329" w:rsidRPr="00CE38CA">
              <w:rPr>
                <w:rFonts w:eastAsia="Calibri"/>
                <w:sz w:val="16"/>
                <w:szCs w:val="16"/>
                <w:lang w:val="en-GB"/>
              </w:rPr>
              <w:t>ystem</w:t>
            </w:r>
            <w:r w:rsidRPr="00CE38CA">
              <w:rPr>
                <w:rFonts w:eastAsia="Calibri"/>
                <w:sz w:val="16"/>
                <w:szCs w:val="16"/>
                <w:lang w:val="en-GB"/>
              </w:rPr>
              <w:t>, Ministry of Social Development</w:t>
            </w:r>
          </w:p>
          <w:p w14:paraId="01BC72F7" w14:textId="77777777" w:rsidR="00637443" w:rsidRPr="00CE38CA" w:rsidRDefault="00637443" w:rsidP="006D1383">
            <w:pPr>
              <w:pStyle w:val="Normal1"/>
              <w:rPr>
                <w:sz w:val="16"/>
                <w:szCs w:val="16"/>
                <w:lang w:val="en-GB"/>
              </w:rPr>
            </w:pPr>
          </w:p>
          <w:p w14:paraId="35932866" w14:textId="77777777" w:rsidR="00637443" w:rsidRPr="00CE38CA" w:rsidRDefault="00637443" w:rsidP="006D1383">
            <w:pPr>
              <w:pStyle w:val="Normal1"/>
              <w:rPr>
                <w:sz w:val="16"/>
                <w:szCs w:val="16"/>
                <w:lang w:val="en-GB"/>
              </w:rPr>
            </w:pPr>
          </w:p>
          <w:p w14:paraId="6981B383" w14:textId="77777777" w:rsidR="00637443" w:rsidRPr="00CE38CA" w:rsidRDefault="00637443" w:rsidP="006D1383">
            <w:pPr>
              <w:pStyle w:val="Normal1"/>
              <w:rPr>
                <w:sz w:val="16"/>
                <w:szCs w:val="16"/>
                <w:lang w:val="en-GB"/>
              </w:rPr>
            </w:pPr>
          </w:p>
          <w:p w14:paraId="2FD08CFF" w14:textId="77777777" w:rsidR="00F57D99" w:rsidRPr="00CE38CA" w:rsidRDefault="00F57D99" w:rsidP="006D1383">
            <w:pPr>
              <w:pStyle w:val="Normal1"/>
              <w:rPr>
                <w:sz w:val="16"/>
                <w:szCs w:val="16"/>
                <w:lang w:val="en-GB"/>
              </w:rPr>
            </w:pPr>
          </w:p>
          <w:p w14:paraId="6EBDD565" w14:textId="77777777" w:rsidR="00637443" w:rsidRPr="00CE38CA" w:rsidRDefault="00637443" w:rsidP="006D1383">
            <w:pPr>
              <w:pStyle w:val="Normal1"/>
              <w:rPr>
                <w:sz w:val="16"/>
                <w:szCs w:val="16"/>
                <w:lang w:val="en-GB"/>
              </w:rPr>
            </w:pPr>
          </w:p>
          <w:p w14:paraId="03B07DD4" w14:textId="77777777" w:rsidR="00637443" w:rsidRPr="00CE38CA" w:rsidRDefault="00637443" w:rsidP="006D1383">
            <w:pPr>
              <w:pStyle w:val="Normal1"/>
              <w:rPr>
                <w:sz w:val="16"/>
                <w:szCs w:val="16"/>
                <w:lang w:val="en-GB"/>
              </w:rPr>
            </w:pPr>
            <w:r w:rsidRPr="00CE38CA">
              <w:rPr>
                <w:rFonts w:eastAsia="Calibri"/>
                <w:sz w:val="16"/>
                <w:szCs w:val="16"/>
                <w:lang w:val="en-GB"/>
              </w:rPr>
              <w:t>SE4ALL</w:t>
            </w:r>
          </w:p>
          <w:p w14:paraId="24D7E47E" w14:textId="77777777" w:rsidR="00637443" w:rsidRPr="00CE38CA" w:rsidRDefault="00637443" w:rsidP="006D1383">
            <w:pPr>
              <w:pStyle w:val="Normal1"/>
              <w:rPr>
                <w:sz w:val="16"/>
                <w:szCs w:val="16"/>
                <w:lang w:val="en-GB"/>
              </w:rPr>
            </w:pPr>
          </w:p>
          <w:p w14:paraId="09656B47" w14:textId="77777777" w:rsidR="00637443" w:rsidRPr="00CE38CA" w:rsidRDefault="00637443" w:rsidP="006D1383">
            <w:pPr>
              <w:pStyle w:val="Normal1"/>
              <w:rPr>
                <w:sz w:val="16"/>
                <w:szCs w:val="16"/>
                <w:lang w:val="en-GB"/>
              </w:rPr>
            </w:pPr>
          </w:p>
          <w:p w14:paraId="12D12A6F" w14:textId="77777777" w:rsidR="00637443" w:rsidRPr="00CE38CA" w:rsidRDefault="00637443" w:rsidP="006D1383">
            <w:pPr>
              <w:pStyle w:val="Normal1"/>
              <w:rPr>
                <w:sz w:val="16"/>
                <w:szCs w:val="16"/>
                <w:lang w:val="en-GB"/>
              </w:rPr>
            </w:pPr>
          </w:p>
          <w:p w14:paraId="7D559B2B" w14:textId="77777777" w:rsidR="00637443" w:rsidRPr="00CE38CA" w:rsidRDefault="006339B0" w:rsidP="006D1383">
            <w:pPr>
              <w:pStyle w:val="Normal1"/>
              <w:rPr>
                <w:sz w:val="16"/>
                <w:szCs w:val="16"/>
                <w:lang w:val="en-GB"/>
              </w:rPr>
            </w:pPr>
            <w:r w:rsidRPr="00CE38CA">
              <w:rPr>
                <w:rFonts w:eastAsia="Calibri"/>
                <w:sz w:val="16"/>
                <w:szCs w:val="16"/>
                <w:lang w:val="en-GB"/>
              </w:rPr>
              <w:t>S</w:t>
            </w:r>
            <w:r w:rsidR="00637443" w:rsidRPr="00CE38CA">
              <w:rPr>
                <w:rFonts w:eastAsia="Calibri"/>
                <w:sz w:val="16"/>
                <w:szCs w:val="16"/>
                <w:lang w:val="en-GB"/>
              </w:rPr>
              <w:t>E4ALL</w:t>
            </w:r>
          </w:p>
          <w:p w14:paraId="582EBF53" w14:textId="77777777" w:rsidR="00637443" w:rsidRPr="00CE38CA" w:rsidRDefault="00637443" w:rsidP="006D1383">
            <w:pPr>
              <w:pStyle w:val="Normal1"/>
              <w:rPr>
                <w:sz w:val="16"/>
                <w:szCs w:val="16"/>
                <w:lang w:val="en-GB"/>
              </w:rPr>
            </w:pPr>
          </w:p>
          <w:p w14:paraId="146EB2FD" w14:textId="77777777" w:rsidR="00637443" w:rsidRPr="00CE38CA" w:rsidRDefault="00637443" w:rsidP="006D1383">
            <w:pPr>
              <w:pStyle w:val="Normal1"/>
              <w:rPr>
                <w:sz w:val="16"/>
                <w:szCs w:val="16"/>
                <w:lang w:val="en-GB"/>
              </w:rPr>
            </w:pPr>
          </w:p>
          <w:p w14:paraId="75D55399" w14:textId="77777777" w:rsidR="00637443" w:rsidRPr="00CE38CA" w:rsidRDefault="00637443" w:rsidP="006D1383">
            <w:pPr>
              <w:pStyle w:val="Normal1"/>
              <w:rPr>
                <w:sz w:val="16"/>
                <w:szCs w:val="16"/>
                <w:lang w:val="en-GB"/>
              </w:rPr>
            </w:pPr>
          </w:p>
          <w:p w14:paraId="13F4FD8F" w14:textId="77777777" w:rsidR="00F57D99" w:rsidRPr="00CE38CA" w:rsidRDefault="00F57D99" w:rsidP="006D1383">
            <w:pPr>
              <w:pStyle w:val="Normal1"/>
              <w:rPr>
                <w:sz w:val="16"/>
                <w:szCs w:val="16"/>
                <w:lang w:val="en-GB"/>
              </w:rPr>
            </w:pPr>
          </w:p>
          <w:p w14:paraId="38B01CDC" w14:textId="77777777" w:rsidR="00637443" w:rsidRPr="00CE38CA" w:rsidRDefault="00637443" w:rsidP="006D1383">
            <w:pPr>
              <w:pStyle w:val="Normal1"/>
              <w:rPr>
                <w:sz w:val="16"/>
                <w:szCs w:val="16"/>
                <w:lang w:val="en-GB"/>
              </w:rPr>
            </w:pPr>
          </w:p>
          <w:p w14:paraId="574FE974" w14:textId="32FEFC1D" w:rsidR="00637443" w:rsidRPr="00CE38CA" w:rsidRDefault="00637443" w:rsidP="006D1383">
            <w:pPr>
              <w:pStyle w:val="Normal1"/>
              <w:rPr>
                <w:sz w:val="16"/>
                <w:szCs w:val="16"/>
                <w:lang w:val="en-GB"/>
              </w:rPr>
            </w:pPr>
            <w:r w:rsidRPr="00CE38CA">
              <w:rPr>
                <w:rFonts w:eastAsia="Calibri"/>
                <w:sz w:val="16"/>
                <w:szCs w:val="16"/>
                <w:lang w:val="en-GB"/>
              </w:rPr>
              <w:t>Organic World Net/Forest Stewardship Council/</w:t>
            </w:r>
            <w:r w:rsidR="00F64D6A">
              <w:rPr>
                <w:rFonts w:eastAsia="Calibri"/>
                <w:sz w:val="16"/>
                <w:szCs w:val="16"/>
                <w:lang w:val="en-GB"/>
              </w:rPr>
              <w:t>Global Environment Facility (</w:t>
            </w:r>
            <w:r w:rsidRPr="00CE38CA">
              <w:rPr>
                <w:rFonts w:eastAsia="Calibri"/>
                <w:sz w:val="16"/>
                <w:szCs w:val="16"/>
                <w:lang w:val="en-GB"/>
              </w:rPr>
              <w:t>GEF</w:t>
            </w:r>
            <w:r w:rsidR="00F64D6A">
              <w:rPr>
                <w:rFonts w:eastAsia="Calibri"/>
                <w:sz w:val="16"/>
                <w:szCs w:val="16"/>
                <w:lang w:val="en-GB"/>
              </w:rPr>
              <w:t>)</w:t>
            </w:r>
          </w:p>
        </w:tc>
        <w:tc>
          <w:tcPr>
            <w:tcW w:w="1769" w:type="pct"/>
            <w:gridSpan w:val="3"/>
            <w:vMerge w:val="restart"/>
            <w:tcMar>
              <w:top w:w="72" w:type="dxa"/>
              <w:left w:w="144" w:type="dxa"/>
              <w:bottom w:w="72" w:type="dxa"/>
              <w:right w:w="144" w:type="dxa"/>
            </w:tcMar>
          </w:tcPr>
          <w:p w14:paraId="2FBBF68F" w14:textId="3D5197EA" w:rsidR="00645B72" w:rsidRPr="00CE38CA" w:rsidRDefault="008B18A2" w:rsidP="006D1383">
            <w:pPr>
              <w:pStyle w:val="Normal1"/>
              <w:rPr>
                <w:rFonts w:eastAsia="Calibri"/>
                <w:b/>
                <w:sz w:val="16"/>
                <w:szCs w:val="16"/>
                <w:lang w:val="en-GB"/>
              </w:rPr>
            </w:pPr>
            <w:r w:rsidRPr="00CE38CA">
              <w:rPr>
                <w:rFonts w:eastAsia="Calibri"/>
                <w:b/>
                <w:sz w:val="16"/>
                <w:szCs w:val="16"/>
                <w:lang w:val="en-GB"/>
              </w:rPr>
              <w:lastRenderedPageBreak/>
              <w:t>I</w:t>
            </w:r>
            <w:r w:rsidR="00637443" w:rsidRPr="00CE38CA">
              <w:rPr>
                <w:rFonts w:eastAsia="Calibri"/>
                <w:b/>
                <w:sz w:val="16"/>
                <w:szCs w:val="16"/>
                <w:lang w:val="en-GB"/>
              </w:rPr>
              <w:t>nstitutions responsible for social policies improve their capacities for the design and implementation of programmes and strategies for reducing socioeconomic and gender inequalities</w:t>
            </w:r>
          </w:p>
          <w:p w14:paraId="58EEA99C" w14:textId="235A61D1"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Number of policies/programmes/initiatives that address socioeconomic and gender inequalities</w:t>
            </w:r>
            <w:r w:rsidR="008B18A2" w:rsidRPr="00CE38CA">
              <w:rPr>
                <w:rFonts w:eastAsia="Calibri"/>
                <w:sz w:val="16"/>
                <w:szCs w:val="16"/>
                <w:lang w:val="en-GB"/>
              </w:rPr>
              <w:t xml:space="preserve"> regarding </w:t>
            </w:r>
            <w:r w:rsidR="00637443" w:rsidRPr="00CE38CA">
              <w:rPr>
                <w:rFonts w:eastAsia="Calibri"/>
                <w:sz w:val="16"/>
                <w:szCs w:val="16"/>
                <w:lang w:val="en-GB"/>
              </w:rPr>
              <w:t xml:space="preserve">access to social services and benefits </w:t>
            </w:r>
          </w:p>
          <w:p w14:paraId="56EDA175" w14:textId="5EF22980" w:rsidR="00541393" w:rsidRPr="00CE38CA" w:rsidRDefault="00F942ED" w:rsidP="006D1383">
            <w:pPr>
              <w:pStyle w:val="Normal1"/>
              <w:rPr>
                <w:rFonts w:eastAsia="Calibri"/>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w:t>
            </w:r>
            <w:r w:rsidR="008B18A2" w:rsidRPr="00CE38CA">
              <w:rPr>
                <w:rFonts w:eastAsia="Calibri"/>
                <w:sz w:val="16"/>
                <w:szCs w:val="16"/>
                <w:lang w:val="en-GB"/>
              </w:rPr>
              <w:t xml:space="preserve"> </w:t>
            </w:r>
            <w:r w:rsidR="00541393" w:rsidRPr="00CE38CA">
              <w:rPr>
                <w:rFonts w:eastAsia="Calibri"/>
                <w:sz w:val="16"/>
                <w:szCs w:val="16"/>
                <w:lang w:val="en-GB"/>
              </w:rPr>
              <w:t xml:space="preserve">6 policies (2010-2013) </w:t>
            </w:r>
          </w:p>
          <w:p w14:paraId="7557F2E5" w14:textId="0B2EFBE1"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8B18A2" w:rsidRPr="00CE38CA">
              <w:rPr>
                <w:rFonts w:eastAsia="Calibri"/>
                <w:sz w:val="16"/>
                <w:szCs w:val="16"/>
                <w:lang w:val="en-GB"/>
              </w:rPr>
              <w:t xml:space="preserve"> 2 new policies/programmes/initiatives </w:t>
            </w:r>
          </w:p>
          <w:p w14:paraId="4A0E42E3" w14:textId="77777777" w:rsidR="00637443" w:rsidRPr="00CE38CA" w:rsidRDefault="00637443" w:rsidP="006D1383">
            <w:pPr>
              <w:pStyle w:val="Normal1"/>
              <w:rPr>
                <w:sz w:val="16"/>
                <w:szCs w:val="16"/>
                <w:lang w:val="en-GB"/>
              </w:rPr>
            </w:pPr>
          </w:p>
          <w:p w14:paraId="2028D682"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Socio-economic measurement instruments incorporate criteria and variables that improve equity and access to the social protection system for women, young people, and other at-risk populations </w:t>
            </w:r>
          </w:p>
          <w:p w14:paraId="59B9FD1C" w14:textId="24819B31"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Number of institutional reforms </w:t>
            </w:r>
            <w:r w:rsidR="002509B0" w:rsidRPr="00CE38CA">
              <w:rPr>
                <w:rFonts w:eastAsia="Calibri"/>
                <w:sz w:val="16"/>
                <w:szCs w:val="16"/>
                <w:lang w:val="en-GB"/>
              </w:rPr>
              <w:t>to instruments that measure poverty and inequality</w:t>
            </w:r>
          </w:p>
          <w:p w14:paraId="4F300ABD" w14:textId="1B2B5FF9"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2509B0" w:rsidRPr="00CE38CA">
              <w:rPr>
                <w:rFonts w:eastAsia="Calibri"/>
                <w:sz w:val="16"/>
                <w:szCs w:val="16"/>
                <w:lang w:val="en-GB"/>
              </w:rPr>
              <w:t>Poverty measurement takes into account</w:t>
            </w:r>
            <w:r w:rsidR="007E0329" w:rsidRPr="00CE38CA">
              <w:rPr>
                <w:rFonts w:eastAsia="Calibri"/>
                <w:sz w:val="16"/>
                <w:szCs w:val="16"/>
                <w:lang w:val="en-GB"/>
              </w:rPr>
              <w:t xml:space="preserve"> income and the poverty line was established in the </w:t>
            </w:r>
            <w:r>
              <w:rPr>
                <w:rFonts w:eastAsia="Calibri"/>
                <w:sz w:val="16"/>
                <w:szCs w:val="16"/>
                <w:lang w:val="en-GB"/>
              </w:rPr>
              <w:t>19</w:t>
            </w:r>
            <w:r w:rsidR="007E0329" w:rsidRPr="00CE38CA">
              <w:rPr>
                <w:rFonts w:eastAsia="Calibri"/>
                <w:sz w:val="16"/>
                <w:szCs w:val="16"/>
                <w:lang w:val="en-GB"/>
              </w:rPr>
              <w:t>80s</w:t>
            </w:r>
          </w:p>
          <w:p w14:paraId="0118E043" w14:textId="27654950" w:rsidR="00637443" w:rsidRPr="00CE38CA" w:rsidRDefault="00F942ED" w:rsidP="006D1383">
            <w:pPr>
              <w:pStyle w:val="Normal1"/>
              <w:rPr>
                <w:rFonts w:eastAsia="Calibri"/>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541393" w:rsidRPr="00CE38CA">
              <w:rPr>
                <w:rFonts w:eastAsia="Calibri"/>
                <w:sz w:val="16"/>
                <w:szCs w:val="16"/>
                <w:lang w:val="en-GB"/>
              </w:rPr>
              <w:t xml:space="preserve"> 2</w:t>
            </w:r>
            <w:r>
              <w:rPr>
                <w:rFonts w:eastAsia="Calibri"/>
                <w:sz w:val="16"/>
                <w:szCs w:val="16"/>
                <w:lang w:val="en-GB"/>
              </w:rPr>
              <w:t xml:space="preserve"> </w:t>
            </w:r>
            <w:r w:rsidR="00541393" w:rsidRPr="00CE38CA">
              <w:rPr>
                <w:rFonts w:eastAsia="Calibri"/>
                <w:sz w:val="16"/>
                <w:szCs w:val="16"/>
                <w:lang w:val="en-GB"/>
              </w:rPr>
              <w:t>(m</w:t>
            </w:r>
            <w:r w:rsidR="007E0329" w:rsidRPr="00CE38CA">
              <w:rPr>
                <w:rFonts w:eastAsia="Calibri"/>
                <w:sz w:val="16"/>
                <w:szCs w:val="16"/>
                <w:lang w:val="en-GB"/>
              </w:rPr>
              <w:t>ultidimensional measurement of poverty and methodology for measuring poverty based on income updated</w:t>
            </w:r>
            <w:r w:rsidR="00541393" w:rsidRPr="00CE38CA">
              <w:rPr>
                <w:rFonts w:eastAsia="Calibri"/>
                <w:sz w:val="16"/>
                <w:szCs w:val="16"/>
                <w:lang w:val="en-GB"/>
              </w:rPr>
              <w:t>)</w:t>
            </w:r>
          </w:p>
          <w:p w14:paraId="32601786" w14:textId="77777777" w:rsidR="00130EDB" w:rsidRPr="00CE38CA" w:rsidRDefault="00130EDB" w:rsidP="006D1383">
            <w:pPr>
              <w:pStyle w:val="Normal1"/>
              <w:rPr>
                <w:sz w:val="16"/>
                <w:szCs w:val="16"/>
                <w:lang w:val="en-GB"/>
              </w:rPr>
            </w:pPr>
          </w:p>
          <w:p w14:paraId="2B733777" w14:textId="73BA4665" w:rsidR="002509B0" w:rsidRPr="00CE38CA" w:rsidRDefault="00F942ED" w:rsidP="002509B0">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2509B0" w:rsidRPr="00CE38CA">
              <w:rPr>
                <w:rFonts w:eastAsia="Calibri"/>
                <w:sz w:val="16"/>
                <w:szCs w:val="16"/>
                <w:lang w:val="en-GB"/>
              </w:rPr>
              <w:t xml:space="preserve">: </w:t>
            </w:r>
            <w:r w:rsidR="001B3840" w:rsidRPr="00CE38CA">
              <w:rPr>
                <w:rFonts w:eastAsia="Calibri"/>
                <w:sz w:val="16"/>
                <w:szCs w:val="16"/>
                <w:lang w:val="en-GB"/>
              </w:rPr>
              <w:t xml:space="preserve">Percentage </w:t>
            </w:r>
            <w:r w:rsidR="002509B0" w:rsidRPr="00CE38CA">
              <w:rPr>
                <w:rFonts w:eastAsia="Calibri"/>
                <w:sz w:val="16"/>
                <w:szCs w:val="16"/>
                <w:lang w:val="en-GB"/>
              </w:rPr>
              <w:t xml:space="preserve">of programmes that reform their user and beneficiary selection policies  </w:t>
            </w:r>
          </w:p>
          <w:p w14:paraId="7E238FA7" w14:textId="4C2B83B5" w:rsidR="002509B0" w:rsidRPr="00CE38CA" w:rsidRDefault="00F942ED" w:rsidP="002509B0">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2509B0" w:rsidRPr="00CE38CA">
              <w:rPr>
                <w:rFonts w:eastAsia="Calibri"/>
                <w:sz w:val="16"/>
                <w:szCs w:val="16"/>
                <w:lang w:val="en-GB"/>
              </w:rPr>
              <w:t>:</w:t>
            </w:r>
            <w:r w:rsidR="007E0329" w:rsidRPr="00CE38CA">
              <w:rPr>
                <w:rFonts w:eastAsia="Calibri"/>
                <w:sz w:val="16"/>
                <w:szCs w:val="16"/>
                <w:lang w:val="en-GB"/>
              </w:rPr>
              <w:t xml:space="preserve"> 80 social programmes use the Social Protection Card as the means to identify users</w:t>
            </w:r>
          </w:p>
          <w:p w14:paraId="354B03CD" w14:textId="117774CB" w:rsidR="002509B0" w:rsidRPr="00CE38CA" w:rsidRDefault="00F942ED" w:rsidP="002509B0">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2509B0" w:rsidRPr="00CE38CA">
              <w:rPr>
                <w:rFonts w:eastAsia="Calibri"/>
                <w:sz w:val="16"/>
                <w:szCs w:val="16"/>
                <w:lang w:val="en-GB"/>
              </w:rPr>
              <w:t>:</w:t>
            </w:r>
            <w:r w:rsidR="007E0329" w:rsidRPr="00CE38CA">
              <w:rPr>
                <w:rFonts w:eastAsia="Calibri"/>
                <w:sz w:val="16"/>
                <w:szCs w:val="16"/>
                <w:lang w:val="en-GB"/>
              </w:rPr>
              <w:t xml:space="preserve"> </w:t>
            </w:r>
            <w:r w:rsidR="001B3840" w:rsidRPr="00CE38CA">
              <w:rPr>
                <w:rFonts w:eastAsia="Calibri"/>
                <w:sz w:val="16"/>
                <w:szCs w:val="16"/>
                <w:lang w:val="en-GB"/>
              </w:rPr>
              <w:t>100</w:t>
            </w:r>
            <w:r>
              <w:rPr>
                <w:rFonts w:eastAsia="Calibri"/>
                <w:sz w:val="16"/>
                <w:szCs w:val="16"/>
                <w:lang w:val="en-GB"/>
              </w:rPr>
              <w:t xml:space="preserve"> per cent</w:t>
            </w:r>
            <w:r w:rsidR="001B3840" w:rsidRPr="00CE38CA">
              <w:rPr>
                <w:rFonts w:eastAsia="Calibri"/>
                <w:sz w:val="16"/>
                <w:szCs w:val="16"/>
                <w:lang w:val="en-GB"/>
              </w:rPr>
              <w:t xml:space="preserve"> of s</w:t>
            </w:r>
            <w:r w:rsidR="00130EDB" w:rsidRPr="00CE38CA">
              <w:rPr>
                <w:rFonts w:eastAsia="Calibri"/>
                <w:sz w:val="16"/>
                <w:szCs w:val="16"/>
                <w:lang w:val="en-GB"/>
              </w:rPr>
              <w:t>ocial programmes utilize new instruments for beneficiary selection based on administrative records on income and assets</w:t>
            </w:r>
          </w:p>
          <w:p w14:paraId="19DD9097" w14:textId="77777777" w:rsidR="00B642DB" w:rsidRPr="00CE38CA" w:rsidRDefault="00B642DB" w:rsidP="006D1383">
            <w:pPr>
              <w:pStyle w:val="Normal1"/>
              <w:rPr>
                <w:sz w:val="16"/>
                <w:szCs w:val="16"/>
                <w:lang w:val="en-GB"/>
              </w:rPr>
            </w:pPr>
          </w:p>
          <w:p w14:paraId="64009E69" w14:textId="2EC83E47"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w:t>
            </w:r>
            <w:r w:rsidR="001B3840" w:rsidRPr="00CE38CA">
              <w:rPr>
                <w:rFonts w:eastAsia="Calibri"/>
                <w:sz w:val="16"/>
                <w:szCs w:val="16"/>
                <w:lang w:val="en-GB"/>
              </w:rPr>
              <w:t xml:space="preserve">Number of reports with </w:t>
            </w:r>
            <w:r w:rsidR="00637443" w:rsidRPr="00CE38CA">
              <w:rPr>
                <w:rFonts w:eastAsia="Calibri"/>
                <w:sz w:val="16"/>
                <w:szCs w:val="16"/>
                <w:lang w:val="en-GB"/>
              </w:rPr>
              <w:t xml:space="preserve">updated information on the level of MDG </w:t>
            </w:r>
            <w:r w:rsidR="009964E5" w:rsidRPr="00CE38CA">
              <w:rPr>
                <w:rFonts w:eastAsia="Calibri"/>
                <w:sz w:val="16"/>
                <w:szCs w:val="16"/>
                <w:lang w:val="en-GB"/>
              </w:rPr>
              <w:t xml:space="preserve">compliance </w:t>
            </w:r>
            <w:r w:rsidR="00637443" w:rsidRPr="00CE38CA">
              <w:rPr>
                <w:rFonts w:eastAsia="Calibri"/>
                <w:sz w:val="16"/>
                <w:szCs w:val="16"/>
                <w:lang w:val="en-GB"/>
              </w:rPr>
              <w:t>in the indigenous population.</w:t>
            </w:r>
          </w:p>
          <w:p w14:paraId="06CA0CC5" w14:textId="5309FBEA"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1B3840" w:rsidRPr="00CE38CA">
              <w:rPr>
                <w:rFonts w:eastAsia="Calibri"/>
                <w:sz w:val="16"/>
                <w:szCs w:val="16"/>
                <w:lang w:val="en-GB"/>
              </w:rPr>
              <w:t>1 (</w:t>
            </w:r>
            <w:r w:rsidR="00637443" w:rsidRPr="00CE38CA">
              <w:rPr>
                <w:rFonts w:eastAsia="Calibri"/>
                <w:sz w:val="16"/>
                <w:szCs w:val="16"/>
                <w:lang w:val="en-GB"/>
              </w:rPr>
              <w:t>2012)</w:t>
            </w:r>
          </w:p>
          <w:p w14:paraId="1058A741" w14:textId="41121CD8"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xml:space="preserve">: </w:t>
            </w:r>
            <w:r w:rsidR="001B3840" w:rsidRPr="00CE38CA">
              <w:rPr>
                <w:rFonts w:eastAsia="Calibri"/>
                <w:sz w:val="16"/>
                <w:szCs w:val="16"/>
                <w:lang w:val="en-GB"/>
              </w:rPr>
              <w:t>3 (</w:t>
            </w:r>
            <w:r w:rsidR="00637443" w:rsidRPr="00CE38CA">
              <w:rPr>
                <w:rFonts w:eastAsia="Calibri"/>
                <w:sz w:val="16"/>
                <w:szCs w:val="16"/>
                <w:lang w:val="en-GB"/>
              </w:rPr>
              <w:t xml:space="preserve">2015 and </w:t>
            </w:r>
            <w:r w:rsidR="001B3840" w:rsidRPr="00CE38CA">
              <w:rPr>
                <w:rFonts w:eastAsia="Calibri"/>
                <w:sz w:val="16"/>
                <w:szCs w:val="16"/>
                <w:lang w:val="en-GB"/>
              </w:rPr>
              <w:t xml:space="preserve">2018 </w:t>
            </w:r>
            <w:r w:rsidR="00637443" w:rsidRPr="00CE38CA">
              <w:rPr>
                <w:rFonts w:eastAsia="Calibri"/>
                <w:sz w:val="16"/>
                <w:szCs w:val="16"/>
                <w:lang w:val="en-GB"/>
              </w:rPr>
              <w:t>in accordance with post-2015 agenda)</w:t>
            </w:r>
          </w:p>
          <w:p w14:paraId="3415193E" w14:textId="77777777" w:rsidR="00637443" w:rsidRPr="00CE38CA" w:rsidRDefault="00637443" w:rsidP="006D1383">
            <w:pPr>
              <w:pStyle w:val="Normal1"/>
              <w:rPr>
                <w:sz w:val="16"/>
                <w:szCs w:val="16"/>
                <w:lang w:val="en-GB"/>
              </w:rPr>
            </w:pPr>
          </w:p>
          <w:p w14:paraId="287634F2" w14:textId="77777777" w:rsidR="00637443" w:rsidRPr="00CE38CA" w:rsidRDefault="009964E5" w:rsidP="006D1383">
            <w:pPr>
              <w:pStyle w:val="Normal1"/>
              <w:rPr>
                <w:sz w:val="16"/>
                <w:szCs w:val="16"/>
                <w:lang w:val="en-GB"/>
              </w:rPr>
            </w:pPr>
            <w:r w:rsidRPr="00CE38CA">
              <w:rPr>
                <w:rFonts w:eastAsia="Calibri"/>
                <w:b/>
                <w:sz w:val="16"/>
                <w:szCs w:val="16"/>
                <w:lang w:val="en-GB"/>
              </w:rPr>
              <w:t>I</w:t>
            </w:r>
            <w:r w:rsidR="00637443" w:rsidRPr="00CE38CA">
              <w:rPr>
                <w:rFonts w:eastAsia="Calibri"/>
                <w:b/>
                <w:sz w:val="16"/>
                <w:szCs w:val="16"/>
                <w:lang w:val="en-GB"/>
              </w:rPr>
              <w:t xml:space="preserve">nstitutions </w:t>
            </w:r>
            <w:r w:rsidR="005E7154" w:rsidRPr="00CE38CA">
              <w:rPr>
                <w:rFonts w:eastAsia="Calibri"/>
                <w:b/>
                <w:sz w:val="16"/>
                <w:szCs w:val="16"/>
                <w:lang w:val="en-GB"/>
              </w:rPr>
              <w:t xml:space="preserve">with </w:t>
            </w:r>
            <w:r w:rsidR="00787E04" w:rsidRPr="00CE38CA">
              <w:rPr>
                <w:rFonts w:eastAsia="Calibri"/>
                <w:b/>
                <w:sz w:val="16"/>
                <w:szCs w:val="16"/>
                <w:lang w:val="en-GB"/>
              </w:rPr>
              <w:t xml:space="preserve">responsibilities </w:t>
            </w:r>
            <w:r w:rsidR="005E7154" w:rsidRPr="00CE38CA">
              <w:rPr>
                <w:rFonts w:eastAsia="Calibri"/>
                <w:b/>
                <w:sz w:val="16"/>
                <w:szCs w:val="16"/>
                <w:lang w:val="en-GB"/>
              </w:rPr>
              <w:t>in the area of local and urban development</w:t>
            </w:r>
            <w:r w:rsidR="00637443" w:rsidRPr="00CE38CA">
              <w:rPr>
                <w:rFonts w:eastAsia="Calibri"/>
                <w:b/>
                <w:sz w:val="16"/>
                <w:szCs w:val="16"/>
                <w:lang w:val="en-GB"/>
              </w:rPr>
              <w:t xml:space="preserve"> increase their capacities to improve </w:t>
            </w:r>
            <w:r w:rsidRPr="00CE38CA">
              <w:rPr>
                <w:rFonts w:eastAsia="Calibri"/>
                <w:b/>
                <w:sz w:val="16"/>
                <w:szCs w:val="16"/>
                <w:lang w:val="en-GB"/>
              </w:rPr>
              <w:t xml:space="preserve">regional </w:t>
            </w:r>
            <w:r w:rsidR="00637443" w:rsidRPr="00CE38CA">
              <w:rPr>
                <w:rFonts w:eastAsia="Calibri"/>
                <w:b/>
                <w:sz w:val="16"/>
                <w:szCs w:val="16"/>
                <w:lang w:val="en-GB"/>
              </w:rPr>
              <w:t>and urban inequalities</w:t>
            </w:r>
          </w:p>
          <w:p w14:paraId="59D9DE16" w14:textId="6EE96654"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Number of standards/initiatives/actions that take up measures for reducing territorial gaps and urban segregation</w:t>
            </w:r>
            <w:r w:rsidR="00E71DAD" w:rsidRPr="00CE38CA">
              <w:rPr>
                <w:rFonts w:eastAsia="Calibri"/>
                <w:sz w:val="16"/>
                <w:szCs w:val="16"/>
                <w:lang w:val="en-GB"/>
              </w:rPr>
              <w:t xml:space="preserve"> in the framework of the new Urban Development Policy</w:t>
            </w:r>
          </w:p>
          <w:p w14:paraId="1629D859" w14:textId="0B0798E2"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w:t>
            </w:r>
            <w:r w:rsidR="009964E5" w:rsidRPr="00CE38CA">
              <w:rPr>
                <w:rFonts w:eastAsia="Calibri"/>
                <w:sz w:val="16"/>
                <w:szCs w:val="16"/>
                <w:lang w:val="en-GB"/>
              </w:rPr>
              <w:t xml:space="preserve"> </w:t>
            </w:r>
            <w:r w:rsidR="00E71DAD" w:rsidRPr="00CE38CA">
              <w:rPr>
                <w:rFonts w:eastAsia="Calibri"/>
                <w:sz w:val="16"/>
                <w:szCs w:val="16"/>
                <w:lang w:val="en-GB"/>
              </w:rPr>
              <w:t>Urban Development Policy of 201</w:t>
            </w:r>
            <w:r w:rsidR="00796E84" w:rsidRPr="00CE38CA">
              <w:rPr>
                <w:rFonts w:eastAsia="Calibri"/>
                <w:sz w:val="16"/>
                <w:szCs w:val="16"/>
                <w:lang w:val="en-GB"/>
              </w:rPr>
              <w:t>3</w:t>
            </w:r>
          </w:p>
          <w:p w14:paraId="5E5D8674" w14:textId="3D80CD06"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6339B0" w:rsidRPr="00CE38CA">
              <w:rPr>
                <w:rFonts w:eastAsia="Calibri"/>
                <w:sz w:val="16"/>
                <w:szCs w:val="16"/>
                <w:lang w:val="en-GB"/>
              </w:rPr>
              <w:t xml:space="preserve"> </w:t>
            </w:r>
            <w:r w:rsidR="00796E84" w:rsidRPr="00CE38CA">
              <w:rPr>
                <w:rFonts w:eastAsia="Calibri"/>
                <w:sz w:val="16"/>
                <w:szCs w:val="16"/>
                <w:lang w:val="en-GB"/>
              </w:rPr>
              <w:t>5 standards/initiatives/actions</w:t>
            </w:r>
            <w:r w:rsidR="00DA46FC" w:rsidRPr="00CE38CA">
              <w:rPr>
                <w:rFonts w:eastAsia="Calibri"/>
                <w:sz w:val="16"/>
                <w:szCs w:val="16"/>
                <w:lang w:val="en-GB"/>
              </w:rPr>
              <w:t xml:space="preserve"> developed</w:t>
            </w:r>
          </w:p>
          <w:p w14:paraId="44FBEBDA" w14:textId="77777777" w:rsidR="00637443" w:rsidRPr="00CE38CA" w:rsidRDefault="00637443" w:rsidP="006D1383">
            <w:pPr>
              <w:pStyle w:val="Normal1"/>
              <w:rPr>
                <w:sz w:val="16"/>
                <w:szCs w:val="16"/>
                <w:lang w:val="en-GB"/>
              </w:rPr>
            </w:pPr>
          </w:p>
          <w:p w14:paraId="0F93F0A0" w14:textId="11463E7E"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Number of public-private </w:t>
            </w:r>
            <w:r w:rsidR="006339B0" w:rsidRPr="00CE38CA">
              <w:rPr>
                <w:rFonts w:eastAsia="Calibri"/>
                <w:sz w:val="16"/>
                <w:szCs w:val="16"/>
                <w:lang w:val="en-GB"/>
              </w:rPr>
              <w:t xml:space="preserve">partnerships </w:t>
            </w:r>
            <w:r w:rsidR="00637443" w:rsidRPr="00CE38CA">
              <w:rPr>
                <w:rFonts w:eastAsia="Calibri"/>
                <w:sz w:val="16"/>
                <w:szCs w:val="16"/>
                <w:lang w:val="en-GB"/>
              </w:rPr>
              <w:t xml:space="preserve">for local development through </w:t>
            </w:r>
            <w:r w:rsidR="005E7154" w:rsidRPr="00CE38CA">
              <w:rPr>
                <w:rFonts w:eastAsia="Calibri"/>
                <w:sz w:val="16"/>
                <w:szCs w:val="16"/>
                <w:lang w:val="en-GB"/>
              </w:rPr>
              <w:t>territorial</w:t>
            </w:r>
            <w:r w:rsidR="00637443" w:rsidRPr="00CE38CA">
              <w:rPr>
                <w:rFonts w:eastAsia="Calibri"/>
                <w:sz w:val="16"/>
                <w:szCs w:val="16"/>
                <w:lang w:val="en-GB"/>
              </w:rPr>
              <w:t xml:space="preserve"> investment plans with a focus on employment </w:t>
            </w:r>
          </w:p>
          <w:p w14:paraId="3982E937" w14:textId="4ED81D0C"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0 (2014)</w:t>
            </w:r>
          </w:p>
          <w:p w14:paraId="6E39BA92" w14:textId="53DF34D1"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2</w:t>
            </w:r>
            <w:r w:rsidR="00DA46FC" w:rsidRPr="00CE38CA">
              <w:rPr>
                <w:rFonts w:eastAsia="Calibri"/>
                <w:sz w:val="16"/>
                <w:szCs w:val="16"/>
                <w:lang w:val="en-GB"/>
              </w:rPr>
              <w:t xml:space="preserve"> partnerships defined </w:t>
            </w:r>
            <w:r w:rsidR="00637443" w:rsidRPr="00CE38CA">
              <w:rPr>
                <w:rFonts w:eastAsia="Calibri"/>
                <w:sz w:val="16"/>
                <w:szCs w:val="16"/>
                <w:lang w:val="en-GB"/>
              </w:rPr>
              <w:t>(2018)</w:t>
            </w:r>
          </w:p>
          <w:p w14:paraId="37B759D7" w14:textId="77777777" w:rsidR="00637443" w:rsidRPr="00CE38CA" w:rsidRDefault="00637443" w:rsidP="006D1383">
            <w:pPr>
              <w:pStyle w:val="Normal1"/>
              <w:rPr>
                <w:sz w:val="16"/>
                <w:szCs w:val="16"/>
                <w:lang w:val="en-GB"/>
              </w:rPr>
            </w:pPr>
          </w:p>
          <w:p w14:paraId="0FFE6F0A"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National and subnational institutions have the capacity to define and implement policies, plans, and strategies to </w:t>
            </w:r>
            <w:r w:rsidR="006339B0" w:rsidRPr="00CE38CA">
              <w:rPr>
                <w:rFonts w:eastAsia="Calibri"/>
                <w:b/>
                <w:sz w:val="16"/>
                <w:szCs w:val="16"/>
                <w:lang w:val="en-GB"/>
              </w:rPr>
              <w:t xml:space="preserve">preserve </w:t>
            </w:r>
            <w:r w:rsidRPr="00CE38CA">
              <w:rPr>
                <w:rFonts w:eastAsia="Calibri"/>
                <w:b/>
                <w:sz w:val="16"/>
                <w:szCs w:val="16"/>
                <w:lang w:val="en-GB"/>
              </w:rPr>
              <w:t>biodiversity, combat the effects of climate change and desertification</w:t>
            </w:r>
          </w:p>
          <w:p w14:paraId="2EF6959F" w14:textId="34FA1F80"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Number of intersectoral instruments/</w:t>
            </w:r>
            <w:r w:rsidR="006339B0" w:rsidRPr="00CE38CA">
              <w:rPr>
                <w:rFonts w:eastAsia="Calibri"/>
                <w:sz w:val="16"/>
                <w:szCs w:val="16"/>
                <w:lang w:val="en-GB"/>
              </w:rPr>
              <w:t xml:space="preserve">partnerships </w:t>
            </w:r>
            <w:r w:rsidR="00637443" w:rsidRPr="00CE38CA">
              <w:rPr>
                <w:rFonts w:eastAsia="Calibri"/>
                <w:sz w:val="16"/>
                <w:szCs w:val="16"/>
                <w:lang w:val="en-GB"/>
              </w:rPr>
              <w:t xml:space="preserve">with public and/or private financing for conserving biodiversity, combating the effects of climate change and desertification  </w:t>
            </w:r>
          </w:p>
          <w:p w14:paraId="44D6B713" w14:textId="7A9748B7"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1 (2014)</w:t>
            </w:r>
          </w:p>
          <w:p w14:paraId="7C3A2439" w14:textId="18CD7ECE"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3 (2018)</w:t>
            </w:r>
          </w:p>
          <w:p w14:paraId="5D8C941E" w14:textId="77777777" w:rsidR="00637443" w:rsidRPr="00CE38CA" w:rsidRDefault="00637443" w:rsidP="006D1383">
            <w:pPr>
              <w:pStyle w:val="Normal1"/>
              <w:rPr>
                <w:sz w:val="16"/>
                <w:szCs w:val="16"/>
                <w:lang w:val="en-GB"/>
              </w:rPr>
            </w:pPr>
          </w:p>
          <w:p w14:paraId="751B3503" w14:textId="1E867516"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Number of plans, strategies and national/regional/sectorial policies for moving towards a low carbon economy </w:t>
            </w:r>
          </w:p>
          <w:p w14:paraId="2FCDA66F" w14:textId="0F62E35F"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2 (Plan to adapt to </w:t>
            </w:r>
            <w:r w:rsidR="000C2CBD">
              <w:rPr>
                <w:rFonts w:eastAsia="Calibri"/>
                <w:sz w:val="16"/>
                <w:szCs w:val="16"/>
                <w:lang w:val="en-GB"/>
              </w:rPr>
              <w:t>c</w:t>
            </w:r>
            <w:r w:rsidR="009F7631" w:rsidRPr="00CE38CA">
              <w:rPr>
                <w:rFonts w:eastAsia="Calibri"/>
                <w:sz w:val="16"/>
                <w:szCs w:val="16"/>
                <w:lang w:val="en-GB"/>
              </w:rPr>
              <w:t xml:space="preserve">limate </w:t>
            </w:r>
            <w:r w:rsidR="000C2CBD">
              <w:rPr>
                <w:rFonts w:eastAsia="Calibri"/>
                <w:sz w:val="16"/>
                <w:szCs w:val="16"/>
                <w:lang w:val="en-GB"/>
              </w:rPr>
              <w:t>c</w:t>
            </w:r>
            <w:r w:rsidR="009F7631" w:rsidRPr="00CE38CA">
              <w:rPr>
                <w:rFonts w:eastAsia="Calibri"/>
                <w:sz w:val="16"/>
                <w:szCs w:val="16"/>
                <w:lang w:val="en-GB"/>
              </w:rPr>
              <w:t>hange</w:t>
            </w:r>
            <w:r w:rsidR="00637443" w:rsidRPr="00CE38CA">
              <w:rPr>
                <w:rFonts w:eastAsia="Calibri"/>
                <w:sz w:val="16"/>
                <w:szCs w:val="16"/>
                <w:lang w:val="en-GB"/>
              </w:rPr>
              <w:t xml:space="preserve"> in biodiversity, </w:t>
            </w:r>
            <w:r w:rsidR="000C2CBD">
              <w:rPr>
                <w:rFonts w:eastAsia="Calibri"/>
                <w:sz w:val="16"/>
                <w:szCs w:val="16"/>
                <w:lang w:val="en-GB"/>
              </w:rPr>
              <w:t>p</w:t>
            </w:r>
            <w:r w:rsidR="00637443" w:rsidRPr="00CE38CA">
              <w:rPr>
                <w:rFonts w:eastAsia="Calibri"/>
                <w:sz w:val="16"/>
                <w:szCs w:val="16"/>
                <w:lang w:val="en-GB"/>
              </w:rPr>
              <w:t xml:space="preserve">rotected </w:t>
            </w:r>
            <w:r w:rsidR="000C2CBD">
              <w:rPr>
                <w:rFonts w:eastAsia="Calibri"/>
                <w:sz w:val="16"/>
                <w:szCs w:val="16"/>
                <w:lang w:val="en-GB"/>
              </w:rPr>
              <w:t>a</w:t>
            </w:r>
            <w:r w:rsidR="00637443" w:rsidRPr="00CE38CA">
              <w:rPr>
                <w:rFonts w:eastAsia="Calibri"/>
                <w:sz w:val="16"/>
                <w:szCs w:val="16"/>
                <w:lang w:val="en-GB"/>
              </w:rPr>
              <w:t xml:space="preserve">reas </w:t>
            </w:r>
            <w:r w:rsidR="000C2CBD">
              <w:rPr>
                <w:rFonts w:eastAsia="Calibri"/>
                <w:sz w:val="16"/>
                <w:szCs w:val="16"/>
                <w:lang w:val="en-GB"/>
              </w:rPr>
              <w:t>s</w:t>
            </w:r>
            <w:r w:rsidR="00637443" w:rsidRPr="00CE38CA">
              <w:rPr>
                <w:rFonts w:eastAsia="Calibri"/>
                <w:sz w:val="16"/>
                <w:szCs w:val="16"/>
                <w:lang w:val="en-GB"/>
              </w:rPr>
              <w:t>trategy) 2014</w:t>
            </w:r>
          </w:p>
          <w:p w14:paraId="7F76AAFD" w14:textId="5FB97E70"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6 (2018)</w:t>
            </w:r>
          </w:p>
          <w:p w14:paraId="068AB4BC" w14:textId="77777777" w:rsidR="00637443" w:rsidRPr="00CE38CA" w:rsidRDefault="00637443" w:rsidP="006D1383">
            <w:pPr>
              <w:pStyle w:val="Normal1"/>
              <w:rPr>
                <w:sz w:val="16"/>
                <w:szCs w:val="16"/>
                <w:lang w:val="en-GB"/>
              </w:rPr>
            </w:pPr>
          </w:p>
          <w:p w14:paraId="1244377D" w14:textId="7B49AA4B"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Tons of </w:t>
            </w:r>
            <w:r w:rsidR="000C2CBD">
              <w:rPr>
                <w:rFonts w:eastAsia="Calibri"/>
                <w:sz w:val="16"/>
                <w:szCs w:val="16"/>
                <w:lang w:val="en-GB"/>
              </w:rPr>
              <w:t>hydrochlorofluorocarbons (</w:t>
            </w:r>
            <w:r w:rsidR="00637443" w:rsidRPr="00CE38CA">
              <w:rPr>
                <w:rFonts w:eastAsia="Calibri"/>
                <w:sz w:val="16"/>
                <w:szCs w:val="16"/>
                <w:lang w:val="en-GB"/>
              </w:rPr>
              <w:t>HCF</w:t>
            </w:r>
            <w:r w:rsidR="000C2CBD">
              <w:rPr>
                <w:rFonts w:eastAsia="Calibri"/>
                <w:sz w:val="16"/>
                <w:szCs w:val="16"/>
                <w:lang w:val="en-GB"/>
              </w:rPr>
              <w:t>C)</w:t>
            </w:r>
            <w:r w:rsidR="00637443" w:rsidRPr="00CE38CA">
              <w:rPr>
                <w:rFonts w:eastAsia="Calibri"/>
                <w:sz w:val="16"/>
                <w:szCs w:val="16"/>
                <w:lang w:val="en-GB"/>
              </w:rPr>
              <w:t xml:space="preserve"> imported/consumed annually</w:t>
            </w:r>
          </w:p>
          <w:p w14:paraId="5E1169CF" w14:textId="5416F602"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100.27 (2010)</w:t>
            </w:r>
          </w:p>
          <w:p w14:paraId="5D151B44" w14:textId="0FE880D3"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90.24 (2015)</w:t>
            </w:r>
          </w:p>
          <w:p w14:paraId="0DC3DD38" w14:textId="77777777" w:rsidR="00637443" w:rsidRPr="00CE38CA" w:rsidRDefault="00637443" w:rsidP="006D1383">
            <w:pPr>
              <w:pStyle w:val="Normal1"/>
              <w:rPr>
                <w:sz w:val="16"/>
                <w:szCs w:val="16"/>
                <w:lang w:val="en-GB"/>
              </w:rPr>
            </w:pPr>
          </w:p>
          <w:p w14:paraId="2E0A54D5"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Local communities have </w:t>
            </w:r>
            <w:r w:rsidR="00D93D6E" w:rsidRPr="00CE38CA">
              <w:rPr>
                <w:rFonts w:eastAsia="Calibri"/>
                <w:b/>
                <w:sz w:val="16"/>
                <w:szCs w:val="16"/>
                <w:lang w:val="en-GB"/>
              </w:rPr>
              <w:t xml:space="preserve">the </w:t>
            </w:r>
            <w:r w:rsidRPr="00CE38CA">
              <w:rPr>
                <w:rFonts w:eastAsia="Calibri"/>
                <w:b/>
                <w:sz w:val="16"/>
                <w:szCs w:val="16"/>
                <w:lang w:val="en-GB"/>
              </w:rPr>
              <w:t xml:space="preserve">capacities and means to design and implement sustainable productive activities in order to improve conservation of biodiversity, combat the effects of climate change and desertification </w:t>
            </w:r>
          </w:p>
          <w:p w14:paraId="5D653EA7" w14:textId="65A2C6D0"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Number of men and women who strengthen their </w:t>
            </w:r>
            <w:r w:rsidR="004B1219" w:rsidRPr="00CE38CA">
              <w:rPr>
                <w:rFonts w:eastAsia="Calibri"/>
                <w:sz w:val="16"/>
                <w:szCs w:val="16"/>
                <w:lang w:val="en-GB"/>
              </w:rPr>
              <w:t>livelihoods</w:t>
            </w:r>
            <w:r w:rsidR="00637443" w:rsidRPr="00CE38CA">
              <w:rPr>
                <w:rFonts w:eastAsia="Calibri"/>
                <w:sz w:val="16"/>
                <w:szCs w:val="16"/>
                <w:lang w:val="en-GB"/>
              </w:rPr>
              <w:t xml:space="preserve"> through sustainable productive activities disaggregated by ethnicity</w:t>
            </w:r>
            <w:r w:rsidR="004B1219" w:rsidRPr="00CE38CA">
              <w:rPr>
                <w:rFonts w:eastAsia="Calibri"/>
                <w:sz w:val="16"/>
                <w:szCs w:val="16"/>
                <w:lang w:val="en-GB"/>
              </w:rPr>
              <w:t>,</w:t>
            </w:r>
            <w:r w:rsidR="00637443" w:rsidRPr="00CE38CA">
              <w:rPr>
                <w:rFonts w:eastAsia="Calibri"/>
                <w:sz w:val="16"/>
                <w:szCs w:val="16"/>
                <w:lang w:val="en-GB"/>
              </w:rPr>
              <w:t xml:space="preserve"> where applicable </w:t>
            </w:r>
          </w:p>
          <w:p w14:paraId="10216D41" w14:textId="30B20131"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12,228 men (2013), 11,510 women (2013)</w:t>
            </w:r>
          </w:p>
          <w:p w14:paraId="6D690F42" w14:textId="37E4704B"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13,700 men (2018), 13,800 women (2018)</w:t>
            </w:r>
          </w:p>
          <w:p w14:paraId="727B3D1A" w14:textId="77777777" w:rsidR="00637443" w:rsidRPr="00CE38CA" w:rsidRDefault="00637443" w:rsidP="006D1383">
            <w:pPr>
              <w:pStyle w:val="Normal1"/>
              <w:rPr>
                <w:sz w:val="16"/>
                <w:szCs w:val="16"/>
                <w:lang w:val="en-GB"/>
              </w:rPr>
            </w:pPr>
          </w:p>
          <w:p w14:paraId="7CE3FE76" w14:textId="77777777" w:rsidR="00637443" w:rsidRPr="00CE38CA" w:rsidRDefault="00637443" w:rsidP="006D1383">
            <w:pPr>
              <w:pStyle w:val="Normal1"/>
              <w:rPr>
                <w:sz w:val="16"/>
                <w:szCs w:val="16"/>
                <w:lang w:val="en-GB"/>
              </w:rPr>
            </w:pPr>
            <w:r w:rsidRPr="00CE38CA">
              <w:rPr>
                <w:rFonts w:eastAsia="Calibri"/>
                <w:b/>
                <w:sz w:val="16"/>
                <w:szCs w:val="16"/>
                <w:lang w:val="en-GB"/>
              </w:rPr>
              <w:lastRenderedPageBreak/>
              <w:t xml:space="preserve">National, regional, and local institutions improve their capacities to design and implement inclusive and sustainable solutions in order to increase energy efficiency, access to energy for rural communities and diversification of the energy matrix </w:t>
            </w:r>
          </w:p>
          <w:p w14:paraId="51A5E3FC" w14:textId="51B4CFA0" w:rsidR="00637443" w:rsidRPr="00CE38CA" w:rsidRDefault="00F942ED" w:rsidP="006D1383">
            <w:pPr>
              <w:pStyle w:val="Normal1"/>
              <w:rPr>
                <w:sz w:val="16"/>
                <w:szCs w:val="16"/>
                <w:lang w:val="en-GB"/>
              </w:rPr>
            </w:pPr>
            <w:r w:rsidRPr="00CE38CA">
              <w:rPr>
                <w:rFonts w:eastAsia="Calibri"/>
                <w:sz w:val="16"/>
                <w:szCs w:val="16"/>
                <w:lang w:val="en-GB"/>
              </w:rPr>
              <w:t>I</w:t>
            </w:r>
            <w:r>
              <w:rPr>
                <w:rFonts w:eastAsia="Calibri"/>
                <w:sz w:val="16"/>
                <w:szCs w:val="16"/>
                <w:lang w:val="en-GB"/>
              </w:rPr>
              <w:t>ndicator</w:t>
            </w:r>
            <w:r w:rsidR="00637443" w:rsidRPr="00CE38CA">
              <w:rPr>
                <w:rFonts w:eastAsia="Calibri"/>
                <w:sz w:val="16"/>
                <w:szCs w:val="16"/>
                <w:lang w:val="en-GB"/>
              </w:rPr>
              <w:t xml:space="preserve">: Number of </w:t>
            </w:r>
            <w:r w:rsidR="009F7631" w:rsidRPr="00CE38CA">
              <w:rPr>
                <w:rFonts w:eastAsia="Calibri"/>
                <w:sz w:val="16"/>
                <w:szCs w:val="16"/>
                <w:lang w:val="en-GB"/>
              </w:rPr>
              <w:t xml:space="preserve">partnerships </w:t>
            </w:r>
            <w:r w:rsidR="00637443" w:rsidRPr="00CE38CA">
              <w:rPr>
                <w:rFonts w:eastAsia="Calibri"/>
                <w:sz w:val="16"/>
                <w:szCs w:val="16"/>
                <w:lang w:val="en-GB"/>
              </w:rPr>
              <w:t xml:space="preserve">with financing for the implementation of energy efficiency and sustainable energy solutions at the national and local levels </w:t>
            </w:r>
          </w:p>
          <w:p w14:paraId="642822C5" w14:textId="208E19EC" w:rsidR="00637443" w:rsidRPr="00CE38CA" w:rsidRDefault="00F942ED"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2 (2013)</w:t>
            </w:r>
          </w:p>
          <w:p w14:paraId="72CAD2CE" w14:textId="068542B0" w:rsidR="00637443" w:rsidRPr="00CE38CA" w:rsidRDefault="00F942ED"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4 (2018)</w:t>
            </w:r>
          </w:p>
          <w:p w14:paraId="6A06109C" w14:textId="77777777" w:rsidR="00637443" w:rsidRPr="00CE38CA" w:rsidRDefault="00637443" w:rsidP="006D1383">
            <w:pPr>
              <w:pStyle w:val="Normal1"/>
              <w:rPr>
                <w:sz w:val="16"/>
                <w:szCs w:val="16"/>
                <w:lang w:val="en-GB"/>
              </w:rPr>
            </w:pPr>
          </w:p>
          <w:p w14:paraId="05B8208B" w14:textId="77777777" w:rsidR="00E974AF" w:rsidRPr="0071469E" w:rsidRDefault="00DE49A7" w:rsidP="00E974AF">
            <w:pPr>
              <w:rPr>
                <w:b/>
                <w:sz w:val="16"/>
                <w:szCs w:val="16"/>
                <w:lang w:val="en-GB"/>
              </w:rPr>
            </w:pPr>
            <w:r w:rsidRPr="0071469E">
              <w:rPr>
                <w:b/>
                <w:sz w:val="16"/>
                <w:szCs w:val="16"/>
                <w:lang w:val="en-GB"/>
              </w:rPr>
              <w:t xml:space="preserve">Public institutions develop capacities to prevent and respond to sexual and gender-based violence </w:t>
            </w:r>
          </w:p>
          <w:p w14:paraId="03C52F3E" w14:textId="415C0625" w:rsidR="00E974AF" w:rsidRPr="0071469E" w:rsidRDefault="00F942ED" w:rsidP="00E974AF">
            <w:pPr>
              <w:rPr>
                <w:sz w:val="16"/>
                <w:szCs w:val="16"/>
                <w:lang w:val="en-GB"/>
              </w:rPr>
            </w:pPr>
            <w:r w:rsidRPr="00F942ED">
              <w:rPr>
                <w:rFonts w:eastAsia="Calibri"/>
                <w:sz w:val="16"/>
                <w:szCs w:val="16"/>
                <w:lang w:val="en-GB"/>
              </w:rPr>
              <w:t>Indicator</w:t>
            </w:r>
            <w:r w:rsidR="00DE49A7" w:rsidRPr="0071469E">
              <w:rPr>
                <w:sz w:val="16"/>
                <w:szCs w:val="16"/>
                <w:lang w:val="en-GB"/>
              </w:rPr>
              <w:t>: N</w:t>
            </w:r>
            <w:r>
              <w:rPr>
                <w:sz w:val="16"/>
                <w:szCs w:val="16"/>
                <w:lang w:val="en-GB"/>
              </w:rPr>
              <w:t>u</w:t>
            </w:r>
            <w:r w:rsidR="00DE49A7" w:rsidRPr="0071469E">
              <w:rPr>
                <w:sz w:val="16"/>
                <w:szCs w:val="16"/>
                <w:lang w:val="en-GB"/>
              </w:rPr>
              <w:t xml:space="preserve">mber of measures implemented in the framework of the new </w:t>
            </w:r>
            <w:r w:rsidR="003A478B" w:rsidRPr="0071469E">
              <w:rPr>
                <w:sz w:val="16"/>
                <w:szCs w:val="16"/>
                <w:lang w:val="en-GB"/>
              </w:rPr>
              <w:t xml:space="preserve">long-term </w:t>
            </w:r>
            <w:r w:rsidR="00E974AF" w:rsidRPr="0071469E">
              <w:rPr>
                <w:sz w:val="16"/>
                <w:szCs w:val="16"/>
                <w:lang w:val="en-GB"/>
              </w:rPr>
              <w:t xml:space="preserve">National </w:t>
            </w:r>
            <w:r w:rsidR="00A52833" w:rsidRPr="0071469E">
              <w:rPr>
                <w:sz w:val="16"/>
                <w:szCs w:val="16"/>
                <w:lang w:val="en-GB"/>
              </w:rPr>
              <w:t>Action</w:t>
            </w:r>
            <w:r w:rsidR="00E974AF" w:rsidRPr="0071469E">
              <w:rPr>
                <w:sz w:val="16"/>
                <w:szCs w:val="16"/>
                <w:lang w:val="en-GB"/>
              </w:rPr>
              <w:t xml:space="preserve"> Plan </w:t>
            </w:r>
            <w:r w:rsidR="003A478B" w:rsidRPr="0071469E">
              <w:rPr>
                <w:sz w:val="16"/>
                <w:szCs w:val="16"/>
                <w:lang w:val="en-GB"/>
              </w:rPr>
              <w:t>on sexual and gender-based violence</w:t>
            </w:r>
          </w:p>
          <w:p w14:paraId="3EB22096" w14:textId="026499BA" w:rsidR="00E974AF" w:rsidRPr="0071469E" w:rsidRDefault="00F942ED" w:rsidP="00E974AF">
            <w:pPr>
              <w:rPr>
                <w:sz w:val="16"/>
                <w:szCs w:val="16"/>
                <w:lang w:val="en-GB"/>
              </w:rPr>
            </w:pPr>
            <w:r w:rsidRPr="00CE38CA">
              <w:rPr>
                <w:rFonts w:eastAsia="Calibri"/>
                <w:sz w:val="16"/>
                <w:szCs w:val="16"/>
                <w:lang w:val="en-GB"/>
              </w:rPr>
              <w:t>B</w:t>
            </w:r>
            <w:r>
              <w:rPr>
                <w:rFonts w:eastAsia="Calibri"/>
                <w:sz w:val="16"/>
                <w:szCs w:val="16"/>
                <w:lang w:val="en-GB"/>
              </w:rPr>
              <w:t>aseline</w:t>
            </w:r>
            <w:r w:rsidR="00DE49A7" w:rsidRPr="0071469E">
              <w:rPr>
                <w:sz w:val="16"/>
                <w:szCs w:val="16"/>
                <w:lang w:val="en-GB"/>
              </w:rPr>
              <w:t xml:space="preserve">: National Action on Domestic Violence on an annual basis </w:t>
            </w:r>
          </w:p>
          <w:p w14:paraId="5298E3C5" w14:textId="552F6472" w:rsidR="00E974AF" w:rsidRPr="00CE38CA" w:rsidRDefault="00F942ED" w:rsidP="003A478B">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DE49A7" w:rsidRPr="0071469E">
              <w:rPr>
                <w:sz w:val="16"/>
                <w:szCs w:val="16"/>
                <w:lang w:val="en-GB"/>
              </w:rPr>
              <w:t xml:space="preserve">: 3 measures implemented in the framework of the new </w:t>
            </w:r>
            <w:r w:rsidR="000C2CBD">
              <w:rPr>
                <w:sz w:val="16"/>
                <w:szCs w:val="16"/>
                <w:lang w:val="en-GB"/>
              </w:rPr>
              <w:t>p</w:t>
            </w:r>
            <w:r w:rsidR="00DE49A7" w:rsidRPr="0071469E">
              <w:rPr>
                <w:sz w:val="16"/>
                <w:szCs w:val="16"/>
                <w:lang w:val="en-GB"/>
              </w:rPr>
              <w:t>lan</w:t>
            </w:r>
          </w:p>
        </w:tc>
        <w:tc>
          <w:tcPr>
            <w:tcW w:w="827" w:type="pct"/>
            <w:gridSpan w:val="2"/>
            <w:vMerge w:val="restart"/>
          </w:tcPr>
          <w:p w14:paraId="4E66EF22" w14:textId="77777777" w:rsidR="00637443" w:rsidRPr="00CE38CA" w:rsidRDefault="00637443" w:rsidP="006D1383">
            <w:pPr>
              <w:pStyle w:val="Normal1"/>
              <w:rPr>
                <w:sz w:val="16"/>
                <w:szCs w:val="16"/>
                <w:lang w:val="en-GB"/>
              </w:rPr>
            </w:pPr>
            <w:r w:rsidRPr="00CE38CA">
              <w:rPr>
                <w:rFonts w:eastAsia="Calibri"/>
                <w:sz w:val="16"/>
                <w:szCs w:val="16"/>
                <w:lang w:val="en-GB"/>
              </w:rPr>
              <w:lastRenderedPageBreak/>
              <w:t>Ministry of Social Development</w:t>
            </w:r>
          </w:p>
          <w:p w14:paraId="5DF0BAC6" w14:textId="77777777" w:rsidR="00637443" w:rsidRPr="00CE38CA" w:rsidRDefault="00637443" w:rsidP="006D1383">
            <w:pPr>
              <w:pStyle w:val="Normal1"/>
              <w:rPr>
                <w:sz w:val="16"/>
                <w:szCs w:val="16"/>
                <w:lang w:val="en-GB"/>
              </w:rPr>
            </w:pPr>
            <w:r w:rsidRPr="00CE38CA">
              <w:rPr>
                <w:rFonts w:eastAsia="Calibri"/>
                <w:sz w:val="16"/>
                <w:szCs w:val="16"/>
                <w:lang w:val="en-GB"/>
              </w:rPr>
              <w:t>Ministry of Labour</w:t>
            </w:r>
          </w:p>
          <w:p w14:paraId="773A2C72" w14:textId="77777777" w:rsidR="00637443" w:rsidRPr="00CE38CA" w:rsidRDefault="00637443" w:rsidP="006D1383">
            <w:pPr>
              <w:pStyle w:val="Normal1"/>
              <w:rPr>
                <w:sz w:val="16"/>
                <w:szCs w:val="16"/>
                <w:lang w:val="en-GB"/>
              </w:rPr>
            </w:pPr>
            <w:r w:rsidRPr="00CE38CA">
              <w:rPr>
                <w:rFonts w:eastAsia="Calibri"/>
                <w:sz w:val="16"/>
                <w:szCs w:val="16"/>
                <w:lang w:val="en-GB"/>
              </w:rPr>
              <w:t>Ministry of Education</w:t>
            </w:r>
          </w:p>
          <w:p w14:paraId="0DC80E8C" w14:textId="77777777" w:rsidR="00637443" w:rsidRPr="00CE38CA" w:rsidRDefault="00637443" w:rsidP="006D1383">
            <w:pPr>
              <w:pStyle w:val="Normal1"/>
              <w:rPr>
                <w:sz w:val="16"/>
                <w:szCs w:val="16"/>
                <w:lang w:val="en-GB"/>
              </w:rPr>
            </w:pPr>
            <w:r w:rsidRPr="00CE38CA">
              <w:rPr>
                <w:rFonts w:eastAsia="Calibri"/>
                <w:sz w:val="16"/>
                <w:szCs w:val="16"/>
                <w:lang w:val="en-GB"/>
              </w:rPr>
              <w:t>Regional and local governments</w:t>
            </w:r>
          </w:p>
          <w:p w14:paraId="4EE2D186" w14:textId="77777777" w:rsidR="00637443" w:rsidRPr="00CE38CA" w:rsidRDefault="00637443" w:rsidP="006D1383">
            <w:pPr>
              <w:pStyle w:val="Normal1"/>
              <w:rPr>
                <w:sz w:val="16"/>
                <w:szCs w:val="16"/>
                <w:lang w:val="en-GB"/>
              </w:rPr>
            </w:pPr>
            <w:r w:rsidRPr="00CE38CA">
              <w:rPr>
                <w:rFonts w:eastAsia="Calibri"/>
                <w:sz w:val="16"/>
                <w:szCs w:val="16"/>
                <w:lang w:val="en-GB"/>
              </w:rPr>
              <w:t>Ministry of the Environment</w:t>
            </w:r>
          </w:p>
          <w:p w14:paraId="6E8CD226" w14:textId="77777777" w:rsidR="00637443" w:rsidRPr="00CE38CA" w:rsidRDefault="00637443" w:rsidP="006D1383">
            <w:pPr>
              <w:pStyle w:val="Normal1"/>
              <w:rPr>
                <w:sz w:val="16"/>
                <w:szCs w:val="16"/>
                <w:lang w:val="en-GB"/>
              </w:rPr>
            </w:pPr>
            <w:r w:rsidRPr="00CE38CA">
              <w:rPr>
                <w:rFonts w:eastAsia="Calibri"/>
                <w:sz w:val="16"/>
                <w:szCs w:val="16"/>
                <w:lang w:val="en-GB"/>
              </w:rPr>
              <w:t xml:space="preserve">Ministry of Energy </w:t>
            </w:r>
          </w:p>
          <w:p w14:paraId="2B66FF28" w14:textId="77777777" w:rsidR="00637443" w:rsidRPr="00CE38CA" w:rsidRDefault="00637443" w:rsidP="006D1383">
            <w:pPr>
              <w:pStyle w:val="Normal1"/>
              <w:rPr>
                <w:sz w:val="16"/>
                <w:szCs w:val="16"/>
                <w:lang w:val="en-GB"/>
              </w:rPr>
            </w:pPr>
            <w:r w:rsidRPr="00CE38CA">
              <w:rPr>
                <w:rFonts w:eastAsia="Calibri"/>
                <w:sz w:val="16"/>
                <w:szCs w:val="16"/>
                <w:lang w:val="en-GB"/>
              </w:rPr>
              <w:t>Ministry of Housing</w:t>
            </w:r>
          </w:p>
          <w:p w14:paraId="2957650B" w14:textId="77777777" w:rsidR="00637443" w:rsidRPr="00CE38CA" w:rsidRDefault="00637443" w:rsidP="006D1383">
            <w:pPr>
              <w:pStyle w:val="Normal1"/>
              <w:rPr>
                <w:sz w:val="16"/>
                <w:szCs w:val="16"/>
                <w:lang w:val="en-GB"/>
              </w:rPr>
            </w:pPr>
            <w:r w:rsidRPr="00CE38CA">
              <w:rPr>
                <w:rFonts w:eastAsia="Calibri"/>
                <w:sz w:val="16"/>
                <w:szCs w:val="16"/>
                <w:lang w:val="en-GB"/>
              </w:rPr>
              <w:t>Commission of Water Resources, Desertification and Drought of Congress</w:t>
            </w:r>
          </w:p>
          <w:p w14:paraId="18CC23BA" w14:textId="77777777" w:rsidR="00637443" w:rsidRPr="00CE38CA" w:rsidRDefault="00637443" w:rsidP="006D1383">
            <w:pPr>
              <w:pStyle w:val="Normal1"/>
              <w:rPr>
                <w:sz w:val="16"/>
                <w:szCs w:val="16"/>
                <w:lang w:val="en-GB"/>
              </w:rPr>
            </w:pPr>
            <w:r w:rsidRPr="00CE38CA">
              <w:rPr>
                <w:rFonts w:eastAsia="Calibri"/>
                <w:sz w:val="16"/>
                <w:szCs w:val="16"/>
                <w:lang w:val="en-GB"/>
              </w:rPr>
              <w:t>Communities</w:t>
            </w:r>
          </w:p>
          <w:p w14:paraId="6A834A0B" w14:textId="5134A5CF" w:rsidR="00637443" w:rsidRPr="00CE38CA" w:rsidRDefault="00637443" w:rsidP="006D1383">
            <w:pPr>
              <w:pStyle w:val="Normal1"/>
              <w:rPr>
                <w:sz w:val="16"/>
                <w:szCs w:val="16"/>
                <w:lang w:val="en-GB"/>
              </w:rPr>
            </w:pPr>
            <w:r w:rsidRPr="00CE38CA">
              <w:rPr>
                <w:rFonts w:eastAsia="Calibri"/>
                <w:sz w:val="16"/>
                <w:szCs w:val="16"/>
                <w:lang w:val="en-GB"/>
              </w:rPr>
              <w:t xml:space="preserve">Civil </w:t>
            </w:r>
            <w:r w:rsidR="00E65BEE">
              <w:rPr>
                <w:rFonts w:eastAsia="Calibri"/>
                <w:sz w:val="16"/>
                <w:szCs w:val="16"/>
                <w:lang w:val="en-GB"/>
              </w:rPr>
              <w:t>s</w:t>
            </w:r>
            <w:r w:rsidRPr="00CE38CA">
              <w:rPr>
                <w:rFonts w:eastAsia="Calibri"/>
                <w:sz w:val="16"/>
                <w:szCs w:val="16"/>
                <w:lang w:val="en-GB"/>
              </w:rPr>
              <w:t xml:space="preserve">ociety </w:t>
            </w:r>
            <w:r w:rsidR="00E65BEE">
              <w:rPr>
                <w:rFonts w:eastAsia="Calibri"/>
                <w:sz w:val="16"/>
                <w:szCs w:val="16"/>
                <w:lang w:val="en-GB"/>
              </w:rPr>
              <w:t>o</w:t>
            </w:r>
            <w:r w:rsidRPr="00CE38CA">
              <w:rPr>
                <w:rFonts w:eastAsia="Calibri"/>
                <w:sz w:val="16"/>
                <w:szCs w:val="16"/>
                <w:lang w:val="en-GB"/>
              </w:rPr>
              <w:t xml:space="preserve">rganizations Indigenous </w:t>
            </w:r>
            <w:r w:rsidR="00E65BEE">
              <w:rPr>
                <w:rFonts w:eastAsia="Calibri"/>
                <w:sz w:val="16"/>
                <w:szCs w:val="16"/>
                <w:lang w:val="en-GB"/>
              </w:rPr>
              <w:t>o</w:t>
            </w:r>
            <w:r w:rsidRPr="00CE38CA">
              <w:rPr>
                <w:rFonts w:eastAsia="Calibri"/>
                <w:sz w:val="16"/>
                <w:szCs w:val="16"/>
                <w:lang w:val="en-GB"/>
              </w:rPr>
              <w:t>rganizations</w:t>
            </w:r>
          </w:p>
          <w:p w14:paraId="49BC8008" w14:textId="77777777" w:rsidR="00637443" w:rsidRPr="00CE38CA" w:rsidRDefault="00637443" w:rsidP="006D1383">
            <w:pPr>
              <w:pStyle w:val="Normal1"/>
              <w:rPr>
                <w:sz w:val="16"/>
                <w:szCs w:val="16"/>
                <w:lang w:val="en-GB"/>
              </w:rPr>
            </w:pPr>
            <w:r w:rsidRPr="00CE38CA">
              <w:rPr>
                <w:rFonts w:eastAsia="Calibri"/>
                <w:sz w:val="16"/>
                <w:szCs w:val="16"/>
                <w:lang w:val="en-GB"/>
              </w:rPr>
              <w:t>Universities and think tanks</w:t>
            </w:r>
          </w:p>
          <w:p w14:paraId="5F888C4B" w14:textId="77777777" w:rsidR="00637443" w:rsidRPr="00CE38CA" w:rsidRDefault="00637443" w:rsidP="006D1383">
            <w:pPr>
              <w:pStyle w:val="Normal1"/>
              <w:rPr>
                <w:sz w:val="16"/>
                <w:szCs w:val="16"/>
                <w:lang w:val="en-GB"/>
              </w:rPr>
            </w:pPr>
            <w:r w:rsidRPr="00CE38CA">
              <w:rPr>
                <w:rFonts w:eastAsia="Calibri"/>
                <w:sz w:val="16"/>
                <w:szCs w:val="16"/>
                <w:lang w:val="en-GB"/>
              </w:rPr>
              <w:t>Private sector</w:t>
            </w:r>
          </w:p>
          <w:p w14:paraId="147B0DD6" w14:textId="2AD1DE46" w:rsidR="00637443" w:rsidRPr="00CE38CA" w:rsidRDefault="00E65BEE" w:rsidP="006D1383">
            <w:pPr>
              <w:pStyle w:val="Normal1"/>
              <w:rPr>
                <w:sz w:val="16"/>
                <w:szCs w:val="16"/>
                <w:lang w:val="en-GB"/>
              </w:rPr>
            </w:pPr>
            <w:r>
              <w:rPr>
                <w:rFonts w:eastAsia="Calibri"/>
                <w:sz w:val="16"/>
                <w:szCs w:val="16"/>
                <w:lang w:val="en-GB"/>
              </w:rPr>
              <w:t>Economic Commission for Latin America and the Caribbean (</w:t>
            </w:r>
            <w:r w:rsidR="00637443" w:rsidRPr="00CE38CA">
              <w:rPr>
                <w:rFonts w:eastAsia="Calibri"/>
                <w:sz w:val="16"/>
                <w:szCs w:val="16"/>
                <w:lang w:val="en-GB"/>
              </w:rPr>
              <w:t>ECLAC</w:t>
            </w:r>
            <w:r>
              <w:rPr>
                <w:rFonts w:eastAsia="Calibri"/>
                <w:sz w:val="16"/>
                <w:szCs w:val="16"/>
                <w:lang w:val="en-GB"/>
              </w:rPr>
              <w:t>)</w:t>
            </w:r>
          </w:p>
          <w:p w14:paraId="4FCE967E" w14:textId="1A403C37" w:rsidR="00637443" w:rsidRPr="00CE38CA" w:rsidRDefault="00E65BEE" w:rsidP="006D1383">
            <w:pPr>
              <w:pStyle w:val="Normal1"/>
              <w:rPr>
                <w:sz w:val="16"/>
                <w:szCs w:val="16"/>
                <w:lang w:val="en-GB"/>
              </w:rPr>
            </w:pPr>
            <w:r>
              <w:rPr>
                <w:rFonts w:eastAsia="Calibri"/>
                <w:sz w:val="16"/>
                <w:szCs w:val="16"/>
                <w:lang w:val="en-GB"/>
              </w:rPr>
              <w:t>Food and Agricultural Organization of the United Nations (</w:t>
            </w:r>
            <w:r w:rsidR="00637443" w:rsidRPr="00CE38CA">
              <w:rPr>
                <w:rFonts w:eastAsia="Calibri"/>
                <w:sz w:val="16"/>
                <w:szCs w:val="16"/>
                <w:lang w:val="en-GB"/>
              </w:rPr>
              <w:t>FAO</w:t>
            </w:r>
            <w:r>
              <w:rPr>
                <w:rFonts w:eastAsia="Calibri"/>
                <w:sz w:val="16"/>
                <w:szCs w:val="16"/>
                <w:lang w:val="en-GB"/>
              </w:rPr>
              <w:t>)</w:t>
            </w:r>
          </w:p>
          <w:p w14:paraId="4370521D" w14:textId="77777777" w:rsidR="00637443" w:rsidRPr="00CE38CA" w:rsidRDefault="00637443" w:rsidP="006D1383">
            <w:pPr>
              <w:pStyle w:val="Normal1"/>
              <w:rPr>
                <w:sz w:val="16"/>
                <w:szCs w:val="16"/>
                <w:lang w:val="en-GB"/>
              </w:rPr>
            </w:pPr>
          </w:p>
        </w:tc>
        <w:tc>
          <w:tcPr>
            <w:tcW w:w="805" w:type="pct"/>
            <w:tcMar>
              <w:top w:w="15" w:type="dxa"/>
              <w:left w:w="108" w:type="dxa"/>
              <w:bottom w:w="0" w:type="dxa"/>
              <w:right w:w="108" w:type="dxa"/>
            </w:tcMar>
          </w:tcPr>
          <w:p w14:paraId="470B036B" w14:textId="77777777" w:rsidR="00637443" w:rsidRPr="00CE38CA" w:rsidRDefault="00637443" w:rsidP="00983451">
            <w:pPr>
              <w:rPr>
                <w:b/>
                <w:color w:val="000000"/>
                <w:sz w:val="16"/>
                <w:szCs w:val="16"/>
                <w:lang w:val="en-GB"/>
              </w:rPr>
            </w:pPr>
            <w:r w:rsidRPr="00CE38CA">
              <w:rPr>
                <w:b/>
                <w:color w:val="000000"/>
                <w:sz w:val="16"/>
                <w:szCs w:val="16"/>
                <w:lang w:val="en-GB"/>
              </w:rPr>
              <w:t xml:space="preserve">Regular </w:t>
            </w:r>
          </w:p>
          <w:p w14:paraId="0C8EF465" w14:textId="77777777" w:rsidR="00637443" w:rsidRPr="00CE38CA" w:rsidRDefault="00637443" w:rsidP="00983451">
            <w:pPr>
              <w:rPr>
                <w:color w:val="000000"/>
                <w:sz w:val="16"/>
                <w:szCs w:val="16"/>
                <w:lang w:val="en-GB"/>
              </w:rPr>
            </w:pPr>
            <w:r w:rsidRPr="00CE38CA">
              <w:rPr>
                <w:color w:val="000000"/>
                <w:sz w:val="16"/>
                <w:szCs w:val="16"/>
                <w:lang w:val="en-GB"/>
              </w:rPr>
              <w:t xml:space="preserve">500,000                 </w:t>
            </w:r>
          </w:p>
        </w:tc>
      </w:tr>
      <w:tr w:rsidR="00637443" w:rsidRPr="00CE38CA" w14:paraId="0F29A43E" w14:textId="77777777" w:rsidTr="0077091F">
        <w:trPr>
          <w:trHeight w:val="461"/>
        </w:trPr>
        <w:tc>
          <w:tcPr>
            <w:tcW w:w="963" w:type="pct"/>
            <w:vMerge/>
            <w:tcBorders>
              <w:bottom w:val="single" w:sz="4" w:space="0" w:color="auto"/>
            </w:tcBorders>
            <w:tcMar>
              <w:top w:w="72" w:type="dxa"/>
              <w:left w:w="144" w:type="dxa"/>
              <w:bottom w:w="72" w:type="dxa"/>
              <w:right w:w="144" w:type="dxa"/>
            </w:tcMar>
          </w:tcPr>
          <w:p w14:paraId="07B49C8A" w14:textId="77777777" w:rsidR="00637443" w:rsidRPr="00CE38CA" w:rsidRDefault="00637443" w:rsidP="00885F85">
            <w:pPr>
              <w:rPr>
                <w:i/>
                <w:iCs/>
                <w:color w:val="000000"/>
                <w:sz w:val="16"/>
                <w:szCs w:val="16"/>
                <w:lang w:val="en-GB"/>
              </w:rPr>
            </w:pPr>
          </w:p>
        </w:tc>
        <w:tc>
          <w:tcPr>
            <w:tcW w:w="636" w:type="pct"/>
            <w:gridSpan w:val="2"/>
            <w:vMerge/>
            <w:tcBorders>
              <w:bottom w:val="single" w:sz="4" w:space="0" w:color="auto"/>
            </w:tcBorders>
          </w:tcPr>
          <w:p w14:paraId="36E60DC2" w14:textId="77777777" w:rsidR="00637443" w:rsidRPr="00CE38CA" w:rsidRDefault="00637443" w:rsidP="00885F85">
            <w:pPr>
              <w:rPr>
                <w:i/>
                <w:iCs/>
                <w:color w:val="000000"/>
                <w:sz w:val="16"/>
                <w:szCs w:val="16"/>
                <w:lang w:val="en-GB"/>
              </w:rPr>
            </w:pPr>
          </w:p>
        </w:tc>
        <w:tc>
          <w:tcPr>
            <w:tcW w:w="1769" w:type="pct"/>
            <w:gridSpan w:val="3"/>
            <w:vMerge/>
            <w:tcBorders>
              <w:bottom w:val="single" w:sz="4" w:space="0" w:color="auto"/>
            </w:tcBorders>
            <w:tcMar>
              <w:top w:w="72" w:type="dxa"/>
              <w:left w:w="144" w:type="dxa"/>
              <w:bottom w:w="72" w:type="dxa"/>
              <w:right w:w="144" w:type="dxa"/>
            </w:tcMar>
          </w:tcPr>
          <w:p w14:paraId="32AAAB16" w14:textId="77777777" w:rsidR="00637443" w:rsidRPr="00CE38CA" w:rsidRDefault="00637443" w:rsidP="00885F85">
            <w:pPr>
              <w:rPr>
                <w:i/>
                <w:iCs/>
                <w:color w:val="000000"/>
                <w:sz w:val="16"/>
                <w:szCs w:val="16"/>
                <w:lang w:val="en-GB"/>
              </w:rPr>
            </w:pPr>
          </w:p>
        </w:tc>
        <w:tc>
          <w:tcPr>
            <w:tcW w:w="827" w:type="pct"/>
            <w:gridSpan w:val="2"/>
            <w:vMerge/>
            <w:tcBorders>
              <w:bottom w:val="single" w:sz="4" w:space="0" w:color="auto"/>
            </w:tcBorders>
          </w:tcPr>
          <w:p w14:paraId="58723C23" w14:textId="77777777" w:rsidR="00637443" w:rsidRPr="00CE38CA" w:rsidRDefault="00637443" w:rsidP="00885F85">
            <w:pPr>
              <w:rPr>
                <w:i/>
                <w:iCs/>
                <w:color w:val="000000"/>
                <w:sz w:val="16"/>
                <w:szCs w:val="16"/>
                <w:lang w:val="en-GB"/>
              </w:rPr>
            </w:pPr>
          </w:p>
        </w:tc>
        <w:tc>
          <w:tcPr>
            <w:tcW w:w="805" w:type="pct"/>
            <w:tcBorders>
              <w:bottom w:val="single" w:sz="4" w:space="0" w:color="auto"/>
            </w:tcBorders>
            <w:tcMar>
              <w:top w:w="15" w:type="dxa"/>
              <w:left w:w="108" w:type="dxa"/>
              <w:bottom w:w="0" w:type="dxa"/>
              <w:right w:w="108" w:type="dxa"/>
            </w:tcMar>
          </w:tcPr>
          <w:p w14:paraId="317A000E" w14:textId="77777777" w:rsidR="00637443" w:rsidRPr="00CE38CA" w:rsidRDefault="00637443" w:rsidP="00983451">
            <w:pPr>
              <w:rPr>
                <w:b/>
                <w:color w:val="000000"/>
                <w:sz w:val="16"/>
                <w:szCs w:val="16"/>
                <w:lang w:val="en-GB"/>
              </w:rPr>
            </w:pPr>
            <w:r w:rsidRPr="00CE38CA">
              <w:rPr>
                <w:b/>
                <w:color w:val="000000"/>
                <w:sz w:val="16"/>
                <w:szCs w:val="16"/>
                <w:lang w:val="en-GB"/>
              </w:rPr>
              <w:t>Other</w:t>
            </w:r>
          </w:p>
          <w:p w14:paraId="3060DDCC" w14:textId="77777777" w:rsidR="00637443" w:rsidRPr="00CE38CA" w:rsidRDefault="00637443" w:rsidP="00983451">
            <w:pPr>
              <w:rPr>
                <w:b/>
                <w:color w:val="000000"/>
                <w:sz w:val="16"/>
                <w:szCs w:val="16"/>
                <w:lang w:val="en-GB"/>
              </w:rPr>
            </w:pPr>
            <w:r w:rsidRPr="00CE38CA">
              <w:rPr>
                <w:color w:val="000000"/>
                <w:sz w:val="16"/>
                <w:szCs w:val="16"/>
                <w:lang w:val="en-GB"/>
              </w:rPr>
              <w:t>20,980,000</w:t>
            </w:r>
          </w:p>
        </w:tc>
      </w:tr>
      <w:tr w:rsidR="00AB12BB" w:rsidRPr="00CE38CA" w14:paraId="3921C90D" w14:textId="77777777" w:rsidTr="0077091F">
        <w:trPr>
          <w:trHeight w:val="25"/>
        </w:trPr>
        <w:tc>
          <w:tcPr>
            <w:tcW w:w="5000" w:type="pct"/>
            <w:gridSpan w:val="9"/>
            <w:shd w:val="clear" w:color="auto" w:fill="auto"/>
            <w:tcMar>
              <w:top w:w="72" w:type="dxa"/>
              <w:left w:w="144" w:type="dxa"/>
              <w:bottom w:w="72" w:type="dxa"/>
              <w:right w:w="144" w:type="dxa"/>
            </w:tcMar>
          </w:tcPr>
          <w:p w14:paraId="4B8E9CCA" w14:textId="77777777" w:rsidR="00AB12BB" w:rsidRPr="00CE38CA" w:rsidRDefault="00AB12BB" w:rsidP="004F7CB1">
            <w:pPr>
              <w:rPr>
                <w:sz w:val="16"/>
                <w:szCs w:val="16"/>
                <w:lang w:val="en-GB"/>
              </w:rPr>
            </w:pPr>
            <w:r w:rsidRPr="00CE38CA">
              <w:rPr>
                <w:b/>
                <w:bCs/>
                <w:color w:val="000000"/>
                <w:sz w:val="16"/>
                <w:szCs w:val="16"/>
                <w:lang w:val="en-GB"/>
              </w:rPr>
              <w:lastRenderedPageBreak/>
              <w:t>NATIONAL PRIORITY OR GOAL:</w:t>
            </w:r>
            <w:r w:rsidR="00645B72" w:rsidRPr="00CE38CA">
              <w:rPr>
                <w:b/>
                <w:bCs/>
                <w:color w:val="000000"/>
                <w:sz w:val="16"/>
                <w:szCs w:val="16"/>
                <w:lang w:val="en-GB"/>
              </w:rPr>
              <w:t xml:space="preserve"> </w:t>
            </w:r>
            <w:r w:rsidR="005E7154" w:rsidRPr="00CE38CA">
              <w:rPr>
                <w:rFonts w:eastAsia="Calibri"/>
                <w:sz w:val="16"/>
                <w:szCs w:val="16"/>
                <w:lang w:val="en-GB"/>
              </w:rPr>
              <w:t>Participatory development of a new constitution, policy reforms, promotion of citizen participation, new relationship in order to improve the quality of life of the indigenous population, both rural and urban, strengthening the decentralization process and powers of local and regional governments, promotion of probity and transparency.</w:t>
            </w:r>
          </w:p>
        </w:tc>
      </w:tr>
      <w:tr w:rsidR="00AB12BB" w:rsidRPr="00CE38CA" w14:paraId="62F332CC" w14:textId="77777777" w:rsidTr="0077091F">
        <w:trPr>
          <w:trHeight w:val="124"/>
        </w:trPr>
        <w:tc>
          <w:tcPr>
            <w:tcW w:w="5000" w:type="pct"/>
            <w:gridSpan w:val="9"/>
            <w:shd w:val="clear" w:color="auto" w:fill="auto"/>
            <w:tcMar>
              <w:top w:w="72" w:type="dxa"/>
              <w:left w:w="144" w:type="dxa"/>
              <w:bottom w:w="72" w:type="dxa"/>
              <w:right w:w="144" w:type="dxa"/>
            </w:tcMar>
          </w:tcPr>
          <w:p w14:paraId="602ABF21" w14:textId="6BC9D7FA" w:rsidR="00AB12BB" w:rsidRPr="00CE38CA" w:rsidRDefault="005E7154" w:rsidP="00947E48">
            <w:pPr>
              <w:rPr>
                <w:b/>
                <w:bCs/>
                <w:sz w:val="16"/>
                <w:szCs w:val="16"/>
                <w:highlight w:val="yellow"/>
                <w:lang w:val="en-GB"/>
              </w:rPr>
            </w:pPr>
            <w:r w:rsidRPr="00CE38CA">
              <w:rPr>
                <w:rFonts w:eastAsia="Calibri"/>
                <w:b/>
                <w:sz w:val="16"/>
                <w:szCs w:val="16"/>
                <w:lang w:val="en-GB"/>
              </w:rPr>
              <w:t>UNDAF (OR EQUIVALENT) OUTCOME INVOLVING UNDP 5</w:t>
            </w:r>
            <w:r w:rsidRPr="00CE38CA">
              <w:rPr>
                <w:rFonts w:eastAsia="Calibri"/>
                <w:sz w:val="16"/>
                <w:szCs w:val="16"/>
                <w:lang w:val="en-GB"/>
              </w:rPr>
              <w:t xml:space="preserve">:  The </w:t>
            </w:r>
            <w:r w:rsidR="00947E48" w:rsidRPr="00CE38CA">
              <w:rPr>
                <w:rFonts w:eastAsia="Calibri"/>
                <w:sz w:val="16"/>
                <w:szCs w:val="16"/>
                <w:lang w:val="en-GB"/>
              </w:rPr>
              <w:t>State</w:t>
            </w:r>
            <w:r w:rsidR="00A069CB" w:rsidRPr="00CE38CA">
              <w:rPr>
                <w:rFonts w:eastAsia="Calibri"/>
                <w:sz w:val="16"/>
                <w:szCs w:val="16"/>
                <w:lang w:val="en-GB"/>
              </w:rPr>
              <w:t xml:space="preserve"> </w:t>
            </w:r>
            <w:r w:rsidRPr="00CE38CA">
              <w:rPr>
                <w:rFonts w:eastAsia="Calibri"/>
                <w:sz w:val="16"/>
                <w:szCs w:val="16"/>
                <w:lang w:val="en-GB"/>
              </w:rPr>
              <w:t xml:space="preserve">has made progress </w:t>
            </w:r>
            <w:r w:rsidR="00947E48" w:rsidRPr="00CE38CA">
              <w:rPr>
                <w:rFonts w:eastAsia="Calibri"/>
                <w:sz w:val="16"/>
                <w:szCs w:val="16"/>
                <w:lang w:val="en-GB"/>
              </w:rPr>
              <w:t>on</w:t>
            </w:r>
            <w:r w:rsidRPr="00CE38CA">
              <w:rPr>
                <w:rFonts w:eastAsia="Calibri"/>
                <w:sz w:val="16"/>
                <w:szCs w:val="16"/>
                <w:lang w:val="en-GB"/>
              </w:rPr>
              <w:t xml:space="preserve"> the definition and implementation of policy reforms </w:t>
            </w:r>
            <w:r w:rsidR="00947E48" w:rsidRPr="00CE38CA">
              <w:rPr>
                <w:rFonts w:eastAsia="Calibri"/>
                <w:sz w:val="16"/>
                <w:szCs w:val="16"/>
                <w:lang w:val="en-GB"/>
              </w:rPr>
              <w:t>designed to improve</w:t>
            </w:r>
            <w:r w:rsidRPr="00CE38CA">
              <w:rPr>
                <w:rFonts w:eastAsia="Calibri"/>
                <w:sz w:val="16"/>
                <w:szCs w:val="16"/>
                <w:lang w:val="en-GB"/>
              </w:rPr>
              <w:t xml:space="preserve"> citizen participation and the quality of democracy.</w:t>
            </w:r>
          </w:p>
        </w:tc>
      </w:tr>
      <w:tr w:rsidR="00AB12BB" w:rsidRPr="00CE38CA" w14:paraId="7916C187" w14:textId="77777777" w:rsidTr="0077091F">
        <w:trPr>
          <w:trHeight w:val="124"/>
        </w:trPr>
        <w:tc>
          <w:tcPr>
            <w:tcW w:w="5000" w:type="pct"/>
            <w:gridSpan w:val="9"/>
            <w:shd w:val="clear" w:color="auto" w:fill="auto"/>
            <w:tcMar>
              <w:top w:w="72" w:type="dxa"/>
              <w:left w:w="144" w:type="dxa"/>
              <w:bottom w:w="72" w:type="dxa"/>
              <w:right w:w="144" w:type="dxa"/>
            </w:tcMar>
          </w:tcPr>
          <w:p w14:paraId="26F0A5D6" w14:textId="07A459FB" w:rsidR="00AB12BB" w:rsidRPr="00CE38CA" w:rsidRDefault="00AB12BB" w:rsidP="0023096B">
            <w:pPr>
              <w:rPr>
                <w:b/>
                <w:bCs/>
                <w:color w:val="000000"/>
                <w:sz w:val="16"/>
                <w:szCs w:val="16"/>
                <w:lang w:val="en-GB"/>
              </w:rPr>
            </w:pPr>
            <w:r w:rsidRPr="00CE38CA">
              <w:rPr>
                <w:b/>
                <w:bCs/>
                <w:color w:val="000000"/>
                <w:sz w:val="16"/>
                <w:szCs w:val="16"/>
                <w:lang w:val="en-GB"/>
              </w:rPr>
              <w:t>RELATED STRATEGIC PLAN OUTCOME</w:t>
            </w:r>
            <w:r w:rsidR="00637443" w:rsidRPr="00CE38CA">
              <w:rPr>
                <w:b/>
                <w:bCs/>
                <w:color w:val="000000"/>
                <w:sz w:val="16"/>
                <w:szCs w:val="16"/>
                <w:lang w:val="en-GB"/>
              </w:rPr>
              <w:t xml:space="preserve"> 2</w:t>
            </w:r>
            <w:r w:rsidRPr="00CE38CA">
              <w:rPr>
                <w:b/>
                <w:bCs/>
                <w:color w:val="000000"/>
                <w:sz w:val="16"/>
                <w:szCs w:val="16"/>
                <w:lang w:val="en-GB"/>
              </w:rPr>
              <w:t xml:space="preserve">: (from </w:t>
            </w:r>
            <w:r w:rsidR="003C1251">
              <w:rPr>
                <w:b/>
                <w:bCs/>
                <w:color w:val="000000"/>
                <w:sz w:val="16"/>
                <w:szCs w:val="16"/>
                <w:lang w:val="en-GB"/>
              </w:rPr>
              <w:t>s</w:t>
            </w:r>
            <w:r w:rsidRPr="00CE38CA">
              <w:rPr>
                <w:b/>
                <w:bCs/>
                <w:color w:val="000000"/>
                <w:sz w:val="16"/>
                <w:szCs w:val="16"/>
                <w:lang w:val="en-GB"/>
              </w:rPr>
              <w:t xml:space="preserve">trategic </w:t>
            </w:r>
            <w:r w:rsidR="003C1251">
              <w:rPr>
                <w:b/>
                <w:bCs/>
                <w:color w:val="000000"/>
                <w:sz w:val="16"/>
                <w:szCs w:val="16"/>
                <w:lang w:val="en-GB"/>
              </w:rPr>
              <w:t>p</w:t>
            </w:r>
            <w:r w:rsidRPr="00CE38CA">
              <w:rPr>
                <w:b/>
                <w:bCs/>
                <w:color w:val="000000"/>
                <w:sz w:val="16"/>
                <w:szCs w:val="16"/>
                <w:lang w:val="en-GB"/>
              </w:rPr>
              <w:t>lan</w:t>
            </w:r>
            <w:r w:rsidR="003C1251">
              <w:rPr>
                <w:b/>
                <w:bCs/>
                <w:color w:val="000000"/>
                <w:sz w:val="16"/>
                <w:szCs w:val="16"/>
                <w:lang w:val="en-GB"/>
              </w:rPr>
              <w:t>,</w:t>
            </w:r>
            <w:r w:rsidRPr="00CE38CA">
              <w:rPr>
                <w:b/>
                <w:bCs/>
                <w:color w:val="000000"/>
                <w:sz w:val="16"/>
                <w:szCs w:val="16"/>
                <w:lang w:val="en-GB"/>
              </w:rPr>
              <w:t xml:space="preserve"> 2014-2017)</w:t>
            </w:r>
            <w:r w:rsidR="00A041F7" w:rsidRPr="00CE38CA">
              <w:rPr>
                <w:b/>
                <w:bCs/>
                <w:color w:val="000000"/>
                <w:sz w:val="16"/>
                <w:szCs w:val="16"/>
                <w:lang w:val="en-GB"/>
              </w:rPr>
              <w:t xml:space="preserve">: </w:t>
            </w:r>
            <w:r w:rsidR="00947E48" w:rsidRPr="0071469E">
              <w:rPr>
                <w:bCs/>
                <w:color w:val="000000"/>
                <w:sz w:val="16"/>
                <w:szCs w:val="16"/>
                <w:lang w:val="en-GB"/>
              </w:rPr>
              <w:t xml:space="preserve">Citizen expectations </w:t>
            </w:r>
            <w:r w:rsidR="0023096B" w:rsidRPr="0071469E">
              <w:rPr>
                <w:bCs/>
                <w:color w:val="000000"/>
                <w:sz w:val="16"/>
                <w:szCs w:val="16"/>
                <w:lang w:val="en-GB"/>
              </w:rPr>
              <w:t>for voice, effective development, the rule of law and accountability are met by stronger systems of democratic governance</w:t>
            </w:r>
            <w:r w:rsidR="003C1251">
              <w:rPr>
                <w:bCs/>
                <w:color w:val="000000"/>
                <w:sz w:val="16"/>
                <w:szCs w:val="16"/>
                <w:lang w:val="en-GB"/>
              </w:rPr>
              <w:t>.</w:t>
            </w:r>
            <w:r w:rsidR="0023096B" w:rsidRPr="0071469E">
              <w:rPr>
                <w:bCs/>
                <w:color w:val="000000"/>
                <w:sz w:val="16"/>
                <w:szCs w:val="16"/>
                <w:lang w:val="en-GB"/>
              </w:rPr>
              <w:t xml:space="preserve"> </w:t>
            </w:r>
          </w:p>
        </w:tc>
      </w:tr>
      <w:tr w:rsidR="00637443" w:rsidRPr="00CE38CA" w14:paraId="1F170646" w14:textId="77777777" w:rsidTr="004F46EF">
        <w:trPr>
          <w:trHeight w:val="133"/>
        </w:trPr>
        <w:tc>
          <w:tcPr>
            <w:tcW w:w="1097" w:type="pct"/>
            <w:gridSpan w:val="2"/>
            <w:vMerge w:val="restart"/>
            <w:tcMar>
              <w:top w:w="72" w:type="dxa"/>
              <w:left w:w="144" w:type="dxa"/>
              <w:bottom w:w="72" w:type="dxa"/>
              <w:right w:w="144" w:type="dxa"/>
            </w:tcMar>
          </w:tcPr>
          <w:p w14:paraId="790B607C" w14:textId="471C9A58" w:rsidR="00637443" w:rsidRPr="00CE38CA" w:rsidRDefault="003C1251" w:rsidP="006D1383">
            <w:pPr>
              <w:pStyle w:val="Normal1"/>
              <w:jc w:val="both"/>
              <w:rPr>
                <w:sz w:val="16"/>
                <w:szCs w:val="16"/>
                <w:lang w:val="en-GB"/>
              </w:rPr>
            </w:pPr>
            <w:r w:rsidRPr="00F942ED">
              <w:rPr>
                <w:rFonts w:eastAsia="Calibri"/>
                <w:sz w:val="16"/>
                <w:szCs w:val="16"/>
                <w:lang w:val="en-GB"/>
              </w:rPr>
              <w:t>Indicator</w:t>
            </w:r>
            <w:r w:rsidR="00637443" w:rsidRPr="00CE38CA">
              <w:rPr>
                <w:rFonts w:eastAsia="Calibri"/>
                <w:sz w:val="16"/>
                <w:szCs w:val="16"/>
                <w:lang w:val="en-GB"/>
              </w:rPr>
              <w:t>: Percentage of participation in elections</w:t>
            </w:r>
          </w:p>
          <w:p w14:paraId="44816C68" w14:textId="2F5A0999"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51.7 (2013)</w:t>
            </w:r>
          </w:p>
          <w:p w14:paraId="3428B942" w14:textId="2C2EEE14" w:rsidR="00637443"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781F09" w:rsidRPr="00CE38CA">
              <w:rPr>
                <w:rFonts w:eastAsia="Calibri"/>
                <w:sz w:val="16"/>
                <w:szCs w:val="16"/>
                <w:lang w:val="en-GB"/>
              </w:rPr>
              <w:t xml:space="preserve"> None</w:t>
            </w:r>
          </w:p>
          <w:p w14:paraId="1957ECE6" w14:textId="77777777" w:rsidR="00637443" w:rsidRPr="00CE38CA" w:rsidRDefault="00637443" w:rsidP="006D1383">
            <w:pPr>
              <w:pStyle w:val="Normal1"/>
              <w:jc w:val="both"/>
              <w:rPr>
                <w:sz w:val="16"/>
                <w:szCs w:val="16"/>
                <w:lang w:val="en-GB"/>
              </w:rPr>
            </w:pPr>
          </w:p>
          <w:p w14:paraId="5D27F7D0" w14:textId="1F703149" w:rsidR="00637443" w:rsidRPr="00CE38CA" w:rsidRDefault="003C1251" w:rsidP="006D1383">
            <w:pPr>
              <w:pStyle w:val="Normal1"/>
              <w:jc w:val="both"/>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Percentage of women in </w:t>
            </w:r>
            <w:r w:rsidR="00617131" w:rsidRPr="00CE38CA">
              <w:rPr>
                <w:rFonts w:eastAsia="Calibri"/>
                <w:sz w:val="16"/>
                <w:szCs w:val="16"/>
                <w:lang w:val="en-GB"/>
              </w:rPr>
              <w:t>Congress</w:t>
            </w:r>
          </w:p>
          <w:p w14:paraId="615AD29B" w14:textId="2E1F83F4"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w:t>
            </w:r>
            <w:r w:rsidR="00781F09" w:rsidRPr="00CE38CA">
              <w:rPr>
                <w:rFonts w:eastAsia="Calibri"/>
                <w:sz w:val="16"/>
                <w:szCs w:val="16"/>
                <w:lang w:val="en-GB"/>
              </w:rPr>
              <w:t xml:space="preserve"> </w:t>
            </w:r>
            <w:r w:rsidR="00637443" w:rsidRPr="00CE38CA">
              <w:rPr>
                <w:rFonts w:eastAsia="Calibri"/>
                <w:sz w:val="16"/>
                <w:szCs w:val="16"/>
                <w:lang w:val="en-GB"/>
              </w:rPr>
              <w:t>19/120 (2013)</w:t>
            </w:r>
          </w:p>
          <w:p w14:paraId="744E81A9" w14:textId="0A15F798" w:rsidR="00637443"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781F09" w:rsidRPr="00CE38CA">
              <w:rPr>
                <w:rFonts w:eastAsia="Calibri"/>
                <w:sz w:val="16"/>
                <w:szCs w:val="16"/>
                <w:lang w:val="en-GB"/>
              </w:rPr>
              <w:t xml:space="preserve"> None</w:t>
            </w:r>
          </w:p>
          <w:p w14:paraId="02D12C2E" w14:textId="77777777" w:rsidR="00637443" w:rsidRPr="00CE38CA" w:rsidRDefault="00637443" w:rsidP="006D1383">
            <w:pPr>
              <w:pStyle w:val="Normal1"/>
              <w:jc w:val="both"/>
              <w:rPr>
                <w:sz w:val="16"/>
                <w:szCs w:val="16"/>
                <w:lang w:val="en-GB"/>
              </w:rPr>
            </w:pPr>
          </w:p>
          <w:p w14:paraId="2D9896E3" w14:textId="07C82E6E" w:rsidR="00637443" w:rsidRPr="00CE38CA" w:rsidRDefault="003C1251" w:rsidP="006D1383">
            <w:pPr>
              <w:pStyle w:val="Normal1"/>
              <w:jc w:val="both"/>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Approval of law for promoting political representation of women </w:t>
            </w:r>
          </w:p>
          <w:p w14:paraId="51E14275" w14:textId="25A9EBE2"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617131" w:rsidRPr="00CE38CA">
              <w:rPr>
                <w:rFonts w:eastAsia="Calibri"/>
                <w:sz w:val="16"/>
                <w:szCs w:val="16"/>
                <w:lang w:val="en-GB"/>
              </w:rPr>
              <w:t>None</w:t>
            </w:r>
            <w:r w:rsidR="00637443" w:rsidRPr="00CE38CA">
              <w:rPr>
                <w:rFonts w:eastAsia="Calibri"/>
                <w:sz w:val="16"/>
                <w:szCs w:val="16"/>
                <w:lang w:val="en-GB"/>
              </w:rPr>
              <w:t xml:space="preserve"> (2014)</w:t>
            </w:r>
          </w:p>
          <w:p w14:paraId="49BF51A1" w14:textId="02CB003E" w:rsidR="00637443"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Law approved (2018)</w:t>
            </w:r>
          </w:p>
          <w:p w14:paraId="4BAB6022" w14:textId="77777777" w:rsidR="00637443" w:rsidRPr="00CE38CA" w:rsidRDefault="00637443" w:rsidP="006D1383">
            <w:pPr>
              <w:pStyle w:val="Normal1"/>
              <w:jc w:val="both"/>
              <w:rPr>
                <w:sz w:val="16"/>
                <w:szCs w:val="16"/>
                <w:lang w:val="en-GB"/>
              </w:rPr>
            </w:pPr>
          </w:p>
          <w:p w14:paraId="0893DF9B" w14:textId="40D4F469" w:rsidR="00637443" w:rsidRPr="00CE38CA" w:rsidRDefault="003C1251" w:rsidP="006D1383">
            <w:pPr>
              <w:pStyle w:val="Normal1"/>
              <w:jc w:val="both"/>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Spaces for dialogue called for by </w:t>
            </w:r>
            <w:r w:rsidR="000A757E" w:rsidRPr="00CE38CA">
              <w:rPr>
                <w:rFonts w:eastAsia="Calibri"/>
                <w:sz w:val="16"/>
                <w:szCs w:val="16"/>
                <w:lang w:val="en-GB"/>
              </w:rPr>
              <w:t xml:space="preserve">the </w:t>
            </w:r>
            <w:r w:rsidR="00637443" w:rsidRPr="00CE38CA">
              <w:rPr>
                <w:rFonts w:eastAsia="Calibri"/>
                <w:sz w:val="16"/>
                <w:szCs w:val="16"/>
                <w:lang w:val="en-GB"/>
              </w:rPr>
              <w:t>U</w:t>
            </w:r>
            <w:r w:rsidR="00DE1CA5">
              <w:rPr>
                <w:rFonts w:eastAsia="Calibri"/>
                <w:sz w:val="16"/>
                <w:szCs w:val="16"/>
                <w:lang w:val="en-GB"/>
              </w:rPr>
              <w:t xml:space="preserve">nited </w:t>
            </w:r>
            <w:r w:rsidR="00637443" w:rsidRPr="00CE38CA">
              <w:rPr>
                <w:rFonts w:eastAsia="Calibri"/>
                <w:sz w:val="16"/>
                <w:szCs w:val="16"/>
                <w:lang w:val="en-GB"/>
              </w:rPr>
              <w:t>N</w:t>
            </w:r>
            <w:r w:rsidR="00DE1CA5">
              <w:rPr>
                <w:rFonts w:eastAsia="Calibri"/>
                <w:sz w:val="16"/>
                <w:szCs w:val="16"/>
                <w:lang w:val="en-GB"/>
              </w:rPr>
              <w:t>ations</w:t>
            </w:r>
            <w:r w:rsidR="00637443" w:rsidRPr="00CE38CA">
              <w:rPr>
                <w:rFonts w:eastAsia="Calibri"/>
                <w:sz w:val="16"/>
                <w:szCs w:val="16"/>
                <w:lang w:val="en-GB"/>
              </w:rPr>
              <w:t xml:space="preserve"> system for discussing </w:t>
            </w:r>
            <w:r w:rsidR="000A757E" w:rsidRPr="00CE38CA">
              <w:rPr>
                <w:rFonts w:eastAsia="Calibri"/>
                <w:sz w:val="16"/>
                <w:szCs w:val="16"/>
                <w:lang w:val="en-GB"/>
              </w:rPr>
              <w:t xml:space="preserve">key pending </w:t>
            </w:r>
            <w:r w:rsidR="00637443" w:rsidRPr="00CE38CA">
              <w:rPr>
                <w:rFonts w:eastAsia="Calibri"/>
                <w:sz w:val="16"/>
                <w:szCs w:val="16"/>
                <w:lang w:val="en-GB"/>
              </w:rPr>
              <w:t>reforms</w:t>
            </w:r>
          </w:p>
          <w:p w14:paraId="2BF5FC53" w14:textId="44B1283A"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None</w:t>
            </w:r>
          </w:p>
          <w:p w14:paraId="16DDCCC7" w14:textId="5B611FDF" w:rsidR="00637443" w:rsidRPr="00CE38CA" w:rsidRDefault="00DE1CA5" w:rsidP="006D1383">
            <w:pPr>
              <w:pStyle w:val="Normal1"/>
              <w:jc w:val="both"/>
              <w:rPr>
                <w:rFonts w:eastAsia="Calibri"/>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At least one space with stakeholders from various sectors called and accompanied by the U</w:t>
            </w:r>
            <w:r>
              <w:rPr>
                <w:rFonts w:eastAsia="Calibri"/>
                <w:sz w:val="16"/>
                <w:szCs w:val="16"/>
                <w:lang w:val="en-GB"/>
              </w:rPr>
              <w:t xml:space="preserve">nited </w:t>
            </w:r>
            <w:r w:rsidR="00637443" w:rsidRPr="00CE38CA">
              <w:rPr>
                <w:rFonts w:eastAsia="Calibri"/>
                <w:sz w:val="16"/>
                <w:szCs w:val="16"/>
                <w:lang w:val="en-GB"/>
              </w:rPr>
              <w:t>N</w:t>
            </w:r>
            <w:r>
              <w:rPr>
                <w:rFonts w:eastAsia="Calibri"/>
                <w:sz w:val="16"/>
                <w:szCs w:val="16"/>
                <w:lang w:val="en-GB"/>
              </w:rPr>
              <w:t>ations</w:t>
            </w:r>
          </w:p>
          <w:p w14:paraId="5605B2DA" w14:textId="77777777" w:rsidR="00773EF9" w:rsidRPr="00CE38CA" w:rsidRDefault="00773EF9" w:rsidP="006D1383">
            <w:pPr>
              <w:pStyle w:val="Normal1"/>
              <w:jc w:val="both"/>
              <w:rPr>
                <w:sz w:val="16"/>
                <w:szCs w:val="16"/>
                <w:lang w:val="en-GB"/>
              </w:rPr>
            </w:pPr>
          </w:p>
          <w:p w14:paraId="33AB36C1" w14:textId="38108FF2" w:rsidR="00637443" w:rsidRPr="00CE38CA" w:rsidRDefault="003C1251" w:rsidP="006D1383">
            <w:pPr>
              <w:pStyle w:val="Normal1"/>
              <w:jc w:val="both"/>
              <w:rPr>
                <w:sz w:val="16"/>
                <w:szCs w:val="16"/>
                <w:lang w:val="en-GB"/>
              </w:rPr>
            </w:pPr>
            <w:r w:rsidRPr="00F942ED">
              <w:rPr>
                <w:rFonts w:eastAsia="Calibri"/>
                <w:sz w:val="16"/>
                <w:szCs w:val="16"/>
                <w:lang w:val="en-GB"/>
              </w:rPr>
              <w:lastRenderedPageBreak/>
              <w:t>Indicator</w:t>
            </w:r>
            <w:r w:rsidR="00637443" w:rsidRPr="00CE38CA">
              <w:rPr>
                <w:rFonts w:eastAsia="Calibri"/>
                <w:sz w:val="16"/>
                <w:szCs w:val="16"/>
                <w:lang w:val="en-GB"/>
              </w:rPr>
              <w:t xml:space="preserve">: </w:t>
            </w:r>
            <w:r w:rsidR="00735CCE" w:rsidRPr="00CE38CA">
              <w:rPr>
                <w:rFonts w:eastAsia="Calibri"/>
                <w:sz w:val="16"/>
                <w:szCs w:val="16"/>
                <w:lang w:val="en-GB"/>
              </w:rPr>
              <w:t xml:space="preserve">Institutional </w:t>
            </w:r>
            <w:r w:rsidR="005E7154" w:rsidRPr="00CE38CA">
              <w:rPr>
                <w:rFonts w:eastAsia="Calibri"/>
                <w:sz w:val="16"/>
                <w:szCs w:val="16"/>
                <w:lang w:val="en-GB"/>
              </w:rPr>
              <w:t>framework</w:t>
            </w:r>
            <w:r w:rsidR="00E94074" w:rsidRPr="00CE38CA">
              <w:rPr>
                <w:rFonts w:eastAsia="Calibri"/>
                <w:sz w:val="16"/>
                <w:szCs w:val="16"/>
                <w:lang w:val="en-GB"/>
              </w:rPr>
              <w:t xml:space="preserve"> </w:t>
            </w:r>
            <w:r w:rsidR="00735CCE" w:rsidRPr="00CE38CA">
              <w:rPr>
                <w:rFonts w:eastAsia="Calibri"/>
                <w:sz w:val="16"/>
                <w:szCs w:val="16"/>
                <w:lang w:val="en-GB"/>
              </w:rPr>
              <w:t>for indigenous people</w:t>
            </w:r>
            <w:r w:rsidR="005E7154" w:rsidRPr="00CE38CA">
              <w:rPr>
                <w:rFonts w:eastAsia="Calibri"/>
                <w:sz w:val="16"/>
                <w:szCs w:val="16"/>
                <w:lang w:val="en-GB"/>
              </w:rPr>
              <w:t xml:space="preserve"> within the Executive, with indigenous representation, created in consultation with indigenous groups</w:t>
            </w:r>
          </w:p>
          <w:p w14:paraId="4A60509F" w14:textId="6E6EF9E6"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Weak institutional structure responsible for indigenous </w:t>
            </w:r>
            <w:r w:rsidR="0032282C" w:rsidRPr="00CE38CA">
              <w:rPr>
                <w:rFonts w:eastAsia="Calibri"/>
                <w:sz w:val="16"/>
                <w:szCs w:val="16"/>
                <w:lang w:val="en-GB"/>
              </w:rPr>
              <w:t>issues</w:t>
            </w:r>
          </w:p>
          <w:p w14:paraId="6C01BAAD" w14:textId="3275D53B" w:rsidR="00637443"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xml:space="preserve">: </w:t>
            </w:r>
            <w:r w:rsidR="0032282C" w:rsidRPr="00CE38CA">
              <w:rPr>
                <w:rFonts w:eastAsia="Calibri"/>
                <w:sz w:val="16"/>
                <w:szCs w:val="16"/>
                <w:lang w:val="en-GB"/>
              </w:rPr>
              <w:t>A</w:t>
            </w:r>
            <w:r w:rsidR="00637443" w:rsidRPr="00CE38CA">
              <w:rPr>
                <w:rFonts w:eastAsia="Calibri"/>
                <w:sz w:val="16"/>
                <w:szCs w:val="16"/>
                <w:lang w:val="en-GB"/>
              </w:rPr>
              <w:t xml:space="preserve"> bill to create a Ministry of Indigenous People</w:t>
            </w:r>
          </w:p>
          <w:p w14:paraId="196373AA" w14:textId="77777777" w:rsidR="00637443" w:rsidRPr="00CE38CA" w:rsidRDefault="00637443" w:rsidP="006D1383">
            <w:pPr>
              <w:pStyle w:val="Normal1"/>
              <w:rPr>
                <w:sz w:val="16"/>
                <w:szCs w:val="16"/>
                <w:lang w:val="en-GB"/>
              </w:rPr>
            </w:pPr>
          </w:p>
        </w:tc>
        <w:tc>
          <w:tcPr>
            <w:tcW w:w="653" w:type="pct"/>
            <w:gridSpan w:val="2"/>
            <w:vMerge w:val="restart"/>
          </w:tcPr>
          <w:p w14:paraId="1758FB21" w14:textId="6D8208D4" w:rsidR="00637443" w:rsidRPr="00CE38CA" w:rsidRDefault="00637443" w:rsidP="006D1383">
            <w:pPr>
              <w:pStyle w:val="Normal1"/>
              <w:rPr>
                <w:sz w:val="16"/>
                <w:szCs w:val="16"/>
                <w:lang w:val="en-GB"/>
              </w:rPr>
            </w:pPr>
            <w:r w:rsidRPr="00CE38CA">
              <w:rPr>
                <w:rFonts w:eastAsia="Calibri"/>
                <w:sz w:val="16"/>
                <w:szCs w:val="16"/>
                <w:lang w:val="en-GB"/>
              </w:rPr>
              <w:lastRenderedPageBreak/>
              <w:t>Seve</w:t>
            </w:r>
            <w:r w:rsidR="00DE1CA5">
              <w:rPr>
                <w:rFonts w:eastAsia="Calibri"/>
                <w:sz w:val="16"/>
                <w:szCs w:val="16"/>
                <w:lang w:val="en-GB"/>
              </w:rPr>
              <w:t>ra</w:t>
            </w:r>
            <w:r w:rsidRPr="00CE38CA">
              <w:rPr>
                <w:rFonts w:eastAsia="Calibri"/>
                <w:sz w:val="16"/>
                <w:szCs w:val="16"/>
                <w:lang w:val="en-GB"/>
              </w:rPr>
              <w:t>l</w:t>
            </w:r>
          </w:p>
          <w:p w14:paraId="4BA6E792" w14:textId="77777777" w:rsidR="00637443" w:rsidRPr="00CE38CA" w:rsidRDefault="00637443" w:rsidP="006D1383">
            <w:pPr>
              <w:pStyle w:val="Normal1"/>
              <w:rPr>
                <w:sz w:val="16"/>
                <w:szCs w:val="16"/>
                <w:lang w:val="en-GB"/>
              </w:rPr>
            </w:pPr>
          </w:p>
          <w:p w14:paraId="5D0EA9EC" w14:textId="77777777" w:rsidR="00637443" w:rsidRPr="00CE38CA" w:rsidRDefault="00637443" w:rsidP="006D1383">
            <w:pPr>
              <w:pStyle w:val="Normal1"/>
              <w:rPr>
                <w:sz w:val="16"/>
                <w:szCs w:val="16"/>
                <w:lang w:val="en-GB"/>
              </w:rPr>
            </w:pPr>
          </w:p>
          <w:p w14:paraId="1699B36E" w14:textId="77777777" w:rsidR="00637443" w:rsidRPr="00CE38CA" w:rsidRDefault="00637443" w:rsidP="006D1383">
            <w:pPr>
              <w:pStyle w:val="Normal1"/>
              <w:rPr>
                <w:sz w:val="16"/>
                <w:szCs w:val="16"/>
                <w:lang w:val="en-GB"/>
              </w:rPr>
            </w:pPr>
          </w:p>
          <w:p w14:paraId="21853DA2" w14:textId="77777777" w:rsidR="00617131" w:rsidRPr="00CE38CA" w:rsidRDefault="00617131" w:rsidP="006D1383">
            <w:pPr>
              <w:pStyle w:val="Normal1"/>
              <w:rPr>
                <w:rFonts w:eastAsia="Calibri"/>
                <w:sz w:val="16"/>
                <w:szCs w:val="16"/>
                <w:lang w:val="en-GB"/>
              </w:rPr>
            </w:pPr>
          </w:p>
          <w:p w14:paraId="0F9A2BF3" w14:textId="77777777" w:rsidR="00637443" w:rsidRPr="00CE38CA" w:rsidRDefault="005E7154" w:rsidP="006D1383">
            <w:pPr>
              <w:pStyle w:val="Normal1"/>
              <w:rPr>
                <w:rFonts w:eastAsia="Calibri"/>
                <w:sz w:val="16"/>
                <w:szCs w:val="16"/>
                <w:lang w:val="en-GB"/>
              </w:rPr>
            </w:pPr>
            <w:r w:rsidRPr="00CE38CA">
              <w:rPr>
                <w:rFonts w:eastAsia="Calibri"/>
                <w:sz w:val="16"/>
                <w:szCs w:val="16"/>
                <w:lang w:val="en-GB"/>
              </w:rPr>
              <w:t>Congress</w:t>
            </w:r>
          </w:p>
          <w:p w14:paraId="2894B051" w14:textId="77777777" w:rsidR="00637443" w:rsidRPr="00CE38CA" w:rsidRDefault="00637443" w:rsidP="006D1383">
            <w:pPr>
              <w:pStyle w:val="Normal1"/>
              <w:rPr>
                <w:sz w:val="16"/>
                <w:szCs w:val="16"/>
                <w:lang w:val="en-GB"/>
              </w:rPr>
            </w:pPr>
          </w:p>
          <w:p w14:paraId="6B3CDF40" w14:textId="77777777" w:rsidR="00637443" w:rsidRPr="00CE38CA" w:rsidRDefault="00637443" w:rsidP="006D1383">
            <w:pPr>
              <w:pStyle w:val="Normal1"/>
              <w:rPr>
                <w:sz w:val="16"/>
                <w:szCs w:val="16"/>
                <w:lang w:val="en-GB"/>
              </w:rPr>
            </w:pPr>
          </w:p>
          <w:p w14:paraId="194D9390" w14:textId="77777777" w:rsidR="00637443" w:rsidRPr="00CE38CA" w:rsidRDefault="00637443" w:rsidP="006D1383">
            <w:pPr>
              <w:pStyle w:val="Normal1"/>
              <w:rPr>
                <w:sz w:val="16"/>
                <w:szCs w:val="16"/>
                <w:lang w:val="en-GB"/>
              </w:rPr>
            </w:pPr>
            <w:r w:rsidRPr="00CE38CA">
              <w:rPr>
                <w:rFonts w:eastAsia="Calibri"/>
                <w:sz w:val="16"/>
                <w:szCs w:val="16"/>
                <w:lang w:val="en-GB"/>
              </w:rPr>
              <w:t>Congress</w:t>
            </w:r>
          </w:p>
          <w:p w14:paraId="5022B1C9" w14:textId="77777777" w:rsidR="00637443" w:rsidRPr="00CE38CA" w:rsidRDefault="00637443" w:rsidP="006D1383">
            <w:pPr>
              <w:pStyle w:val="Normal1"/>
              <w:rPr>
                <w:sz w:val="16"/>
                <w:szCs w:val="16"/>
                <w:lang w:val="en-GB"/>
              </w:rPr>
            </w:pPr>
          </w:p>
          <w:p w14:paraId="5E0B47E1" w14:textId="77777777" w:rsidR="00637443" w:rsidRPr="00CE38CA" w:rsidRDefault="00637443" w:rsidP="006D1383">
            <w:pPr>
              <w:pStyle w:val="Normal1"/>
              <w:rPr>
                <w:sz w:val="16"/>
                <w:szCs w:val="16"/>
                <w:lang w:val="en-GB"/>
              </w:rPr>
            </w:pPr>
          </w:p>
          <w:p w14:paraId="71D17719" w14:textId="77777777" w:rsidR="00637443" w:rsidRPr="00CE38CA" w:rsidRDefault="00637443" w:rsidP="006D1383">
            <w:pPr>
              <w:pStyle w:val="Normal1"/>
              <w:rPr>
                <w:sz w:val="16"/>
                <w:szCs w:val="16"/>
                <w:lang w:val="en-GB"/>
              </w:rPr>
            </w:pPr>
          </w:p>
          <w:p w14:paraId="0BD2FDA9" w14:textId="77777777" w:rsidR="00637443" w:rsidRPr="00CE38CA" w:rsidRDefault="00637443" w:rsidP="006D1383">
            <w:pPr>
              <w:pStyle w:val="Normal1"/>
              <w:rPr>
                <w:sz w:val="16"/>
                <w:szCs w:val="16"/>
                <w:lang w:val="en-GB"/>
              </w:rPr>
            </w:pPr>
          </w:p>
          <w:p w14:paraId="3859EE5F" w14:textId="77777777" w:rsidR="00637443" w:rsidRPr="00CE38CA" w:rsidRDefault="00637443" w:rsidP="006D1383">
            <w:pPr>
              <w:pStyle w:val="Normal1"/>
              <w:rPr>
                <w:sz w:val="16"/>
                <w:szCs w:val="16"/>
                <w:lang w:val="en-GB"/>
              </w:rPr>
            </w:pPr>
          </w:p>
          <w:p w14:paraId="6D1A9245" w14:textId="77777777" w:rsidR="00637443" w:rsidRPr="00CE38CA" w:rsidRDefault="00637443" w:rsidP="006D1383">
            <w:pPr>
              <w:pStyle w:val="Normal1"/>
              <w:rPr>
                <w:sz w:val="16"/>
                <w:szCs w:val="16"/>
                <w:lang w:val="en-GB"/>
              </w:rPr>
            </w:pPr>
          </w:p>
          <w:p w14:paraId="2F6A4027" w14:textId="77777777" w:rsidR="00637443" w:rsidRPr="00CE38CA" w:rsidRDefault="00637443" w:rsidP="006D1383">
            <w:pPr>
              <w:pStyle w:val="Normal1"/>
              <w:rPr>
                <w:sz w:val="16"/>
                <w:szCs w:val="16"/>
                <w:lang w:val="en-GB"/>
              </w:rPr>
            </w:pPr>
          </w:p>
          <w:p w14:paraId="1A2BDEFA" w14:textId="3099A966" w:rsidR="00637443" w:rsidRPr="00CE38CA" w:rsidRDefault="00637443" w:rsidP="006D1383">
            <w:pPr>
              <w:pStyle w:val="Normal1"/>
              <w:rPr>
                <w:sz w:val="16"/>
                <w:szCs w:val="16"/>
                <w:lang w:val="en-GB"/>
              </w:rPr>
            </w:pPr>
            <w:r w:rsidRPr="00CE38CA">
              <w:rPr>
                <w:rFonts w:eastAsia="Calibri"/>
                <w:sz w:val="16"/>
                <w:szCs w:val="16"/>
                <w:lang w:val="en-GB"/>
              </w:rPr>
              <w:t>U</w:t>
            </w:r>
            <w:r w:rsidR="00F93F68">
              <w:rPr>
                <w:rFonts w:eastAsia="Calibri"/>
                <w:sz w:val="16"/>
                <w:szCs w:val="16"/>
                <w:lang w:val="en-GB"/>
              </w:rPr>
              <w:t xml:space="preserve">nited </w:t>
            </w:r>
            <w:r w:rsidRPr="00CE38CA">
              <w:rPr>
                <w:rFonts w:eastAsia="Calibri"/>
                <w:sz w:val="16"/>
                <w:szCs w:val="16"/>
                <w:lang w:val="en-GB"/>
              </w:rPr>
              <w:t>N</w:t>
            </w:r>
            <w:r w:rsidR="00F93F68">
              <w:rPr>
                <w:rFonts w:eastAsia="Calibri"/>
                <w:sz w:val="16"/>
                <w:szCs w:val="16"/>
                <w:lang w:val="en-GB"/>
              </w:rPr>
              <w:t>ations</w:t>
            </w:r>
            <w:r w:rsidRPr="00CE38CA">
              <w:rPr>
                <w:rFonts w:eastAsia="Calibri"/>
                <w:sz w:val="16"/>
                <w:szCs w:val="16"/>
                <w:lang w:val="en-GB"/>
              </w:rPr>
              <w:t xml:space="preserve"> </w:t>
            </w:r>
            <w:r w:rsidR="00F93F68">
              <w:rPr>
                <w:rFonts w:eastAsia="Calibri"/>
                <w:sz w:val="16"/>
                <w:szCs w:val="16"/>
                <w:lang w:val="en-GB"/>
              </w:rPr>
              <w:t>s</w:t>
            </w:r>
            <w:r w:rsidRPr="00CE38CA">
              <w:rPr>
                <w:rFonts w:eastAsia="Calibri"/>
                <w:sz w:val="16"/>
                <w:szCs w:val="16"/>
                <w:lang w:val="en-GB"/>
              </w:rPr>
              <w:t>ystem</w:t>
            </w:r>
          </w:p>
          <w:p w14:paraId="2015E940" w14:textId="77777777" w:rsidR="00637443" w:rsidRPr="00CE38CA" w:rsidRDefault="00637443" w:rsidP="006D1383">
            <w:pPr>
              <w:pStyle w:val="Normal1"/>
              <w:rPr>
                <w:sz w:val="16"/>
                <w:szCs w:val="16"/>
                <w:lang w:val="en-GB"/>
              </w:rPr>
            </w:pPr>
          </w:p>
          <w:p w14:paraId="03A1FA38" w14:textId="77777777" w:rsidR="00637443" w:rsidRPr="00CE38CA" w:rsidRDefault="00637443" w:rsidP="006D1383">
            <w:pPr>
              <w:pStyle w:val="Normal1"/>
              <w:rPr>
                <w:sz w:val="16"/>
                <w:szCs w:val="16"/>
                <w:lang w:val="en-GB"/>
              </w:rPr>
            </w:pPr>
          </w:p>
          <w:p w14:paraId="7808F222" w14:textId="77777777" w:rsidR="00637443" w:rsidRPr="00CE38CA" w:rsidRDefault="00637443" w:rsidP="006D1383">
            <w:pPr>
              <w:pStyle w:val="Normal1"/>
              <w:rPr>
                <w:sz w:val="16"/>
                <w:szCs w:val="16"/>
                <w:lang w:val="en-GB"/>
              </w:rPr>
            </w:pPr>
          </w:p>
          <w:p w14:paraId="0A3E009C" w14:textId="77777777" w:rsidR="00637443" w:rsidRPr="00CE38CA" w:rsidRDefault="00637443" w:rsidP="006D1383">
            <w:pPr>
              <w:pStyle w:val="Normal1"/>
              <w:rPr>
                <w:sz w:val="16"/>
                <w:szCs w:val="16"/>
                <w:lang w:val="en-GB"/>
              </w:rPr>
            </w:pPr>
          </w:p>
          <w:p w14:paraId="07AA16B3" w14:textId="77777777" w:rsidR="00637443" w:rsidRPr="00CE38CA" w:rsidRDefault="00637443" w:rsidP="006D1383">
            <w:pPr>
              <w:pStyle w:val="Normal1"/>
              <w:rPr>
                <w:sz w:val="16"/>
                <w:szCs w:val="16"/>
                <w:lang w:val="en-GB"/>
              </w:rPr>
            </w:pPr>
          </w:p>
          <w:p w14:paraId="23358315" w14:textId="77777777" w:rsidR="00637443" w:rsidRPr="00CE38CA" w:rsidRDefault="00637443" w:rsidP="006D1383">
            <w:pPr>
              <w:pStyle w:val="Normal1"/>
              <w:rPr>
                <w:sz w:val="16"/>
                <w:szCs w:val="16"/>
                <w:lang w:val="en-GB"/>
              </w:rPr>
            </w:pPr>
          </w:p>
          <w:p w14:paraId="56F27CFE" w14:textId="77777777" w:rsidR="00637443" w:rsidRPr="00CE38CA" w:rsidRDefault="00637443" w:rsidP="006D1383">
            <w:pPr>
              <w:pStyle w:val="Normal1"/>
              <w:rPr>
                <w:sz w:val="16"/>
                <w:szCs w:val="16"/>
                <w:lang w:val="en-GB"/>
              </w:rPr>
            </w:pPr>
          </w:p>
          <w:p w14:paraId="2FB1F73D" w14:textId="77777777" w:rsidR="00637443" w:rsidRPr="00CE38CA" w:rsidRDefault="00637443" w:rsidP="006D1383">
            <w:pPr>
              <w:pStyle w:val="Normal1"/>
              <w:rPr>
                <w:sz w:val="16"/>
                <w:szCs w:val="16"/>
                <w:lang w:val="en-GB"/>
              </w:rPr>
            </w:pPr>
          </w:p>
          <w:p w14:paraId="5966A644" w14:textId="77777777" w:rsidR="00637443" w:rsidRPr="00CE38CA" w:rsidRDefault="00637443" w:rsidP="006D1383">
            <w:pPr>
              <w:pStyle w:val="Normal1"/>
              <w:rPr>
                <w:sz w:val="16"/>
                <w:szCs w:val="16"/>
                <w:lang w:val="en-GB"/>
              </w:rPr>
            </w:pPr>
          </w:p>
          <w:p w14:paraId="52056701" w14:textId="77777777" w:rsidR="00637443" w:rsidRPr="00CE38CA" w:rsidRDefault="00637443" w:rsidP="006D1383">
            <w:pPr>
              <w:pStyle w:val="Normal1"/>
              <w:rPr>
                <w:sz w:val="16"/>
                <w:szCs w:val="16"/>
                <w:lang w:val="en-GB"/>
              </w:rPr>
            </w:pPr>
          </w:p>
          <w:p w14:paraId="344D6536" w14:textId="77777777" w:rsidR="00637443" w:rsidRPr="00CE38CA" w:rsidRDefault="00637443" w:rsidP="006D1383">
            <w:pPr>
              <w:pStyle w:val="Normal1"/>
              <w:rPr>
                <w:sz w:val="16"/>
                <w:szCs w:val="16"/>
                <w:lang w:val="en-GB"/>
              </w:rPr>
            </w:pPr>
          </w:p>
          <w:p w14:paraId="183085E9" w14:textId="77777777" w:rsidR="00637443" w:rsidRPr="00CE38CA" w:rsidRDefault="00637443" w:rsidP="006D1383">
            <w:pPr>
              <w:pStyle w:val="Normal1"/>
              <w:rPr>
                <w:sz w:val="16"/>
                <w:szCs w:val="16"/>
                <w:lang w:val="en-GB"/>
              </w:rPr>
            </w:pPr>
            <w:r w:rsidRPr="00CE38CA">
              <w:rPr>
                <w:rFonts w:eastAsia="Calibri"/>
                <w:sz w:val="16"/>
                <w:szCs w:val="16"/>
                <w:lang w:val="en-GB"/>
              </w:rPr>
              <w:t>Congress</w:t>
            </w:r>
          </w:p>
          <w:p w14:paraId="188E0574" w14:textId="77777777" w:rsidR="00637443" w:rsidRPr="00CE38CA" w:rsidRDefault="00637443" w:rsidP="006D1383">
            <w:pPr>
              <w:pStyle w:val="Normal1"/>
              <w:rPr>
                <w:sz w:val="16"/>
                <w:szCs w:val="16"/>
                <w:lang w:val="en-GB"/>
              </w:rPr>
            </w:pPr>
          </w:p>
        </w:tc>
        <w:tc>
          <w:tcPr>
            <w:tcW w:w="1618" w:type="pct"/>
            <w:gridSpan w:val="2"/>
            <w:vMerge w:val="restart"/>
            <w:tcMar>
              <w:top w:w="72" w:type="dxa"/>
              <w:left w:w="144" w:type="dxa"/>
              <w:bottom w:w="72" w:type="dxa"/>
              <w:right w:w="144" w:type="dxa"/>
            </w:tcMar>
          </w:tcPr>
          <w:p w14:paraId="1B73E366" w14:textId="77777777" w:rsidR="00637443" w:rsidRPr="00CE38CA" w:rsidRDefault="00637443" w:rsidP="006D1383">
            <w:pPr>
              <w:pStyle w:val="Normal1"/>
              <w:rPr>
                <w:sz w:val="16"/>
                <w:szCs w:val="16"/>
                <w:lang w:val="en-GB"/>
              </w:rPr>
            </w:pPr>
            <w:r w:rsidRPr="00CE38CA">
              <w:rPr>
                <w:rFonts w:eastAsia="Calibri"/>
                <w:b/>
                <w:sz w:val="16"/>
                <w:szCs w:val="16"/>
                <w:lang w:val="en-GB"/>
              </w:rPr>
              <w:lastRenderedPageBreak/>
              <w:t xml:space="preserve">Public institutions and agencies improve their management capacities and incorporate </w:t>
            </w:r>
            <w:r w:rsidR="00781F09" w:rsidRPr="00CE38CA">
              <w:rPr>
                <w:rFonts w:eastAsia="Calibri"/>
                <w:b/>
                <w:sz w:val="16"/>
                <w:szCs w:val="16"/>
                <w:lang w:val="en-GB"/>
              </w:rPr>
              <w:t xml:space="preserve">the </w:t>
            </w:r>
            <w:r w:rsidRPr="00CE38CA">
              <w:rPr>
                <w:rFonts w:eastAsia="Calibri"/>
                <w:b/>
                <w:sz w:val="16"/>
                <w:szCs w:val="16"/>
                <w:lang w:val="en-GB"/>
              </w:rPr>
              <w:t xml:space="preserve">gender approach into their processes in order to </w:t>
            </w:r>
            <w:r w:rsidR="007B4636" w:rsidRPr="00CE38CA">
              <w:rPr>
                <w:rFonts w:eastAsia="Calibri"/>
                <w:b/>
                <w:sz w:val="16"/>
                <w:szCs w:val="16"/>
                <w:lang w:val="en-GB"/>
              </w:rPr>
              <w:t xml:space="preserve">improve </w:t>
            </w:r>
            <w:r w:rsidRPr="00CE38CA">
              <w:rPr>
                <w:rFonts w:eastAsia="Calibri"/>
                <w:b/>
                <w:sz w:val="16"/>
                <w:szCs w:val="16"/>
                <w:lang w:val="en-GB"/>
              </w:rPr>
              <w:t>democratic governance</w:t>
            </w:r>
          </w:p>
          <w:p w14:paraId="47E772A2" w14:textId="1204759D"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w:t>
            </w:r>
            <w:r w:rsidR="007B4636" w:rsidRPr="00CE38CA">
              <w:rPr>
                <w:rFonts w:eastAsia="Calibri"/>
                <w:sz w:val="16"/>
                <w:szCs w:val="16"/>
                <w:lang w:val="en-GB"/>
              </w:rPr>
              <w:t xml:space="preserve">Number of institution/agencies that develop strategies/measures to </w:t>
            </w:r>
            <w:r w:rsidR="00637443" w:rsidRPr="00CE38CA">
              <w:rPr>
                <w:rFonts w:eastAsia="Calibri"/>
                <w:sz w:val="16"/>
                <w:szCs w:val="16"/>
                <w:lang w:val="en-GB"/>
              </w:rPr>
              <w:t>incorporate a gender</w:t>
            </w:r>
            <w:r w:rsidR="007B4636" w:rsidRPr="00CE38CA">
              <w:rPr>
                <w:rFonts w:eastAsia="Calibri"/>
                <w:sz w:val="16"/>
                <w:szCs w:val="16"/>
                <w:lang w:val="en-GB"/>
              </w:rPr>
              <w:t xml:space="preserve"> a</w:t>
            </w:r>
            <w:r w:rsidR="00255809" w:rsidRPr="00CE38CA">
              <w:rPr>
                <w:rFonts w:eastAsia="Calibri"/>
                <w:sz w:val="16"/>
                <w:szCs w:val="16"/>
                <w:lang w:val="en-GB"/>
              </w:rPr>
              <w:t>pproach</w:t>
            </w:r>
          </w:p>
          <w:p w14:paraId="15257BA2" w14:textId="3E871D9F"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255809" w:rsidRPr="00CE38CA">
              <w:rPr>
                <w:rFonts w:eastAsia="Calibri"/>
                <w:sz w:val="16"/>
                <w:szCs w:val="16"/>
                <w:lang w:val="en-GB"/>
              </w:rPr>
              <w:t xml:space="preserve">Currently, there is a </w:t>
            </w:r>
            <w:r>
              <w:rPr>
                <w:rFonts w:eastAsia="Calibri"/>
                <w:sz w:val="16"/>
                <w:szCs w:val="16"/>
                <w:lang w:val="en-GB"/>
              </w:rPr>
              <w:t>m</w:t>
            </w:r>
            <w:r w:rsidR="00255809" w:rsidRPr="00CE38CA">
              <w:rPr>
                <w:rFonts w:eastAsia="Calibri"/>
                <w:sz w:val="16"/>
                <w:szCs w:val="16"/>
                <w:lang w:val="en-GB"/>
              </w:rPr>
              <w:t xml:space="preserve">anagement </w:t>
            </w:r>
            <w:r>
              <w:rPr>
                <w:rFonts w:eastAsia="Calibri"/>
                <w:sz w:val="16"/>
                <w:szCs w:val="16"/>
                <w:lang w:val="en-GB"/>
              </w:rPr>
              <w:t>p</w:t>
            </w:r>
            <w:r w:rsidR="00255809" w:rsidRPr="00CE38CA">
              <w:rPr>
                <w:rFonts w:eastAsia="Calibri"/>
                <w:sz w:val="16"/>
                <w:szCs w:val="16"/>
                <w:lang w:val="en-GB"/>
              </w:rPr>
              <w:t xml:space="preserve">lan, Council of Ministers for Gender Equality and </w:t>
            </w:r>
            <w:r>
              <w:rPr>
                <w:rFonts w:eastAsia="Calibri"/>
                <w:sz w:val="16"/>
                <w:szCs w:val="16"/>
                <w:lang w:val="en-GB"/>
              </w:rPr>
              <w:t>g</w:t>
            </w:r>
            <w:r w:rsidR="00255809" w:rsidRPr="00CE38CA">
              <w:rPr>
                <w:rFonts w:eastAsia="Calibri"/>
                <w:sz w:val="16"/>
                <w:szCs w:val="16"/>
                <w:lang w:val="en-GB"/>
              </w:rPr>
              <w:t>ender units in ministries</w:t>
            </w:r>
          </w:p>
          <w:p w14:paraId="5A04B3F7" w14:textId="60882AD6"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255809" w:rsidRPr="00CE38CA">
              <w:rPr>
                <w:rFonts w:eastAsia="Calibri"/>
                <w:sz w:val="16"/>
                <w:szCs w:val="16"/>
                <w:lang w:val="en-GB"/>
              </w:rPr>
              <w:t xml:space="preserve"> 4 institutions have implemented </w:t>
            </w:r>
            <w:r w:rsidR="00D20609" w:rsidRPr="00CE38CA">
              <w:rPr>
                <w:rFonts w:eastAsia="Calibri"/>
                <w:sz w:val="16"/>
                <w:szCs w:val="16"/>
                <w:lang w:val="en-GB"/>
              </w:rPr>
              <w:t xml:space="preserve">strategies/measures </w:t>
            </w:r>
            <w:r w:rsidR="002C339D" w:rsidRPr="00CE38CA">
              <w:rPr>
                <w:rFonts w:eastAsia="Calibri"/>
                <w:sz w:val="16"/>
                <w:szCs w:val="16"/>
                <w:lang w:val="en-GB"/>
              </w:rPr>
              <w:t>to incorporate a gender approach</w:t>
            </w:r>
          </w:p>
          <w:p w14:paraId="0178FAD4" w14:textId="77777777" w:rsidR="00637443" w:rsidRPr="00CE38CA" w:rsidRDefault="00637443" w:rsidP="006D1383">
            <w:pPr>
              <w:pStyle w:val="Normal1"/>
              <w:rPr>
                <w:sz w:val="16"/>
                <w:szCs w:val="16"/>
                <w:lang w:val="en-GB"/>
              </w:rPr>
            </w:pPr>
          </w:p>
          <w:p w14:paraId="193B404E" w14:textId="77777777" w:rsidR="00637443" w:rsidRPr="00CE38CA" w:rsidRDefault="00637443" w:rsidP="006D1383">
            <w:pPr>
              <w:pStyle w:val="Normal1"/>
              <w:rPr>
                <w:sz w:val="16"/>
                <w:szCs w:val="16"/>
                <w:lang w:val="en-GB"/>
              </w:rPr>
            </w:pPr>
            <w:r w:rsidRPr="00CE38CA">
              <w:rPr>
                <w:rFonts w:eastAsia="Calibri"/>
                <w:b/>
                <w:sz w:val="16"/>
                <w:szCs w:val="16"/>
                <w:lang w:val="en-GB"/>
              </w:rPr>
              <w:t>Government and other key institutions improve their capacities to work in the context of greater participation and representation with a special emphasis on women, young people, and indigenous people</w:t>
            </w:r>
          </w:p>
          <w:p w14:paraId="111EA70A" w14:textId="62E037EB"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Number of initiatives/reforms implemented by government and other institutions that increase levels of participation and representation at the national or regional level and by beneficiary type if applicable</w:t>
            </w:r>
          </w:p>
          <w:p w14:paraId="5FFADA2C" w14:textId="4ECE2CF4"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4 (Reforms 2011-2014)</w:t>
            </w:r>
          </w:p>
          <w:p w14:paraId="3590C0A2" w14:textId="569F6CC6"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xml:space="preserve">: </w:t>
            </w:r>
            <w:r w:rsidR="00773EF9" w:rsidRPr="00CE38CA">
              <w:rPr>
                <w:rFonts w:eastAsia="Calibri"/>
                <w:sz w:val="16"/>
                <w:szCs w:val="16"/>
                <w:lang w:val="en-GB"/>
              </w:rPr>
              <w:t>7</w:t>
            </w:r>
          </w:p>
          <w:p w14:paraId="0D3AE590" w14:textId="77777777" w:rsidR="00637443" w:rsidRPr="00CE38CA" w:rsidRDefault="00637443" w:rsidP="006D1383">
            <w:pPr>
              <w:pStyle w:val="Normal1"/>
              <w:rPr>
                <w:sz w:val="16"/>
                <w:szCs w:val="16"/>
                <w:lang w:val="en-GB"/>
              </w:rPr>
            </w:pPr>
          </w:p>
          <w:p w14:paraId="27858F91" w14:textId="3D1CC37E"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Percentage of women in presidential cabinets </w:t>
            </w:r>
            <w:r w:rsidR="00637443" w:rsidRPr="00CE38CA">
              <w:rPr>
                <w:rFonts w:eastAsia="Calibri"/>
                <w:sz w:val="16"/>
                <w:szCs w:val="16"/>
                <w:lang w:val="en-GB"/>
              </w:rPr>
              <w:lastRenderedPageBreak/>
              <w:t>(ministers)</w:t>
            </w:r>
          </w:p>
          <w:p w14:paraId="49E187BD" w14:textId="5FC5A509"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Between 1990 and 2014, 1</w:t>
            </w:r>
            <w:r>
              <w:rPr>
                <w:rFonts w:eastAsia="Calibri"/>
                <w:sz w:val="16"/>
                <w:szCs w:val="16"/>
                <w:lang w:val="en-GB"/>
              </w:rPr>
              <w:t xml:space="preserve"> per cent</w:t>
            </w:r>
            <w:r w:rsidR="00637443" w:rsidRPr="00CE38CA">
              <w:rPr>
                <w:rFonts w:eastAsia="Calibri"/>
                <w:sz w:val="16"/>
                <w:szCs w:val="16"/>
                <w:lang w:val="en-GB"/>
              </w:rPr>
              <w:t xml:space="preserve"> of women as ministers </w:t>
            </w:r>
            <w:r w:rsidR="00735CCE" w:rsidRPr="00CE38CA">
              <w:rPr>
                <w:rFonts w:eastAsia="Calibri"/>
                <w:sz w:val="16"/>
                <w:szCs w:val="16"/>
                <w:lang w:val="en-GB"/>
              </w:rPr>
              <w:t>of</w:t>
            </w:r>
            <w:r w:rsidR="00637443" w:rsidRPr="00CE38CA">
              <w:rPr>
                <w:rFonts w:eastAsia="Calibri"/>
                <w:sz w:val="16"/>
                <w:szCs w:val="16"/>
                <w:lang w:val="en-GB"/>
              </w:rPr>
              <w:t xml:space="preserve"> presidential cabinets</w:t>
            </w:r>
          </w:p>
          <w:p w14:paraId="6C21443C" w14:textId="3C59211D"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None</w:t>
            </w:r>
          </w:p>
          <w:p w14:paraId="5343A530" w14:textId="77777777" w:rsidR="00637443" w:rsidRPr="00CE38CA" w:rsidRDefault="00637443" w:rsidP="006D1383">
            <w:pPr>
              <w:pStyle w:val="Normal1"/>
              <w:rPr>
                <w:sz w:val="16"/>
                <w:szCs w:val="16"/>
                <w:lang w:val="en-GB"/>
              </w:rPr>
            </w:pPr>
          </w:p>
          <w:p w14:paraId="6524F1C9" w14:textId="42581D04"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Percentage of female governors (regional governments)</w:t>
            </w:r>
          </w:p>
          <w:p w14:paraId="555C9392" w14:textId="3748480A"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Between 1990 and 2013, 18</w:t>
            </w:r>
            <w:r>
              <w:rPr>
                <w:rFonts w:eastAsia="Calibri"/>
                <w:sz w:val="16"/>
                <w:szCs w:val="16"/>
                <w:lang w:val="en-GB"/>
              </w:rPr>
              <w:t xml:space="preserve"> per cent</w:t>
            </w:r>
            <w:r w:rsidR="00637443" w:rsidRPr="00CE38CA">
              <w:rPr>
                <w:rFonts w:eastAsia="Calibri"/>
                <w:sz w:val="16"/>
                <w:szCs w:val="16"/>
                <w:lang w:val="en-GB"/>
              </w:rPr>
              <w:t xml:space="preserve"> of governors were female</w:t>
            </w:r>
          </w:p>
          <w:p w14:paraId="5B9622ED" w14:textId="6B0066CC"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None</w:t>
            </w:r>
          </w:p>
          <w:p w14:paraId="29C6C49A" w14:textId="77777777" w:rsidR="00637443" w:rsidRPr="00CE38CA" w:rsidRDefault="00637443" w:rsidP="006D1383">
            <w:pPr>
              <w:pStyle w:val="Normal1"/>
              <w:rPr>
                <w:sz w:val="16"/>
                <w:szCs w:val="16"/>
                <w:lang w:val="en-GB"/>
              </w:rPr>
            </w:pPr>
          </w:p>
          <w:p w14:paraId="49710E01" w14:textId="09747EAC"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w:t>
            </w:r>
            <w:r w:rsidR="00826877" w:rsidRPr="00CE38CA">
              <w:rPr>
                <w:rFonts w:eastAsia="Calibri"/>
                <w:sz w:val="16"/>
                <w:szCs w:val="16"/>
                <w:lang w:val="en-GB"/>
              </w:rPr>
              <w:t xml:space="preserve">Percentage of ministries/public services with competencies on indigenous population that improve their </w:t>
            </w:r>
            <w:r w:rsidR="00637443" w:rsidRPr="00CE38CA">
              <w:rPr>
                <w:rFonts w:eastAsia="Calibri"/>
                <w:sz w:val="16"/>
                <w:szCs w:val="16"/>
                <w:lang w:val="en-GB"/>
              </w:rPr>
              <w:t>capacit</w:t>
            </w:r>
            <w:r w:rsidR="00826877" w:rsidRPr="00CE38CA">
              <w:rPr>
                <w:rFonts w:eastAsia="Calibri"/>
                <w:sz w:val="16"/>
                <w:szCs w:val="16"/>
                <w:lang w:val="en-GB"/>
              </w:rPr>
              <w:t>ies</w:t>
            </w:r>
            <w:r w:rsidR="00637443" w:rsidRPr="00CE38CA">
              <w:rPr>
                <w:rFonts w:eastAsia="Calibri"/>
                <w:sz w:val="16"/>
                <w:szCs w:val="16"/>
                <w:lang w:val="en-GB"/>
              </w:rPr>
              <w:t xml:space="preserve"> to develop processes for participation and consultation with indigenous people and adopt ethnically appropriate approaches. </w:t>
            </w:r>
          </w:p>
          <w:p w14:paraId="11330FD6" w14:textId="552C48F3" w:rsidR="00637443"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826877" w:rsidRPr="00CE38CA">
              <w:rPr>
                <w:rFonts w:eastAsia="Calibri"/>
                <w:sz w:val="16"/>
                <w:szCs w:val="16"/>
                <w:lang w:val="en-GB"/>
              </w:rPr>
              <w:t>Decree that approves regulation on indigenous consultation approved in 2013</w:t>
            </w:r>
          </w:p>
          <w:p w14:paraId="6EF3458D" w14:textId="185705E8" w:rsidR="00637443"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100</w:t>
            </w:r>
            <w:r>
              <w:rPr>
                <w:rFonts w:eastAsia="Calibri"/>
                <w:sz w:val="16"/>
                <w:szCs w:val="16"/>
                <w:lang w:val="en-GB"/>
              </w:rPr>
              <w:t xml:space="preserve"> per cent</w:t>
            </w:r>
            <w:r w:rsidR="00637443" w:rsidRPr="00CE38CA">
              <w:rPr>
                <w:rFonts w:eastAsia="Calibri"/>
                <w:sz w:val="16"/>
                <w:szCs w:val="16"/>
                <w:lang w:val="en-GB"/>
              </w:rPr>
              <w:t xml:space="preserve"> of ministries and public services </w:t>
            </w:r>
          </w:p>
          <w:p w14:paraId="05C03700" w14:textId="77777777" w:rsidR="00637443" w:rsidRPr="00CE38CA" w:rsidRDefault="00637443" w:rsidP="006D1383">
            <w:pPr>
              <w:pStyle w:val="Normal1"/>
              <w:rPr>
                <w:sz w:val="16"/>
                <w:szCs w:val="16"/>
                <w:lang w:val="en-GB"/>
              </w:rPr>
            </w:pPr>
          </w:p>
          <w:p w14:paraId="3A0AA962"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Women and </w:t>
            </w:r>
            <w:r w:rsidR="00155718" w:rsidRPr="00CE38CA">
              <w:rPr>
                <w:rFonts w:eastAsia="Calibri"/>
                <w:b/>
                <w:sz w:val="16"/>
                <w:szCs w:val="16"/>
                <w:lang w:val="en-GB"/>
              </w:rPr>
              <w:t>youth</w:t>
            </w:r>
            <w:r w:rsidRPr="00CE38CA">
              <w:rPr>
                <w:rFonts w:eastAsia="Calibri"/>
                <w:b/>
                <w:sz w:val="16"/>
                <w:szCs w:val="16"/>
                <w:lang w:val="en-GB"/>
              </w:rPr>
              <w:t xml:space="preserve"> have the skills and knowledge they need to be leaders and engage in social and political participation</w:t>
            </w:r>
          </w:p>
          <w:p w14:paraId="4610D8C9" w14:textId="5D8A43BC"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Percentage of female candidates </w:t>
            </w:r>
            <w:r w:rsidR="00787E04" w:rsidRPr="00CE38CA">
              <w:rPr>
                <w:rFonts w:eastAsia="Calibri"/>
                <w:sz w:val="16"/>
                <w:szCs w:val="16"/>
                <w:lang w:val="en-GB"/>
              </w:rPr>
              <w:t xml:space="preserve">to Congress </w:t>
            </w:r>
            <w:r w:rsidR="00637443" w:rsidRPr="00CE38CA">
              <w:rPr>
                <w:rFonts w:eastAsia="Calibri"/>
                <w:sz w:val="16"/>
                <w:szCs w:val="16"/>
                <w:lang w:val="en-GB"/>
              </w:rPr>
              <w:t>or local elections</w:t>
            </w:r>
          </w:p>
          <w:p w14:paraId="0F597C1A" w14:textId="156F3086"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Between 1989 and 2013, 15</w:t>
            </w:r>
            <w:r>
              <w:rPr>
                <w:rFonts w:eastAsia="Calibri"/>
                <w:sz w:val="16"/>
                <w:szCs w:val="16"/>
                <w:lang w:val="en-GB"/>
              </w:rPr>
              <w:t xml:space="preserve"> per cent</w:t>
            </w:r>
            <w:r w:rsidR="00637443" w:rsidRPr="00CE38CA">
              <w:rPr>
                <w:rFonts w:eastAsia="Calibri"/>
                <w:sz w:val="16"/>
                <w:szCs w:val="16"/>
                <w:lang w:val="en-GB"/>
              </w:rPr>
              <w:t xml:space="preserve"> </w:t>
            </w:r>
            <w:r w:rsidR="00787E04" w:rsidRPr="00CE38CA">
              <w:rPr>
                <w:rFonts w:eastAsia="Calibri"/>
                <w:sz w:val="16"/>
                <w:szCs w:val="16"/>
                <w:lang w:val="en-GB"/>
              </w:rPr>
              <w:t xml:space="preserve">of candidates to Congress </w:t>
            </w:r>
            <w:r w:rsidR="00637443" w:rsidRPr="00CE38CA">
              <w:rPr>
                <w:rFonts w:eastAsia="Calibri"/>
                <w:sz w:val="16"/>
                <w:szCs w:val="16"/>
                <w:lang w:val="en-GB"/>
              </w:rPr>
              <w:t>were women</w:t>
            </w:r>
          </w:p>
          <w:p w14:paraId="76FAA631" w14:textId="0EA7655C"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Between 40 and 60</w:t>
            </w:r>
            <w:r>
              <w:rPr>
                <w:rFonts w:eastAsia="Calibri"/>
                <w:sz w:val="16"/>
                <w:szCs w:val="16"/>
                <w:lang w:val="en-GB"/>
              </w:rPr>
              <w:t xml:space="preserve"> per cent</w:t>
            </w:r>
            <w:r w:rsidR="00637443" w:rsidRPr="00CE38CA">
              <w:rPr>
                <w:rFonts w:eastAsia="Calibri"/>
                <w:sz w:val="16"/>
                <w:szCs w:val="16"/>
                <w:lang w:val="en-GB"/>
              </w:rPr>
              <w:t xml:space="preserve"> of candidates from one sex (binomial electoral reform proposal)</w:t>
            </w:r>
          </w:p>
          <w:p w14:paraId="08C6A136" w14:textId="77777777" w:rsidR="00637443" w:rsidRPr="00CE38CA" w:rsidRDefault="00637443" w:rsidP="006D1383">
            <w:pPr>
              <w:pStyle w:val="Normal1"/>
              <w:rPr>
                <w:sz w:val="16"/>
                <w:szCs w:val="16"/>
                <w:lang w:val="en-GB"/>
              </w:rPr>
            </w:pPr>
          </w:p>
          <w:p w14:paraId="47234E63" w14:textId="46E845E0"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xml:space="preserve">: Percentage of members of the House of Representatives </w:t>
            </w:r>
            <w:r w:rsidR="00155718" w:rsidRPr="00CE38CA">
              <w:rPr>
                <w:rFonts w:eastAsia="Calibri"/>
                <w:sz w:val="16"/>
                <w:szCs w:val="16"/>
                <w:lang w:val="en-GB"/>
              </w:rPr>
              <w:t xml:space="preserve">aged </w:t>
            </w:r>
            <w:r w:rsidR="00637443" w:rsidRPr="00CE38CA">
              <w:rPr>
                <w:rFonts w:eastAsia="Calibri"/>
                <w:sz w:val="16"/>
                <w:szCs w:val="16"/>
                <w:lang w:val="en-GB"/>
              </w:rPr>
              <w:t>between 21 and 35</w:t>
            </w:r>
          </w:p>
          <w:p w14:paraId="30830787" w14:textId="00A1C17A"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15</w:t>
            </w:r>
            <w:r>
              <w:rPr>
                <w:rFonts w:eastAsia="Calibri"/>
                <w:sz w:val="16"/>
                <w:szCs w:val="16"/>
                <w:lang w:val="en-GB"/>
              </w:rPr>
              <w:t xml:space="preserve"> per cent</w:t>
            </w:r>
            <w:r w:rsidR="00637443" w:rsidRPr="00CE38CA">
              <w:rPr>
                <w:rFonts w:eastAsia="Calibri"/>
                <w:sz w:val="16"/>
                <w:szCs w:val="16"/>
                <w:lang w:val="en-GB"/>
              </w:rPr>
              <w:t xml:space="preserve"> (2014)</w:t>
            </w:r>
          </w:p>
          <w:p w14:paraId="2DC49E89" w14:textId="588811FA"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None</w:t>
            </w:r>
          </w:p>
          <w:p w14:paraId="6B02B519" w14:textId="77777777" w:rsidR="00637443" w:rsidRPr="00CE38CA" w:rsidRDefault="00637443" w:rsidP="006D1383">
            <w:pPr>
              <w:pStyle w:val="Normal1"/>
              <w:rPr>
                <w:sz w:val="16"/>
                <w:szCs w:val="16"/>
                <w:lang w:val="en-GB"/>
              </w:rPr>
            </w:pPr>
          </w:p>
          <w:p w14:paraId="61EA7D49" w14:textId="727FE7D3" w:rsidR="00637443" w:rsidRPr="00CE38CA" w:rsidRDefault="003C1251" w:rsidP="006D1383">
            <w:pPr>
              <w:pStyle w:val="Normal1"/>
              <w:rPr>
                <w:sz w:val="16"/>
                <w:szCs w:val="16"/>
                <w:lang w:val="en-GB"/>
              </w:rPr>
            </w:pPr>
            <w:r w:rsidRPr="00F942ED">
              <w:rPr>
                <w:rFonts w:eastAsia="Calibri"/>
                <w:sz w:val="16"/>
                <w:szCs w:val="16"/>
                <w:lang w:val="en-GB"/>
              </w:rPr>
              <w:t>Indicator</w:t>
            </w:r>
            <w:r>
              <w:rPr>
                <w:rFonts w:eastAsia="Calibri"/>
                <w:sz w:val="16"/>
                <w:szCs w:val="16"/>
                <w:lang w:val="en-GB"/>
              </w:rPr>
              <w:t xml:space="preserve">: </w:t>
            </w:r>
            <w:r w:rsidR="005E7154" w:rsidRPr="00CE38CA">
              <w:rPr>
                <w:rFonts w:eastAsia="Calibri"/>
                <w:sz w:val="16"/>
                <w:szCs w:val="16"/>
                <w:lang w:val="en-GB"/>
              </w:rPr>
              <w:t>Number of young people, men and women, who participate in training and leadership spaces promoted by public institutions</w:t>
            </w:r>
          </w:p>
          <w:p w14:paraId="7BD54770" w14:textId="7726878C"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5E7154" w:rsidRPr="00CE38CA">
              <w:rPr>
                <w:rFonts w:eastAsia="Calibri"/>
                <w:sz w:val="16"/>
                <w:szCs w:val="16"/>
                <w:lang w:val="en-GB"/>
              </w:rPr>
              <w:t>:</w:t>
            </w:r>
            <w:r w:rsidR="002A42E7" w:rsidRPr="00CE38CA">
              <w:rPr>
                <w:rFonts w:eastAsia="Calibri"/>
                <w:sz w:val="16"/>
                <w:szCs w:val="16"/>
                <w:lang w:val="en-GB"/>
              </w:rPr>
              <w:t xml:space="preserve"> 1</w:t>
            </w:r>
            <w:r>
              <w:rPr>
                <w:rFonts w:eastAsia="Calibri"/>
                <w:sz w:val="16"/>
                <w:szCs w:val="16"/>
                <w:lang w:val="en-GB"/>
              </w:rPr>
              <w:t>,</w:t>
            </w:r>
            <w:r w:rsidR="002A42E7" w:rsidRPr="00CE38CA">
              <w:rPr>
                <w:rFonts w:eastAsia="Calibri"/>
                <w:sz w:val="16"/>
                <w:szCs w:val="16"/>
                <w:lang w:val="en-GB"/>
              </w:rPr>
              <w:t>009 men, 1</w:t>
            </w:r>
            <w:r>
              <w:rPr>
                <w:rFonts w:eastAsia="Calibri"/>
                <w:sz w:val="16"/>
                <w:szCs w:val="16"/>
                <w:lang w:val="en-GB"/>
              </w:rPr>
              <w:t>,</w:t>
            </w:r>
            <w:r w:rsidR="002A42E7" w:rsidRPr="00CE38CA">
              <w:rPr>
                <w:rFonts w:eastAsia="Calibri"/>
                <w:sz w:val="16"/>
                <w:szCs w:val="16"/>
                <w:lang w:val="en-GB"/>
              </w:rPr>
              <w:t>18</w:t>
            </w:r>
            <w:r w:rsidR="00826877" w:rsidRPr="00CE38CA">
              <w:rPr>
                <w:rFonts w:eastAsia="Calibri"/>
                <w:sz w:val="16"/>
                <w:szCs w:val="16"/>
                <w:lang w:val="en-GB"/>
              </w:rPr>
              <w:t>5</w:t>
            </w:r>
            <w:r w:rsidR="002A42E7" w:rsidRPr="00CE38CA">
              <w:rPr>
                <w:rFonts w:eastAsia="Calibri"/>
                <w:sz w:val="16"/>
                <w:szCs w:val="16"/>
                <w:lang w:val="en-GB"/>
              </w:rPr>
              <w:t xml:space="preserve"> women </w:t>
            </w:r>
            <w:r w:rsidR="00826877" w:rsidRPr="00CE38CA">
              <w:rPr>
                <w:rFonts w:eastAsia="Calibri"/>
                <w:sz w:val="16"/>
                <w:szCs w:val="16"/>
                <w:lang w:val="en-GB"/>
              </w:rPr>
              <w:t>(</w:t>
            </w:r>
            <w:r w:rsidR="002A42E7" w:rsidRPr="00CE38CA">
              <w:rPr>
                <w:rFonts w:eastAsia="Calibri"/>
                <w:sz w:val="16"/>
                <w:szCs w:val="16"/>
                <w:lang w:val="en-GB"/>
              </w:rPr>
              <w:t>2013)</w:t>
            </w:r>
            <w:r w:rsidR="005B6749" w:rsidRPr="00CE38CA">
              <w:rPr>
                <w:rFonts w:eastAsia="Calibri"/>
                <w:sz w:val="16"/>
                <w:szCs w:val="16"/>
                <w:lang w:val="en-GB"/>
              </w:rPr>
              <w:t xml:space="preserve"> </w:t>
            </w:r>
            <w:r w:rsidR="00E94074" w:rsidRPr="00CE38CA">
              <w:rPr>
                <w:rFonts w:eastAsia="Calibri"/>
                <w:sz w:val="16"/>
                <w:szCs w:val="16"/>
                <w:lang w:val="en-GB"/>
              </w:rPr>
              <w:t xml:space="preserve"> </w:t>
            </w:r>
          </w:p>
          <w:p w14:paraId="40227F6F" w14:textId="1C2B0876"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DE49A7" w:rsidRPr="00CE38CA">
              <w:rPr>
                <w:rFonts w:eastAsia="Calibri"/>
                <w:sz w:val="16"/>
                <w:szCs w:val="16"/>
                <w:lang w:val="en-GB"/>
              </w:rPr>
              <w:t>: 4</w:t>
            </w:r>
            <w:r>
              <w:rPr>
                <w:rFonts w:eastAsia="Calibri"/>
                <w:sz w:val="16"/>
                <w:szCs w:val="16"/>
                <w:lang w:val="en-GB"/>
              </w:rPr>
              <w:t>,</w:t>
            </w:r>
            <w:r w:rsidR="00DE49A7" w:rsidRPr="00CE38CA">
              <w:rPr>
                <w:rFonts w:eastAsia="Calibri"/>
                <w:sz w:val="16"/>
                <w:szCs w:val="16"/>
                <w:lang w:val="en-GB"/>
              </w:rPr>
              <w:t>000 men, 4</w:t>
            </w:r>
            <w:r>
              <w:rPr>
                <w:rFonts w:eastAsia="Calibri"/>
                <w:sz w:val="16"/>
                <w:szCs w:val="16"/>
                <w:lang w:val="en-GB"/>
              </w:rPr>
              <w:t>,</w:t>
            </w:r>
            <w:r w:rsidR="00DE49A7" w:rsidRPr="00CE38CA">
              <w:rPr>
                <w:rFonts w:eastAsia="Calibri"/>
                <w:sz w:val="16"/>
                <w:szCs w:val="16"/>
                <w:lang w:val="en-GB"/>
              </w:rPr>
              <w:t>700 women (2018)</w:t>
            </w:r>
          </w:p>
          <w:p w14:paraId="067FA6F6" w14:textId="77777777" w:rsidR="00826877" w:rsidRPr="00CE38CA" w:rsidRDefault="00826877" w:rsidP="006D1383">
            <w:pPr>
              <w:pStyle w:val="Normal1"/>
              <w:rPr>
                <w:rFonts w:eastAsia="Calibri"/>
                <w:b/>
                <w:sz w:val="16"/>
                <w:szCs w:val="16"/>
                <w:lang w:val="en-GB"/>
              </w:rPr>
            </w:pPr>
          </w:p>
          <w:p w14:paraId="6A34D27A"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National/sectoral institutions have developed and implemented policies and mechanisms for access to </w:t>
            </w:r>
            <w:r w:rsidR="00E94074" w:rsidRPr="00CE38CA">
              <w:rPr>
                <w:rFonts w:eastAsia="Calibri"/>
                <w:b/>
                <w:sz w:val="16"/>
                <w:szCs w:val="16"/>
                <w:lang w:val="en-GB"/>
              </w:rPr>
              <w:t xml:space="preserve">public </w:t>
            </w:r>
            <w:r w:rsidRPr="00CE38CA">
              <w:rPr>
                <w:rFonts w:eastAsia="Calibri"/>
                <w:b/>
                <w:sz w:val="16"/>
                <w:szCs w:val="16"/>
                <w:lang w:val="en-GB"/>
              </w:rPr>
              <w:t>information and anti-corruption measures in accordance with international standards and conventions</w:t>
            </w:r>
          </w:p>
          <w:p w14:paraId="077B8B7C" w14:textId="39F0616C"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Number of proposals adopted to prevent risks of corruption at the sectoral level designed and implemented</w:t>
            </w:r>
          </w:p>
          <w:p w14:paraId="29A2BC83" w14:textId="55D63BCF" w:rsidR="00637443" w:rsidRPr="00CE38CA" w:rsidRDefault="00DE1CA5" w:rsidP="006D1383">
            <w:pPr>
              <w:pStyle w:val="Normal1"/>
              <w:rPr>
                <w:sz w:val="16"/>
                <w:szCs w:val="16"/>
                <w:lang w:val="en-GB"/>
              </w:rPr>
            </w:pPr>
            <w:r w:rsidRPr="00CE38CA">
              <w:rPr>
                <w:rFonts w:eastAsia="Calibri"/>
                <w:sz w:val="16"/>
                <w:szCs w:val="16"/>
                <w:lang w:val="en-GB"/>
              </w:rPr>
              <w:lastRenderedPageBreak/>
              <w:t>B</w:t>
            </w:r>
            <w:r>
              <w:rPr>
                <w:rFonts w:eastAsia="Calibri"/>
                <w:sz w:val="16"/>
                <w:szCs w:val="16"/>
                <w:lang w:val="en-GB"/>
              </w:rPr>
              <w:t>aseline</w:t>
            </w:r>
            <w:r w:rsidR="00637443" w:rsidRPr="00CE38CA">
              <w:rPr>
                <w:rFonts w:eastAsia="Calibri"/>
                <w:sz w:val="16"/>
                <w:szCs w:val="16"/>
                <w:lang w:val="en-GB"/>
              </w:rPr>
              <w:t>: 0 (2013)</w:t>
            </w:r>
          </w:p>
          <w:p w14:paraId="6326A45C" w14:textId="16C14A4B"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1 (2018)</w:t>
            </w:r>
          </w:p>
          <w:p w14:paraId="5C7C5528" w14:textId="77777777" w:rsidR="00637443" w:rsidRPr="00CE38CA" w:rsidRDefault="00637443" w:rsidP="006D1383">
            <w:pPr>
              <w:pStyle w:val="Normal1"/>
              <w:rPr>
                <w:sz w:val="16"/>
                <w:szCs w:val="16"/>
                <w:lang w:val="en-GB"/>
              </w:rPr>
            </w:pPr>
          </w:p>
          <w:p w14:paraId="28DBC36A" w14:textId="104BEDC6"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Percentage of citizen knowledge of the right to access to information (included in Transparency Law No. 20.285)</w:t>
            </w:r>
          </w:p>
          <w:p w14:paraId="11E471DB" w14:textId="6560FA69"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19.7</w:t>
            </w:r>
            <w:r>
              <w:rPr>
                <w:rFonts w:eastAsia="Calibri"/>
                <w:sz w:val="16"/>
                <w:szCs w:val="16"/>
                <w:lang w:val="en-GB"/>
              </w:rPr>
              <w:t xml:space="preserve"> per cent</w:t>
            </w:r>
            <w:r w:rsidR="00637443" w:rsidRPr="00CE38CA">
              <w:rPr>
                <w:rFonts w:eastAsia="Calibri"/>
                <w:sz w:val="16"/>
                <w:szCs w:val="16"/>
                <w:lang w:val="en-GB"/>
              </w:rPr>
              <w:t xml:space="preserve"> (2013 </w:t>
            </w:r>
            <w:r w:rsidR="00F93F68">
              <w:rPr>
                <w:rFonts w:eastAsia="Calibri"/>
                <w:sz w:val="16"/>
                <w:szCs w:val="16"/>
                <w:lang w:val="en-GB"/>
              </w:rPr>
              <w:t>s</w:t>
            </w:r>
            <w:r w:rsidR="00637443" w:rsidRPr="00CE38CA">
              <w:rPr>
                <w:rFonts w:eastAsia="Calibri"/>
                <w:sz w:val="16"/>
                <w:szCs w:val="16"/>
                <w:lang w:val="en-GB"/>
              </w:rPr>
              <w:t>urvey)</w:t>
            </w:r>
          </w:p>
          <w:p w14:paraId="03F0A8D1" w14:textId="54737B04"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None</w:t>
            </w:r>
          </w:p>
          <w:p w14:paraId="42890DA0" w14:textId="77777777" w:rsidR="00637443" w:rsidRPr="00CE38CA" w:rsidRDefault="00637443" w:rsidP="006D1383">
            <w:pPr>
              <w:pStyle w:val="Normal1"/>
              <w:rPr>
                <w:sz w:val="16"/>
                <w:szCs w:val="16"/>
                <w:lang w:val="en-GB"/>
              </w:rPr>
            </w:pPr>
          </w:p>
          <w:p w14:paraId="1EDC99B4" w14:textId="77777777" w:rsidR="00637443" w:rsidRPr="00CE38CA" w:rsidRDefault="00637443" w:rsidP="006D1383">
            <w:pPr>
              <w:pStyle w:val="Normal1"/>
              <w:rPr>
                <w:sz w:val="16"/>
                <w:szCs w:val="16"/>
                <w:lang w:val="en-GB"/>
              </w:rPr>
            </w:pPr>
            <w:r w:rsidRPr="00CE38CA">
              <w:rPr>
                <w:rFonts w:eastAsia="Calibri"/>
                <w:b/>
                <w:sz w:val="16"/>
                <w:szCs w:val="16"/>
                <w:lang w:val="en-GB"/>
              </w:rPr>
              <w:t xml:space="preserve">Institutions with environmental management responsibilities have the capacities, policies, and instruments required to respond in a coordinated manner to the challenges of conservation, access </w:t>
            </w:r>
            <w:r w:rsidR="00E94074" w:rsidRPr="00CE38CA">
              <w:rPr>
                <w:rFonts w:eastAsia="Calibri"/>
                <w:b/>
                <w:sz w:val="16"/>
                <w:szCs w:val="16"/>
                <w:lang w:val="en-GB"/>
              </w:rPr>
              <w:t>and benefit sharing</w:t>
            </w:r>
            <w:r w:rsidRPr="00CE38CA">
              <w:rPr>
                <w:rFonts w:eastAsia="Calibri"/>
                <w:b/>
                <w:sz w:val="16"/>
                <w:szCs w:val="16"/>
                <w:lang w:val="en-GB"/>
              </w:rPr>
              <w:t xml:space="preserve"> of natural resources at the national, regional, and local levels</w:t>
            </w:r>
          </w:p>
          <w:p w14:paraId="10015B6C" w14:textId="6D431F5E"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Number of initiatives/reforms that contribute to consolidating the management framework of environmental resources, biodiversity and ecosystems</w:t>
            </w:r>
          </w:p>
          <w:p w14:paraId="1F1CE739" w14:textId="43174DF6"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0 (2014)</w:t>
            </w:r>
          </w:p>
          <w:p w14:paraId="32DF36E5" w14:textId="7016B719"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3 (2018)</w:t>
            </w:r>
          </w:p>
          <w:p w14:paraId="3849CA15" w14:textId="77777777" w:rsidR="00637443" w:rsidRPr="00CE38CA" w:rsidRDefault="00637443" w:rsidP="006D1383">
            <w:pPr>
              <w:pStyle w:val="Normal1"/>
              <w:rPr>
                <w:sz w:val="16"/>
                <w:szCs w:val="16"/>
                <w:lang w:val="en-GB"/>
              </w:rPr>
            </w:pPr>
          </w:p>
          <w:p w14:paraId="01DA47C6" w14:textId="327B2707"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Number of mechanisms/</w:t>
            </w:r>
            <w:r w:rsidR="0032282C" w:rsidRPr="00CE38CA">
              <w:rPr>
                <w:rFonts w:eastAsia="Calibri"/>
                <w:sz w:val="16"/>
                <w:szCs w:val="16"/>
                <w:lang w:val="en-GB"/>
              </w:rPr>
              <w:t>partnerships</w:t>
            </w:r>
            <w:r w:rsidR="00637443" w:rsidRPr="00CE38CA">
              <w:rPr>
                <w:rFonts w:eastAsia="Calibri"/>
                <w:sz w:val="16"/>
                <w:szCs w:val="16"/>
                <w:lang w:val="en-GB"/>
              </w:rPr>
              <w:t xml:space="preserve"> with funding for improving the planning framework for conservation and sustainable use of natural resources, biodiversity and ecosystems</w:t>
            </w:r>
          </w:p>
          <w:p w14:paraId="2E0016A0" w14:textId="39951594"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0</w:t>
            </w:r>
          </w:p>
          <w:p w14:paraId="5470CB99" w14:textId="2769A708"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 3</w:t>
            </w:r>
          </w:p>
          <w:p w14:paraId="063F8467" w14:textId="77777777" w:rsidR="00637443" w:rsidRPr="00CE38CA" w:rsidRDefault="00637443" w:rsidP="006D1383">
            <w:pPr>
              <w:pStyle w:val="Normal1"/>
              <w:rPr>
                <w:sz w:val="16"/>
                <w:szCs w:val="16"/>
                <w:lang w:val="en-GB"/>
              </w:rPr>
            </w:pPr>
          </w:p>
          <w:p w14:paraId="4DC71266" w14:textId="77777777" w:rsidR="00637443" w:rsidRPr="00CE38CA" w:rsidRDefault="00637443" w:rsidP="006D1383">
            <w:pPr>
              <w:pStyle w:val="Normal1"/>
              <w:rPr>
                <w:sz w:val="16"/>
                <w:szCs w:val="16"/>
                <w:lang w:val="en-GB"/>
              </w:rPr>
            </w:pPr>
            <w:r w:rsidRPr="00CE38CA">
              <w:rPr>
                <w:rFonts w:eastAsia="Calibri"/>
                <w:b/>
                <w:sz w:val="16"/>
                <w:szCs w:val="16"/>
                <w:lang w:val="en-GB"/>
              </w:rPr>
              <w:t>Regional and local institutions develop public policy planning, implementation, and assessment capacities in the decentralization processes and improve persistent inequality gaps</w:t>
            </w:r>
          </w:p>
          <w:p w14:paraId="6919A89F" w14:textId="1B39B6B3" w:rsidR="00637443" w:rsidRPr="00CE38CA" w:rsidRDefault="003C1251" w:rsidP="006D1383">
            <w:pPr>
              <w:pStyle w:val="Normal1"/>
              <w:rPr>
                <w:sz w:val="16"/>
                <w:szCs w:val="16"/>
                <w:lang w:val="en-GB"/>
              </w:rPr>
            </w:pPr>
            <w:r w:rsidRPr="00F942ED">
              <w:rPr>
                <w:rFonts w:eastAsia="Calibri"/>
                <w:sz w:val="16"/>
                <w:szCs w:val="16"/>
                <w:lang w:val="en-GB"/>
              </w:rPr>
              <w:t>Indicator</w:t>
            </w:r>
            <w:r w:rsidR="00637443" w:rsidRPr="00CE38CA">
              <w:rPr>
                <w:rFonts w:eastAsia="Calibri"/>
                <w:sz w:val="16"/>
                <w:szCs w:val="16"/>
                <w:lang w:val="en-GB"/>
              </w:rPr>
              <w:t>: Number of regional/municipal</w:t>
            </w:r>
            <w:r w:rsidR="00162225" w:rsidRPr="00CE38CA">
              <w:rPr>
                <w:rFonts w:eastAsia="Calibri"/>
                <w:sz w:val="16"/>
                <w:szCs w:val="16"/>
                <w:lang w:val="en-GB"/>
              </w:rPr>
              <w:t xml:space="preserve"> </w:t>
            </w:r>
            <w:r w:rsidR="00637443" w:rsidRPr="00CE38CA">
              <w:rPr>
                <w:rFonts w:eastAsia="Calibri"/>
                <w:sz w:val="16"/>
                <w:szCs w:val="16"/>
                <w:lang w:val="en-GB"/>
              </w:rPr>
              <w:t xml:space="preserve">governments that participate in </w:t>
            </w:r>
            <w:r w:rsidR="00162225" w:rsidRPr="00CE38CA">
              <w:rPr>
                <w:rFonts w:eastAsia="Calibri"/>
                <w:sz w:val="16"/>
                <w:szCs w:val="16"/>
                <w:lang w:val="en-GB"/>
              </w:rPr>
              <w:t xml:space="preserve">a </w:t>
            </w:r>
            <w:r w:rsidR="00637443" w:rsidRPr="00CE38CA">
              <w:rPr>
                <w:rFonts w:eastAsia="Calibri"/>
                <w:sz w:val="16"/>
                <w:szCs w:val="16"/>
                <w:lang w:val="en-GB"/>
              </w:rPr>
              <w:t>decentralization pilot program</w:t>
            </w:r>
          </w:p>
          <w:p w14:paraId="1866C63D" w14:textId="1022ADDF" w:rsidR="00637443"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637443" w:rsidRPr="00CE38CA">
              <w:rPr>
                <w:rFonts w:eastAsia="Calibri"/>
                <w:sz w:val="16"/>
                <w:szCs w:val="16"/>
                <w:lang w:val="en-GB"/>
              </w:rPr>
              <w:t xml:space="preserve">: </w:t>
            </w:r>
            <w:r w:rsidR="00162225" w:rsidRPr="00CE38CA">
              <w:rPr>
                <w:rFonts w:eastAsia="Calibri"/>
                <w:sz w:val="16"/>
                <w:szCs w:val="16"/>
                <w:lang w:val="en-GB"/>
              </w:rPr>
              <w:t>Presidential Commission for Decentralization created in 2014</w:t>
            </w:r>
          </w:p>
          <w:p w14:paraId="39CFC9E8" w14:textId="1D750A5F" w:rsidR="00637443"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637443" w:rsidRPr="00CE38CA">
              <w:rPr>
                <w:rFonts w:eastAsia="Calibri"/>
                <w:sz w:val="16"/>
                <w:szCs w:val="16"/>
                <w:lang w:val="en-GB"/>
              </w:rPr>
              <w:t>:</w:t>
            </w:r>
            <w:r w:rsidR="00162225" w:rsidRPr="00CE38CA">
              <w:rPr>
                <w:rFonts w:eastAsia="Calibri"/>
                <w:sz w:val="16"/>
                <w:szCs w:val="16"/>
                <w:lang w:val="en-GB"/>
              </w:rPr>
              <w:t xml:space="preserve"> </w:t>
            </w:r>
            <w:r w:rsidR="009D3A68" w:rsidRPr="00CE38CA">
              <w:rPr>
                <w:rFonts w:eastAsia="Calibri"/>
                <w:sz w:val="16"/>
                <w:szCs w:val="16"/>
                <w:lang w:val="en-GB"/>
              </w:rPr>
              <w:t>2</w:t>
            </w:r>
            <w:r w:rsidR="00162225" w:rsidRPr="00CE38CA">
              <w:rPr>
                <w:rFonts w:eastAsia="Calibri"/>
                <w:sz w:val="16"/>
                <w:szCs w:val="16"/>
                <w:lang w:val="en-GB"/>
              </w:rPr>
              <w:t xml:space="preserve"> regional/local governments design and implement decentralization-based policies </w:t>
            </w:r>
          </w:p>
        </w:tc>
        <w:tc>
          <w:tcPr>
            <w:tcW w:w="675" w:type="pct"/>
            <w:vMerge w:val="restart"/>
          </w:tcPr>
          <w:p w14:paraId="7381A883" w14:textId="2E1BA77E" w:rsidR="00637443" w:rsidRPr="00CE38CA" w:rsidRDefault="00637443" w:rsidP="00637443">
            <w:pPr>
              <w:rPr>
                <w:bCs/>
                <w:color w:val="000000"/>
                <w:sz w:val="16"/>
                <w:szCs w:val="16"/>
                <w:lang w:val="en-GB"/>
              </w:rPr>
            </w:pPr>
            <w:r w:rsidRPr="00CE38CA">
              <w:rPr>
                <w:bCs/>
                <w:color w:val="000000"/>
                <w:sz w:val="16"/>
                <w:szCs w:val="16"/>
                <w:lang w:val="en-GB"/>
              </w:rPr>
              <w:lastRenderedPageBreak/>
              <w:t xml:space="preserve">Ministry </w:t>
            </w:r>
            <w:r w:rsidR="00DE1CA5">
              <w:rPr>
                <w:bCs/>
                <w:color w:val="000000"/>
                <w:sz w:val="16"/>
                <w:szCs w:val="16"/>
                <w:lang w:val="en-GB"/>
              </w:rPr>
              <w:t xml:space="preserve">of the </w:t>
            </w:r>
            <w:r w:rsidRPr="00CE38CA">
              <w:rPr>
                <w:bCs/>
                <w:color w:val="000000"/>
                <w:sz w:val="16"/>
                <w:szCs w:val="16"/>
                <w:lang w:val="en-GB"/>
              </w:rPr>
              <w:t>Secretary</w:t>
            </w:r>
            <w:r w:rsidR="00DE1CA5">
              <w:rPr>
                <w:bCs/>
                <w:color w:val="000000"/>
                <w:sz w:val="16"/>
                <w:szCs w:val="16"/>
                <w:lang w:val="en-GB"/>
              </w:rPr>
              <w:t>-</w:t>
            </w:r>
            <w:r w:rsidRPr="00CE38CA">
              <w:rPr>
                <w:bCs/>
                <w:color w:val="000000"/>
                <w:sz w:val="16"/>
                <w:szCs w:val="16"/>
                <w:lang w:val="en-GB"/>
              </w:rPr>
              <w:t>General of the Presidency</w:t>
            </w:r>
          </w:p>
          <w:p w14:paraId="502AA49F" w14:textId="77777777" w:rsidR="00637443" w:rsidRPr="00CE38CA" w:rsidRDefault="00637443" w:rsidP="00637443">
            <w:pPr>
              <w:rPr>
                <w:bCs/>
                <w:color w:val="000000"/>
                <w:sz w:val="16"/>
                <w:szCs w:val="16"/>
                <w:lang w:val="en-GB"/>
              </w:rPr>
            </w:pPr>
            <w:r w:rsidRPr="00CE38CA">
              <w:rPr>
                <w:bCs/>
                <w:color w:val="000000"/>
                <w:sz w:val="16"/>
                <w:szCs w:val="16"/>
                <w:lang w:val="en-GB"/>
              </w:rPr>
              <w:t>Office of the Comptroller</w:t>
            </w:r>
          </w:p>
          <w:p w14:paraId="0EFA4B7F" w14:textId="77777777" w:rsidR="00637443" w:rsidRPr="00CE38CA" w:rsidRDefault="00637443" w:rsidP="00637443">
            <w:pPr>
              <w:rPr>
                <w:bCs/>
                <w:color w:val="000000"/>
                <w:sz w:val="16"/>
                <w:szCs w:val="16"/>
                <w:lang w:val="en-GB"/>
              </w:rPr>
            </w:pPr>
            <w:r w:rsidRPr="00CE38CA">
              <w:rPr>
                <w:bCs/>
                <w:color w:val="000000"/>
                <w:sz w:val="16"/>
                <w:szCs w:val="16"/>
                <w:lang w:val="en-GB"/>
              </w:rPr>
              <w:t>Council for Transparency</w:t>
            </w:r>
          </w:p>
          <w:p w14:paraId="332EF18C" w14:textId="77777777" w:rsidR="00637443" w:rsidRPr="00CE38CA" w:rsidRDefault="00637443" w:rsidP="00637443">
            <w:pPr>
              <w:rPr>
                <w:bCs/>
                <w:color w:val="000000"/>
                <w:sz w:val="16"/>
                <w:szCs w:val="16"/>
                <w:lang w:val="en-GB"/>
              </w:rPr>
            </w:pPr>
            <w:r w:rsidRPr="00CE38CA">
              <w:rPr>
                <w:bCs/>
                <w:color w:val="000000"/>
                <w:sz w:val="16"/>
                <w:szCs w:val="16"/>
                <w:lang w:val="en-GB"/>
              </w:rPr>
              <w:t xml:space="preserve">National Congress </w:t>
            </w:r>
          </w:p>
          <w:p w14:paraId="2AF55A5B" w14:textId="75F56376" w:rsidR="00637443" w:rsidRPr="00DA120E" w:rsidRDefault="00637443" w:rsidP="00637443">
            <w:pPr>
              <w:rPr>
                <w:bCs/>
                <w:color w:val="000000"/>
                <w:sz w:val="16"/>
                <w:szCs w:val="16"/>
                <w:lang w:val="en-GB"/>
              </w:rPr>
            </w:pPr>
            <w:r w:rsidRPr="00A53E94">
              <w:rPr>
                <w:bCs/>
                <w:color w:val="000000"/>
                <w:sz w:val="16"/>
                <w:szCs w:val="16"/>
                <w:lang w:val="en-GB"/>
              </w:rPr>
              <w:t>I</w:t>
            </w:r>
            <w:r w:rsidR="00A53E94" w:rsidRPr="00A309A5">
              <w:rPr>
                <w:bCs/>
                <w:color w:val="000000"/>
                <w:sz w:val="16"/>
                <w:szCs w:val="16"/>
                <w:lang w:val="en-GB"/>
              </w:rPr>
              <w:t>nstituto Nacional de la Juventud (INJUV)</w:t>
            </w:r>
          </w:p>
          <w:p w14:paraId="21982E60" w14:textId="7EF64CF8" w:rsidR="00637443" w:rsidRPr="00CE38CA" w:rsidRDefault="00A53E94" w:rsidP="00637443">
            <w:pPr>
              <w:rPr>
                <w:bCs/>
                <w:color w:val="000000"/>
                <w:sz w:val="16"/>
                <w:szCs w:val="16"/>
                <w:lang w:val="en-GB"/>
              </w:rPr>
            </w:pPr>
            <w:r w:rsidRPr="00A309A5">
              <w:rPr>
                <w:bCs/>
                <w:color w:val="000000"/>
                <w:sz w:val="16"/>
                <w:szCs w:val="16"/>
                <w:lang w:val="en-GB"/>
              </w:rPr>
              <w:t>National Women’s Service (</w:t>
            </w:r>
            <w:r w:rsidR="00637443" w:rsidRPr="00A53E94">
              <w:rPr>
                <w:bCs/>
                <w:color w:val="000000"/>
                <w:sz w:val="16"/>
                <w:szCs w:val="16"/>
                <w:lang w:val="en-GB"/>
              </w:rPr>
              <w:t>SERNAM</w:t>
            </w:r>
            <w:r w:rsidRPr="00DA120E">
              <w:rPr>
                <w:bCs/>
                <w:color w:val="000000"/>
                <w:sz w:val="16"/>
                <w:szCs w:val="16"/>
                <w:lang w:val="en-GB"/>
              </w:rPr>
              <w:t>)</w:t>
            </w:r>
          </w:p>
          <w:p w14:paraId="6637E021" w14:textId="77777777" w:rsidR="00637443" w:rsidRPr="00CE38CA" w:rsidRDefault="00637443" w:rsidP="00637443">
            <w:pPr>
              <w:rPr>
                <w:bCs/>
                <w:color w:val="000000"/>
                <w:sz w:val="16"/>
                <w:szCs w:val="16"/>
                <w:lang w:val="en-GB"/>
              </w:rPr>
            </w:pPr>
            <w:r w:rsidRPr="00CE38CA">
              <w:rPr>
                <w:bCs/>
                <w:color w:val="000000"/>
                <w:sz w:val="16"/>
                <w:szCs w:val="16"/>
                <w:lang w:val="en-GB"/>
              </w:rPr>
              <w:t>Regional and local governments</w:t>
            </w:r>
          </w:p>
          <w:p w14:paraId="089E483B" w14:textId="77777777" w:rsidR="00637443" w:rsidRPr="00CE38CA" w:rsidRDefault="00637443" w:rsidP="00637443">
            <w:pPr>
              <w:rPr>
                <w:bCs/>
                <w:color w:val="000000"/>
                <w:sz w:val="16"/>
                <w:szCs w:val="16"/>
                <w:lang w:val="en-GB"/>
              </w:rPr>
            </w:pPr>
            <w:r w:rsidRPr="00CE38CA">
              <w:rPr>
                <w:bCs/>
                <w:color w:val="000000"/>
                <w:sz w:val="16"/>
                <w:szCs w:val="16"/>
                <w:lang w:val="en-GB"/>
              </w:rPr>
              <w:t>Communities</w:t>
            </w:r>
          </w:p>
          <w:p w14:paraId="3B45A4AC" w14:textId="77777777" w:rsidR="00637443" w:rsidRPr="00CE38CA" w:rsidRDefault="00637443" w:rsidP="00637443">
            <w:pPr>
              <w:rPr>
                <w:bCs/>
                <w:color w:val="000000"/>
                <w:sz w:val="16"/>
                <w:szCs w:val="16"/>
                <w:lang w:val="en-GB"/>
              </w:rPr>
            </w:pPr>
            <w:r w:rsidRPr="00CE38CA">
              <w:rPr>
                <w:bCs/>
                <w:color w:val="000000"/>
                <w:sz w:val="16"/>
                <w:szCs w:val="16"/>
                <w:lang w:val="en-GB"/>
              </w:rPr>
              <w:t>Civil society organisations</w:t>
            </w:r>
          </w:p>
          <w:p w14:paraId="79CB3EE3" w14:textId="77777777" w:rsidR="00637443" w:rsidRPr="00CE38CA" w:rsidRDefault="00637443" w:rsidP="00637443">
            <w:pPr>
              <w:rPr>
                <w:bCs/>
                <w:color w:val="000000"/>
                <w:sz w:val="16"/>
                <w:szCs w:val="16"/>
                <w:lang w:val="en-GB"/>
              </w:rPr>
            </w:pPr>
            <w:r w:rsidRPr="00CE38CA">
              <w:rPr>
                <w:bCs/>
                <w:color w:val="000000"/>
                <w:sz w:val="16"/>
                <w:szCs w:val="16"/>
                <w:lang w:val="en-GB"/>
              </w:rPr>
              <w:t>Universities and think tanks</w:t>
            </w:r>
          </w:p>
          <w:p w14:paraId="05387398" w14:textId="77777777" w:rsidR="00637443" w:rsidRPr="00CE38CA" w:rsidRDefault="00637443" w:rsidP="00637443">
            <w:pPr>
              <w:rPr>
                <w:bCs/>
                <w:color w:val="000000"/>
                <w:sz w:val="16"/>
                <w:szCs w:val="16"/>
                <w:lang w:val="en-GB"/>
              </w:rPr>
            </w:pPr>
            <w:r w:rsidRPr="00CE38CA">
              <w:rPr>
                <w:bCs/>
                <w:color w:val="000000"/>
                <w:sz w:val="16"/>
                <w:szCs w:val="16"/>
                <w:lang w:val="en-GB"/>
              </w:rPr>
              <w:t>Indigenous organisations</w:t>
            </w:r>
          </w:p>
          <w:p w14:paraId="61B73BB3" w14:textId="77777777" w:rsidR="00637443" w:rsidRPr="00CE38CA" w:rsidRDefault="00637443" w:rsidP="00637443">
            <w:pPr>
              <w:rPr>
                <w:bCs/>
                <w:color w:val="000000"/>
                <w:sz w:val="16"/>
                <w:szCs w:val="16"/>
                <w:lang w:val="en-GB"/>
              </w:rPr>
            </w:pPr>
            <w:r w:rsidRPr="00CE38CA">
              <w:rPr>
                <w:bCs/>
                <w:color w:val="000000"/>
                <w:sz w:val="16"/>
                <w:szCs w:val="16"/>
                <w:lang w:val="en-GB"/>
              </w:rPr>
              <w:t>Ministry of Health</w:t>
            </w:r>
          </w:p>
          <w:p w14:paraId="4D7A25AE" w14:textId="77777777" w:rsidR="00637443" w:rsidRPr="00CE38CA" w:rsidRDefault="00637443" w:rsidP="00637443">
            <w:pPr>
              <w:rPr>
                <w:bCs/>
                <w:color w:val="000000"/>
                <w:sz w:val="16"/>
                <w:szCs w:val="16"/>
                <w:lang w:val="en-GB"/>
              </w:rPr>
            </w:pPr>
            <w:r w:rsidRPr="00CE38CA">
              <w:rPr>
                <w:bCs/>
                <w:color w:val="000000"/>
                <w:sz w:val="16"/>
                <w:szCs w:val="16"/>
                <w:lang w:val="en-GB"/>
              </w:rPr>
              <w:t>National Statistics Institute</w:t>
            </w:r>
          </w:p>
          <w:p w14:paraId="62047460" w14:textId="77777777" w:rsidR="00637443" w:rsidRPr="00CE38CA" w:rsidRDefault="00637443" w:rsidP="00637443">
            <w:pPr>
              <w:rPr>
                <w:bCs/>
                <w:color w:val="000000"/>
                <w:sz w:val="16"/>
                <w:szCs w:val="16"/>
                <w:lang w:val="en-GB"/>
              </w:rPr>
            </w:pPr>
          </w:p>
          <w:p w14:paraId="5FF183DB" w14:textId="77777777" w:rsidR="00637443" w:rsidRPr="00CE38CA" w:rsidRDefault="00637443" w:rsidP="00637443">
            <w:pPr>
              <w:rPr>
                <w:sz w:val="16"/>
                <w:szCs w:val="16"/>
                <w:lang w:val="en-GB"/>
              </w:rPr>
            </w:pPr>
          </w:p>
        </w:tc>
        <w:tc>
          <w:tcPr>
            <w:tcW w:w="957" w:type="pct"/>
            <w:gridSpan w:val="2"/>
            <w:tcMar>
              <w:top w:w="15" w:type="dxa"/>
              <w:left w:w="108" w:type="dxa"/>
              <w:bottom w:w="0" w:type="dxa"/>
              <w:right w:w="108" w:type="dxa"/>
            </w:tcMar>
          </w:tcPr>
          <w:p w14:paraId="4F5C417F" w14:textId="77777777" w:rsidR="00637443" w:rsidRPr="00CE38CA" w:rsidRDefault="00947E7D" w:rsidP="00983451">
            <w:pPr>
              <w:rPr>
                <w:b/>
                <w:color w:val="000000"/>
                <w:sz w:val="16"/>
                <w:szCs w:val="16"/>
                <w:lang w:val="en-GB"/>
              </w:rPr>
            </w:pPr>
            <w:r w:rsidRPr="00CE38CA">
              <w:rPr>
                <w:b/>
                <w:color w:val="000000"/>
                <w:sz w:val="16"/>
                <w:szCs w:val="16"/>
                <w:lang w:val="en-GB"/>
              </w:rPr>
              <w:t>Regular</w:t>
            </w:r>
            <w:r w:rsidR="00637443" w:rsidRPr="00CE38CA">
              <w:rPr>
                <w:b/>
                <w:color w:val="000000"/>
                <w:sz w:val="16"/>
                <w:szCs w:val="16"/>
                <w:lang w:val="en-GB"/>
              </w:rPr>
              <w:t xml:space="preserve"> (UNDP)</w:t>
            </w:r>
          </w:p>
          <w:p w14:paraId="21499648" w14:textId="77777777" w:rsidR="00637443" w:rsidRPr="00CE38CA" w:rsidRDefault="007C7CE3" w:rsidP="00983451">
            <w:pPr>
              <w:rPr>
                <w:color w:val="000000"/>
                <w:sz w:val="16"/>
                <w:szCs w:val="16"/>
                <w:lang w:val="en-GB"/>
              </w:rPr>
            </w:pPr>
            <w:r w:rsidRPr="00CE38CA">
              <w:rPr>
                <w:color w:val="000000"/>
                <w:sz w:val="16"/>
                <w:szCs w:val="16"/>
                <w:lang w:val="en-GB"/>
              </w:rPr>
              <w:t>303</w:t>
            </w:r>
            <w:r w:rsidR="00637443" w:rsidRPr="00CE38CA">
              <w:rPr>
                <w:color w:val="000000"/>
                <w:sz w:val="16"/>
                <w:szCs w:val="16"/>
                <w:lang w:val="en-GB"/>
              </w:rPr>
              <w:t xml:space="preserve">,000 </w:t>
            </w:r>
          </w:p>
        </w:tc>
      </w:tr>
      <w:tr w:rsidR="00637443" w:rsidRPr="00CE38CA" w14:paraId="7CA92CBF" w14:textId="77777777" w:rsidTr="0077091F">
        <w:trPr>
          <w:trHeight w:val="461"/>
        </w:trPr>
        <w:tc>
          <w:tcPr>
            <w:tcW w:w="1097" w:type="pct"/>
            <w:gridSpan w:val="2"/>
            <w:vMerge/>
            <w:tcBorders>
              <w:bottom w:val="single" w:sz="4" w:space="0" w:color="auto"/>
            </w:tcBorders>
            <w:tcMar>
              <w:top w:w="72" w:type="dxa"/>
              <w:left w:w="144" w:type="dxa"/>
              <w:bottom w:w="72" w:type="dxa"/>
              <w:right w:w="144" w:type="dxa"/>
            </w:tcMar>
          </w:tcPr>
          <w:p w14:paraId="51587529" w14:textId="77777777" w:rsidR="00637443" w:rsidRPr="00CE38CA" w:rsidRDefault="00637443" w:rsidP="00CD019A">
            <w:pPr>
              <w:rPr>
                <w:i/>
                <w:iCs/>
                <w:color w:val="000000"/>
                <w:sz w:val="16"/>
                <w:szCs w:val="16"/>
                <w:lang w:val="en-GB"/>
              </w:rPr>
            </w:pPr>
          </w:p>
        </w:tc>
        <w:tc>
          <w:tcPr>
            <w:tcW w:w="653" w:type="pct"/>
            <w:gridSpan w:val="2"/>
            <w:vMerge/>
            <w:tcBorders>
              <w:bottom w:val="single" w:sz="4" w:space="0" w:color="auto"/>
            </w:tcBorders>
          </w:tcPr>
          <w:p w14:paraId="4993758B" w14:textId="77777777" w:rsidR="00637443" w:rsidRPr="00CE38CA" w:rsidRDefault="00637443" w:rsidP="00CD019A">
            <w:pPr>
              <w:rPr>
                <w:i/>
                <w:iCs/>
                <w:color w:val="000000"/>
                <w:sz w:val="16"/>
                <w:szCs w:val="16"/>
                <w:lang w:val="en-GB"/>
              </w:rPr>
            </w:pPr>
          </w:p>
        </w:tc>
        <w:tc>
          <w:tcPr>
            <w:tcW w:w="1618" w:type="pct"/>
            <w:gridSpan w:val="2"/>
            <w:vMerge/>
            <w:tcBorders>
              <w:bottom w:val="single" w:sz="4" w:space="0" w:color="auto"/>
            </w:tcBorders>
            <w:tcMar>
              <w:top w:w="72" w:type="dxa"/>
              <w:left w:w="144" w:type="dxa"/>
              <w:bottom w:w="72" w:type="dxa"/>
              <w:right w:w="144" w:type="dxa"/>
            </w:tcMar>
          </w:tcPr>
          <w:p w14:paraId="3911328F" w14:textId="77777777" w:rsidR="00637443" w:rsidRPr="00CE38CA" w:rsidRDefault="00637443" w:rsidP="00CD019A">
            <w:pPr>
              <w:rPr>
                <w:i/>
                <w:iCs/>
                <w:color w:val="000000"/>
                <w:sz w:val="16"/>
                <w:szCs w:val="16"/>
                <w:lang w:val="en-GB"/>
              </w:rPr>
            </w:pPr>
          </w:p>
        </w:tc>
        <w:tc>
          <w:tcPr>
            <w:tcW w:w="675" w:type="pct"/>
            <w:vMerge/>
            <w:tcBorders>
              <w:bottom w:val="single" w:sz="4" w:space="0" w:color="auto"/>
            </w:tcBorders>
          </w:tcPr>
          <w:p w14:paraId="63CD625A" w14:textId="77777777" w:rsidR="00637443" w:rsidRPr="00CE38CA" w:rsidRDefault="00637443" w:rsidP="00CD019A">
            <w:pPr>
              <w:rPr>
                <w:i/>
                <w:iCs/>
                <w:color w:val="000000"/>
                <w:sz w:val="16"/>
                <w:szCs w:val="16"/>
                <w:lang w:val="en-GB"/>
              </w:rPr>
            </w:pPr>
          </w:p>
        </w:tc>
        <w:tc>
          <w:tcPr>
            <w:tcW w:w="957" w:type="pct"/>
            <w:gridSpan w:val="2"/>
            <w:tcBorders>
              <w:bottom w:val="single" w:sz="4" w:space="0" w:color="auto"/>
            </w:tcBorders>
            <w:tcMar>
              <w:top w:w="15" w:type="dxa"/>
              <w:left w:w="108" w:type="dxa"/>
              <w:bottom w:w="0" w:type="dxa"/>
              <w:right w:w="108" w:type="dxa"/>
            </w:tcMar>
          </w:tcPr>
          <w:p w14:paraId="5942FEB2" w14:textId="77777777" w:rsidR="00637443" w:rsidRPr="00CE38CA" w:rsidRDefault="00637443" w:rsidP="00983451">
            <w:pPr>
              <w:rPr>
                <w:b/>
                <w:color w:val="000000"/>
                <w:sz w:val="16"/>
                <w:szCs w:val="16"/>
                <w:lang w:val="en-GB"/>
              </w:rPr>
            </w:pPr>
            <w:r w:rsidRPr="00CE38CA">
              <w:rPr>
                <w:b/>
                <w:color w:val="000000"/>
                <w:sz w:val="16"/>
                <w:szCs w:val="16"/>
                <w:lang w:val="en-GB"/>
              </w:rPr>
              <w:t>Other</w:t>
            </w:r>
          </w:p>
          <w:p w14:paraId="7A31D0FF" w14:textId="77777777" w:rsidR="00637443" w:rsidRPr="00CE38CA" w:rsidRDefault="00637443" w:rsidP="00983451">
            <w:pPr>
              <w:rPr>
                <w:b/>
                <w:color w:val="000000"/>
                <w:sz w:val="16"/>
                <w:szCs w:val="16"/>
                <w:lang w:val="en-GB"/>
              </w:rPr>
            </w:pPr>
            <w:r w:rsidRPr="00CE38CA">
              <w:rPr>
                <w:color w:val="000000"/>
                <w:sz w:val="16"/>
                <w:szCs w:val="16"/>
                <w:lang w:val="en-GB"/>
              </w:rPr>
              <w:t>21,300,000</w:t>
            </w:r>
          </w:p>
          <w:p w14:paraId="642BBAC6" w14:textId="77777777" w:rsidR="00637443" w:rsidRPr="00CE38CA" w:rsidRDefault="00637443" w:rsidP="00983451">
            <w:pPr>
              <w:rPr>
                <w:b/>
                <w:color w:val="000000"/>
                <w:sz w:val="16"/>
                <w:szCs w:val="16"/>
                <w:lang w:val="en-GB"/>
              </w:rPr>
            </w:pPr>
          </w:p>
        </w:tc>
      </w:tr>
      <w:tr w:rsidR="00AB12BB" w:rsidRPr="00CE38CA" w14:paraId="3F237916" w14:textId="77777777" w:rsidTr="0077091F">
        <w:trPr>
          <w:trHeight w:val="25"/>
        </w:trPr>
        <w:tc>
          <w:tcPr>
            <w:tcW w:w="5000" w:type="pct"/>
            <w:gridSpan w:val="9"/>
            <w:shd w:val="clear" w:color="auto" w:fill="auto"/>
            <w:tcMar>
              <w:top w:w="72" w:type="dxa"/>
              <w:left w:w="144" w:type="dxa"/>
              <w:bottom w:w="72" w:type="dxa"/>
              <w:right w:w="144" w:type="dxa"/>
            </w:tcMar>
          </w:tcPr>
          <w:p w14:paraId="01268E08" w14:textId="61F5AC23" w:rsidR="00AB12BB" w:rsidRPr="00CE38CA" w:rsidRDefault="00AB12BB" w:rsidP="005B6749">
            <w:pPr>
              <w:rPr>
                <w:sz w:val="16"/>
                <w:szCs w:val="16"/>
                <w:lang w:val="en-GB"/>
              </w:rPr>
            </w:pPr>
            <w:r w:rsidRPr="00CE38CA">
              <w:rPr>
                <w:b/>
                <w:bCs/>
                <w:color w:val="000000"/>
                <w:sz w:val="16"/>
                <w:szCs w:val="16"/>
                <w:lang w:val="en-GB"/>
              </w:rPr>
              <w:lastRenderedPageBreak/>
              <w:t xml:space="preserve">NATIONAL PRIORITY OR GOAL: </w:t>
            </w:r>
            <w:r w:rsidR="005B6749" w:rsidRPr="00CE38CA">
              <w:rPr>
                <w:bCs/>
                <w:color w:val="000000"/>
                <w:sz w:val="16"/>
                <w:szCs w:val="16"/>
                <w:lang w:val="en-GB"/>
              </w:rPr>
              <w:t xml:space="preserve">Disaster and climatic risk reduction and </w:t>
            </w:r>
            <w:r w:rsidR="00053AAC" w:rsidRPr="00CE38CA">
              <w:rPr>
                <w:bCs/>
                <w:color w:val="000000"/>
                <w:sz w:val="16"/>
                <w:szCs w:val="16"/>
                <w:lang w:val="en-GB"/>
              </w:rPr>
              <w:t>management</w:t>
            </w:r>
            <w:r w:rsidR="00645B72" w:rsidRPr="00CE38CA">
              <w:rPr>
                <w:bCs/>
                <w:color w:val="000000"/>
                <w:sz w:val="16"/>
                <w:szCs w:val="16"/>
                <w:lang w:val="en-GB"/>
              </w:rPr>
              <w:t>.</w:t>
            </w:r>
          </w:p>
        </w:tc>
      </w:tr>
      <w:tr w:rsidR="00AB12BB" w:rsidRPr="00CE38CA" w14:paraId="5E896818" w14:textId="77777777" w:rsidTr="0077091F">
        <w:trPr>
          <w:trHeight w:val="124"/>
        </w:trPr>
        <w:tc>
          <w:tcPr>
            <w:tcW w:w="5000" w:type="pct"/>
            <w:gridSpan w:val="9"/>
            <w:shd w:val="clear" w:color="auto" w:fill="auto"/>
            <w:tcMar>
              <w:top w:w="72" w:type="dxa"/>
              <w:left w:w="144" w:type="dxa"/>
              <w:bottom w:w="72" w:type="dxa"/>
              <w:right w:w="144" w:type="dxa"/>
            </w:tcMar>
          </w:tcPr>
          <w:p w14:paraId="4EE912F7" w14:textId="4104BC27" w:rsidR="00AB12BB" w:rsidRPr="00CE38CA" w:rsidRDefault="00AB12BB" w:rsidP="004F7CB1">
            <w:pPr>
              <w:rPr>
                <w:b/>
                <w:bCs/>
                <w:sz w:val="16"/>
                <w:szCs w:val="16"/>
                <w:lang w:val="en-GB"/>
              </w:rPr>
            </w:pPr>
            <w:r w:rsidRPr="00CE38CA">
              <w:rPr>
                <w:b/>
                <w:bCs/>
                <w:color w:val="000000"/>
                <w:sz w:val="16"/>
                <w:szCs w:val="16"/>
                <w:lang w:val="en-GB"/>
              </w:rPr>
              <w:t xml:space="preserve">UNDAF (OR EQUIVALENT) OUTCOME INVOLVING UNDP </w:t>
            </w:r>
            <w:r w:rsidR="00A069CB" w:rsidRPr="00CE38CA">
              <w:rPr>
                <w:b/>
                <w:bCs/>
                <w:color w:val="000000"/>
                <w:sz w:val="16"/>
                <w:szCs w:val="16"/>
                <w:lang w:val="en-GB"/>
              </w:rPr>
              <w:t>9</w:t>
            </w:r>
            <w:r w:rsidRPr="00CE38CA">
              <w:rPr>
                <w:b/>
                <w:bCs/>
                <w:color w:val="000000"/>
                <w:sz w:val="16"/>
                <w:szCs w:val="16"/>
                <w:lang w:val="en-GB"/>
              </w:rPr>
              <w:t>:</w:t>
            </w:r>
            <w:r w:rsidRPr="00CE38CA">
              <w:rPr>
                <w:color w:val="000000"/>
                <w:sz w:val="16"/>
                <w:szCs w:val="16"/>
                <w:lang w:val="en-GB"/>
              </w:rPr>
              <w:t xml:space="preserve"> </w:t>
            </w:r>
            <w:r w:rsidR="00F25176" w:rsidRPr="00CE38CA">
              <w:rPr>
                <w:sz w:val="16"/>
                <w:szCs w:val="16"/>
                <w:lang w:val="en-GB"/>
              </w:rPr>
              <w:t xml:space="preserve">Institutions and civil society have the capacity to manage </w:t>
            </w:r>
            <w:r w:rsidR="005B6749" w:rsidRPr="00CE38CA">
              <w:rPr>
                <w:sz w:val="16"/>
                <w:szCs w:val="16"/>
                <w:lang w:val="en-GB"/>
              </w:rPr>
              <w:t xml:space="preserve">the </w:t>
            </w:r>
            <w:r w:rsidR="00F25176" w:rsidRPr="00CE38CA">
              <w:rPr>
                <w:sz w:val="16"/>
                <w:szCs w:val="16"/>
                <w:lang w:val="en-GB"/>
              </w:rPr>
              <w:t>risk of disasters in a comprehensive manner</w:t>
            </w:r>
            <w:r w:rsidR="00645B72" w:rsidRPr="00CE38CA">
              <w:rPr>
                <w:sz w:val="16"/>
                <w:szCs w:val="16"/>
                <w:lang w:val="en-GB"/>
              </w:rPr>
              <w:t>.</w:t>
            </w:r>
          </w:p>
        </w:tc>
      </w:tr>
      <w:tr w:rsidR="00AB12BB" w:rsidRPr="00CE38CA" w14:paraId="25088DBE" w14:textId="77777777" w:rsidTr="0077091F">
        <w:trPr>
          <w:trHeight w:val="124"/>
        </w:trPr>
        <w:tc>
          <w:tcPr>
            <w:tcW w:w="5000" w:type="pct"/>
            <w:gridSpan w:val="9"/>
            <w:shd w:val="clear" w:color="auto" w:fill="auto"/>
            <w:tcMar>
              <w:top w:w="72" w:type="dxa"/>
              <w:left w:w="144" w:type="dxa"/>
              <w:bottom w:w="72" w:type="dxa"/>
              <w:right w:w="144" w:type="dxa"/>
            </w:tcMar>
          </w:tcPr>
          <w:p w14:paraId="586B3CCE" w14:textId="6DB2EA60" w:rsidR="00AB12BB" w:rsidRPr="00CE38CA" w:rsidRDefault="00053AAC" w:rsidP="005B6749">
            <w:pPr>
              <w:rPr>
                <w:b/>
                <w:bCs/>
                <w:color w:val="000000"/>
                <w:sz w:val="16"/>
                <w:szCs w:val="16"/>
                <w:lang w:val="en-GB"/>
              </w:rPr>
            </w:pPr>
            <w:r w:rsidRPr="00CE38CA">
              <w:rPr>
                <w:b/>
                <w:bCs/>
                <w:color w:val="000000"/>
                <w:sz w:val="16"/>
                <w:szCs w:val="16"/>
                <w:lang w:val="en-GB"/>
              </w:rPr>
              <w:t>RELATED STRATEGIC PLAN OUTCOME 5</w:t>
            </w:r>
            <w:r w:rsidR="00AB12BB" w:rsidRPr="00CE38CA">
              <w:rPr>
                <w:b/>
                <w:bCs/>
                <w:color w:val="000000"/>
                <w:sz w:val="16"/>
                <w:szCs w:val="16"/>
                <w:lang w:val="en-GB"/>
              </w:rPr>
              <w:t xml:space="preserve"> (from strategic plan</w:t>
            </w:r>
            <w:r w:rsidR="0071469E">
              <w:rPr>
                <w:b/>
                <w:bCs/>
                <w:color w:val="000000"/>
                <w:sz w:val="16"/>
                <w:szCs w:val="16"/>
                <w:lang w:val="en-GB"/>
              </w:rPr>
              <w:t>,</w:t>
            </w:r>
            <w:r w:rsidR="00AB12BB" w:rsidRPr="00CE38CA">
              <w:rPr>
                <w:b/>
                <w:bCs/>
                <w:color w:val="000000"/>
                <w:sz w:val="16"/>
                <w:szCs w:val="16"/>
                <w:lang w:val="en-GB"/>
              </w:rPr>
              <w:t xml:space="preserve"> 2014-2017)</w:t>
            </w:r>
            <w:r w:rsidR="00F25176" w:rsidRPr="00CE38CA">
              <w:rPr>
                <w:b/>
                <w:bCs/>
                <w:color w:val="000000"/>
                <w:sz w:val="16"/>
                <w:szCs w:val="16"/>
                <w:lang w:val="en-GB"/>
              </w:rPr>
              <w:t xml:space="preserve">: </w:t>
            </w:r>
            <w:r w:rsidR="005B6749" w:rsidRPr="00A309A5">
              <w:rPr>
                <w:bCs/>
                <w:color w:val="000000"/>
                <w:sz w:val="16"/>
                <w:szCs w:val="16"/>
                <w:lang w:val="en-GB"/>
              </w:rPr>
              <w:t>Countries are able to reduce and manage risks of conflict and natural disasters, including from climate change</w:t>
            </w:r>
            <w:r w:rsidR="0071469E">
              <w:rPr>
                <w:bCs/>
                <w:color w:val="000000"/>
                <w:sz w:val="16"/>
                <w:szCs w:val="16"/>
                <w:lang w:val="en-GB"/>
              </w:rPr>
              <w:t>.</w:t>
            </w:r>
            <w:r w:rsidR="005B6749" w:rsidRPr="00A309A5">
              <w:rPr>
                <w:bCs/>
                <w:color w:val="000000"/>
                <w:sz w:val="16"/>
                <w:szCs w:val="16"/>
                <w:lang w:val="en-GB"/>
              </w:rPr>
              <w:t xml:space="preserve"> </w:t>
            </w:r>
          </w:p>
        </w:tc>
      </w:tr>
      <w:tr w:rsidR="00053AAC" w:rsidRPr="00CE38CA" w14:paraId="24A97AAF" w14:textId="77777777" w:rsidTr="004F46EF">
        <w:trPr>
          <w:trHeight w:val="133"/>
        </w:trPr>
        <w:tc>
          <w:tcPr>
            <w:tcW w:w="1097" w:type="pct"/>
            <w:gridSpan w:val="2"/>
            <w:vMerge w:val="restart"/>
            <w:tcMar>
              <w:top w:w="72" w:type="dxa"/>
              <w:left w:w="144" w:type="dxa"/>
              <w:bottom w:w="72" w:type="dxa"/>
              <w:right w:w="144" w:type="dxa"/>
            </w:tcMar>
          </w:tcPr>
          <w:p w14:paraId="543282DF" w14:textId="03D64649" w:rsidR="00053AAC" w:rsidRPr="00CE38CA" w:rsidRDefault="003C1251" w:rsidP="006D1383">
            <w:pPr>
              <w:pStyle w:val="Normal1"/>
              <w:rPr>
                <w:sz w:val="16"/>
                <w:szCs w:val="16"/>
                <w:lang w:val="en-GB"/>
              </w:rPr>
            </w:pPr>
            <w:r w:rsidRPr="00F942ED">
              <w:rPr>
                <w:rFonts w:eastAsia="Calibri"/>
                <w:sz w:val="16"/>
                <w:szCs w:val="16"/>
                <w:lang w:val="en-GB"/>
              </w:rPr>
              <w:t>Indicator</w:t>
            </w:r>
            <w:r w:rsidR="00053AAC" w:rsidRPr="00CE38CA">
              <w:rPr>
                <w:rFonts w:eastAsia="Calibri"/>
                <w:sz w:val="16"/>
                <w:szCs w:val="16"/>
                <w:lang w:val="en-GB"/>
              </w:rPr>
              <w:t>: Mortality due to natural hazards for men and women</w:t>
            </w:r>
          </w:p>
          <w:p w14:paraId="30D37E7A" w14:textId="4E531717"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w:t>
            </w:r>
            <w:r w:rsidR="002A42E7" w:rsidRPr="00CE38CA">
              <w:rPr>
                <w:rFonts w:eastAsia="Calibri"/>
                <w:sz w:val="16"/>
                <w:szCs w:val="16"/>
                <w:lang w:val="en-GB"/>
              </w:rPr>
              <w:t xml:space="preserve"> 577 (2010 earthquake)</w:t>
            </w:r>
          </w:p>
          <w:p w14:paraId="3CA7E384" w14:textId="64A9AC83" w:rsidR="00053AAC"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w:t>
            </w:r>
            <w:r w:rsidR="002A42E7" w:rsidRPr="00CE38CA">
              <w:rPr>
                <w:rFonts w:eastAsia="Calibri"/>
                <w:sz w:val="16"/>
                <w:szCs w:val="16"/>
                <w:lang w:val="en-GB"/>
              </w:rPr>
              <w:t xml:space="preserve"> Reduce</w:t>
            </w:r>
          </w:p>
          <w:p w14:paraId="0FD00696" w14:textId="77777777" w:rsidR="00053AAC" w:rsidRPr="00CE38CA" w:rsidRDefault="00053AAC" w:rsidP="006D1383">
            <w:pPr>
              <w:pStyle w:val="Normal1"/>
              <w:rPr>
                <w:sz w:val="16"/>
                <w:szCs w:val="16"/>
                <w:lang w:val="en-GB"/>
              </w:rPr>
            </w:pPr>
          </w:p>
          <w:p w14:paraId="3A9974D8" w14:textId="77777777" w:rsidR="00053AAC" w:rsidRPr="00CE38CA" w:rsidRDefault="00053AAC" w:rsidP="006D1383">
            <w:pPr>
              <w:pStyle w:val="Normal1"/>
              <w:rPr>
                <w:sz w:val="16"/>
                <w:szCs w:val="16"/>
                <w:lang w:val="en-GB"/>
              </w:rPr>
            </w:pPr>
          </w:p>
          <w:p w14:paraId="2C245FD5" w14:textId="6D4E1B5E" w:rsidR="00053AAC" w:rsidRPr="00CE38CA" w:rsidRDefault="003C1251" w:rsidP="006D1383">
            <w:pPr>
              <w:pStyle w:val="Normal1"/>
              <w:rPr>
                <w:sz w:val="16"/>
                <w:szCs w:val="16"/>
                <w:lang w:val="en-GB"/>
              </w:rPr>
            </w:pPr>
            <w:r w:rsidRPr="00F942ED">
              <w:rPr>
                <w:rFonts w:eastAsia="Calibri"/>
                <w:sz w:val="16"/>
                <w:szCs w:val="16"/>
                <w:lang w:val="en-GB"/>
              </w:rPr>
              <w:t>Indicator</w:t>
            </w:r>
            <w:r w:rsidR="00053AAC" w:rsidRPr="00CE38CA">
              <w:rPr>
                <w:rFonts w:eastAsia="Calibri"/>
                <w:sz w:val="16"/>
                <w:szCs w:val="16"/>
                <w:lang w:val="en-GB"/>
              </w:rPr>
              <w:t xml:space="preserve">: Financial losses due to natural hazards as a proportion of </w:t>
            </w:r>
            <w:r w:rsidR="0071469E">
              <w:rPr>
                <w:rFonts w:eastAsia="Calibri"/>
                <w:sz w:val="16"/>
                <w:szCs w:val="16"/>
                <w:lang w:val="en-GB"/>
              </w:rPr>
              <w:t>gross domestic product</w:t>
            </w:r>
          </w:p>
          <w:p w14:paraId="0A7D2E4C" w14:textId="16F6A7CB"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w:t>
            </w:r>
            <w:r w:rsidR="00EE142F" w:rsidRPr="00CE38CA">
              <w:rPr>
                <w:rFonts w:eastAsia="Calibri"/>
                <w:sz w:val="16"/>
                <w:szCs w:val="16"/>
                <w:lang w:val="en-GB"/>
              </w:rPr>
              <w:t xml:space="preserve"> 18</w:t>
            </w:r>
            <w:r w:rsidR="0071469E">
              <w:rPr>
                <w:rFonts w:eastAsia="Calibri"/>
                <w:sz w:val="16"/>
                <w:szCs w:val="16"/>
                <w:lang w:val="en-GB"/>
              </w:rPr>
              <w:t xml:space="preserve"> per cent</w:t>
            </w:r>
            <w:r w:rsidR="00EE142F" w:rsidRPr="00CE38CA">
              <w:rPr>
                <w:rFonts w:eastAsia="Calibri"/>
                <w:sz w:val="16"/>
                <w:szCs w:val="16"/>
                <w:lang w:val="en-GB"/>
              </w:rPr>
              <w:t xml:space="preserve"> (2010 earthquake)</w:t>
            </w:r>
          </w:p>
          <w:p w14:paraId="7F65CAC2" w14:textId="0F8FE486" w:rsidR="00053AAC"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w:t>
            </w:r>
            <w:r w:rsidR="00EE142F" w:rsidRPr="00CE38CA">
              <w:rPr>
                <w:rFonts w:eastAsia="Calibri"/>
                <w:sz w:val="16"/>
                <w:szCs w:val="16"/>
                <w:lang w:val="en-GB"/>
              </w:rPr>
              <w:t xml:space="preserve"> Reduce </w:t>
            </w:r>
          </w:p>
          <w:p w14:paraId="7F207AAB" w14:textId="77777777" w:rsidR="00053AAC" w:rsidRPr="00CE38CA" w:rsidRDefault="00053AAC" w:rsidP="006D1383">
            <w:pPr>
              <w:pStyle w:val="Normal1"/>
              <w:rPr>
                <w:sz w:val="16"/>
                <w:szCs w:val="16"/>
                <w:lang w:val="en-GB"/>
              </w:rPr>
            </w:pPr>
          </w:p>
          <w:p w14:paraId="1C0EFE9D" w14:textId="77777777" w:rsidR="00053AAC" w:rsidRPr="00CE38CA" w:rsidRDefault="00053AAC" w:rsidP="006D1383">
            <w:pPr>
              <w:pStyle w:val="Normal1"/>
              <w:rPr>
                <w:sz w:val="16"/>
                <w:szCs w:val="16"/>
                <w:lang w:val="en-GB"/>
              </w:rPr>
            </w:pPr>
          </w:p>
          <w:p w14:paraId="064A96B2" w14:textId="1E3EB0FD" w:rsidR="00053AAC" w:rsidRPr="00CE38CA" w:rsidRDefault="003C1251" w:rsidP="006D1383">
            <w:pPr>
              <w:pStyle w:val="Normal1"/>
              <w:rPr>
                <w:sz w:val="16"/>
                <w:szCs w:val="16"/>
                <w:lang w:val="en-GB"/>
              </w:rPr>
            </w:pPr>
            <w:r w:rsidRPr="00F942ED">
              <w:rPr>
                <w:rFonts w:eastAsia="Calibri"/>
                <w:sz w:val="16"/>
                <w:szCs w:val="16"/>
                <w:lang w:val="en-GB"/>
              </w:rPr>
              <w:t>Indicator</w:t>
            </w:r>
            <w:r w:rsidR="00053AAC" w:rsidRPr="00CE38CA">
              <w:rPr>
                <w:rFonts w:eastAsia="Calibri"/>
                <w:sz w:val="16"/>
                <w:szCs w:val="16"/>
                <w:lang w:val="en-GB"/>
              </w:rPr>
              <w:t>: Number of regional humanitarian networks</w:t>
            </w:r>
          </w:p>
          <w:p w14:paraId="7683CCFA" w14:textId="5895ADE2"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 xml:space="preserve">: National </w:t>
            </w:r>
            <w:r w:rsidR="0071469E">
              <w:rPr>
                <w:rFonts w:eastAsia="Calibri"/>
                <w:sz w:val="16"/>
                <w:szCs w:val="16"/>
                <w:lang w:val="en-GB"/>
              </w:rPr>
              <w:t>p</w:t>
            </w:r>
            <w:r w:rsidR="00053AAC" w:rsidRPr="00CE38CA">
              <w:rPr>
                <w:rFonts w:eastAsia="Calibri"/>
                <w:sz w:val="16"/>
                <w:szCs w:val="16"/>
                <w:lang w:val="en-GB"/>
              </w:rPr>
              <w:t>latform created</w:t>
            </w:r>
          </w:p>
          <w:p w14:paraId="395B9A5E" w14:textId="013CA0C1" w:rsidR="00053AAC"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 A national platform and coordination mechanism has been created</w:t>
            </w:r>
          </w:p>
          <w:p w14:paraId="0A3DD242" w14:textId="77777777" w:rsidR="00053AAC" w:rsidRPr="00CE38CA" w:rsidRDefault="00053AAC" w:rsidP="006D1383">
            <w:pPr>
              <w:pStyle w:val="Normal1"/>
              <w:rPr>
                <w:sz w:val="16"/>
                <w:szCs w:val="16"/>
                <w:lang w:val="en-GB"/>
              </w:rPr>
            </w:pPr>
          </w:p>
          <w:p w14:paraId="00B7D3BF" w14:textId="77777777" w:rsidR="00053AAC" w:rsidRPr="00CE38CA" w:rsidRDefault="00053AAC" w:rsidP="006D1383">
            <w:pPr>
              <w:pStyle w:val="Normal1"/>
              <w:rPr>
                <w:sz w:val="16"/>
                <w:szCs w:val="16"/>
                <w:lang w:val="en-GB"/>
              </w:rPr>
            </w:pPr>
          </w:p>
          <w:p w14:paraId="2742E87B" w14:textId="77777777" w:rsidR="00053AAC" w:rsidRPr="00CE38CA" w:rsidRDefault="00053AAC" w:rsidP="006D1383">
            <w:pPr>
              <w:pStyle w:val="Normal1"/>
              <w:rPr>
                <w:sz w:val="16"/>
                <w:szCs w:val="16"/>
                <w:lang w:val="en-GB"/>
              </w:rPr>
            </w:pPr>
          </w:p>
        </w:tc>
        <w:tc>
          <w:tcPr>
            <w:tcW w:w="660" w:type="pct"/>
            <w:gridSpan w:val="3"/>
            <w:vMerge w:val="restart"/>
          </w:tcPr>
          <w:p w14:paraId="4CDD82F6" w14:textId="77777777" w:rsidR="00053AAC" w:rsidRPr="00CE38CA" w:rsidRDefault="00497D4B" w:rsidP="006D1383">
            <w:pPr>
              <w:pStyle w:val="Normal1"/>
              <w:jc w:val="both"/>
              <w:rPr>
                <w:sz w:val="16"/>
                <w:szCs w:val="16"/>
                <w:lang w:val="en-GB"/>
              </w:rPr>
            </w:pPr>
            <w:r w:rsidRPr="00CE38CA">
              <w:rPr>
                <w:rFonts w:eastAsia="Calibri"/>
                <w:sz w:val="16"/>
                <w:szCs w:val="16"/>
                <w:lang w:val="en-GB"/>
              </w:rPr>
              <w:lastRenderedPageBreak/>
              <w:t xml:space="preserve">Government </w:t>
            </w:r>
            <w:r w:rsidR="005B6749" w:rsidRPr="00CE38CA">
              <w:rPr>
                <w:rFonts w:eastAsia="Calibri"/>
                <w:sz w:val="16"/>
                <w:szCs w:val="16"/>
                <w:lang w:val="en-GB"/>
              </w:rPr>
              <w:t>Reconstr</w:t>
            </w:r>
            <w:r w:rsidRPr="00CE38CA">
              <w:rPr>
                <w:rFonts w:eastAsia="Calibri"/>
                <w:sz w:val="16"/>
                <w:szCs w:val="16"/>
                <w:lang w:val="en-GB"/>
              </w:rPr>
              <w:t>uction Plan 2010</w:t>
            </w:r>
          </w:p>
          <w:p w14:paraId="68F5F942" w14:textId="77777777" w:rsidR="00053AAC" w:rsidRPr="00CE38CA" w:rsidRDefault="00053AAC" w:rsidP="006D1383">
            <w:pPr>
              <w:pStyle w:val="Normal1"/>
              <w:jc w:val="both"/>
              <w:rPr>
                <w:sz w:val="16"/>
                <w:szCs w:val="16"/>
                <w:lang w:val="en-GB"/>
              </w:rPr>
            </w:pPr>
          </w:p>
          <w:p w14:paraId="3F685210" w14:textId="77777777" w:rsidR="00053AAC" w:rsidRPr="00CE38CA" w:rsidRDefault="00053AAC" w:rsidP="006D1383">
            <w:pPr>
              <w:pStyle w:val="Normal1"/>
              <w:jc w:val="both"/>
              <w:rPr>
                <w:sz w:val="16"/>
                <w:szCs w:val="16"/>
                <w:lang w:val="en-GB"/>
              </w:rPr>
            </w:pPr>
          </w:p>
          <w:p w14:paraId="2020F7AC" w14:textId="77777777" w:rsidR="00053AAC" w:rsidRPr="00CE38CA" w:rsidRDefault="00053AAC" w:rsidP="006D1383">
            <w:pPr>
              <w:pStyle w:val="Normal1"/>
              <w:jc w:val="both"/>
              <w:rPr>
                <w:sz w:val="16"/>
                <w:szCs w:val="16"/>
                <w:lang w:val="en-GB"/>
              </w:rPr>
            </w:pPr>
          </w:p>
          <w:p w14:paraId="2BCA3C61" w14:textId="77777777" w:rsidR="00EE142F" w:rsidRPr="00CE38CA" w:rsidRDefault="00EE142F" w:rsidP="006D1383">
            <w:pPr>
              <w:pStyle w:val="Normal1"/>
              <w:jc w:val="both"/>
              <w:rPr>
                <w:sz w:val="16"/>
                <w:szCs w:val="16"/>
                <w:lang w:val="en-GB"/>
              </w:rPr>
            </w:pPr>
            <w:r w:rsidRPr="00CE38CA">
              <w:rPr>
                <w:rFonts w:eastAsia="Calibri"/>
                <w:sz w:val="16"/>
                <w:szCs w:val="16"/>
                <w:lang w:val="en-GB"/>
              </w:rPr>
              <w:lastRenderedPageBreak/>
              <w:t>Government Reconstruction Plan 2010</w:t>
            </w:r>
          </w:p>
          <w:p w14:paraId="087B263D" w14:textId="77777777" w:rsidR="002A42E7" w:rsidRPr="00CE38CA" w:rsidRDefault="002A42E7" w:rsidP="006D1383">
            <w:pPr>
              <w:pStyle w:val="Normal1"/>
              <w:jc w:val="both"/>
              <w:rPr>
                <w:sz w:val="16"/>
                <w:szCs w:val="16"/>
                <w:lang w:val="en-GB"/>
              </w:rPr>
            </w:pPr>
          </w:p>
          <w:p w14:paraId="7776B332" w14:textId="77777777" w:rsidR="00053AAC" w:rsidRPr="00CE38CA" w:rsidRDefault="00053AAC" w:rsidP="006D1383">
            <w:pPr>
              <w:pStyle w:val="Normal1"/>
              <w:jc w:val="both"/>
              <w:rPr>
                <w:sz w:val="16"/>
                <w:szCs w:val="16"/>
                <w:lang w:val="en-GB"/>
              </w:rPr>
            </w:pPr>
          </w:p>
          <w:p w14:paraId="1FC5787B" w14:textId="77777777" w:rsidR="00B6785C" w:rsidRPr="00CE38CA" w:rsidRDefault="00B6785C" w:rsidP="006D1383">
            <w:pPr>
              <w:pStyle w:val="Normal1"/>
              <w:jc w:val="both"/>
              <w:rPr>
                <w:sz w:val="16"/>
                <w:szCs w:val="16"/>
                <w:lang w:val="en-GB"/>
              </w:rPr>
            </w:pPr>
          </w:p>
          <w:p w14:paraId="75ABCF23" w14:textId="0DEFC3F0" w:rsidR="00053AAC" w:rsidRPr="00CE38CA" w:rsidRDefault="00B6785C" w:rsidP="006D1383">
            <w:pPr>
              <w:pStyle w:val="Normal1"/>
              <w:jc w:val="both"/>
              <w:rPr>
                <w:sz w:val="16"/>
                <w:szCs w:val="16"/>
                <w:lang w:val="en-GB"/>
              </w:rPr>
            </w:pPr>
            <w:r w:rsidRPr="00CE38CA">
              <w:rPr>
                <w:rFonts w:eastAsia="Calibri"/>
                <w:sz w:val="16"/>
                <w:szCs w:val="16"/>
                <w:lang w:val="en-GB"/>
              </w:rPr>
              <w:t xml:space="preserve">United Nations </w:t>
            </w:r>
            <w:r w:rsidR="0071469E">
              <w:rPr>
                <w:rFonts w:eastAsia="Calibri"/>
                <w:sz w:val="16"/>
                <w:szCs w:val="16"/>
                <w:lang w:val="en-GB"/>
              </w:rPr>
              <w:t>s</w:t>
            </w:r>
            <w:r w:rsidRPr="00CE38CA">
              <w:rPr>
                <w:rFonts w:eastAsia="Calibri"/>
                <w:sz w:val="16"/>
                <w:szCs w:val="16"/>
                <w:lang w:val="en-GB"/>
              </w:rPr>
              <w:t>ystem</w:t>
            </w:r>
          </w:p>
        </w:tc>
        <w:tc>
          <w:tcPr>
            <w:tcW w:w="1611" w:type="pct"/>
            <w:vMerge w:val="restart"/>
            <w:tcMar>
              <w:top w:w="72" w:type="dxa"/>
              <w:left w:w="144" w:type="dxa"/>
              <w:bottom w:w="72" w:type="dxa"/>
              <w:right w:w="144" w:type="dxa"/>
            </w:tcMar>
          </w:tcPr>
          <w:p w14:paraId="5B36645B" w14:textId="77777777" w:rsidR="00053AAC" w:rsidRPr="00CE38CA" w:rsidRDefault="00053AAC" w:rsidP="006D1383">
            <w:pPr>
              <w:pStyle w:val="Normal1"/>
              <w:rPr>
                <w:sz w:val="16"/>
                <w:szCs w:val="16"/>
                <w:lang w:val="en-GB"/>
              </w:rPr>
            </w:pPr>
            <w:r w:rsidRPr="00CE38CA">
              <w:rPr>
                <w:rFonts w:eastAsia="Calibri"/>
                <w:b/>
                <w:sz w:val="16"/>
                <w:szCs w:val="16"/>
                <w:lang w:val="en-GB"/>
              </w:rPr>
              <w:lastRenderedPageBreak/>
              <w:t>Institutions with responsibilities in risk management define normative frameworks, policies, and instruments for improving the implementation of risk management measures for natural and/or climate</w:t>
            </w:r>
            <w:r w:rsidR="0032282C" w:rsidRPr="00CE38CA">
              <w:rPr>
                <w:rFonts w:eastAsia="Calibri"/>
                <w:b/>
                <w:sz w:val="16"/>
                <w:szCs w:val="16"/>
                <w:lang w:val="en-GB"/>
              </w:rPr>
              <w:t>-</w:t>
            </w:r>
            <w:r w:rsidRPr="00CE38CA">
              <w:rPr>
                <w:rFonts w:eastAsia="Calibri"/>
                <w:b/>
                <w:sz w:val="16"/>
                <w:szCs w:val="16"/>
                <w:lang w:val="en-GB"/>
              </w:rPr>
              <w:t>related disasters at the national, regional, and local levels</w:t>
            </w:r>
          </w:p>
          <w:p w14:paraId="50B4CD9A" w14:textId="423C8E07" w:rsidR="00826877" w:rsidRPr="00CE38CA" w:rsidRDefault="003C1251" w:rsidP="006D1383">
            <w:pPr>
              <w:pStyle w:val="Normal1"/>
              <w:rPr>
                <w:rFonts w:eastAsia="Calibri"/>
                <w:sz w:val="16"/>
                <w:szCs w:val="16"/>
                <w:lang w:val="en-GB"/>
              </w:rPr>
            </w:pPr>
            <w:r w:rsidRPr="00F942ED">
              <w:rPr>
                <w:rFonts w:eastAsia="Calibri"/>
                <w:sz w:val="16"/>
                <w:szCs w:val="16"/>
                <w:lang w:val="en-GB"/>
              </w:rPr>
              <w:lastRenderedPageBreak/>
              <w:t>Indicator</w:t>
            </w:r>
            <w:r w:rsidR="00053AAC" w:rsidRPr="00CE38CA">
              <w:rPr>
                <w:rFonts w:eastAsia="Calibri"/>
                <w:sz w:val="16"/>
                <w:szCs w:val="16"/>
                <w:lang w:val="en-GB"/>
              </w:rPr>
              <w:t xml:space="preserve">: </w:t>
            </w:r>
            <w:r w:rsidR="00826877" w:rsidRPr="00CE38CA">
              <w:rPr>
                <w:rFonts w:eastAsia="Calibri"/>
                <w:sz w:val="16"/>
                <w:szCs w:val="16"/>
                <w:lang w:val="en-GB"/>
              </w:rPr>
              <w:t>Percentage of municipalities</w:t>
            </w:r>
            <w:r w:rsidR="00053AAC" w:rsidRPr="00CE38CA">
              <w:rPr>
                <w:rFonts w:eastAsia="Calibri"/>
                <w:sz w:val="16"/>
                <w:szCs w:val="16"/>
                <w:lang w:val="en-GB"/>
              </w:rPr>
              <w:t xml:space="preserve"> </w:t>
            </w:r>
            <w:r w:rsidR="00826877" w:rsidRPr="00CE38CA">
              <w:rPr>
                <w:rFonts w:eastAsia="Calibri"/>
                <w:sz w:val="16"/>
                <w:szCs w:val="16"/>
                <w:lang w:val="en-GB"/>
              </w:rPr>
              <w:t xml:space="preserve">that undertake </w:t>
            </w:r>
            <w:r w:rsidR="00053AAC" w:rsidRPr="00CE38CA">
              <w:rPr>
                <w:rFonts w:eastAsia="Calibri"/>
                <w:sz w:val="16"/>
                <w:szCs w:val="16"/>
                <w:lang w:val="en-GB"/>
              </w:rPr>
              <w:t xml:space="preserve">planning </w:t>
            </w:r>
            <w:r w:rsidR="00826877" w:rsidRPr="00CE38CA">
              <w:rPr>
                <w:rFonts w:eastAsia="Calibri"/>
                <w:sz w:val="16"/>
                <w:szCs w:val="16"/>
                <w:lang w:val="en-GB"/>
              </w:rPr>
              <w:t>processes incorporating a</w:t>
            </w:r>
            <w:r w:rsidR="00053AAC" w:rsidRPr="00CE38CA">
              <w:rPr>
                <w:rFonts w:eastAsia="Calibri"/>
                <w:sz w:val="16"/>
                <w:szCs w:val="16"/>
                <w:lang w:val="en-GB"/>
              </w:rPr>
              <w:t xml:space="preserve"> disaster and/or climate</w:t>
            </w:r>
            <w:r w:rsidR="0032282C" w:rsidRPr="00CE38CA">
              <w:rPr>
                <w:rFonts w:eastAsia="Calibri"/>
                <w:sz w:val="16"/>
                <w:szCs w:val="16"/>
                <w:lang w:val="en-GB"/>
              </w:rPr>
              <w:t>-</w:t>
            </w:r>
            <w:r w:rsidR="00053AAC" w:rsidRPr="00CE38CA">
              <w:rPr>
                <w:rFonts w:eastAsia="Calibri"/>
                <w:sz w:val="16"/>
                <w:szCs w:val="16"/>
                <w:lang w:val="en-GB"/>
              </w:rPr>
              <w:t xml:space="preserve">related risk </w:t>
            </w:r>
            <w:r w:rsidR="003512BF" w:rsidRPr="00CE38CA">
              <w:rPr>
                <w:rFonts w:eastAsia="Calibri"/>
                <w:sz w:val="16"/>
                <w:szCs w:val="16"/>
                <w:lang w:val="en-GB"/>
              </w:rPr>
              <w:t>approach</w:t>
            </w:r>
          </w:p>
          <w:p w14:paraId="43405EEB" w14:textId="28217E98"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 xml:space="preserve">: </w:t>
            </w:r>
            <w:r w:rsidR="003512BF" w:rsidRPr="00CE38CA">
              <w:rPr>
                <w:rFonts w:eastAsia="Calibri"/>
                <w:sz w:val="16"/>
                <w:szCs w:val="16"/>
                <w:lang w:val="en-GB"/>
              </w:rPr>
              <w:t>1</w:t>
            </w:r>
            <w:r w:rsidR="00053AAC" w:rsidRPr="00CE38CA">
              <w:rPr>
                <w:rFonts w:eastAsia="Calibri"/>
                <w:sz w:val="16"/>
                <w:szCs w:val="16"/>
                <w:lang w:val="en-GB"/>
              </w:rPr>
              <w:t xml:space="preserve"> (2013)</w:t>
            </w:r>
          </w:p>
          <w:p w14:paraId="17862C46" w14:textId="7D303387" w:rsidR="00053AAC"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 25</w:t>
            </w:r>
            <w:r>
              <w:rPr>
                <w:rFonts w:eastAsia="Calibri"/>
                <w:sz w:val="16"/>
                <w:szCs w:val="16"/>
                <w:lang w:val="en-GB"/>
              </w:rPr>
              <w:t xml:space="preserve"> per cent</w:t>
            </w:r>
            <w:r w:rsidR="00053AAC" w:rsidRPr="00CE38CA">
              <w:rPr>
                <w:rFonts w:eastAsia="Calibri"/>
                <w:sz w:val="16"/>
                <w:szCs w:val="16"/>
                <w:lang w:val="en-GB"/>
              </w:rPr>
              <w:t xml:space="preserve"> of municipalities </w:t>
            </w:r>
          </w:p>
          <w:p w14:paraId="115D372C" w14:textId="77777777" w:rsidR="003512BF" w:rsidRPr="00CE38CA" w:rsidRDefault="003512BF" w:rsidP="006D1383">
            <w:pPr>
              <w:pStyle w:val="Normal1"/>
              <w:rPr>
                <w:sz w:val="16"/>
                <w:szCs w:val="16"/>
                <w:lang w:val="en-GB"/>
              </w:rPr>
            </w:pPr>
          </w:p>
          <w:p w14:paraId="401A603C" w14:textId="3D35AC71" w:rsidR="00053AAC" w:rsidRPr="00CE38CA" w:rsidRDefault="003C1251" w:rsidP="006D1383">
            <w:pPr>
              <w:pStyle w:val="Normal1"/>
              <w:rPr>
                <w:sz w:val="16"/>
                <w:szCs w:val="16"/>
                <w:lang w:val="en-GB"/>
              </w:rPr>
            </w:pPr>
            <w:r w:rsidRPr="00F942ED">
              <w:rPr>
                <w:rFonts w:eastAsia="Calibri"/>
                <w:sz w:val="16"/>
                <w:szCs w:val="16"/>
                <w:lang w:val="en-GB"/>
              </w:rPr>
              <w:t>Indicator</w:t>
            </w:r>
            <w:r w:rsidR="00053AAC" w:rsidRPr="00CE38CA">
              <w:rPr>
                <w:rFonts w:eastAsia="Calibri"/>
                <w:sz w:val="16"/>
                <w:szCs w:val="16"/>
                <w:lang w:val="en-GB"/>
              </w:rPr>
              <w:t xml:space="preserve">: </w:t>
            </w:r>
            <w:r w:rsidR="003512BF" w:rsidRPr="00CE38CA">
              <w:rPr>
                <w:rFonts w:eastAsia="Calibri"/>
                <w:sz w:val="16"/>
                <w:szCs w:val="16"/>
                <w:lang w:val="en-GB"/>
              </w:rPr>
              <w:t>Number of p</w:t>
            </w:r>
            <w:r w:rsidR="00053AAC" w:rsidRPr="00CE38CA">
              <w:rPr>
                <w:rFonts w:eastAsia="Calibri"/>
                <w:sz w:val="16"/>
                <w:szCs w:val="16"/>
                <w:lang w:val="en-GB"/>
              </w:rPr>
              <w:t xml:space="preserve">lans and strategies </w:t>
            </w:r>
            <w:r w:rsidR="003512BF" w:rsidRPr="00CE38CA">
              <w:rPr>
                <w:rFonts w:eastAsia="Calibri"/>
                <w:sz w:val="16"/>
                <w:szCs w:val="16"/>
                <w:lang w:val="en-GB"/>
              </w:rPr>
              <w:t xml:space="preserve">that </w:t>
            </w:r>
            <w:r w:rsidR="00053AAC" w:rsidRPr="00CE38CA">
              <w:rPr>
                <w:rFonts w:eastAsia="Calibri"/>
                <w:sz w:val="16"/>
                <w:szCs w:val="16"/>
                <w:lang w:val="en-GB"/>
              </w:rPr>
              <w:t xml:space="preserve">define responsibilities and contain coordination and participation mechanisms for stakeholders at the national, regional and/or local levels </w:t>
            </w:r>
            <w:r w:rsidR="003512BF" w:rsidRPr="00CE38CA">
              <w:rPr>
                <w:rFonts w:eastAsia="Calibri"/>
                <w:sz w:val="16"/>
                <w:szCs w:val="16"/>
                <w:lang w:val="en-GB"/>
              </w:rPr>
              <w:t>on disaster risk management</w:t>
            </w:r>
          </w:p>
          <w:p w14:paraId="4EEAC20D" w14:textId="4F254231"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 3 (2 regional, 1 local, 2013)</w:t>
            </w:r>
          </w:p>
          <w:p w14:paraId="1F2347EA" w14:textId="63693527" w:rsidR="00053AAC"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 xml:space="preserve">: </w:t>
            </w:r>
            <w:r w:rsidR="003512BF" w:rsidRPr="00CE38CA">
              <w:rPr>
                <w:rFonts w:eastAsia="Calibri"/>
                <w:sz w:val="16"/>
                <w:szCs w:val="16"/>
                <w:lang w:val="en-GB"/>
              </w:rPr>
              <w:t>10 (2018)</w:t>
            </w:r>
          </w:p>
          <w:p w14:paraId="278A91A9" w14:textId="77777777" w:rsidR="00053AAC" w:rsidRPr="00CE38CA" w:rsidRDefault="00053AAC" w:rsidP="006D1383">
            <w:pPr>
              <w:pStyle w:val="Normal1"/>
              <w:rPr>
                <w:sz w:val="16"/>
                <w:szCs w:val="16"/>
                <w:lang w:val="en-GB"/>
              </w:rPr>
            </w:pPr>
          </w:p>
          <w:p w14:paraId="0A02B5F9" w14:textId="562913D3" w:rsidR="00053AAC" w:rsidRPr="00CE38CA" w:rsidRDefault="003C1251" w:rsidP="006D1383">
            <w:pPr>
              <w:pStyle w:val="Normal1"/>
              <w:rPr>
                <w:sz w:val="16"/>
                <w:szCs w:val="16"/>
                <w:lang w:val="en-GB"/>
              </w:rPr>
            </w:pPr>
            <w:r w:rsidRPr="00F942ED">
              <w:rPr>
                <w:rFonts w:eastAsia="Calibri"/>
                <w:sz w:val="16"/>
                <w:szCs w:val="16"/>
                <w:lang w:val="en-GB"/>
              </w:rPr>
              <w:t>Indicator</w:t>
            </w:r>
            <w:r w:rsidR="00053AAC" w:rsidRPr="00CE38CA">
              <w:rPr>
                <w:rFonts w:eastAsia="Calibri"/>
                <w:sz w:val="16"/>
                <w:szCs w:val="16"/>
                <w:lang w:val="en-GB"/>
              </w:rPr>
              <w:t xml:space="preserve">: </w:t>
            </w:r>
            <w:r w:rsidR="003512BF" w:rsidRPr="00CE38CA">
              <w:rPr>
                <w:rFonts w:eastAsia="Calibri"/>
                <w:sz w:val="16"/>
                <w:szCs w:val="16"/>
                <w:lang w:val="en-GB"/>
              </w:rPr>
              <w:t>Number of p</w:t>
            </w:r>
            <w:r w:rsidR="00053AAC" w:rsidRPr="00CE38CA">
              <w:rPr>
                <w:rFonts w:eastAsia="Calibri"/>
                <w:sz w:val="16"/>
                <w:szCs w:val="16"/>
                <w:lang w:val="en-GB"/>
              </w:rPr>
              <w:t xml:space="preserve">lans and strategies have a national/regional and/or local budget </w:t>
            </w:r>
            <w:r w:rsidR="003512BF" w:rsidRPr="00CE38CA">
              <w:rPr>
                <w:rFonts w:eastAsia="Calibri"/>
                <w:sz w:val="16"/>
                <w:szCs w:val="16"/>
                <w:lang w:val="en-GB"/>
              </w:rPr>
              <w:t>for risk management</w:t>
            </w:r>
          </w:p>
          <w:p w14:paraId="250BC010" w14:textId="00EA6CC2" w:rsidR="00053AAC"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053AAC" w:rsidRPr="00CE38CA">
              <w:rPr>
                <w:rFonts w:eastAsia="Calibri"/>
                <w:sz w:val="16"/>
                <w:szCs w:val="16"/>
                <w:lang w:val="en-GB"/>
              </w:rPr>
              <w:t>: 1 (local, 2013)</w:t>
            </w:r>
          </w:p>
          <w:p w14:paraId="4ED3FEE7" w14:textId="3C5AFF8E" w:rsidR="00053AAC" w:rsidRPr="00CE38CA" w:rsidRDefault="00DE1CA5" w:rsidP="003512BF">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053AAC" w:rsidRPr="00CE38CA">
              <w:rPr>
                <w:rFonts w:eastAsia="Calibri"/>
                <w:sz w:val="16"/>
                <w:szCs w:val="16"/>
                <w:lang w:val="en-GB"/>
              </w:rPr>
              <w:t xml:space="preserve">: </w:t>
            </w:r>
            <w:r w:rsidR="003512BF" w:rsidRPr="00CE38CA">
              <w:rPr>
                <w:rFonts w:eastAsia="Calibri"/>
                <w:sz w:val="16"/>
                <w:szCs w:val="16"/>
                <w:lang w:val="en-GB"/>
              </w:rPr>
              <w:t xml:space="preserve">10 </w:t>
            </w:r>
            <w:r w:rsidR="004E2919" w:rsidRPr="00CE38CA">
              <w:rPr>
                <w:rFonts w:eastAsia="Calibri"/>
                <w:sz w:val="16"/>
                <w:szCs w:val="16"/>
                <w:lang w:val="en-GB"/>
              </w:rPr>
              <w:t>plans/strategies</w:t>
            </w:r>
            <w:r w:rsidR="00053AAC" w:rsidRPr="00CE38CA">
              <w:rPr>
                <w:rFonts w:eastAsia="Calibri"/>
                <w:sz w:val="16"/>
                <w:szCs w:val="16"/>
                <w:lang w:val="en-GB"/>
              </w:rPr>
              <w:t xml:space="preserve"> </w:t>
            </w:r>
          </w:p>
        </w:tc>
        <w:tc>
          <w:tcPr>
            <w:tcW w:w="675" w:type="pct"/>
            <w:vMerge w:val="restart"/>
          </w:tcPr>
          <w:p w14:paraId="35E6BCA2" w14:textId="77777777" w:rsidR="00053AAC" w:rsidRPr="00CE38CA" w:rsidRDefault="00053AAC" w:rsidP="006D1383">
            <w:pPr>
              <w:rPr>
                <w:bCs/>
                <w:sz w:val="16"/>
                <w:szCs w:val="16"/>
                <w:lang w:val="en-GB"/>
              </w:rPr>
            </w:pPr>
            <w:r w:rsidRPr="00CE38CA">
              <w:rPr>
                <w:bCs/>
                <w:sz w:val="16"/>
                <w:szCs w:val="16"/>
                <w:lang w:val="en-GB"/>
              </w:rPr>
              <w:lastRenderedPageBreak/>
              <w:t>National Emergency Office</w:t>
            </w:r>
            <w:r w:rsidRPr="00CE38CA">
              <w:rPr>
                <w:bCs/>
                <w:sz w:val="16"/>
                <w:szCs w:val="16"/>
                <w:lang w:val="en-GB"/>
              </w:rPr>
              <w:br/>
              <w:t>Office of the Undersecretary of Regional Development</w:t>
            </w:r>
          </w:p>
          <w:p w14:paraId="6FDF6F16" w14:textId="77777777" w:rsidR="00053AAC" w:rsidRPr="00CE38CA" w:rsidRDefault="00053AAC" w:rsidP="006D1383">
            <w:pPr>
              <w:rPr>
                <w:bCs/>
                <w:sz w:val="16"/>
                <w:szCs w:val="16"/>
                <w:lang w:val="en-GB"/>
              </w:rPr>
            </w:pPr>
            <w:r w:rsidRPr="00CE38CA">
              <w:rPr>
                <w:bCs/>
                <w:sz w:val="16"/>
                <w:szCs w:val="16"/>
                <w:lang w:val="en-GB"/>
              </w:rPr>
              <w:lastRenderedPageBreak/>
              <w:t>Regional and local governments</w:t>
            </w:r>
          </w:p>
          <w:p w14:paraId="69B58FD5" w14:textId="77777777" w:rsidR="00053AAC" w:rsidRPr="00CE38CA" w:rsidRDefault="00053AAC" w:rsidP="006D1383">
            <w:pPr>
              <w:rPr>
                <w:bCs/>
                <w:sz w:val="16"/>
                <w:szCs w:val="16"/>
                <w:lang w:val="en-GB"/>
              </w:rPr>
            </w:pPr>
            <w:r w:rsidRPr="00CE38CA">
              <w:rPr>
                <w:bCs/>
                <w:sz w:val="16"/>
                <w:szCs w:val="16"/>
                <w:lang w:val="en-GB"/>
              </w:rPr>
              <w:t>Communities</w:t>
            </w:r>
          </w:p>
          <w:p w14:paraId="755BCD7F" w14:textId="77777777" w:rsidR="00053AAC" w:rsidRPr="00CE38CA" w:rsidRDefault="00053AAC" w:rsidP="006D1383">
            <w:pPr>
              <w:rPr>
                <w:bCs/>
                <w:sz w:val="16"/>
                <w:szCs w:val="16"/>
                <w:lang w:val="en-GB"/>
              </w:rPr>
            </w:pPr>
            <w:r w:rsidRPr="00CE38CA">
              <w:rPr>
                <w:bCs/>
                <w:sz w:val="16"/>
                <w:szCs w:val="16"/>
                <w:lang w:val="en-GB"/>
              </w:rPr>
              <w:t>Civil society organisations</w:t>
            </w:r>
          </w:p>
          <w:p w14:paraId="5DE76949" w14:textId="0A0AC375" w:rsidR="00053AAC" w:rsidRPr="00CE38CA" w:rsidRDefault="00053AAC" w:rsidP="006D1383">
            <w:pPr>
              <w:rPr>
                <w:bCs/>
                <w:sz w:val="16"/>
                <w:szCs w:val="16"/>
                <w:lang w:val="en-GB"/>
              </w:rPr>
            </w:pPr>
            <w:r w:rsidRPr="00CE38CA">
              <w:rPr>
                <w:bCs/>
                <w:sz w:val="16"/>
                <w:szCs w:val="16"/>
                <w:lang w:val="en-GB"/>
              </w:rPr>
              <w:t>Universities and think tanks</w:t>
            </w:r>
          </w:p>
          <w:p w14:paraId="11BF01F2" w14:textId="77777777" w:rsidR="00053AAC" w:rsidRPr="00CE38CA" w:rsidRDefault="00053AAC" w:rsidP="006D1383">
            <w:pPr>
              <w:rPr>
                <w:i/>
                <w:iCs/>
                <w:sz w:val="16"/>
                <w:szCs w:val="16"/>
                <w:lang w:val="en-GB"/>
              </w:rPr>
            </w:pPr>
          </w:p>
        </w:tc>
        <w:tc>
          <w:tcPr>
            <w:tcW w:w="957" w:type="pct"/>
            <w:gridSpan w:val="2"/>
            <w:tcMar>
              <w:top w:w="15" w:type="dxa"/>
              <w:left w:w="108" w:type="dxa"/>
              <w:bottom w:w="0" w:type="dxa"/>
              <w:right w:w="108" w:type="dxa"/>
            </w:tcMar>
          </w:tcPr>
          <w:p w14:paraId="67BA4E05" w14:textId="77777777" w:rsidR="00053AAC" w:rsidRPr="00CE38CA" w:rsidRDefault="00053AAC" w:rsidP="00983451">
            <w:pPr>
              <w:rPr>
                <w:b/>
                <w:color w:val="000000"/>
                <w:sz w:val="16"/>
                <w:szCs w:val="16"/>
                <w:lang w:val="en-GB"/>
              </w:rPr>
            </w:pPr>
            <w:r w:rsidRPr="00CE38CA">
              <w:rPr>
                <w:b/>
                <w:color w:val="000000"/>
                <w:sz w:val="16"/>
                <w:szCs w:val="16"/>
                <w:lang w:val="en-GB"/>
              </w:rPr>
              <w:lastRenderedPageBreak/>
              <w:t>Regular (UNDP)</w:t>
            </w:r>
          </w:p>
          <w:p w14:paraId="714FFCFD" w14:textId="77777777" w:rsidR="007C7CE3" w:rsidRPr="00CE38CA" w:rsidRDefault="007C7CE3" w:rsidP="00983451">
            <w:pPr>
              <w:rPr>
                <w:color w:val="000000"/>
                <w:sz w:val="16"/>
                <w:szCs w:val="16"/>
                <w:lang w:val="en-GB"/>
              </w:rPr>
            </w:pPr>
            <w:r w:rsidRPr="00CE38CA">
              <w:rPr>
                <w:color w:val="000000"/>
                <w:sz w:val="16"/>
                <w:szCs w:val="16"/>
                <w:lang w:val="en-GB"/>
              </w:rPr>
              <w:t>200,000</w:t>
            </w:r>
          </w:p>
        </w:tc>
      </w:tr>
      <w:tr w:rsidR="00053AAC" w:rsidRPr="00CE38CA" w14:paraId="3D860518" w14:textId="77777777" w:rsidTr="0077091F">
        <w:trPr>
          <w:trHeight w:val="461"/>
        </w:trPr>
        <w:tc>
          <w:tcPr>
            <w:tcW w:w="1097" w:type="pct"/>
            <w:gridSpan w:val="2"/>
            <w:vMerge/>
            <w:tcBorders>
              <w:bottom w:val="single" w:sz="4" w:space="0" w:color="auto"/>
            </w:tcBorders>
            <w:tcMar>
              <w:top w:w="72" w:type="dxa"/>
              <w:left w:w="144" w:type="dxa"/>
              <w:bottom w:w="72" w:type="dxa"/>
              <w:right w:w="144" w:type="dxa"/>
            </w:tcMar>
          </w:tcPr>
          <w:p w14:paraId="14D46052" w14:textId="77777777" w:rsidR="00053AAC" w:rsidRPr="00CE38CA" w:rsidRDefault="00053AAC" w:rsidP="00CD019A">
            <w:pPr>
              <w:rPr>
                <w:i/>
                <w:iCs/>
                <w:color w:val="000000"/>
                <w:sz w:val="16"/>
                <w:szCs w:val="16"/>
                <w:lang w:val="en-GB"/>
              </w:rPr>
            </w:pPr>
          </w:p>
        </w:tc>
        <w:tc>
          <w:tcPr>
            <w:tcW w:w="660" w:type="pct"/>
            <w:gridSpan w:val="3"/>
            <w:vMerge/>
            <w:tcBorders>
              <w:bottom w:val="single" w:sz="4" w:space="0" w:color="auto"/>
            </w:tcBorders>
          </w:tcPr>
          <w:p w14:paraId="327FEDFA" w14:textId="77777777" w:rsidR="00053AAC" w:rsidRPr="00CE38CA" w:rsidRDefault="00053AAC" w:rsidP="00CD019A">
            <w:pPr>
              <w:rPr>
                <w:i/>
                <w:iCs/>
                <w:color w:val="000000"/>
                <w:sz w:val="16"/>
                <w:szCs w:val="16"/>
                <w:lang w:val="en-GB"/>
              </w:rPr>
            </w:pPr>
          </w:p>
        </w:tc>
        <w:tc>
          <w:tcPr>
            <w:tcW w:w="1611" w:type="pct"/>
            <w:vMerge/>
            <w:tcBorders>
              <w:bottom w:val="single" w:sz="4" w:space="0" w:color="auto"/>
            </w:tcBorders>
            <w:tcMar>
              <w:top w:w="72" w:type="dxa"/>
              <w:left w:w="144" w:type="dxa"/>
              <w:bottom w:w="72" w:type="dxa"/>
              <w:right w:w="144" w:type="dxa"/>
            </w:tcMar>
          </w:tcPr>
          <w:p w14:paraId="70D94E88" w14:textId="77777777" w:rsidR="00053AAC" w:rsidRPr="00CE38CA" w:rsidRDefault="00053AAC" w:rsidP="00CD019A">
            <w:pPr>
              <w:rPr>
                <w:i/>
                <w:iCs/>
                <w:color w:val="000000"/>
                <w:sz w:val="16"/>
                <w:szCs w:val="16"/>
                <w:lang w:val="en-GB"/>
              </w:rPr>
            </w:pPr>
          </w:p>
        </w:tc>
        <w:tc>
          <w:tcPr>
            <w:tcW w:w="675" w:type="pct"/>
            <w:vMerge/>
            <w:tcBorders>
              <w:bottom w:val="single" w:sz="4" w:space="0" w:color="auto"/>
            </w:tcBorders>
          </w:tcPr>
          <w:p w14:paraId="5BA6B8E2" w14:textId="77777777" w:rsidR="00053AAC" w:rsidRPr="00CE38CA" w:rsidRDefault="00053AAC" w:rsidP="00CD019A">
            <w:pPr>
              <w:rPr>
                <w:i/>
                <w:iCs/>
                <w:color w:val="000000"/>
                <w:sz w:val="16"/>
                <w:szCs w:val="16"/>
                <w:lang w:val="en-GB"/>
              </w:rPr>
            </w:pPr>
          </w:p>
        </w:tc>
        <w:tc>
          <w:tcPr>
            <w:tcW w:w="957" w:type="pct"/>
            <w:gridSpan w:val="2"/>
            <w:tcBorders>
              <w:bottom w:val="single" w:sz="4" w:space="0" w:color="auto"/>
            </w:tcBorders>
            <w:tcMar>
              <w:top w:w="15" w:type="dxa"/>
              <w:left w:w="108" w:type="dxa"/>
              <w:bottom w:w="0" w:type="dxa"/>
              <w:right w:w="108" w:type="dxa"/>
            </w:tcMar>
          </w:tcPr>
          <w:p w14:paraId="260F8B26" w14:textId="77777777" w:rsidR="00053AAC" w:rsidRPr="00CE38CA" w:rsidRDefault="00053AAC" w:rsidP="00983451">
            <w:pPr>
              <w:rPr>
                <w:b/>
                <w:color w:val="000000"/>
                <w:sz w:val="16"/>
                <w:szCs w:val="16"/>
                <w:lang w:val="en-GB"/>
              </w:rPr>
            </w:pPr>
            <w:r w:rsidRPr="00CE38CA">
              <w:rPr>
                <w:b/>
                <w:color w:val="000000"/>
                <w:sz w:val="16"/>
                <w:szCs w:val="16"/>
                <w:lang w:val="en-GB"/>
              </w:rPr>
              <w:t>Other</w:t>
            </w:r>
          </w:p>
          <w:p w14:paraId="3D59EA80" w14:textId="77777777" w:rsidR="00053AAC" w:rsidRPr="00CE38CA" w:rsidRDefault="00053AAC" w:rsidP="00983451">
            <w:pPr>
              <w:rPr>
                <w:color w:val="000000"/>
                <w:sz w:val="16"/>
                <w:szCs w:val="16"/>
                <w:lang w:val="en-GB"/>
              </w:rPr>
            </w:pPr>
            <w:r w:rsidRPr="00CE38CA">
              <w:rPr>
                <w:color w:val="000000"/>
                <w:sz w:val="16"/>
                <w:szCs w:val="16"/>
                <w:lang w:val="en-GB"/>
              </w:rPr>
              <w:t xml:space="preserve">600,000            </w:t>
            </w:r>
          </w:p>
        </w:tc>
      </w:tr>
      <w:tr w:rsidR="00AB12BB" w:rsidRPr="00CE38CA" w14:paraId="5C5CF1D6" w14:textId="77777777" w:rsidTr="0077091F">
        <w:trPr>
          <w:trHeight w:val="25"/>
        </w:trPr>
        <w:tc>
          <w:tcPr>
            <w:tcW w:w="5000" w:type="pct"/>
            <w:gridSpan w:val="9"/>
            <w:shd w:val="clear" w:color="auto" w:fill="auto"/>
            <w:tcMar>
              <w:top w:w="72" w:type="dxa"/>
              <w:left w:w="144" w:type="dxa"/>
              <w:bottom w:w="72" w:type="dxa"/>
              <w:right w:w="144" w:type="dxa"/>
            </w:tcMar>
          </w:tcPr>
          <w:p w14:paraId="597E4654" w14:textId="59F9086A" w:rsidR="00AB12BB" w:rsidRPr="00CE38CA" w:rsidRDefault="00CD019A" w:rsidP="004F7CB1">
            <w:pPr>
              <w:rPr>
                <w:color w:val="000000"/>
                <w:sz w:val="16"/>
                <w:szCs w:val="16"/>
                <w:lang w:val="en-GB"/>
              </w:rPr>
            </w:pPr>
            <w:r w:rsidRPr="00CE38CA">
              <w:rPr>
                <w:b/>
                <w:bCs/>
                <w:color w:val="000000"/>
                <w:sz w:val="16"/>
                <w:szCs w:val="16"/>
                <w:lang w:val="en-GB"/>
              </w:rPr>
              <w:lastRenderedPageBreak/>
              <w:t>NATIONAL PRIORITY OR GOAL:</w:t>
            </w:r>
            <w:r w:rsidR="00645B72" w:rsidRPr="00CE38CA">
              <w:rPr>
                <w:b/>
                <w:bCs/>
                <w:color w:val="000000"/>
                <w:sz w:val="16"/>
                <w:szCs w:val="16"/>
                <w:lang w:val="en-GB"/>
              </w:rPr>
              <w:t xml:space="preserve"> </w:t>
            </w:r>
            <w:r w:rsidR="00F25176" w:rsidRPr="00CE38CA">
              <w:rPr>
                <w:rFonts w:eastAsia="Calibri"/>
                <w:sz w:val="16"/>
                <w:szCs w:val="16"/>
                <w:lang w:val="en-GB"/>
              </w:rPr>
              <w:t>Integrated foreign relations system</w:t>
            </w:r>
          </w:p>
        </w:tc>
      </w:tr>
      <w:tr w:rsidR="00AB12BB" w:rsidRPr="00CE38CA" w14:paraId="1750DCE6" w14:textId="77777777" w:rsidTr="0077091F">
        <w:trPr>
          <w:trHeight w:val="124"/>
        </w:trPr>
        <w:tc>
          <w:tcPr>
            <w:tcW w:w="5000" w:type="pct"/>
            <w:gridSpan w:val="9"/>
            <w:shd w:val="clear" w:color="auto" w:fill="auto"/>
            <w:tcMar>
              <w:top w:w="72" w:type="dxa"/>
              <w:left w:w="144" w:type="dxa"/>
              <w:bottom w:w="72" w:type="dxa"/>
              <w:right w:w="144" w:type="dxa"/>
            </w:tcMar>
          </w:tcPr>
          <w:p w14:paraId="74B6791A" w14:textId="09992B97" w:rsidR="00AB12BB" w:rsidRPr="00CE38CA" w:rsidRDefault="00AB12BB" w:rsidP="004F7CB1">
            <w:pPr>
              <w:rPr>
                <w:b/>
                <w:bCs/>
                <w:sz w:val="16"/>
                <w:szCs w:val="16"/>
                <w:lang w:val="en-GB"/>
              </w:rPr>
            </w:pPr>
            <w:r w:rsidRPr="00CE38CA">
              <w:rPr>
                <w:b/>
                <w:bCs/>
                <w:color w:val="000000"/>
                <w:sz w:val="16"/>
                <w:szCs w:val="16"/>
                <w:lang w:val="en-GB"/>
              </w:rPr>
              <w:t>UNDAF (OR EQUIVALENT) OUTCOME INVOLVING UNDP 1</w:t>
            </w:r>
            <w:r w:rsidR="00A069CB" w:rsidRPr="00CE38CA">
              <w:rPr>
                <w:b/>
                <w:bCs/>
                <w:color w:val="000000"/>
                <w:sz w:val="16"/>
                <w:szCs w:val="16"/>
                <w:lang w:val="en-GB"/>
              </w:rPr>
              <w:t>0</w:t>
            </w:r>
            <w:r w:rsidRPr="00CE38CA">
              <w:rPr>
                <w:b/>
                <w:bCs/>
                <w:color w:val="000000"/>
                <w:sz w:val="16"/>
                <w:szCs w:val="16"/>
                <w:lang w:val="en-GB"/>
              </w:rPr>
              <w:t>:</w:t>
            </w:r>
            <w:r w:rsidRPr="00CE38CA">
              <w:rPr>
                <w:color w:val="000000"/>
                <w:sz w:val="16"/>
                <w:szCs w:val="16"/>
                <w:lang w:val="en-GB"/>
              </w:rPr>
              <w:t xml:space="preserve"> </w:t>
            </w:r>
            <w:r w:rsidR="00645B72" w:rsidRPr="00CE38CA">
              <w:rPr>
                <w:color w:val="000000"/>
                <w:sz w:val="16"/>
                <w:szCs w:val="16"/>
                <w:lang w:val="en-GB"/>
              </w:rPr>
              <w:t xml:space="preserve"> </w:t>
            </w:r>
            <w:r w:rsidR="00F25176" w:rsidRPr="00CE38CA">
              <w:rPr>
                <w:rFonts w:eastAsia="Calibri"/>
                <w:sz w:val="16"/>
                <w:szCs w:val="16"/>
                <w:lang w:val="en-GB"/>
              </w:rPr>
              <w:t xml:space="preserve">The Chilean </w:t>
            </w:r>
            <w:r w:rsidR="00551292">
              <w:rPr>
                <w:rFonts w:eastAsia="Calibri"/>
                <w:sz w:val="16"/>
                <w:szCs w:val="16"/>
                <w:lang w:val="en-GB"/>
              </w:rPr>
              <w:t>G</w:t>
            </w:r>
            <w:r w:rsidR="00F25176" w:rsidRPr="00CE38CA">
              <w:rPr>
                <w:rFonts w:eastAsia="Calibri"/>
                <w:sz w:val="16"/>
                <w:szCs w:val="16"/>
                <w:lang w:val="en-GB"/>
              </w:rPr>
              <w:t xml:space="preserve">overnment strengthened in its capacity to provide </w:t>
            </w:r>
            <w:r w:rsidR="00551292">
              <w:rPr>
                <w:rFonts w:eastAsia="Calibri"/>
                <w:sz w:val="16"/>
                <w:szCs w:val="16"/>
                <w:lang w:val="en-GB"/>
              </w:rPr>
              <w:t>S</w:t>
            </w:r>
            <w:r w:rsidR="00F25176" w:rsidRPr="00CE38CA">
              <w:rPr>
                <w:rFonts w:eastAsia="Calibri"/>
                <w:sz w:val="16"/>
                <w:szCs w:val="16"/>
                <w:lang w:val="en-GB"/>
              </w:rPr>
              <w:t>outh-</w:t>
            </w:r>
            <w:r w:rsidR="00551292">
              <w:rPr>
                <w:rFonts w:eastAsia="Calibri"/>
                <w:sz w:val="16"/>
                <w:szCs w:val="16"/>
                <w:lang w:val="en-GB"/>
              </w:rPr>
              <w:t>S</w:t>
            </w:r>
            <w:r w:rsidR="00F25176" w:rsidRPr="00CE38CA">
              <w:rPr>
                <w:rFonts w:eastAsia="Calibri"/>
                <w:sz w:val="16"/>
                <w:szCs w:val="16"/>
                <w:lang w:val="en-GB"/>
              </w:rPr>
              <w:t>outh cooperation through the improvement of the institutional structure and procedures involved</w:t>
            </w:r>
            <w:r w:rsidR="00645B72" w:rsidRPr="00CE38CA">
              <w:rPr>
                <w:rFonts w:eastAsia="Calibri"/>
                <w:sz w:val="16"/>
                <w:szCs w:val="16"/>
                <w:lang w:val="en-GB"/>
              </w:rPr>
              <w:t>.</w:t>
            </w:r>
          </w:p>
        </w:tc>
      </w:tr>
      <w:tr w:rsidR="00AB12BB" w:rsidRPr="00CE38CA" w14:paraId="21DA0FCD" w14:textId="77777777" w:rsidTr="0077091F">
        <w:trPr>
          <w:trHeight w:val="124"/>
        </w:trPr>
        <w:tc>
          <w:tcPr>
            <w:tcW w:w="5000" w:type="pct"/>
            <w:gridSpan w:val="9"/>
            <w:shd w:val="clear" w:color="auto" w:fill="auto"/>
            <w:tcMar>
              <w:top w:w="72" w:type="dxa"/>
              <w:left w:w="144" w:type="dxa"/>
              <w:bottom w:w="72" w:type="dxa"/>
              <w:right w:w="144" w:type="dxa"/>
            </w:tcMar>
          </w:tcPr>
          <w:p w14:paraId="1437202D" w14:textId="03CE02FD" w:rsidR="00AB12BB" w:rsidRPr="00CE38CA" w:rsidRDefault="00720801" w:rsidP="0032282C">
            <w:pPr>
              <w:rPr>
                <w:b/>
                <w:bCs/>
                <w:color w:val="000000"/>
                <w:sz w:val="16"/>
                <w:szCs w:val="16"/>
                <w:lang w:val="en-GB"/>
              </w:rPr>
            </w:pPr>
            <w:r w:rsidRPr="00CE38CA">
              <w:rPr>
                <w:b/>
                <w:bCs/>
                <w:color w:val="000000"/>
                <w:sz w:val="16"/>
                <w:szCs w:val="16"/>
                <w:lang w:val="en-GB"/>
              </w:rPr>
              <w:t>RELATED STRATEGIC PLAN OUTCOME 7</w:t>
            </w:r>
            <w:r w:rsidR="00AB12BB" w:rsidRPr="00CE38CA">
              <w:rPr>
                <w:b/>
                <w:bCs/>
                <w:color w:val="000000"/>
                <w:sz w:val="16"/>
                <w:szCs w:val="16"/>
                <w:lang w:val="en-GB"/>
              </w:rPr>
              <w:t xml:space="preserve"> (from strategic plan</w:t>
            </w:r>
            <w:r w:rsidR="00DE1CA5">
              <w:rPr>
                <w:b/>
                <w:bCs/>
                <w:color w:val="000000"/>
                <w:sz w:val="16"/>
                <w:szCs w:val="16"/>
                <w:lang w:val="en-GB"/>
              </w:rPr>
              <w:t>,</w:t>
            </w:r>
            <w:r w:rsidR="00AB12BB" w:rsidRPr="00CE38CA">
              <w:rPr>
                <w:b/>
                <w:bCs/>
                <w:color w:val="000000"/>
                <w:sz w:val="16"/>
                <w:szCs w:val="16"/>
                <w:lang w:val="en-GB"/>
              </w:rPr>
              <w:t xml:space="preserve"> 2014-2017</w:t>
            </w:r>
            <w:r w:rsidR="00AB12BB" w:rsidRPr="00A309A5">
              <w:rPr>
                <w:bCs/>
                <w:color w:val="000000"/>
                <w:sz w:val="16"/>
                <w:szCs w:val="16"/>
                <w:lang w:val="en-GB"/>
              </w:rPr>
              <w:t>)</w:t>
            </w:r>
            <w:r w:rsidR="00F25176" w:rsidRPr="00A309A5">
              <w:rPr>
                <w:bCs/>
                <w:color w:val="000000"/>
                <w:sz w:val="16"/>
                <w:szCs w:val="16"/>
                <w:lang w:val="en-GB"/>
              </w:rPr>
              <w:t xml:space="preserve">: </w:t>
            </w:r>
            <w:r w:rsidR="0032282C" w:rsidRPr="00A309A5">
              <w:rPr>
                <w:bCs/>
                <w:color w:val="000000"/>
                <w:sz w:val="16"/>
                <w:szCs w:val="16"/>
                <w:lang w:val="en-GB"/>
              </w:rPr>
              <w:t>Sustainable human development is embedded substantively in development debate and action at all levels</w:t>
            </w:r>
            <w:r w:rsidR="00DE1CA5">
              <w:rPr>
                <w:bCs/>
                <w:color w:val="000000"/>
                <w:sz w:val="16"/>
                <w:szCs w:val="16"/>
                <w:lang w:val="en-GB"/>
              </w:rPr>
              <w:t>.</w:t>
            </w:r>
            <w:r w:rsidR="0032282C" w:rsidRPr="00CE38CA">
              <w:rPr>
                <w:b/>
                <w:bCs/>
                <w:color w:val="000000"/>
                <w:sz w:val="16"/>
                <w:szCs w:val="16"/>
                <w:lang w:val="en-GB"/>
              </w:rPr>
              <w:t xml:space="preserve"> </w:t>
            </w:r>
          </w:p>
        </w:tc>
      </w:tr>
      <w:tr w:rsidR="00720801" w:rsidRPr="00CE38CA" w14:paraId="37B53E0E" w14:textId="77777777" w:rsidTr="004F46EF">
        <w:trPr>
          <w:trHeight w:val="133"/>
        </w:trPr>
        <w:tc>
          <w:tcPr>
            <w:tcW w:w="1097" w:type="pct"/>
            <w:gridSpan w:val="2"/>
            <w:vMerge w:val="restart"/>
            <w:tcMar>
              <w:top w:w="72" w:type="dxa"/>
              <w:left w:w="144" w:type="dxa"/>
              <w:bottom w:w="72" w:type="dxa"/>
              <w:right w:w="144" w:type="dxa"/>
            </w:tcMar>
          </w:tcPr>
          <w:p w14:paraId="459D00D1" w14:textId="542A0191" w:rsidR="00720801" w:rsidRPr="00CE38CA" w:rsidRDefault="003C1251" w:rsidP="006D1383">
            <w:pPr>
              <w:pStyle w:val="Normal1"/>
              <w:jc w:val="both"/>
              <w:rPr>
                <w:sz w:val="16"/>
                <w:szCs w:val="16"/>
                <w:lang w:val="en-GB"/>
              </w:rPr>
            </w:pPr>
            <w:r w:rsidRPr="00F942ED">
              <w:rPr>
                <w:rFonts w:eastAsia="Calibri"/>
                <w:sz w:val="16"/>
                <w:szCs w:val="16"/>
                <w:lang w:val="en-GB"/>
              </w:rPr>
              <w:t>Indicator</w:t>
            </w:r>
            <w:r w:rsidR="00720801" w:rsidRPr="00CE38CA">
              <w:rPr>
                <w:rFonts w:eastAsia="Calibri"/>
                <w:sz w:val="16"/>
                <w:szCs w:val="16"/>
                <w:lang w:val="en-GB"/>
              </w:rPr>
              <w:t xml:space="preserve">: National South-South Cooperation Strategy </w:t>
            </w:r>
            <w:r w:rsidR="009A07C0" w:rsidRPr="00CE38CA">
              <w:rPr>
                <w:rFonts w:eastAsia="Calibri"/>
                <w:sz w:val="16"/>
                <w:szCs w:val="16"/>
                <w:lang w:val="en-GB"/>
              </w:rPr>
              <w:t>d</w:t>
            </w:r>
            <w:r w:rsidR="00720801" w:rsidRPr="00CE38CA">
              <w:rPr>
                <w:rFonts w:eastAsia="Calibri"/>
                <w:sz w:val="16"/>
                <w:szCs w:val="16"/>
                <w:lang w:val="en-GB"/>
              </w:rPr>
              <w:t>eveloped.</w:t>
            </w:r>
          </w:p>
          <w:p w14:paraId="3335277F" w14:textId="7117F2D6" w:rsidR="00720801" w:rsidRPr="00CE38CA" w:rsidRDefault="00DE1CA5" w:rsidP="00A309A5">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Document identifying strategic areas and instruments for south-south cooperation.</w:t>
            </w:r>
          </w:p>
          <w:p w14:paraId="1938F740" w14:textId="3ECBEAC9" w:rsidR="00720801" w:rsidRPr="00CE38CA" w:rsidRDefault="00DE1CA5" w:rsidP="00A309A5">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Strategy developed and implemented in the region and other countries.</w:t>
            </w:r>
          </w:p>
          <w:p w14:paraId="397209FF" w14:textId="77777777" w:rsidR="00720801" w:rsidRPr="00CE38CA" w:rsidRDefault="00720801" w:rsidP="006D1383">
            <w:pPr>
              <w:pStyle w:val="Normal1"/>
              <w:jc w:val="both"/>
              <w:rPr>
                <w:sz w:val="16"/>
                <w:szCs w:val="16"/>
                <w:lang w:val="en-GB"/>
              </w:rPr>
            </w:pPr>
          </w:p>
          <w:p w14:paraId="66F65ADE" w14:textId="77777777" w:rsidR="00720801" w:rsidRPr="00CE38CA" w:rsidRDefault="00720801" w:rsidP="006D1383">
            <w:pPr>
              <w:pStyle w:val="Normal1"/>
              <w:jc w:val="both"/>
              <w:rPr>
                <w:sz w:val="16"/>
                <w:szCs w:val="16"/>
                <w:lang w:val="en-GB"/>
              </w:rPr>
            </w:pPr>
          </w:p>
          <w:p w14:paraId="1408F1AF" w14:textId="3733562D" w:rsidR="00720801" w:rsidRPr="00CE38CA" w:rsidRDefault="003C1251" w:rsidP="00A309A5">
            <w:pPr>
              <w:pStyle w:val="Normal1"/>
              <w:rPr>
                <w:sz w:val="16"/>
                <w:szCs w:val="16"/>
                <w:lang w:val="en-GB"/>
              </w:rPr>
            </w:pPr>
            <w:r w:rsidRPr="00F942ED">
              <w:rPr>
                <w:rFonts w:eastAsia="Calibri"/>
                <w:sz w:val="16"/>
                <w:szCs w:val="16"/>
                <w:lang w:val="en-GB"/>
              </w:rPr>
              <w:t>Indicator</w:t>
            </w:r>
            <w:r w:rsidR="00720801" w:rsidRPr="00CE38CA">
              <w:rPr>
                <w:rFonts w:eastAsia="Calibri"/>
                <w:sz w:val="16"/>
                <w:szCs w:val="16"/>
                <w:lang w:val="en-GB"/>
              </w:rPr>
              <w:t xml:space="preserve">: Network of </w:t>
            </w:r>
            <w:r w:rsidR="00F93F68">
              <w:rPr>
                <w:rFonts w:eastAsia="Calibri"/>
                <w:sz w:val="16"/>
                <w:szCs w:val="16"/>
                <w:lang w:val="en-GB"/>
              </w:rPr>
              <w:t>i</w:t>
            </w:r>
            <w:r w:rsidR="00720801" w:rsidRPr="00CE38CA">
              <w:rPr>
                <w:rFonts w:eastAsia="Calibri"/>
                <w:sz w:val="16"/>
                <w:szCs w:val="16"/>
                <w:lang w:val="en-GB"/>
              </w:rPr>
              <w:t xml:space="preserve">nternational </w:t>
            </w:r>
            <w:r w:rsidR="00F93F68">
              <w:rPr>
                <w:rFonts w:eastAsia="Calibri"/>
                <w:sz w:val="16"/>
                <w:szCs w:val="16"/>
                <w:lang w:val="en-GB"/>
              </w:rPr>
              <w:t>r</w:t>
            </w:r>
            <w:r w:rsidR="00720801" w:rsidRPr="00CE38CA">
              <w:rPr>
                <w:rFonts w:eastAsia="Calibri"/>
                <w:sz w:val="16"/>
                <w:szCs w:val="16"/>
                <w:lang w:val="en-GB"/>
              </w:rPr>
              <w:t xml:space="preserve">elations </w:t>
            </w:r>
            <w:r w:rsidR="00F93F68">
              <w:rPr>
                <w:rFonts w:eastAsia="Calibri"/>
                <w:sz w:val="16"/>
                <w:szCs w:val="16"/>
                <w:lang w:val="en-GB"/>
              </w:rPr>
              <w:t>u</w:t>
            </w:r>
            <w:r w:rsidR="00720801" w:rsidRPr="00CE38CA">
              <w:rPr>
                <w:rFonts w:eastAsia="Calibri"/>
                <w:sz w:val="16"/>
                <w:szCs w:val="16"/>
                <w:lang w:val="en-GB"/>
              </w:rPr>
              <w:t>nits and/or international cooperation from national sectors coordinated with ACGI and functional.</w:t>
            </w:r>
          </w:p>
          <w:p w14:paraId="362C83CB" w14:textId="3E69E552" w:rsidR="00720801"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xml:space="preserve">: Only </w:t>
            </w:r>
            <w:r w:rsidR="009A07C0" w:rsidRPr="00CE38CA">
              <w:rPr>
                <w:rFonts w:eastAsia="Calibri"/>
                <w:sz w:val="16"/>
                <w:szCs w:val="16"/>
                <w:lang w:val="en-GB"/>
              </w:rPr>
              <w:t>some</w:t>
            </w:r>
            <w:r w:rsidR="00720801" w:rsidRPr="00CE38CA">
              <w:rPr>
                <w:rFonts w:eastAsia="Calibri"/>
                <w:sz w:val="16"/>
                <w:szCs w:val="16"/>
                <w:lang w:val="en-GB"/>
              </w:rPr>
              <w:t xml:space="preserve"> of the International Relations Units and/or sectorial international cooperation report and coordinate with AGCI to engage in </w:t>
            </w:r>
            <w:r w:rsidR="00F93F68" w:rsidRPr="00CE38CA">
              <w:rPr>
                <w:rFonts w:eastAsia="Calibri"/>
                <w:sz w:val="16"/>
                <w:szCs w:val="16"/>
                <w:lang w:val="en-GB"/>
              </w:rPr>
              <w:t>S</w:t>
            </w:r>
            <w:r w:rsidR="00F93F68">
              <w:rPr>
                <w:rFonts w:eastAsia="Calibri"/>
                <w:sz w:val="16"/>
                <w:szCs w:val="16"/>
                <w:lang w:val="en-GB"/>
              </w:rPr>
              <w:t>outh-South cooperation</w:t>
            </w:r>
            <w:r w:rsidR="00720801" w:rsidRPr="00CE38CA">
              <w:rPr>
                <w:rFonts w:eastAsia="Calibri"/>
                <w:sz w:val="16"/>
                <w:szCs w:val="16"/>
                <w:lang w:val="en-GB"/>
              </w:rPr>
              <w:t xml:space="preserve">. </w:t>
            </w:r>
          </w:p>
          <w:p w14:paraId="64C8C595" w14:textId="0AED51A4" w:rsidR="00720801"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xml:space="preserve">: Coordination and exchange of information space for </w:t>
            </w:r>
            <w:r w:rsidR="00F93F68">
              <w:rPr>
                <w:rFonts w:eastAsia="Calibri"/>
                <w:sz w:val="16"/>
                <w:szCs w:val="16"/>
                <w:lang w:val="en-GB"/>
              </w:rPr>
              <w:t>i</w:t>
            </w:r>
            <w:r w:rsidR="00720801" w:rsidRPr="00CE38CA">
              <w:rPr>
                <w:rFonts w:eastAsia="Calibri"/>
                <w:sz w:val="16"/>
                <w:szCs w:val="16"/>
                <w:lang w:val="en-GB"/>
              </w:rPr>
              <w:t xml:space="preserve">nternational </w:t>
            </w:r>
            <w:r w:rsidR="00F93F68">
              <w:rPr>
                <w:rFonts w:eastAsia="Calibri"/>
                <w:sz w:val="16"/>
                <w:szCs w:val="16"/>
                <w:lang w:val="en-GB"/>
              </w:rPr>
              <w:t>r</w:t>
            </w:r>
            <w:r w:rsidR="00720801" w:rsidRPr="00CE38CA">
              <w:rPr>
                <w:rFonts w:eastAsia="Calibri"/>
                <w:sz w:val="16"/>
                <w:szCs w:val="16"/>
                <w:lang w:val="en-GB"/>
              </w:rPr>
              <w:t xml:space="preserve">elations </w:t>
            </w:r>
            <w:r w:rsidR="00F93F68">
              <w:rPr>
                <w:rFonts w:eastAsia="Calibri"/>
                <w:sz w:val="16"/>
                <w:szCs w:val="16"/>
                <w:lang w:val="en-GB"/>
              </w:rPr>
              <w:t>u</w:t>
            </w:r>
            <w:r w:rsidR="00720801" w:rsidRPr="00CE38CA">
              <w:rPr>
                <w:rFonts w:eastAsia="Calibri"/>
                <w:sz w:val="16"/>
                <w:szCs w:val="16"/>
                <w:lang w:val="en-GB"/>
              </w:rPr>
              <w:t xml:space="preserve">nits and/or sectoral is expanded or strengthened and operates </w:t>
            </w:r>
            <w:r w:rsidR="00720801" w:rsidRPr="00CE38CA">
              <w:rPr>
                <w:rFonts w:eastAsia="Calibri"/>
                <w:sz w:val="16"/>
                <w:szCs w:val="16"/>
                <w:lang w:val="en-GB"/>
              </w:rPr>
              <w:lastRenderedPageBreak/>
              <w:t xml:space="preserve">periodically in connection with </w:t>
            </w:r>
            <w:r w:rsidR="00693394" w:rsidRPr="00CE38CA">
              <w:rPr>
                <w:rFonts w:eastAsia="Calibri"/>
                <w:sz w:val="16"/>
                <w:szCs w:val="16"/>
                <w:lang w:val="en-GB"/>
              </w:rPr>
              <w:t>the Chilean Cooperation Agency</w:t>
            </w:r>
            <w:r w:rsidR="00720801" w:rsidRPr="00CE38CA">
              <w:rPr>
                <w:rFonts w:eastAsia="Calibri"/>
                <w:sz w:val="16"/>
                <w:szCs w:val="16"/>
                <w:lang w:val="en-GB"/>
              </w:rPr>
              <w:t xml:space="preserve">. </w:t>
            </w:r>
          </w:p>
          <w:p w14:paraId="0550BFDF" w14:textId="77777777" w:rsidR="00720801" w:rsidRPr="00CE38CA" w:rsidRDefault="00720801" w:rsidP="006D1383">
            <w:pPr>
              <w:pStyle w:val="Normal1"/>
              <w:rPr>
                <w:sz w:val="16"/>
                <w:szCs w:val="16"/>
                <w:lang w:val="en-GB"/>
              </w:rPr>
            </w:pPr>
          </w:p>
        </w:tc>
        <w:tc>
          <w:tcPr>
            <w:tcW w:w="653" w:type="pct"/>
            <w:gridSpan w:val="2"/>
            <w:vMerge w:val="restart"/>
          </w:tcPr>
          <w:p w14:paraId="05DD8038" w14:textId="31FBA139" w:rsidR="00720801" w:rsidRPr="00CE38CA" w:rsidRDefault="009A07C0" w:rsidP="006D1383">
            <w:pPr>
              <w:pStyle w:val="Normal1"/>
              <w:rPr>
                <w:sz w:val="16"/>
                <w:szCs w:val="16"/>
                <w:lang w:val="en-GB"/>
              </w:rPr>
            </w:pPr>
            <w:r w:rsidRPr="00CE38CA">
              <w:rPr>
                <w:rFonts w:eastAsia="Calibri"/>
                <w:sz w:val="16"/>
                <w:szCs w:val="16"/>
                <w:lang w:val="en-GB"/>
              </w:rPr>
              <w:lastRenderedPageBreak/>
              <w:t>Chilean Internation</w:t>
            </w:r>
            <w:r w:rsidR="00DE1CA5">
              <w:rPr>
                <w:rFonts w:eastAsia="Calibri"/>
                <w:sz w:val="16"/>
                <w:szCs w:val="16"/>
                <w:lang w:val="en-GB"/>
              </w:rPr>
              <w:t>a</w:t>
            </w:r>
            <w:r w:rsidRPr="00CE38CA">
              <w:rPr>
                <w:rFonts w:eastAsia="Calibri"/>
                <w:sz w:val="16"/>
                <w:szCs w:val="16"/>
                <w:lang w:val="en-GB"/>
              </w:rPr>
              <w:t>l Cooperation Agency</w:t>
            </w:r>
            <w:r w:rsidR="00F93F68">
              <w:rPr>
                <w:rFonts w:eastAsia="Calibri"/>
                <w:sz w:val="16"/>
                <w:szCs w:val="16"/>
                <w:lang w:val="en-GB"/>
              </w:rPr>
              <w:t xml:space="preserve"> (ACGI)</w:t>
            </w:r>
          </w:p>
          <w:p w14:paraId="1D8C8C48" w14:textId="77777777" w:rsidR="00720801" w:rsidRPr="00CE38CA" w:rsidRDefault="00720801" w:rsidP="006D1383">
            <w:pPr>
              <w:pStyle w:val="Normal1"/>
              <w:rPr>
                <w:sz w:val="16"/>
                <w:szCs w:val="16"/>
                <w:lang w:val="en-GB"/>
              </w:rPr>
            </w:pPr>
          </w:p>
          <w:p w14:paraId="33EE78E1" w14:textId="77777777" w:rsidR="00720801" w:rsidRPr="00CE38CA" w:rsidRDefault="00720801" w:rsidP="006D1383">
            <w:pPr>
              <w:pStyle w:val="Normal1"/>
              <w:rPr>
                <w:sz w:val="16"/>
                <w:szCs w:val="16"/>
                <w:lang w:val="en-GB"/>
              </w:rPr>
            </w:pPr>
          </w:p>
          <w:p w14:paraId="5EA01798" w14:textId="77777777" w:rsidR="00720801" w:rsidRPr="00CE38CA" w:rsidRDefault="00720801" w:rsidP="006D1383">
            <w:pPr>
              <w:pStyle w:val="Normal1"/>
              <w:rPr>
                <w:sz w:val="16"/>
                <w:szCs w:val="16"/>
                <w:lang w:val="en-GB"/>
              </w:rPr>
            </w:pPr>
          </w:p>
          <w:p w14:paraId="3EB6037A" w14:textId="77777777" w:rsidR="00720801" w:rsidRPr="00CE38CA" w:rsidRDefault="00720801" w:rsidP="006D1383">
            <w:pPr>
              <w:pStyle w:val="Normal1"/>
              <w:rPr>
                <w:sz w:val="16"/>
                <w:szCs w:val="16"/>
                <w:lang w:val="en-GB"/>
              </w:rPr>
            </w:pPr>
          </w:p>
          <w:p w14:paraId="67B03051" w14:textId="77777777" w:rsidR="00720801" w:rsidRPr="00CE38CA" w:rsidRDefault="00720801" w:rsidP="006D1383">
            <w:pPr>
              <w:pStyle w:val="Normal1"/>
              <w:rPr>
                <w:sz w:val="16"/>
                <w:szCs w:val="16"/>
                <w:lang w:val="en-GB"/>
              </w:rPr>
            </w:pPr>
          </w:p>
          <w:p w14:paraId="6D3A7AD3" w14:textId="77777777" w:rsidR="00720801" w:rsidRPr="00CE38CA" w:rsidRDefault="00720801" w:rsidP="006D1383">
            <w:pPr>
              <w:pStyle w:val="Normal1"/>
              <w:rPr>
                <w:sz w:val="16"/>
                <w:szCs w:val="16"/>
                <w:lang w:val="en-GB"/>
              </w:rPr>
            </w:pPr>
          </w:p>
          <w:p w14:paraId="7786E3F7" w14:textId="1D64C500" w:rsidR="009A07C0" w:rsidRPr="00CE38CA" w:rsidRDefault="009A07C0" w:rsidP="006D1383">
            <w:pPr>
              <w:pStyle w:val="Normal1"/>
              <w:rPr>
                <w:sz w:val="16"/>
                <w:szCs w:val="16"/>
                <w:lang w:val="en-GB"/>
              </w:rPr>
            </w:pPr>
            <w:r w:rsidRPr="00CE38CA">
              <w:rPr>
                <w:rFonts w:eastAsia="Calibri"/>
                <w:sz w:val="16"/>
                <w:szCs w:val="16"/>
                <w:lang w:val="en-GB"/>
              </w:rPr>
              <w:t>Chilean Internation</w:t>
            </w:r>
            <w:r w:rsidR="00DE1CA5">
              <w:rPr>
                <w:rFonts w:eastAsia="Calibri"/>
                <w:sz w:val="16"/>
                <w:szCs w:val="16"/>
                <w:lang w:val="en-GB"/>
              </w:rPr>
              <w:t>a</w:t>
            </w:r>
            <w:r w:rsidRPr="00CE38CA">
              <w:rPr>
                <w:rFonts w:eastAsia="Calibri"/>
                <w:sz w:val="16"/>
                <w:szCs w:val="16"/>
                <w:lang w:val="en-GB"/>
              </w:rPr>
              <w:t>l Cooperation Agency</w:t>
            </w:r>
          </w:p>
          <w:p w14:paraId="0CE4698E" w14:textId="77777777" w:rsidR="00720801" w:rsidRPr="00CE38CA" w:rsidRDefault="00720801" w:rsidP="006D1383">
            <w:pPr>
              <w:pStyle w:val="Normal1"/>
              <w:rPr>
                <w:sz w:val="16"/>
                <w:szCs w:val="16"/>
                <w:lang w:val="en-GB"/>
              </w:rPr>
            </w:pPr>
          </w:p>
        </w:tc>
        <w:tc>
          <w:tcPr>
            <w:tcW w:w="1618" w:type="pct"/>
            <w:gridSpan w:val="2"/>
            <w:vMerge w:val="restart"/>
            <w:tcMar>
              <w:top w:w="72" w:type="dxa"/>
              <w:left w:w="144" w:type="dxa"/>
              <w:bottom w:w="72" w:type="dxa"/>
              <w:right w:w="144" w:type="dxa"/>
            </w:tcMar>
          </w:tcPr>
          <w:p w14:paraId="31B21293" w14:textId="49366774" w:rsidR="00720801" w:rsidRPr="00CE38CA" w:rsidRDefault="009A07C0" w:rsidP="006D1383">
            <w:pPr>
              <w:pStyle w:val="Normal1"/>
              <w:jc w:val="both"/>
              <w:rPr>
                <w:sz w:val="16"/>
                <w:szCs w:val="16"/>
                <w:lang w:val="en-GB"/>
              </w:rPr>
            </w:pPr>
            <w:r w:rsidRPr="00CE38CA">
              <w:rPr>
                <w:rFonts w:eastAsia="Calibri"/>
                <w:b/>
                <w:sz w:val="16"/>
                <w:szCs w:val="16"/>
                <w:lang w:val="en-GB"/>
              </w:rPr>
              <w:t>I</w:t>
            </w:r>
            <w:r w:rsidR="00720801" w:rsidRPr="00CE38CA">
              <w:rPr>
                <w:rFonts w:eastAsia="Calibri"/>
                <w:b/>
                <w:sz w:val="16"/>
                <w:szCs w:val="16"/>
                <w:lang w:val="en-GB"/>
              </w:rPr>
              <w:t xml:space="preserve">nstitutions and other partners that engage in </w:t>
            </w:r>
            <w:r w:rsidR="00DE1CA5">
              <w:rPr>
                <w:rFonts w:eastAsia="Calibri"/>
                <w:b/>
                <w:sz w:val="16"/>
                <w:szCs w:val="16"/>
                <w:lang w:val="en-GB"/>
              </w:rPr>
              <w:t>S</w:t>
            </w:r>
            <w:r w:rsidR="00720801" w:rsidRPr="00CE38CA">
              <w:rPr>
                <w:rFonts w:eastAsia="Calibri"/>
                <w:b/>
                <w:sz w:val="16"/>
                <w:szCs w:val="16"/>
                <w:lang w:val="en-GB"/>
              </w:rPr>
              <w:t>outh-</w:t>
            </w:r>
            <w:r w:rsidR="00DE1CA5">
              <w:rPr>
                <w:rFonts w:eastAsia="Calibri"/>
                <w:b/>
                <w:sz w:val="16"/>
                <w:szCs w:val="16"/>
                <w:lang w:val="en-GB"/>
              </w:rPr>
              <w:t>S</w:t>
            </w:r>
            <w:r w:rsidR="00720801" w:rsidRPr="00CE38CA">
              <w:rPr>
                <w:rFonts w:eastAsia="Calibri"/>
                <w:b/>
                <w:sz w:val="16"/>
                <w:szCs w:val="16"/>
                <w:lang w:val="en-GB"/>
              </w:rPr>
              <w:t>outh cooperation have the frameworks, capacities, and instruments required to promote cooperation</w:t>
            </w:r>
          </w:p>
          <w:p w14:paraId="177F6EC4" w14:textId="708F3E68" w:rsidR="00720801" w:rsidRPr="00CE38CA" w:rsidRDefault="00DE1CA5" w:rsidP="006D1383">
            <w:pPr>
              <w:pStyle w:val="Normal1"/>
              <w:jc w:val="both"/>
              <w:rPr>
                <w:sz w:val="16"/>
                <w:szCs w:val="16"/>
                <w:lang w:val="en-GB"/>
              </w:rPr>
            </w:pPr>
            <w:r w:rsidRPr="00F942ED">
              <w:rPr>
                <w:rFonts w:eastAsia="Calibri"/>
                <w:sz w:val="16"/>
                <w:szCs w:val="16"/>
                <w:lang w:val="en-GB"/>
              </w:rPr>
              <w:t>Indicator</w:t>
            </w:r>
            <w:r w:rsidR="00720801" w:rsidRPr="00CE38CA">
              <w:rPr>
                <w:rFonts w:eastAsia="Calibri"/>
                <w:sz w:val="16"/>
                <w:szCs w:val="16"/>
                <w:lang w:val="en-GB"/>
              </w:rPr>
              <w:t>: Number of S</w:t>
            </w:r>
            <w:r>
              <w:rPr>
                <w:rFonts w:eastAsia="Calibri"/>
                <w:sz w:val="16"/>
                <w:szCs w:val="16"/>
                <w:lang w:val="en-GB"/>
              </w:rPr>
              <w:t>outh-South cooperation</w:t>
            </w:r>
            <w:r w:rsidR="00720801" w:rsidRPr="00CE38CA">
              <w:rPr>
                <w:rFonts w:eastAsia="Calibri"/>
                <w:sz w:val="16"/>
                <w:szCs w:val="16"/>
                <w:lang w:val="en-GB"/>
              </w:rPr>
              <w:t xml:space="preserve"> and triangular </w:t>
            </w:r>
            <w:r w:rsidR="009A07C0" w:rsidRPr="00CE38CA">
              <w:rPr>
                <w:rFonts w:eastAsia="Calibri"/>
                <w:sz w:val="16"/>
                <w:szCs w:val="16"/>
                <w:lang w:val="en-GB"/>
              </w:rPr>
              <w:t xml:space="preserve">partnerships </w:t>
            </w:r>
            <w:r w:rsidR="00720801" w:rsidRPr="00CE38CA">
              <w:rPr>
                <w:rFonts w:eastAsia="Calibri"/>
                <w:sz w:val="16"/>
                <w:szCs w:val="16"/>
                <w:lang w:val="en-GB"/>
              </w:rPr>
              <w:t>established at the national level</w:t>
            </w:r>
          </w:p>
          <w:p w14:paraId="0EC9151F" w14:textId="425A0043" w:rsidR="00720801"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5 (2013)</w:t>
            </w:r>
          </w:p>
          <w:p w14:paraId="533BF76A" w14:textId="541408F2" w:rsidR="00720801" w:rsidRPr="00CE38CA" w:rsidRDefault="00720801" w:rsidP="006D1383">
            <w:pPr>
              <w:pStyle w:val="Normal1"/>
              <w:jc w:val="both"/>
              <w:rPr>
                <w:sz w:val="16"/>
                <w:szCs w:val="16"/>
                <w:lang w:val="en-GB"/>
              </w:rPr>
            </w:pPr>
            <w:r w:rsidRPr="00CE38CA">
              <w:rPr>
                <w:rFonts w:eastAsia="Calibri"/>
                <w:sz w:val="16"/>
                <w:szCs w:val="16"/>
                <w:lang w:val="en-GB"/>
              </w:rPr>
              <w:t>T</w:t>
            </w:r>
            <w:r w:rsidR="00DE1CA5">
              <w:rPr>
                <w:rFonts w:eastAsia="Calibri"/>
                <w:sz w:val="16"/>
                <w:szCs w:val="16"/>
                <w:lang w:val="en-GB"/>
              </w:rPr>
              <w:t>arget</w:t>
            </w:r>
            <w:r w:rsidRPr="00CE38CA">
              <w:rPr>
                <w:rFonts w:eastAsia="Calibri"/>
                <w:sz w:val="16"/>
                <w:szCs w:val="16"/>
                <w:lang w:val="en-GB"/>
              </w:rPr>
              <w:t>: 11 (2018)</w:t>
            </w:r>
          </w:p>
          <w:p w14:paraId="3E8F7D57" w14:textId="77777777" w:rsidR="00720801" w:rsidRPr="00CE38CA" w:rsidRDefault="00720801" w:rsidP="006D1383">
            <w:pPr>
              <w:pStyle w:val="Normal1"/>
              <w:jc w:val="both"/>
              <w:rPr>
                <w:sz w:val="16"/>
                <w:szCs w:val="16"/>
                <w:lang w:val="en-GB"/>
              </w:rPr>
            </w:pPr>
          </w:p>
          <w:p w14:paraId="21C858A9" w14:textId="607F660F" w:rsidR="00720801" w:rsidRPr="00CE38CA" w:rsidRDefault="00DE1CA5" w:rsidP="006D1383">
            <w:pPr>
              <w:pStyle w:val="Normal1"/>
              <w:jc w:val="both"/>
              <w:rPr>
                <w:sz w:val="16"/>
                <w:szCs w:val="16"/>
                <w:lang w:val="en-GB"/>
              </w:rPr>
            </w:pPr>
            <w:r w:rsidRPr="00F942ED">
              <w:rPr>
                <w:rFonts w:eastAsia="Calibri"/>
                <w:sz w:val="16"/>
                <w:szCs w:val="16"/>
                <w:lang w:val="en-GB"/>
              </w:rPr>
              <w:t>Indicator</w:t>
            </w:r>
            <w:r w:rsidR="00720801" w:rsidRPr="00CE38CA">
              <w:rPr>
                <w:rFonts w:eastAsia="Calibri"/>
                <w:sz w:val="16"/>
                <w:szCs w:val="16"/>
                <w:lang w:val="en-GB"/>
              </w:rPr>
              <w:t xml:space="preserve">: Number of </w:t>
            </w:r>
            <w:r w:rsidR="0071469E" w:rsidRPr="00CE38CA">
              <w:rPr>
                <w:rFonts w:eastAsia="Calibri"/>
                <w:sz w:val="16"/>
                <w:szCs w:val="16"/>
                <w:lang w:val="en-GB"/>
              </w:rPr>
              <w:t>S</w:t>
            </w:r>
            <w:r w:rsidR="0071469E">
              <w:rPr>
                <w:rFonts w:eastAsia="Calibri"/>
                <w:sz w:val="16"/>
                <w:szCs w:val="16"/>
                <w:lang w:val="en-GB"/>
              </w:rPr>
              <w:t>outh-South cooperation</w:t>
            </w:r>
            <w:r w:rsidR="00720801" w:rsidRPr="00CE38CA">
              <w:rPr>
                <w:rFonts w:eastAsia="Calibri"/>
                <w:sz w:val="16"/>
                <w:szCs w:val="16"/>
                <w:lang w:val="en-GB"/>
              </w:rPr>
              <w:t xml:space="preserve"> and triangular </w:t>
            </w:r>
            <w:r w:rsidR="009A07C0" w:rsidRPr="00CE38CA">
              <w:rPr>
                <w:rFonts w:eastAsia="Calibri"/>
                <w:sz w:val="16"/>
                <w:szCs w:val="16"/>
                <w:lang w:val="en-GB"/>
              </w:rPr>
              <w:t xml:space="preserve">partnerships </w:t>
            </w:r>
            <w:r w:rsidR="00720801" w:rsidRPr="00CE38CA">
              <w:rPr>
                <w:rFonts w:eastAsia="Calibri"/>
                <w:sz w:val="16"/>
                <w:szCs w:val="16"/>
                <w:lang w:val="en-GB"/>
              </w:rPr>
              <w:t xml:space="preserve">that provide measurable and sustainable benefits to participants </w:t>
            </w:r>
          </w:p>
          <w:p w14:paraId="1DFE0E02" w14:textId="127B2664" w:rsidR="00720801"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5 (2013)</w:t>
            </w:r>
          </w:p>
          <w:p w14:paraId="366C2890" w14:textId="197C951C" w:rsidR="00720801"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11 (2018)</w:t>
            </w:r>
          </w:p>
          <w:p w14:paraId="6E5CDAE0" w14:textId="77777777" w:rsidR="00720801" w:rsidRPr="00CE38CA" w:rsidRDefault="00720801" w:rsidP="006D1383">
            <w:pPr>
              <w:pStyle w:val="Normal1"/>
              <w:jc w:val="both"/>
              <w:rPr>
                <w:sz w:val="16"/>
                <w:szCs w:val="16"/>
                <w:lang w:val="en-GB"/>
              </w:rPr>
            </w:pPr>
          </w:p>
          <w:p w14:paraId="7B45B6E9" w14:textId="5B711149" w:rsidR="00720801" w:rsidRPr="00CE38CA" w:rsidRDefault="00DE1CA5" w:rsidP="00A309A5">
            <w:pPr>
              <w:pStyle w:val="Normal1"/>
              <w:rPr>
                <w:sz w:val="16"/>
                <w:szCs w:val="16"/>
                <w:lang w:val="en-GB"/>
              </w:rPr>
            </w:pPr>
            <w:r w:rsidRPr="00F942ED">
              <w:rPr>
                <w:rFonts w:eastAsia="Calibri"/>
                <w:sz w:val="16"/>
                <w:szCs w:val="16"/>
                <w:lang w:val="en-GB"/>
              </w:rPr>
              <w:t>Indicator</w:t>
            </w:r>
            <w:r w:rsidR="00720801" w:rsidRPr="00CE38CA">
              <w:rPr>
                <w:rFonts w:eastAsia="Calibri"/>
                <w:sz w:val="16"/>
                <w:szCs w:val="16"/>
                <w:lang w:val="en-GB"/>
              </w:rPr>
              <w:t>: Number of strategies/instruments/</w:t>
            </w:r>
            <w:r w:rsidR="009A07C0" w:rsidRPr="00CE38CA">
              <w:rPr>
                <w:rFonts w:eastAsia="Calibri"/>
                <w:sz w:val="16"/>
                <w:szCs w:val="16"/>
                <w:lang w:val="en-GB"/>
              </w:rPr>
              <w:t xml:space="preserve">coordinating </w:t>
            </w:r>
            <w:r w:rsidR="00720801" w:rsidRPr="00CE38CA">
              <w:rPr>
                <w:rFonts w:eastAsia="Calibri"/>
                <w:sz w:val="16"/>
                <w:szCs w:val="16"/>
                <w:lang w:val="en-GB"/>
              </w:rPr>
              <w:t>mechanisms</w:t>
            </w:r>
            <w:r w:rsidR="009A07C0" w:rsidRPr="00CE38CA">
              <w:rPr>
                <w:rFonts w:eastAsia="Calibri"/>
                <w:sz w:val="16"/>
                <w:szCs w:val="16"/>
                <w:lang w:val="en-GB"/>
              </w:rPr>
              <w:t>/platforms</w:t>
            </w:r>
            <w:r w:rsidR="00720801" w:rsidRPr="00CE38CA">
              <w:rPr>
                <w:rFonts w:eastAsia="Calibri"/>
                <w:sz w:val="16"/>
                <w:szCs w:val="16"/>
                <w:lang w:val="en-GB"/>
              </w:rPr>
              <w:t>/knowledge</w:t>
            </w:r>
            <w:r w:rsidR="009A07C0" w:rsidRPr="00CE38CA">
              <w:rPr>
                <w:rFonts w:eastAsia="Calibri"/>
                <w:sz w:val="16"/>
                <w:szCs w:val="16"/>
                <w:lang w:val="en-GB"/>
              </w:rPr>
              <w:t xml:space="preserve"> </w:t>
            </w:r>
            <w:r w:rsidR="00720801" w:rsidRPr="00CE38CA">
              <w:rPr>
                <w:rFonts w:eastAsia="Calibri"/>
                <w:sz w:val="16"/>
                <w:szCs w:val="16"/>
                <w:lang w:val="en-GB"/>
              </w:rPr>
              <w:t xml:space="preserve">products generated to promote the exchange of successful experiences for development </w:t>
            </w:r>
          </w:p>
          <w:p w14:paraId="3C870C72" w14:textId="1BB10D9D" w:rsidR="00720801" w:rsidRPr="00CE38CA" w:rsidRDefault="00DE1CA5" w:rsidP="006D1383">
            <w:pPr>
              <w:pStyle w:val="Normal1"/>
              <w:jc w:val="both"/>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5 (2014)</w:t>
            </w:r>
          </w:p>
          <w:p w14:paraId="23F53860" w14:textId="72640FAE" w:rsidR="00720801" w:rsidRPr="00CE38CA" w:rsidRDefault="00DE1CA5" w:rsidP="006D1383">
            <w:pPr>
              <w:pStyle w:val="Normal1"/>
              <w:jc w:val="both"/>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8 (2018)</w:t>
            </w:r>
          </w:p>
          <w:p w14:paraId="11806EE1" w14:textId="77777777" w:rsidR="00F431A1" w:rsidRPr="00CE38CA" w:rsidRDefault="00F431A1" w:rsidP="006D1383">
            <w:pPr>
              <w:pStyle w:val="Normal1"/>
              <w:jc w:val="both"/>
              <w:rPr>
                <w:sz w:val="16"/>
                <w:szCs w:val="16"/>
                <w:lang w:val="en-GB"/>
              </w:rPr>
            </w:pPr>
          </w:p>
          <w:p w14:paraId="072A6377" w14:textId="5973E124" w:rsidR="00720801" w:rsidRPr="00CE38CA" w:rsidRDefault="00720801" w:rsidP="006D1383">
            <w:pPr>
              <w:pStyle w:val="Normal1"/>
              <w:rPr>
                <w:sz w:val="16"/>
                <w:szCs w:val="16"/>
                <w:lang w:val="en-GB"/>
              </w:rPr>
            </w:pPr>
            <w:r w:rsidRPr="00CE38CA">
              <w:rPr>
                <w:rFonts w:eastAsia="Calibri"/>
                <w:b/>
                <w:sz w:val="16"/>
                <w:szCs w:val="16"/>
                <w:lang w:val="en-GB"/>
              </w:rPr>
              <w:t xml:space="preserve">The </w:t>
            </w:r>
            <w:r w:rsidR="00F93F68">
              <w:rPr>
                <w:rFonts w:eastAsia="Calibri"/>
                <w:b/>
                <w:sz w:val="16"/>
                <w:szCs w:val="16"/>
                <w:lang w:val="en-GB"/>
              </w:rPr>
              <w:t>h</w:t>
            </w:r>
            <w:r w:rsidRPr="00CE38CA">
              <w:rPr>
                <w:rFonts w:eastAsia="Calibri"/>
                <w:b/>
                <w:sz w:val="16"/>
                <w:szCs w:val="16"/>
                <w:lang w:val="en-GB"/>
              </w:rPr>
              <w:t xml:space="preserve">uman </w:t>
            </w:r>
            <w:r w:rsidR="00F93F68">
              <w:rPr>
                <w:rFonts w:eastAsia="Calibri"/>
                <w:b/>
                <w:sz w:val="16"/>
                <w:szCs w:val="16"/>
                <w:lang w:val="en-GB"/>
              </w:rPr>
              <w:t>d</w:t>
            </w:r>
            <w:r w:rsidR="00693394" w:rsidRPr="00CE38CA">
              <w:rPr>
                <w:rFonts w:eastAsia="Calibri"/>
                <w:b/>
                <w:sz w:val="16"/>
                <w:szCs w:val="16"/>
                <w:lang w:val="en-GB"/>
              </w:rPr>
              <w:t>evelopment approach</w:t>
            </w:r>
            <w:r w:rsidRPr="00CE38CA">
              <w:rPr>
                <w:rFonts w:eastAsia="Calibri"/>
                <w:b/>
                <w:sz w:val="16"/>
                <w:szCs w:val="16"/>
                <w:lang w:val="en-GB"/>
              </w:rPr>
              <w:t xml:space="preserve"> provides </w:t>
            </w:r>
            <w:r w:rsidR="00693394" w:rsidRPr="00CE38CA">
              <w:rPr>
                <w:rFonts w:eastAsia="Calibri"/>
                <w:b/>
                <w:sz w:val="16"/>
                <w:szCs w:val="16"/>
                <w:lang w:val="en-GB"/>
              </w:rPr>
              <w:t>frameworks</w:t>
            </w:r>
            <w:r w:rsidRPr="00CE38CA">
              <w:rPr>
                <w:rFonts w:eastAsia="Calibri"/>
                <w:b/>
                <w:sz w:val="16"/>
                <w:szCs w:val="16"/>
                <w:lang w:val="en-GB"/>
              </w:rPr>
              <w:t xml:space="preserve">, knowledge, and proposals for moving forward </w:t>
            </w:r>
            <w:r w:rsidR="00693394" w:rsidRPr="00CE38CA">
              <w:rPr>
                <w:rFonts w:eastAsia="Calibri"/>
                <w:b/>
                <w:sz w:val="16"/>
                <w:szCs w:val="16"/>
                <w:lang w:val="en-GB"/>
              </w:rPr>
              <w:t xml:space="preserve">on </w:t>
            </w:r>
            <w:r w:rsidRPr="00CE38CA">
              <w:rPr>
                <w:rFonts w:eastAsia="Calibri"/>
                <w:b/>
                <w:sz w:val="16"/>
                <w:szCs w:val="16"/>
                <w:lang w:val="en-GB"/>
              </w:rPr>
              <w:lastRenderedPageBreak/>
              <w:t xml:space="preserve">sustainable human development at all levels of </w:t>
            </w:r>
            <w:r w:rsidR="00693394" w:rsidRPr="00CE38CA">
              <w:rPr>
                <w:rFonts w:eastAsia="Calibri"/>
                <w:b/>
                <w:sz w:val="16"/>
                <w:szCs w:val="16"/>
                <w:lang w:val="en-GB"/>
              </w:rPr>
              <w:t xml:space="preserve">the </w:t>
            </w:r>
            <w:r w:rsidRPr="00CE38CA">
              <w:rPr>
                <w:rFonts w:eastAsia="Calibri"/>
                <w:b/>
                <w:sz w:val="16"/>
                <w:szCs w:val="16"/>
                <w:lang w:val="en-GB"/>
              </w:rPr>
              <w:t>Chilean society</w:t>
            </w:r>
          </w:p>
          <w:p w14:paraId="003688C7" w14:textId="483B28DA" w:rsidR="00720801" w:rsidRPr="00CE38CA" w:rsidRDefault="00DE1CA5" w:rsidP="006D1383">
            <w:pPr>
              <w:pStyle w:val="Normal1"/>
              <w:rPr>
                <w:sz w:val="16"/>
                <w:szCs w:val="16"/>
                <w:lang w:val="en-GB"/>
              </w:rPr>
            </w:pPr>
            <w:r w:rsidRPr="00F942ED">
              <w:rPr>
                <w:rFonts w:eastAsia="Calibri"/>
                <w:sz w:val="16"/>
                <w:szCs w:val="16"/>
                <w:lang w:val="en-GB"/>
              </w:rPr>
              <w:t>Indicator</w:t>
            </w:r>
            <w:r w:rsidR="00720801" w:rsidRPr="00CE38CA">
              <w:rPr>
                <w:rFonts w:eastAsia="Calibri"/>
                <w:sz w:val="16"/>
                <w:szCs w:val="16"/>
                <w:lang w:val="en-GB"/>
              </w:rPr>
              <w:t xml:space="preserve">: Number of standards, policies, strategies or institutions that refer to/incorporate contents/proposals </w:t>
            </w:r>
            <w:r w:rsidR="00693394" w:rsidRPr="00CE38CA">
              <w:rPr>
                <w:rFonts w:eastAsia="Calibri"/>
                <w:sz w:val="16"/>
                <w:szCs w:val="16"/>
                <w:lang w:val="en-GB"/>
              </w:rPr>
              <w:t xml:space="preserve">from </w:t>
            </w:r>
            <w:r w:rsidR="00551292">
              <w:rPr>
                <w:rFonts w:eastAsia="Calibri"/>
                <w:sz w:val="16"/>
                <w:szCs w:val="16"/>
                <w:lang w:val="en-GB"/>
              </w:rPr>
              <w:t>the h</w:t>
            </w:r>
            <w:r w:rsidR="00720801" w:rsidRPr="00CE38CA">
              <w:rPr>
                <w:rFonts w:eastAsia="Calibri"/>
                <w:sz w:val="16"/>
                <w:szCs w:val="16"/>
                <w:lang w:val="en-GB"/>
              </w:rPr>
              <w:t xml:space="preserve">uman </w:t>
            </w:r>
            <w:r w:rsidR="00551292">
              <w:rPr>
                <w:rFonts w:eastAsia="Calibri"/>
                <w:sz w:val="16"/>
                <w:szCs w:val="16"/>
                <w:lang w:val="en-GB"/>
              </w:rPr>
              <w:t>d</w:t>
            </w:r>
            <w:r w:rsidR="00693394" w:rsidRPr="00CE38CA">
              <w:rPr>
                <w:rFonts w:eastAsia="Calibri"/>
                <w:sz w:val="16"/>
                <w:szCs w:val="16"/>
                <w:lang w:val="en-GB"/>
              </w:rPr>
              <w:t xml:space="preserve">evelopment </w:t>
            </w:r>
            <w:r w:rsidR="00720801" w:rsidRPr="00CE38CA">
              <w:rPr>
                <w:rFonts w:eastAsia="Calibri"/>
                <w:sz w:val="16"/>
                <w:szCs w:val="16"/>
                <w:lang w:val="en-GB"/>
              </w:rPr>
              <w:t xml:space="preserve">reports </w:t>
            </w:r>
          </w:p>
          <w:p w14:paraId="4729E4C7" w14:textId="209B150E" w:rsidR="00720801"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1 (2011)</w:t>
            </w:r>
          </w:p>
          <w:p w14:paraId="2D3A7FC3" w14:textId="7883761A" w:rsidR="00720801"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3 (2018)</w:t>
            </w:r>
          </w:p>
          <w:p w14:paraId="3844190F" w14:textId="77777777" w:rsidR="00720801" w:rsidRPr="00CE38CA" w:rsidRDefault="00720801" w:rsidP="006D1383">
            <w:pPr>
              <w:pStyle w:val="Normal1"/>
              <w:rPr>
                <w:sz w:val="16"/>
                <w:szCs w:val="16"/>
                <w:lang w:val="en-GB"/>
              </w:rPr>
            </w:pPr>
          </w:p>
          <w:p w14:paraId="27821749" w14:textId="6656B03D" w:rsidR="00693394" w:rsidRPr="00CE38CA" w:rsidRDefault="00DE1CA5" w:rsidP="006D1383">
            <w:pPr>
              <w:pStyle w:val="Normal1"/>
              <w:rPr>
                <w:rFonts w:eastAsia="Calibri"/>
                <w:sz w:val="16"/>
                <w:szCs w:val="16"/>
                <w:lang w:val="en-GB"/>
              </w:rPr>
            </w:pPr>
            <w:r w:rsidRPr="00F942ED">
              <w:rPr>
                <w:rFonts w:eastAsia="Calibri"/>
                <w:sz w:val="16"/>
                <w:szCs w:val="16"/>
                <w:lang w:val="en-GB"/>
              </w:rPr>
              <w:t>Indicator</w:t>
            </w:r>
            <w:r w:rsidR="00720801" w:rsidRPr="00CE38CA">
              <w:rPr>
                <w:rFonts w:eastAsia="Calibri"/>
                <w:sz w:val="16"/>
                <w:szCs w:val="16"/>
                <w:lang w:val="en-GB"/>
              </w:rPr>
              <w:t xml:space="preserve">: Number of regions/municipalities with </w:t>
            </w:r>
            <w:r w:rsidR="00693394" w:rsidRPr="00CE38CA">
              <w:rPr>
                <w:rFonts w:eastAsia="Calibri"/>
                <w:sz w:val="16"/>
                <w:szCs w:val="16"/>
                <w:lang w:val="en-GB"/>
              </w:rPr>
              <w:t xml:space="preserve">their own </w:t>
            </w:r>
            <w:r w:rsidR="00720801" w:rsidRPr="00CE38CA">
              <w:rPr>
                <w:rFonts w:eastAsia="Calibri"/>
                <w:sz w:val="16"/>
                <w:szCs w:val="16"/>
                <w:lang w:val="en-GB"/>
              </w:rPr>
              <w:t xml:space="preserve">regional/municipal </w:t>
            </w:r>
            <w:r w:rsidR="00693394" w:rsidRPr="00CE38CA">
              <w:rPr>
                <w:rFonts w:eastAsia="Calibri"/>
                <w:sz w:val="16"/>
                <w:szCs w:val="16"/>
                <w:lang w:val="en-GB"/>
              </w:rPr>
              <w:t>H</w:t>
            </w:r>
            <w:r w:rsidR="00720801" w:rsidRPr="00CE38CA">
              <w:rPr>
                <w:rFonts w:eastAsia="Calibri"/>
                <w:sz w:val="16"/>
                <w:szCs w:val="16"/>
                <w:lang w:val="en-GB"/>
              </w:rPr>
              <w:t xml:space="preserve">uman </w:t>
            </w:r>
            <w:r w:rsidR="00693394" w:rsidRPr="00CE38CA">
              <w:rPr>
                <w:rFonts w:eastAsia="Calibri"/>
                <w:sz w:val="16"/>
                <w:szCs w:val="16"/>
                <w:lang w:val="en-GB"/>
              </w:rPr>
              <w:t>Development Index</w:t>
            </w:r>
          </w:p>
          <w:p w14:paraId="44C42642" w14:textId="26B40A79" w:rsidR="00720801" w:rsidRPr="00CE38CA" w:rsidRDefault="00DE1CA5" w:rsidP="006D1383">
            <w:pPr>
              <w:pStyle w:val="Normal1"/>
              <w:rPr>
                <w:sz w:val="16"/>
                <w:szCs w:val="16"/>
                <w:lang w:val="en-GB"/>
              </w:rPr>
            </w:pPr>
            <w:r w:rsidRPr="00CE38CA">
              <w:rPr>
                <w:rFonts w:eastAsia="Calibri"/>
                <w:sz w:val="16"/>
                <w:szCs w:val="16"/>
                <w:lang w:val="en-GB"/>
              </w:rPr>
              <w:t>B</w:t>
            </w:r>
            <w:r>
              <w:rPr>
                <w:rFonts w:eastAsia="Calibri"/>
                <w:sz w:val="16"/>
                <w:szCs w:val="16"/>
                <w:lang w:val="en-GB"/>
              </w:rPr>
              <w:t>aseline</w:t>
            </w:r>
            <w:r w:rsidR="00720801" w:rsidRPr="00CE38CA">
              <w:rPr>
                <w:rFonts w:eastAsia="Calibri"/>
                <w:sz w:val="16"/>
                <w:szCs w:val="16"/>
                <w:lang w:val="en-GB"/>
              </w:rPr>
              <w:t>: 0 (2014)</w:t>
            </w:r>
          </w:p>
          <w:p w14:paraId="33FC8A8B" w14:textId="64029687" w:rsidR="00720801" w:rsidRPr="00CE38CA" w:rsidRDefault="00DE1CA5" w:rsidP="006D1383">
            <w:pPr>
              <w:pStyle w:val="Normal1"/>
              <w:rPr>
                <w:sz w:val="16"/>
                <w:szCs w:val="16"/>
                <w:lang w:val="en-GB"/>
              </w:rPr>
            </w:pPr>
            <w:r w:rsidRPr="00CE38CA">
              <w:rPr>
                <w:rFonts w:eastAsia="Calibri"/>
                <w:sz w:val="16"/>
                <w:szCs w:val="16"/>
                <w:lang w:val="en-GB"/>
              </w:rPr>
              <w:t>T</w:t>
            </w:r>
            <w:r>
              <w:rPr>
                <w:rFonts w:eastAsia="Calibri"/>
                <w:sz w:val="16"/>
                <w:szCs w:val="16"/>
                <w:lang w:val="en-GB"/>
              </w:rPr>
              <w:t>arget</w:t>
            </w:r>
            <w:r w:rsidR="00720801" w:rsidRPr="00CE38CA">
              <w:rPr>
                <w:rFonts w:eastAsia="Calibri"/>
                <w:sz w:val="16"/>
                <w:szCs w:val="16"/>
                <w:lang w:val="en-GB"/>
              </w:rPr>
              <w:t>: 15 regions and 345 municipalities (2018)</w:t>
            </w:r>
          </w:p>
        </w:tc>
        <w:tc>
          <w:tcPr>
            <w:tcW w:w="675" w:type="pct"/>
            <w:vMerge w:val="restart"/>
          </w:tcPr>
          <w:p w14:paraId="7A5BC4CB" w14:textId="77777777" w:rsidR="00720801" w:rsidRPr="00CE38CA" w:rsidRDefault="00720801" w:rsidP="006D1383">
            <w:pPr>
              <w:pStyle w:val="Normal1"/>
              <w:widowControl w:val="0"/>
              <w:spacing w:after="200" w:line="276" w:lineRule="auto"/>
              <w:rPr>
                <w:sz w:val="16"/>
                <w:szCs w:val="16"/>
                <w:lang w:val="en-GB"/>
              </w:rPr>
            </w:pPr>
          </w:p>
        </w:tc>
        <w:tc>
          <w:tcPr>
            <w:tcW w:w="957" w:type="pct"/>
            <w:gridSpan w:val="2"/>
            <w:tcMar>
              <w:top w:w="15" w:type="dxa"/>
              <w:left w:w="108" w:type="dxa"/>
              <w:bottom w:w="0" w:type="dxa"/>
              <w:right w:w="108" w:type="dxa"/>
            </w:tcMar>
          </w:tcPr>
          <w:p w14:paraId="2D9998D5" w14:textId="77777777" w:rsidR="00720801" w:rsidRPr="00CE38CA" w:rsidRDefault="00720801" w:rsidP="00983451">
            <w:pPr>
              <w:rPr>
                <w:b/>
                <w:color w:val="000000"/>
                <w:sz w:val="16"/>
                <w:szCs w:val="16"/>
                <w:lang w:val="en-GB"/>
              </w:rPr>
            </w:pPr>
            <w:r w:rsidRPr="00CE38CA">
              <w:rPr>
                <w:b/>
                <w:color w:val="000000"/>
                <w:sz w:val="16"/>
                <w:szCs w:val="16"/>
                <w:lang w:val="en-GB"/>
              </w:rPr>
              <w:t>Regular  (UNDP)</w:t>
            </w:r>
          </w:p>
          <w:p w14:paraId="7888EB3B" w14:textId="77777777" w:rsidR="00720801" w:rsidRPr="00CE38CA" w:rsidRDefault="00720801" w:rsidP="00983451">
            <w:pPr>
              <w:rPr>
                <w:color w:val="000000"/>
                <w:sz w:val="16"/>
                <w:szCs w:val="16"/>
                <w:lang w:val="en-GB"/>
              </w:rPr>
            </w:pPr>
            <w:r w:rsidRPr="00CE38CA">
              <w:rPr>
                <w:color w:val="000000"/>
                <w:sz w:val="16"/>
                <w:szCs w:val="16"/>
                <w:lang w:val="en-GB"/>
              </w:rPr>
              <w:t>500,000</w:t>
            </w:r>
          </w:p>
        </w:tc>
      </w:tr>
      <w:tr w:rsidR="00720801" w:rsidRPr="00CE38CA" w14:paraId="44AFA5AD" w14:textId="77777777" w:rsidTr="004F46EF">
        <w:trPr>
          <w:trHeight w:val="461"/>
        </w:trPr>
        <w:tc>
          <w:tcPr>
            <w:tcW w:w="1097" w:type="pct"/>
            <w:gridSpan w:val="2"/>
            <w:vMerge/>
            <w:tcMar>
              <w:top w:w="72" w:type="dxa"/>
              <w:left w:w="144" w:type="dxa"/>
              <w:bottom w:w="72" w:type="dxa"/>
              <w:right w:w="144" w:type="dxa"/>
            </w:tcMar>
          </w:tcPr>
          <w:p w14:paraId="3F1A703C" w14:textId="77777777" w:rsidR="00720801" w:rsidRPr="00CE38CA" w:rsidRDefault="00720801" w:rsidP="00CD019A">
            <w:pPr>
              <w:rPr>
                <w:i/>
                <w:iCs/>
                <w:color w:val="000000"/>
                <w:sz w:val="16"/>
                <w:szCs w:val="16"/>
                <w:lang w:val="en-GB"/>
              </w:rPr>
            </w:pPr>
          </w:p>
        </w:tc>
        <w:tc>
          <w:tcPr>
            <w:tcW w:w="653" w:type="pct"/>
            <w:gridSpan w:val="2"/>
            <w:vMerge/>
          </w:tcPr>
          <w:p w14:paraId="74507CC5" w14:textId="77777777" w:rsidR="00720801" w:rsidRPr="00CE38CA" w:rsidRDefault="00720801" w:rsidP="00CD019A">
            <w:pPr>
              <w:rPr>
                <w:i/>
                <w:iCs/>
                <w:color w:val="000000"/>
                <w:sz w:val="16"/>
                <w:szCs w:val="16"/>
                <w:lang w:val="en-GB"/>
              </w:rPr>
            </w:pPr>
          </w:p>
        </w:tc>
        <w:tc>
          <w:tcPr>
            <w:tcW w:w="1618" w:type="pct"/>
            <w:gridSpan w:val="2"/>
            <w:vMerge/>
            <w:tcMar>
              <w:top w:w="72" w:type="dxa"/>
              <w:left w:w="144" w:type="dxa"/>
              <w:bottom w:w="72" w:type="dxa"/>
              <w:right w:w="144" w:type="dxa"/>
            </w:tcMar>
          </w:tcPr>
          <w:p w14:paraId="4ECF7CA3" w14:textId="77777777" w:rsidR="00720801" w:rsidRPr="00CE38CA" w:rsidRDefault="00720801" w:rsidP="00CD019A">
            <w:pPr>
              <w:rPr>
                <w:i/>
                <w:iCs/>
                <w:color w:val="000000"/>
                <w:sz w:val="16"/>
                <w:szCs w:val="16"/>
                <w:lang w:val="en-GB"/>
              </w:rPr>
            </w:pPr>
          </w:p>
        </w:tc>
        <w:tc>
          <w:tcPr>
            <w:tcW w:w="675" w:type="pct"/>
            <w:vMerge/>
          </w:tcPr>
          <w:p w14:paraId="08ED68C9" w14:textId="77777777" w:rsidR="00720801" w:rsidRPr="00CE38CA" w:rsidRDefault="00720801" w:rsidP="00CD019A">
            <w:pPr>
              <w:rPr>
                <w:i/>
                <w:iCs/>
                <w:color w:val="000000"/>
                <w:sz w:val="16"/>
                <w:szCs w:val="16"/>
                <w:lang w:val="en-GB"/>
              </w:rPr>
            </w:pPr>
          </w:p>
        </w:tc>
        <w:tc>
          <w:tcPr>
            <w:tcW w:w="957" w:type="pct"/>
            <w:gridSpan w:val="2"/>
            <w:tcMar>
              <w:top w:w="15" w:type="dxa"/>
              <w:left w:w="108" w:type="dxa"/>
              <w:bottom w:w="0" w:type="dxa"/>
              <w:right w:w="108" w:type="dxa"/>
            </w:tcMar>
          </w:tcPr>
          <w:p w14:paraId="16D9AC42" w14:textId="77777777" w:rsidR="00720801" w:rsidRPr="00CE38CA" w:rsidRDefault="00720801" w:rsidP="00983451">
            <w:pPr>
              <w:rPr>
                <w:b/>
                <w:color w:val="000000"/>
                <w:sz w:val="16"/>
                <w:szCs w:val="16"/>
                <w:lang w:val="en-GB"/>
              </w:rPr>
            </w:pPr>
            <w:r w:rsidRPr="00CE38CA">
              <w:rPr>
                <w:b/>
                <w:color w:val="000000"/>
                <w:sz w:val="16"/>
                <w:szCs w:val="16"/>
                <w:lang w:val="en-GB"/>
              </w:rPr>
              <w:t>Other</w:t>
            </w:r>
          </w:p>
          <w:p w14:paraId="37B20D29" w14:textId="77777777" w:rsidR="00720801" w:rsidRPr="00CE38CA" w:rsidRDefault="00720801" w:rsidP="00983451">
            <w:pPr>
              <w:rPr>
                <w:color w:val="000000"/>
                <w:sz w:val="16"/>
                <w:szCs w:val="16"/>
                <w:lang w:val="en-GB"/>
              </w:rPr>
            </w:pPr>
            <w:r w:rsidRPr="00CE38CA">
              <w:rPr>
                <w:iCs/>
                <w:color w:val="000000"/>
                <w:sz w:val="16"/>
                <w:szCs w:val="16"/>
                <w:lang w:val="en-GB"/>
              </w:rPr>
              <w:t>8,000,000</w:t>
            </w:r>
          </w:p>
        </w:tc>
      </w:tr>
    </w:tbl>
    <w:p w14:paraId="2173B823" w14:textId="77777777" w:rsidR="00D6679C" w:rsidRDefault="00D6679C" w:rsidP="00645B72">
      <w:pPr>
        <w:rPr>
          <w:color w:val="000000"/>
          <w:sz w:val="16"/>
          <w:szCs w:val="16"/>
          <w:lang w:val="en-GB"/>
        </w:rPr>
      </w:pPr>
    </w:p>
    <w:p w14:paraId="4F989377" w14:textId="77777777" w:rsidR="0077091F" w:rsidRPr="00CE38CA" w:rsidRDefault="0077091F" w:rsidP="00645B72">
      <w:pPr>
        <w:rPr>
          <w:color w:val="000000"/>
          <w:sz w:val="16"/>
          <w:szCs w:val="16"/>
          <w:lang w:val="en-GB"/>
        </w:rPr>
      </w:pPr>
    </w:p>
    <w:p w14:paraId="6F6BEBD5" w14:textId="77777777" w:rsidR="008E4D7F" w:rsidRPr="00CE38CA" w:rsidRDefault="008E4D7F" w:rsidP="006D13B5">
      <w:pPr>
        <w:jc w:val="center"/>
        <w:rPr>
          <w:color w:val="000000"/>
          <w:sz w:val="16"/>
          <w:szCs w:val="16"/>
          <w:lang w:val="en-GB"/>
        </w:rPr>
      </w:pPr>
      <w:r w:rsidRPr="00CE38CA">
        <w:rPr>
          <w:noProof/>
          <w:color w:val="000000"/>
          <w:sz w:val="16"/>
          <w:szCs w:val="16"/>
        </w:rPr>
        <mc:AlternateContent>
          <mc:Choice Requires="wps">
            <w:drawing>
              <wp:anchor distT="0" distB="0" distL="114300" distR="114300" simplePos="0" relativeHeight="251659264" behindDoc="0" locked="0" layoutInCell="1" allowOverlap="1" wp14:anchorId="1A433168" wp14:editId="1ECB3355">
                <wp:simplePos x="0" y="0"/>
                <wp:positionH relativeFrom="column">
                  <wp:posOffset>4307205</wp:posOffset>
                </wp:positionH>
                <wp:positionV relativeFrom="paragraph">
                  <wp:posOffset>5469255</wp:posOffset>
                </wp:positionV>
                <wp:extent cx="914400" cy="0"/>
                <wp:effectExtent l="5080" t="5715" r="1397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240" cap="sq">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AD2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430.65pt" to="411.1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" strokeweight=".09mm">
                <v:stroke joinstyle="miter" endcap="square"/>
              </v:line>
            </w:pict>
          </mc:Fallback>
        </mc:AlternateContent>
      </w:r>
      <w:r w:rsidR="006D13B5" w:rsidRPr="00CE38CA">
        <w:rPr>
          <w:noProof/>
          <w:color w:val="000000"/>
          <w:sz w:val="16"/>
          <w:szCs w:val="16"/>
        </w:rPr>
        <w:drawing>
          <wp:inline distT="0" distB="0" distL="0" distR="0" wp14:anchorId="747D0178" wp14:editId="7AAE3E45">
            <wp:extent cx="94297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8E4D7F" w:rsidRPr="00CE38CA" w:rsidSect="00645B72">
      <w:headerReference w:type="even" r:id="rId22"/>
      <w:head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4103" w14:textId="77777777" w:rsidR="00596AF7" w:rsidRDefault="00596AF7" w:rsidP="00441061">
      <w:r>
        <w:separator/>
      </w:r>
    </w:p>
  </w:endnote>
  <w:endnote w:type="continuationSeparator" w:id="0">
    <w:p w14:paraId="49FB46AE" w14:textId="77777777" w:rsidR="00596AF7" w:rsidRDefault="00596AF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E2A5" w14:textId="77777777" w:rsidR="00DA120E" w:rsidRPr="005841A3" w:rsidRDefault="00DA120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EAB8" w14:textId="77777777" w:rsidR="00DA120E" w:rsidRPr="005841A3" w:rsidRDefault="00DA120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17505343" w14:textId="77777777" w:rsidR="00DA120E" w:rsidRDefault="00DA120E"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856392889"/>
      <w:docPartObj>
        <w:docPartGallery w:val="Page Numbers (Bottom of Page)"/>
        <w:docPartUnique/>
      </w:docPartObj>
    </w:sdtPr>
    <w:sdtEndPr>
      <w:rPr>
        <w:noProof/>
      </w:rPr>
    </w:sdtEndPr>
    <w:sdtContent>
      <w:p w14:paraId="0CE0E4F8" w14:textId="77777777" w:rsidR="00DA120E" w:rsidRPr="00C778F9" w:rsidRDefault="00DA120E" w:rsidP="00C778F9">
        <w:pPr>
          <w:pStyle w:val="Footer"/>
          <w:rPr>
            <w:b/>
            <w:sz w:val="17"/>
            <w:szCs w:val="17"/>
          </w:rPr>
        </w:pPr>
        <w:r w:rsidRPr="00C778F9">
          <w:rPr>
            <w:b/>
            <w:sz w:val="17"/>
            <w:szCs w:val="17"/>
          </w:rPr>
          <w:fldChar w:fldCharType="begin"/>
        </w:r>
        <w:r w:rsidRPr="00C778F9">
          <w:rPr>
            <w:b/>
            <w:sz w:val="17"/>
            <w:szCs w:val="17"/>
          </w:rPr>
          <w:instrText xml:space="preserve"> PAGE   \* MERGEFORMAT </w:instrText>
        </w:r>
        <w:r w:rsidRPr="00C778F9">
          <w:rPr>
            <w:b/>
            <w:sz w:val="17"/>
            <w:szCs w:val="17"/>
          </w:rPr>
          <w:fldChar w:fldCharType="separate"/>
        </w:r>
        <w:r w:rsidR="008A0352">
          <w:rPr>
            <w:b/>
            <w:noProof/>
            <w:sz w:val="17"/>
            <w:szCs w:val="17"/>
          </w:rPr>
          <w:t>2</w:t>
        </w:r>
        <w:r w:rsidRPr="00C778F9">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53663"/>
      <w:docPartObj>
        <w:docPartGallery w:val="Page Numbers (Bottom of Page)"/>
        <w:docPartUnique/>
      </w:docPartObj>
    </w:sdtPr>
    <w:sdtEndPr>
      <w:rPr>
        <w:b/>
        <w:noProof/>
        <w:sz w:val="17"/>
        <w:szCs w:val="17"/>
      </w:rPr>
    </w:sdtEndPr>
    <w:sdtContent>
      <w:p w14:paraId="264AE4D0" w14:textId="77777777" w:rsidR="00DA120E" w:rsidRPr="00C778F9" w:rsidRDefault="00DA120E" w:rsidP="00C778F9">
        <w:pPr>
          <w:pStyle w:val="Footer"/>
          <w:jc w:val="right"/>
          <w:rPr>
            <w:b/>
            <w:sz w:val="17"/>
            <w:szCs w:val="17"/>
          </w:rPr>
        </w:pPr>
        <w:r w:rsidRPr="00C778F9">
          <w:rPr>
            <w:b/>
            <w:sz w:val="17"/>
            <w:szCs w:val="17"/>
          </w:rPr>
          <w:fldChar w:fldCharType="begin"/>
        </w:r>
        <w:r w:rsidRPr="00C778F9">
          <w:rPr>
            <w:b/>
            <w:sz w:val="17"/>
            <w:szCs w:val="17"/>
          </w:rPr>
          <w:instrText xml:space="preserve"> PAGE   \* MERGEFORMAT </w:instrText>
        </w:r>
        <w:r w:rsidRPr="00C778F9">
          <w:rPr>
            <w:b/>
            <w:sz w:val="17"/>
            <w:szCs w:val="17"/>
          </w:rPr>
          <w:fldChar w:fldCharType="separate"/>
        </w:r>
        <w:r w:rsidR="008A0352">
          <w:rPr>
            <w:b/>
            <w:noProof/>
            <w:sz w:val="17"/>
            <w:szCs w:val="17"/>
          </w:rPr>
          <w:t>13</w:t>
        </w:r>
        <w:r w:rsidRPr="00C778F9">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6ED27" w14:textId="77777777" w:rsidR="00596AF7" w:rsidRDefault="00596AF7" w:rsidP="00441061">
      <w:r>
        <w:separator/>
      </w:r>
    </w:p>
  </w:footnote>
  <w:footnote w:type="continuationSeparator" w:id="0">
    <w:p w14:paraId="18C5DE70" w14:textId="77777777" w:rsidR="00596AF7" w:rsidRDefault="00596AF7" w:rsidP="00441061">
      <w:r>
        <w:continuationSeparator/>
      </w:r>
    </w:p>
  </w:footnote>
  <w:footnote w:id="1">
    <w:p w14:paraId="1095293F" w14:textId="7DFF9906"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2011 </w:t>
      </w:r>
      <w:r>
        <w:rPr>
          <w:rFonts w:eastAsia="Calibri"/>
          <w:sz w:val="16"/>
          <w:szCs w:val="16"/>
        </w:rPr>
        <w:t>National Socioeconomic Characterization (</w:t>
      </w:r>
      <w:r w:rsidRPr="004F7D06">
        <w:rPr>
          <w:rFonts w:eastAsia="Calibri"/>
          <w:sz w:val="16"/>
          <w:szCs w:val="16"/>
        </w:rPr>
        <w:t>CASEN</w:t>
      </w:r>
      <w:r>
        <w:rPr>
          <w:rFonts w:eastAsia="Calibri"/>
          <w:sz w:val="16"/>
          <w:szCs w:val="16"/>
        </w:rPr>
        <w:t>)</w:t>
      </w:r>
      <w:r w:rsidRPr="004F7D06">
        <w:rPr>
          <w:rFonts w:eastAsia="Calibri"/>
          <w:sz w:val="16"/>
          <w:szCs w:val="16"/>
        </w:rPr>
        <w:t xml:space="preserve"> Survey</w:t>
      </w:r>
    </w:p>
  </w:footnote>
  <w:footnote w:id="2">
    <w:p w14:paraId="455C1F17" w14:textId="60A4317C"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E</w:t>
      </w:r>
      <w:r>
        <w:rPr>
          <w:rFonts w:eastAsia="Calibri"/>
          <w:sz w:val="16"/>
          <w:szCs w:val="16"/>
        </w:rPr>
        <w:t xml:space="preserve">conomic </w:t>
      </w:r>
      <w:r w:rsidRPr="004F7D06">
        <w:rPr>
          <w:rFonts w:eastAsia="Calibri"/>
          <w:sz w:val="16"/>
          <w:szCs w:val="16"/>
        </w:rPr>
        <w:t>C</w:t>
      </w:r>
      <w:r>
        <w:rPr>
          <w:rFonts w:eastAsia="Calibri"/>
          <w:sz w:val="16"/>
          <w:szCs w:val="16"/>
        </w:rPr>
        <w:t>ommission for Latin America and the Caribbean</w:t>
      </w:r>
      <w:r w:rsidRPr="004F7D06">
        <w:rPr>
          <w:rFonts w:eastAsia="Calibri"/>
          <w:sz w:val="16"/>
          <w:szCs w:val="16"/>
        </w:rPr>
        <w:t>, 2013 Latin America Social Overview</w:t>
      </w:r>
    </w:p>
  </w:footnote>
  <w:footnote w:id="3">
    <w:p w14:paraId="7A21A0F3"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2013 OECD Fact Book</w:t>
      </w:r>
    </w:p>
  </w:footnote>
  <w:footnote w:id="4">
    <w:p w14:paraId="7728842F"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World Bank, 2012</w:t>
      </w:r>
    </w:p>
  </w:footnote>
  <w:footnote w:id="5">
    <w:p w14:paraId="6863ED4B"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Democracy Assessment Survey, UNDP, 2012</w:t>
      </w:r>
    </w:p>
  </w:footnote>
  <w:footnote w:id="6">
    <w:p w14:paraId="5C933794"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Inter-Parliamentary Union </w:t>
      </w:r>
    </w:p>
  </w:footnote>
  <w:footnote w:id="7">
    <w:p w14:paraId="16C800BC" w14:textId="77777777" w:rsidR="00DA120E" w:rsidRPr="004F7D06" w:rsidRDefault="00DA120E" w:rsidP="007E1259">
      <w:pPr>
        <w:pStyle w:val="Normal1"/>
        <w:widowControl w:val="0"/>
        <w:rPr>
          <w:rFonts w:eastAsia="Calibri"/>
          <w:sz w:val="16"/>
          <w:szCs w:val="16"/>
        </w:rPr>
      </w:pPr>
      <w:r w:rsidRPr="004F7D06">
        <w:rPr>
          <w:sz w:val="16"/>
          <w:szCs w:val="16"/>
          <w:vertAlign w:val="superscript"/>
        </w:rPr>
        <w:footnoteRef/>
      </w:r>
      <w:r w:rsidRPr="004F7D06">
        <w:rPr>
          <w:rFonts w:eastAsia="Calibri"/>
          <w:sz w:val="16"/>
          <w:szCs w:val="16"/>
        </w:rPr>
        <w:t xml:space="preserve">  </w:t>
      </w:r>
      <w:hyperlink r:id="rId1">
        <w:r w:rsidRPr="004F7D06">
          <w:rPr>
            <w:rFonts w:eastAsia="Calibri"/>
            <w:sz w:val="16"/>
            <w:szCs w:val="16"/>
          </w:rPr>
          <w:t>http://www.camara.cl</w:t>
        </w:r>
      </w:hyperlink>
      <w:r w:rsidRPr="004F7D06">
        <w:rPr>
          <w:rFonts w:eastAsia="Calibri"/>
          <w:sz w:val="16"/>
          <w:szCs w:val="16"/>
        </w:rPr>
        <w:t xml:space="preserve"> and </w:t>
      </w:r>
      <w:hyperlink r:id="rId2">
        <w:r w:rsidRPr="004F7D06">
          <w:rPr>
            <w:rFonts w:eastAsia="Calibri"/>
            <w:sz w:val="16"/>
            <w:szCs w:val="16"/>
          </w:rPr>
          <w:t>http://www.senado.cl</w:t>
        </w:r>
      </w:hyperlink>
      <w:hyperlink r:id="rId3"/>
    </w:p>
  </w:footnote>
  <w:footnote w:id="8">
    <w:p w14:paraId="11D0E937"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Latinobarómetro, 2013</w:t>
      </w:r>
    </w:p>
  </w:footnote>
  <w:footnote w:id="9">
    <w:p w14:paraId="168FB04F" w14:textId="77777777" w:rsidR="00DA120E" w:rsidRPr="004F7D06" w:rsidRDefault="00DA120E" w:rsidP="007E1259">
      <w:pPr>
        <w:pStyle w:val="Normal1"/>
        <w:widowControl w:val="0"/>
        <w:rPr>
          <w:sz w:val="16"/>
          <w:szCs w:val="16"/>
        </w:rPr>
      </w:pPr>
      <w:r w:rsidRPr="004F7D06">
        <w:rPr>
          <w:sz w:val="16"/>
          <w:szCs w:val="16"/>
          <w:vertAlign w:val="superscript"/>
        </w:rPr>
        <w:footnoteRef/>
      </w:r>
      <w:r w:rsidRPr="004F7D06">
        <w:rPr>
          <w:rFonts w:eastAsia="Calibri"/>
          <w:sz w:val="16"/>
          <w:szCs w:val="16"/>
        </w:rPr>
        <w:t xml:space="preserve">  Democracy Assessment Report, UNDP 2014</w:t>
      </w:r>
    </w:p>
  </w:footnote>
  <w:footnote w:id="10">
    <w:p w14:paraId="216B8B8F" w14:textId="77777777" w:rsidR="00DA120E" w:rsidRPr="004F7D06" w:rsidRDefault="00DA120E" w:rsidP="007E1259">
      <w:pPr>
        <w:pStyle w:val="Normal1"/>
        <w:widowControl w:val="0"/>
      </w:pPr>
      <w:r w:rsidRPr="004F7D06">
        <w:rPr>
          <w:sz w:val="16"/>
          <w:szCs w:val="16"/>
          <w:vertAlign w:val="superscript"/>
        </w:rPr>
        <w:footnoteRef/>
      </w:r>
      <w:r w:rsidRPr="004F7D06">
        <w:rPr>
          <w:rFonts w:eastAsia="Calibri"/>
          <w:sz w:val="16"/>
          <w:szCs w:val="16"/>
        </w:rPr>
        <w:t xml:space="preserve"> Democracy Assessment Survey, UNDP 2012</w:t>
      </w:r>
    </w:p>
  </w:footnote>
  <w:footnote w:id="11">
    <w:p w14:paraId="35D5C404" w14:textId="77777777"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2011 CASEN Survey</w:t>
      </w:r>
    </w:p>
  </w:footnote>
  <w:footnote w:id="12">
    <w:p w14:paraId="64CDA9D6" w14:textId="5A7AB685"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Measuring progress of MDG on Indigenous Population, United Nations, 2012</w:t>
      </w:r>
    </w:p>
  </w:footnote>
  <w:footnote w:id="13">
    <w:p w14:paraId="40F97585" w14:textId="3E028C11"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United Nations Convention to Combat Desertification</w:t>
      </w:r>
    </w:p>
  </w:footnote>
  <w:footnote w:id="14">
    <w:p w14:paraId="3D1E560B" w14:textId="439E38F5"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Considerations for a New Forestry Promotion Law, Board of Forestry Engineers, CIFAC, 2010</w:t>
      </w:r>
    </w:p>
  </w:footnote>
  <w:footnote w:id="15">
    <w:p w14:paraId="4FD7BEF5" w14:textId="77777777"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Biological Diversity Convention</w:t>
      </w:r>
    </w:p>
  </w:footnote>
  <w:footnote w:id="16">
    <w:p w14:paraId="22C5AA7A" w14:textId="77777777"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OECD, Environmental Performance Assessment (2011)</w:t>
      </w:r>
      <w:r w:rsidRPr="00FD36E7">
        <w:rPr>
          <w:rFonts w:ascii="Courier New" w:eastAsia="Courier New" w:hAnsi="Courier New" w:cs="Courier New"/>
          <w:sz w:val="16"/>
          <w:szCs w:val="16"/>
        </w:rPr>
        <w:t xml:space="preserve"> </w:t>
      </w:r>
    </w:p>
  </w:footnote>
  <w:footnote w:id="17">
    <w:p w14:paraId="1429CC43" w14:textId="2BF9A9EB"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Governance, Equity and Environment, 2013</w:t>
      </w:r>
    </w:p>
  </w:footnote>
  <w:footnote w:id="18">
    <w:p w14:paraId="228DD3D3" w14:textId="23F86C2C" w:rsidR="00DA120E" w:rsidRPr="00FD36E7" w:rsidRDefault="00DA120E" w:rsidP="00781F09">
      <w:pPr>
        <w:pStyle w:val="Normal1"/>
        <w:widowControl w:val="0"/>
        <w:rPr>
          <w:sz w:val="16"/>
          <w:szCs w:val="16"/>
        </w:rPr>
      </w:pPr>
      <w:r w:rsidRPr="00FD36E7">
        <w:rPr>
          <w:sz w:val="16"/>
          <w:szCs w:val="16"/>
          <w:vertAlign w:val="superscript"/>
        </w:rPr>
        <w:footnoteRef/>
      </w:r>
      <w:r w:rsidRPr="00FD36E7">
        <w:rPr>
          <w:sz w:val="16"/>
          <w:szCs w:val="16"/>
        </w:rPr>
        <w:t xml:space="preserve">  European Union Desertification Project Evaluation,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A120E" w:rsidRPr="00910DFD" w14:paraId="2C3C4001" w14:textId="77777777" w:rsidTr="00152089">
      <w:trPr>
        <w:trHeight w:hRule="exact" w:val="864"/>
      </w:trPr>
      <w:tc>
        <w:tcPr>
          <w:tcW w:w="4838" w:type="dxa"/>
          <w:tcBorders>
            <w:bottom w:val="single" w:sz="4" w:space="0" w:color="auto"/>
          </w:tcBorders>
          <w:vAlign w:val="bottom"/>
        </w:tcPr>
        <w:p w14:paraId="3D38A2B6" w14:textId="77777777" w:rsidR="00DA120E" w:rsidRPr="00910DFD" w:rsidRDefault="00DA120E" w:rsidP="00C778F9">
          <w:pPr>
            <w:widowControl w:val="0"/>
            <w:tabs>
              <w:tab w:val="center" w:pos="4320"/>
              <w:tab w:val="right" w:pos="8640"/>
            </w:tabs>
            <w:spacing w:after="80"/>
            <w:rPr>
              <w:b/>
              <w:sz w:val="17"/>
              <w:szCs w:val="17"/>
            </w:rPr>
          </w:pPr>
          <w:r w:rsidRPr="00910DFD">
            <w:rPr>
              <w:b/>
              <w:sz w:val="17"/>
              <w:szCs w:val="17"/>
            </w:rPr>
            <w:t>D</w:t>
          </w:r>
          <w:r>
            <w:rPr>
              <w:b/>
              <w:sz w:val="17"/>
              <w:szCs w:val="17"/>
            </w:rPr>
            <w:t>P/DCP/CHL</w:t>
          </w:r>
          <w:r w:rsidRPr="00910DFD">
            <w:rPr>
              <w:b/>
              <w:sz w:val="17"/>
              <w:szCs w:val="17"/>
            </w:rPr>
            <w:t>/3</w:t>
          </w:r>
        </w:p>
      </w:tc>
      <w:tc>
        <w:tcPr>
          <w:tcW w:w="5047" w:type="dxa"/>
          <w:tcBorders>
            <w:bottom w:val="single" w:sz="4" w:space="0" w:color="auto"/>
          </w:tcBorders>
          <w:vAlign w:val="bottom"/>
        </w:tcPr>
        <w:p w14:paraId="40C6F89C" w14:textId="77777777" w:rsidR="00DA120E" w:rsidRPr="00910DFD" w:rsidRDefault="00DA120E" w:rsidP="00C778F9">
          <w:pPr>
            <w:widowControl w:val="0"/>
            <w:tabs>
              <w:tab w:val="center" w:pos="4320"/>
              <w:tab w:val="right" w:pos="8640"/>
            </w:tabs>
            <w:rPr>
              <w:sz w:val="17"/>
              <w:szCs w:val="17"/>
            </w:rPr>
          </w:pPr>
        </w:p>
      </w:tc>
    </w:tr>
  </w:tbl>
  <w:p w14:paraId="1E703D35" w14:textId="77777777" w:rsidR="00DA120E" w:rsidRDefault="00DA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A120E" w:rsidRPr="00C778F9" w14:paraId="1B2BFE65" w14:textId="77777777" w:rsidTr="00152089">
      <w:trPr>
        <w:trHeight w:hRule="exact" w:val="864"/>
      </w:trPr>
      <w:tc>
        <w:tcPr>
          <w:tcW w:w="4838" w:type="dxa"/>
          <w:shd w:val="clear" w:color="auto" w:fill="auto"/>
          <w:vAlign w:val="bottom"/>
        </w:tcPr>
        <w:p w14:paraId="4B28CE13" w14:textId="77777777" w:rsidR="00DA120E" w:rsidRPr="00C778F9" w:rsidRDefault="00DA120E" w:rsidP="00C778F9">
          <w:pPr>
            <w:tabs>
              <w:tab w:val="center" w:pos="4320"/>
              <w:tab w:val="right" w:pos="8640"/>
            </w:tabs>
            <w:spacing w:after="80"/>
            <w:rPr>
              <w:b/>
              <w:noProof/>
              <w:sz w:val="17"/>
            </w:rPr>
          </w:pPr>
        </w:p>
      </w:tc>
      <w:tc>
        <w:tcPr>
          <w:tcW w:w="5033" w:type="dxa"/>
          <w:shd w:val="clear" w:color="auto" w:fill="auto"/>
          <w:vAlign w:val="bottom"/>
        </w:tcPr>
        <w:p w14:paraId="77769481" w14:textId="77777777" w:rsidR="00DA120E" w:rsidRPr="00C778F9" w:rsidRDefault="00DA120E" w:rsidP="00C778F9">
          <w:pPr>
            <w:tabs>
              <w:tab w:val="center" w:pos="4320"/>
              <w:tab w:val="right" w:pos="8640"/>
            </w:tabs>
            <w:jc w:val="right"/>
            <w:rPr>
              <w:noProof/>
              <w:sz w:val="17"/>
            </w:rPr>
          </w:pPr>
          <w:r w:rsidRPr="00C778F9">
            <w:rPr>
              <w:b/>
              <w:noProof/>
              <w:sz w:val="17"/>
            </w:rPr>
            <w:t>DP/DCP/</w:t>
          </w:r>
          <w:r>
            <w:rPr>
              <w:b/>
              <w:noProof/>
              <w:sz w:val="17"/>
            </w:rPr>
            <w:t>CH</w:t>
          </w:r>
          <w:r w:rsidRPr="00C778F9">
            <w:rPr>
              <w:b/>
              <w:noProof/>
              <w:sz w:val="17"/>
            </w:rPr>
            <w:t>L/</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14:paraId="01CB20F7" w14:textId="77777777" w:rsidR="00DA120E" w:rsidRDefault="00DA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A120E" w:rsidRPr="00617E49" w14:paraId="4D289F02" w14:textId="77777777" w:rsidTr="00152089">
      <w:trPr>
        <w:trHeight w:hRule="exact" w:val="864"/>
      </w:trPr>
      <w:tc>
        <w:tcPr>
          <w:tcW w:w="1267" w:type="dxa"/>
          <w:tcBorders>
            <w:bottom w:val="single" w:sz="4" w:space="0" w:color="auto"/>
          </w:tcBorders>
          <w:shd w:val="clear" w:color="auto" w:fill="auto"/>
          <w:vAlign w:val="bottom"/>
        </w:tcPr>
        <w:p w14:paraId="5C98434B" w14:textId="77777777" w:rsidR="00DA120E" w:rsidRPr="00617E49" w:rsidRDefault="00DA120E" w:rsidP="00B269A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85A72E1" w14:textId="77777777" w:rsidR="00DA120E" w:rsidRPr="00617E49" w:rsidRDefault="00DA120E" w:rsidP="00B269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14:paraId="20F60B64" w14:textId="77777777" w:rsidR="00DA120E" w:rsidRPr="00617E49" w:rsidRDefault="00DA120E" w:rsidP="00B269A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A1FB327" w14:textId="77777777" w:rsidR="00DA120E" w:rsidRPr="00617E49" w:rsidRDefault="00DA120E" w:rsidP="00C11F71">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/DCP/CHL</w:t>
          </w:r>
          <w:r w:rsidRPr="00617E49">
            <w:rPr>
              <w:spacing w:val="4"/>
              <w:w w:val="103"/>
              <w:kern w:val="14"/>
              <w:position w:val="-4"/>
              <w:lang w:val="en-GB"/>
            </w:rPr>
            <w:t>/</w:t>
          </w:r>
          <w:r>
            <w:rPr>
              <w:spacing w:val="4"/>
              <w:w w:val="103"/>
              <w:kern w:val="14"/>
              <w:position w:val="-4"/>
              <w:lang w:val="en-GB"/>
            </w:rPr>
            <w:t>3</w:t>
          </w:r>
        </w:p>
      </w:tc>
    </w:tr>
    <w:tr w:rsidR="00DA120E" w:rsidRPr="00617E49" w14:paraId="1481B1B0" w14:textId="77777777" w:rsidTr="00152089">
      <w:trPr>
        <w:gridAfter w:val="1"/>
        <w:wAfter w:w="28" w:type="dxa"/>
        <w:trHeight w:hRule="exact" w:val="2880"/>
      </w:trPr>
      <w:tc>
        <w:tcPr>
          <w:tcW w:w="1267" w:type="dxa"/>
          <w:tcBorders>
            <w:top w:val="single" w:sz="4" w:space="0" w:color="auto"/>
            <w:bottom w:val="single" w:sz="12" w:space="0" w:color="auto"/>
          </w:tcBorders>
          <w:shd w:val="clear" w:color="auto" w:fill="auto"/>
        </w:tcPr>
        <w:p w14:paraId="2A68E047" w14:textId="77777777" w:rsidR="00DA120E" w:rsidRPr="00617E49" w:rsidRDefault="00DA120E" w:rsidP="00B269A3">
          <w:pPr>
            <w:tabs>
              <w:tab w:val="center" w:pos="4320"/>
              <w:tab w:val="right" w:pos="8640"/>
            </w:tabs>
            <w:spacing w:before="109"/>
            <w:rPr>
              <w:noProof/>
              <w:sz w:val="17"/>
            </w:rPr>
          </w:pPr>
          <w:r w:rsidRPr="00617E49">
            <w:rPr>
              <w:noProof/>
              <w:sz w:val="17"/>
            </w:rPr>
            <w:t xml:space="preserve"> </w:t>
          </w:r>
          <w:r w:rsidRPr="00585D10">
            <w:rPr>
              <w:noProof/>
              <w:sz w:val="17"/>
            </w:rPr>
            <w:drawing>
              <wp:inline distT="0" distB="0" distL="0" distR="0" wp14:anchorId="3DDA4881" wp14:editId="7A1C6130">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470C163" w14:textId="77777777" w:rsidR="00DA120E" w:rsidRPr="00617E49" w:rsidRDefault="00DA120E" w:rsidP="00B269A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4B7B247" w14:textId="52559953" w:rsidR="00DA120E" w:rsidRPr="00CE38CA" w:rsidRDefault="00DA120E" w:rsidP="00A309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A309A5">
            <w:rPr>
              <w:b/>
              <w:sz w:val="34"/>
            </w:rPr>
            <w:t>Executive Board of the</w:t>
          </w:r>
          <w:r w:rsidRPr="00A309A5">
            <w:rPr>
              <w:b/>
              <w:sz w:val="34"/>
            </w:rPr>
            <w:br/>
            <w:t>United Nations Development</w:t>
          </w:r>
          <w:r w:rsidRPr="00A309A5">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63F3A4A" w14:textId="77777777" w:rsidR="00DA120E" w:rsidRPr="00617E49" w:rsidRDefault="00DA120E" w:rsidP="00B269A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2AC0352" w14:textId="77777777" w:rsidR="00DA120E" w:rsidRPr="00617E49" w:rsidRDefault="00DA120E" w:rsidP="00B269A3">
          <w:pPr>
            <w:suppressAutoHyphens/>
            <w:spacing w:before="240" w:line="240" w:lineRule="exact"/>
            <w:rPr>
              <w:spacing w:val="4"/>
              <w:w w:val="103"/>
              <w:kern w:val="14"/>
              <w:lang w:val="en-GB"/>
            </w:rPr>
          </w:pPr>
          <w:r w:rsidRPr="00617E49">
            <w:rPr>
              <w:spacing w:val="4"/>
              <w:w w:val="103"/>
              <w:kern w:val="14"/>
              <w:lang w:val="en-GB"/>
            </w:rPr>
            <w:t>Distr.: General</w:t>
          </w:r>
        </w:p>
        <w:p w14:paraId="2C0843D9" w14:textId="6119DCEC" w:rsidR="00DA120E" w:rsidRPr="00617E49" w:rsidRDefault="007D25FC" w:rsidP="00B269A3">
          <w:pPr>
            <w:suppressAutoHyphens/>
            <w:spacing w:line="240" w:lineRule="exact"/>
            <w:rPr>
              <w:spacing w:val="4"/>
              <w:w w:val="103"/>
              <w:kern w:val="14"/>
              <w:lang w:val="en-GB"/>
            </w:rPr>
          </w:pPr>
          <w:r>
            <w:rPr>
              <w:spacing w:val="4"/>
              <w:w w:val="103"/>
              <w:kern w:val="14"/>
              <w:lang w:val="en-GB"/>
            </w:rPr>
            <w:t>3</w:t>
          </w:r>
          <w:r w:rsidR="00DA120E">
            <w:rPr>
              <w:spacing w:val="4"/>
              <w:w w:val="103"/>
              <w:kern w:val="14"/>
              <w:lang w:val="en-GB"/>
            </w:rPr>
            <w:t xml:space="preserve"> </w:t>
          </w:r>
          <w:r>
            <w:rPr>
              <w:spacing w:val="4"/>
              <w:w w:val="103"/>
              <w:kern w:val="14"/>
              <w:lang w:val="en-GB"/>
            </w:rPr>
            <w:t>Novem</w:t>
          </w:r>
          <w:r w:rsidR="00DA120E">
            <w:rPr>
              <w:spacing w:val="4"/>
              <w:w w:val="103"/>
              <w:kern w:val="14"/>
              <w:lang w:val="en-GB"/>
            </w:rPr>
            <w:t>ber</w:t>
          </w:r>
          <w:r w:rsidR="00DA120E" w:rsidRPr="00617E49">
            <w:rPr>
              <w:spacing w:val="4"/>
              <w:w w:val="103"/>
              <w:kern w:val="14"/>
              <w:lang w:val="en-GB"/>
            </w:rPr>
            <w:t xml:space="preserve"> 2014</w:t>
          </w:r>
        </w:p>
        <w:p w14:paraId="541F9441" w14:textId="77777777" w:rsidR="00DA120E" w:rsidRPr="00617E49" w:rsidRDefault="00DA120E" w:rsidP="00B269A3">
          <w:pPr>
            <w:suppressAutoHyphens/>
            <w:spacing w:line="240" w:lineRule="exact"/>
            <w:rPr>
              <w:spacing w:val="4"/>
              <w:w w:val="103"/>
              <w:kern w:val="14"/>
              <w:lang w:val="en-GB"/>
            </w:rPr>
          </w:pPr>
        </w:p>
        <w:p w14:paraId="5A8752D6" w14:textId="77777777" w:rsidR="00DA120E" w:rsidRPr="00617E49" w:rsidRDefault="00DA120E" w:rsidP="00B269A3">
          <w:pPr>
            <w:suppressAutoHyphens/>
            <w:spacing w:line="240" w:lineRule="exact"/>
            <w:rPr>
              <w:spacing w:val="4"/>
              <w:w w:val="103"/>
              <w:kern w:val="14"/>
              <w:lang w:val="en-GB"/>
            </w:rPr>
          </w:pPr>
          <w:r w:rsidRPr="00617E49">
            <w:rPr>
              <w:spacing w:val="4"/>
              <w:w w:val="103"/>
              <w:kern w:val="14"/>
              <w:lang w:val="en-GB"/>
            </w:rPr>
            <w:t>Original: English</w:t>
          </w:r>
        </w:p>
      </w:tc>
    </w:tr>
  </w:tbl>
  <w:p w14:paraId="4E8A6D86" w14:textId="77777777" w:rsidR="00DA120E" w:rsidRPr="00CE38CA" w:rsidRDefault="00DA120E">
    <w:pPr>
      <w:pStyle w:val="Header"/>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EDA0" w14:textId="77777777" w:rsidR="00DA120E" w:rsidRDefault="00DA120E">
    <w:pPr>
      <w:pStyle w:val="Header"/>
    </w:pPr>
    <w:r>
      <w:rPr>
        <w:noProof/>
        <w:lang w:val="en-US" w:eastAsia="en-US"/>
      </w:rPr>
      <mc:AlternateContent>
        <mc:Choice Requires="wps">
          <w:drawing>
            <wp:anchor distT="0" distB="0" distL="114300" distR="114300" simplePos="0" relativeHeight="251657728" behindDoc="0" locked="0" layoutInCell="0" allowOverlap="1" wp14:anchorId="2DC976F5" wp14:editId="24E56D0C">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A120E" w:rsidRPr="005841A3" w14:paraId="1122EBCF" w14:textId="77777777">
                            <w:trPr>
                              <w:trHeight w:hRule="exact" w:val="864"/>
                            </w:trPr>
                            <w:tc>
                              <w:tcPr>
                                <w:tcW w:w="4838" w:type="dxa"/>
                                <w:tcBorders>
                                  <w:bottom w:val="single" w:sz="4" w:space="0" w:color="auto"/>
                                </w:tcBorders>
                                <w:vAlign w:val="bottom"/>
                              </w:tcPr>
                              <w:p w14:paraId="52F1C7B8" w14:textId="77777777" w:rsidR="00DA120E" w:rsidRPr="008E4D7F" w:rsidRDefault="00DA120E" w:rsidP="005841A3">
                                <w:pPr>
                                  <w:pStyle w:val="Header"/>
                                  <w:spacing w:after="80"/>
                                  <w:rPr>
                                    <w:rFonts w:ascii="Times New Roman" w:hAnsi="Times New Roman"/>
                                    <w:b/>
                                    <w:sz w:val="17"/>
                                    <w:szCs w:val="17"/>
                                    <w:lang w:val="en-US"/>
                                  </w:rPr>
                                </w:pPr>
                                <w:r w:rsidRPr="007C6F85">
                                  <w:rPr>
                                    <w:rFonts w:ascii="Times New Roman" w:hAnsi="Times New Roman"/>
                                    <w:b/>
                                    <w:sz w:val="17"/>
                                    <w:szCs w:val="17"/>
                                  </w:rPr>
                                  <w:t>DP/DCP/</w:t>
                                </w:r>
                                <w:r>
                                  <w:rPr>
                                    <w:rFonts w:ascii="Times New Roman" w:hAnsi="Times New Roman"/>
                                    <w:b/>
                                    <w:sz w:val="17"/>
                                    <w:szCs w:val="17"/>
                                    <w:lang w:val="en-US"/>
                                  </w:rPr>
                                  <w:t>CHL/3</w:t>
                                </w:r>
                              </w:p>
                            </w:tc>
                            <w:tc>
                              <w:tcPr>
                                <w:tcW w:w="8276" w:type="dxa"/>
                                <w:tcBorders>
                                  <w:bottom w:val="single" w:sz="4" w:space="0" w:color="auto"/>
                                </w:tcBorders>
                                <w:vAlign w:val="bottom"/>
                              </w:tcPr>
                              <w:p w14:paraId="2087B477" w14:textId="77777777" w:rsidR="00DA120E" w:rsidRPr="007C6F85" w:rsidRDefault="00DA120E">
                                <w:pPr>
                                  <w:pStyle w:val="Header"/>
                                  <w:rPr>
                                    <w:rFonts w:ascii="Times New Roman" w:hAnsi="Times New Roman"/>
                                    <w:sz w:val="17"/>
                                    <w:szCs w:val="17"/>
                                  </w:rPr>
                                </w:pPr>
                              </w:p>
                            </w:tc>
                          </w:tr>
                        </w:tbl>
                        <w:p w14:paraId="03BD2EFB" w14:textId="77777777" w:rsidR="00DA120E" w:rsidRDefault="00DA120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C976F5"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A120E" w:rsidRPr="005841A3" w14:paraId="1122EBCF" w14:textId="77777777">
                      <w:trPr>
                        <w:trHeight w:hRule="exact" w:val="864"/>
                      </w:trPr>
                      <w:tc>
                        <w:tcPr>
                          <w:tcW w:w="4838" w:type="dxa"/>
                          <w:tcBorders>
                            <w:bottom w:val="single" w:sz="4" w:space="0" w:color="auto"/>
                          </w:tcBorders>
                          <w:vAlign w:val="bottom"/>
                        </w:tcPr>
                        <w:p w14:paraId="52F1C7B8" w14:textId="77777777" w:rsidR="00DA120E" w:rsidRPr="008E4D7F" w:rsidRDefault="00DA120E" w:rsidP="005841A3">
                          <w:pPr>
                            <w:pStyle w:val="Header"/>
                            <w:spacing w:after="80"/>
                            <w:rPr>
                              <w:rFonts w:ascii="Times New Roman" w:hAnsi="Times New Roman"/>
                              <w:b/>
                              <w:sz w:val="17"/>
                              <w:szCs w:val="17"/>
                              <w:lang w:val="en-US"/>
                            </w:rPr>
                          </w:pPr>
                          <w:r w:rsidRPr="007C6F85">
                            <w:rPr>
                              <w:rFonts w:ascii="Times New Roman" w:hAnsi="Times New Roman"/>
                              <w:b/>
                              <w:sz w:val="17"/>
                              <w:szCs w:val="17"/>
                            </w:rPr>
                            <w:t>DP/DCP/</w:t>
                          </w:r>
                          <w:r>
                            <w:rPr>
                              <w:rFonts w:ascii="Times New Roman" w:hAnsi="Times New Roman"/>
                              <w:b/>
                              <w:sz w:val="17"/>
                              <w:szCs w:val="17"/>
                              <w:lang w:val="en-US"/>
                            </w:rPr>
                            <w:t>CHL/3</w:t>
                          </w:r>
                        </w:p>
                      </w:tc>
                      <w:tc>
                        <w:tcPr>
                          <w:tcW w:w="8276" w:type="dxa"/>
                          <w:tcBorders>
                            <w:bottom w:val="single" w:sz="4" w:space="0" w:color="auto"/>
                          </w:tcBorders>
                          <w:vAlign w:val="bottom"/>
                        </w:tcPr>
                        <w:p w14:paraId="2087B477" w14:textId="77777777" w:rsidR="00DA120E" w:rsidRPr="007C6F85" w:rsidRDefault="00DA120E">
                          <w:pPr>
                            <w:pStyle w:val="Header"/>
                            <w:rPr>
                              <w:rFonts w:ascii="Times New Roman" w:hAnsi="Times New Roman"/>
                              <w:sz w:val="17"/>
                              <w:szCs w:val="17"/>
                            </w:rPr>
                          </w:pPr>
                        </w:p>
                      </w:tc>
                    </w:tr>
                  </w:tbl>
                  <w:p w14:paraId="03BD2EFB" w14:textId="77777777" w:rsidR="00DA120E" w:rsidRDefault="00DA120E"/>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DA120E" w:rsidRPr="00C778F9" w14:paraId="2C3C9627" w14:textId="77777777" w:rsidTr="008E4D7F">
      <w:trPr>
        <w:trHeight w:hRule="exact" w:val="864"/>
      </w:trPr>
      <w:tc>
        <w:tcPr>
          <w:tcW w:w="4838" w:type="dxa"/>
          <w:shd w:val="clear" w:color="auto" w:fill="auto"/>
          <w:vAlign w:val="bottom"/>
        </w:tcPr>
        <w:p w14:paraId="16C5EDC9" w14:textId="77777777" w:rsidR="00DA120E" w:rsidRPr="00C778F9" w:rsidRDefault="00DA120E" w:rsidP="00C778F9">
          <w:pPr>
            <w:tabs>
              <w:tab w:val="center" w:pos="4320"/>
              <w:tab w:val="right" w:pos="8640"/>
            </w:tabs>
            <w:spacing w:after="80"/>
            <w:rPr>
              <w:b/>
              <w:noProof/>
              <w:sz w:val="17"/>
            </w:rPr>
          </w:pPr>
        </w:p>
      </w:tc>
      <w:tc>
        <w:tcPr>
          <w:tcW w:w="8212" w:type="dxa"/>
          <w:shd w:val="clear" w:color="auto" w:fill="auto"/>
          <w:vAlign w:val="bottom"/>
        </w:tcPr>
        <w:p w14:paraId="423FFF94" w14:textId="77777777" w:rsidR="00DA120E" w:rsidRPr="00C778F9" w:rsidRDefault="00DA120E" w:rsidP="00C778F9">
          <w:pPr>
            <w:tabs>
              <w:tab w:val="center" w:pos="4320"/>
              <w:tab w:val="right" w:pos="8640"/>
            </w:tabs>
            <w:jc w:val="right"/>
            <w:rPr>
              <w:noProof/>
              <w:sz w:val="17"/>
            </w:rPr>
          </w:pPr>
          <w:r w:rsidRPr="00C778F9">
            <w:rPr>
              <w:b/>
              <w:noProof/>
              <w:sz w:val="17"/>
            </w:rPr>
            <w:t>DP/DCP/</w:t>
          </w:r>
          <w:r>
            <w:rPr>
              <w:b/>
              <w:noProof/>
              <w:sz w:val="17"/>
            </w:rPr>
            <w:t>CH</w:t>
          </w:r>
          <w:r w:rsidRPr="00C778F9">
            <w:rPr>
              <w:b/>
              <w:noProof/>
              <w:sz w:val="17"/>
            </w:rPr>
            <w:t>L/</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14:paraId="2B59114A" w14:textId="77777777" w:rsidR="00DA120E" w:rsidRDefault="00DA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01B3"/>
    <w:multiLevelType w:val="hybridMultilevel"/>
    <w:tmpl w:val="931C41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CD5A7A"/>
    <w:multiLevelType w:val="hybridMultilevel"/>
    <w:tmpl w:val="74C2A0E6"/>
    <w:lvl w:ilvl="0" w:tplc="BA4A37A8">
      <w:start w:val="10"/>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834225"/>
    <w:multiLevelType w:val="hybridMultilevel"/>
    <w:tmpl w:val="EA8C9946"/>
    <w:lvl w:ilvl="0" w:tplc="912A5BF8">
      <w:start w:val="1"/>
      <w:numFmt w:val="upperRoman"/>
      <w:lvlText w:val="%1."/>
      <w:lvlJc w:val="left"/>
      <w:pPr>
        <w:ind w:left="1770" w:hanging="720"/>
      </w:pPr>
      <w:rPr>
        <w:rFonts w:ascii="Times New Roman" w:hAnsi="Times New Roman" w:hint="default"/>
        <w:sz w:val="24"/>
        <w:szCs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nsid w:val="21A57407"/>
    <w:multiLevelType w:val="hybridMultilevel"/>
    <w:tmpl w:val="CA2237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2E8F5F94"/>
    <w:multiLevelType w:val="hybridMultilevel"/>
    <w:tmpl w:val="53E023C4"/>
    <w:lvl w:ilvl="0" w:tplc="BEC89770">
      <w:start w:val="13"/>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1536837"/>
    <w:multiLevelType w:val="hybridMultilevel"/>
    <w:tmpl w:val="9E709B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34D519D3"/>
    <w:multiLevelType w:val="hybridMultilevel"/>
    <w:tmpl w:val="24D8F76E"/>
    <w:lvl w:ilvl="0" w:tplc="04090001">
      <w:start w:val="1"/>
      <w:numFmt w:val="bullet"/>
      <w:lvlText w:val=""/>
      <w:lvlJc w:val="left"/>
      <w:pPr>
        <w:ind w:left="360" w:hanging="360"/>
      </w:pPr>
      <w:rPr>
        <w:rFonts w:ascii="Symbol" w:hAnsi="Symbol" w:hint="default"/>
      </w:rPr>
    </w:lvl>
    <w:lvl w:ilvl="1" w:tplc="D4AA10B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nsid w:val="415B7A25"/>
    <w:multiLevelType w:val="multilevel"/>
    <w:tmpl w:val="1BF62868"/>
    <w:lvl w:ilvl="0">
      <w:start w:val="2"/>
      <w:numFmt w:val="decimal"/>
      <w:lvlText w:val="%1."/>
      <w:lvlJc w:val="left"/>
      <w:pPr>
        <w:ind w:left="567" w:firstLine="284"/>
      </w:pPr>
      <w:rPr>
        <w:b w:val="0"/>
      </w:rPr>
    </w:lvl>
    <w:lvl w:ilvl="1">
      <w:start w:val="1"/>
      <w:numFmt w:val="lowerLetter"/>
      <w:lvlText w:val="%2."/>
      <w:lvlJc w:val="left"/>
      <w:pPr>
        <w:ind w:left="1365" w:firstLine="1005"/>
      </w:pPr>
    </w:lvl>
    <w:lvl w:ilvl="2">
      <w:start w:val="1"/>
      <w:numFmt w:val="lowerRoman"/>
      <w:lvlText w:val="%3."/>
      <w:lvlJc w:val="right"/>
      <w:pPr>
        <w:ind w:left="2085" w:firstLine="1905"/>
      </w:pPr>
    </w:lvl>
    <w:lvl w:ilvl="3">
      <w:start w:val="1"/>
      <w:numFmt w:val="decimal"/>
      <w:lvlText w:val="%4."/>
      <w:lvlJc w:val="left"/>
      <w:pPr>
        <w:ind w:left="2805" w:firstLine="2445"/>
      </w:pPr>
    </w:lvl>
    <w:lvl w:ilvl="4">
      <w:start w:val="1"/>
      <w:numFmt w:val="lowerLetter"/>
      <w:lvlText w:val="%5."/>
      <w:lvlJc w:val="left"/>
      <w:pPr>
        <w:ind w:left="3525" w:firstLine="3165"/>
      </w:pPr>
    </w:lvl>
    <w:lvl w:ilvl="5">
      <w:start w:val="1"/>
      <w:numFmt w:val="lowerRoman"/>
      <w:lvlText w:val="%6."/>
      <w:lvlJc w:val="right"/>
      <w:pPr>
        <w:ind w:left="4245" w:firstLine="4065"/>
      </w:pPr>
    </w:lvl>
    <w:lvl w:ilvl="6">
      <w:start w:val="1"/>
      <w:numFmt w:val="decimal"/>
      <w:lvlText w:val="%7."/>
      <w:lvlJc w:val="left"/>
      <w:pPr>
        <w:ind w:left="4965" w:firstLine="4605"/>
      </w:pPr>
    </w:lvl>
    <w:lvl w:ilvl="7">
      <w:start w:val="1"/>
      <w:numFmt w:val="lowerLetter"/>
      <w:lvlText w:val="%8."/>
      <w:lvlJc w:val="left"/>
      <w:pPr>
        <w:ind w:left="5685" w:firstLine="5325"/>
      </w:pPr>
    </w:lvl>
    <w:lvl w:ilvl="8">
      <w:start w:val="1"/>
      <w:numFmt w:val="lowerRoman"/>
      <w:lvlText w:val="%9."/>
      <w:lvlJc w:val="right"/>
      <w:pPr>
        <w:ind w:left="6405" w:firstLine="6225"/>
      </w:pPr>
    </w:lvl>
  </w:abstractNum>
  <w:abstractNum w:abstractNumId="22">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1">
    <w:nsid w:val="66192C2D"/>
    <w:multiLevelType w:val="multilevel"/>
    <w:tmpl w:val="B3FC6D58"/>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3">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5">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6">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7">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29"/>
  </w:num>
  <w:num w:numId="3">
    <w:abstractNumId w:val="25"/>
  </w:num>
  <w:num w:numId="4">
    <w:abstractNumId w:val="34"/>
  </w:num>
  <w:num w:numId="5">
    <w:abstractNumId w:val="26"/>
  </w:num>
  <w:num w:numId="6">
    <w:abstractNumId w:val="0"/>
  </w:num>
  <w:num w:numId="7">
    <w:abstractNumId w:val="18"/>
  </w:num>
  <w:num w:numId="8">
    <w:abstractNumId w:val="30"/>
  </w:num>
  <w:num w:numId="9">
    <w:abstractNumId w:val="40"/>
  </w:num>
  <w:num w:numId="10">
    <w:abstractNumId w:val="33"/>
  </w:num>
  <w:num w:numId="11">
    <w:abstractNumId w:val="39"/>
  </w:num>
  <w:num w:numId="12">
    <w:abstractNumId w:val="23"/>
  </w:num>
  <w:num w:numId="13">
    <w:abstractNumId w:val="6"/>
  </w:num>
  <w:num w:numId="14">
    <w:abstractNumId w:val="17"/>
  </w:num>
  <w:num w:numId="15">
    <w:abstractNumId w:val="36"/>
  </w:num>
  <w:num w:numId="16">
    <w:abstractNumId w:val="10"/>
  </w:num>
  <w:num w:numId="17">
    <w:abstractNumId w:val="14"/>
  </w:num>
  <w:num w:numId="18">
    <w:abstractNumId w:val="19"/>
  </w:num>
  <w:num w:numId="19">
    <w:abstractNumId w:val="38"/>
  </w:num>
  <w:num w:numId="20">
    <w:abstractNumId w:val="9"/>
  </w:num>
  <w:num w:numId="21">
    <w:abstractNumId w:val="8"/>
  </w:num>
  <w:num w:numId="22">
    <w:abstractNumId w:val="37"/>
  </w:num>
  <w:num w:numId="23">
    <w:abstractNumId w:val="16"/>
  </w:num>
  <w:num w:numId="24">
    <w:abstractNumId w:val="2"/>
  </w:num>
  <w:num w:numId="25">
    <w:abstractNumId w:val="35"/>
  </w:num>
  <w:num w:numId="26">
    <w:abstractNumId w:val="32"/>
  </w:num>
  <w:num w:numId="27">
    <w:abstractNumId w:val="28"/>
  </w:num>
  <w:num w:numId="28">
    <w:abstractNumId w:val="1"/>
  </w:num>
  <w:num w:numId="29">
    <w:abstractNumId w:val="24"/>
  </w:num>
  <w:num w:numId="30">
    <w:abstractNumId w:val="27"/>
  </w:num>
  <w:num w:numId="31">
    <w:abstractNumId w:val="13"/>
  </w:num>
  <w:num w:numId="32">
    <w:abstractNumId w:val="3"/>
  </w:num>
  <w:num w:numId="33">
    <w:abstractNumId w:val="7"/>
  </w:num>
  <w:num w:numId="34">
    <w:abstractNumId w:val="12"/>
  </w:num>
  <w:num w:numId="35">
    <w:abstractNumId w:val="11"/>
  </w:num>
  <w:num w:numId="36">
    <w:abstractNumId w:val="21"/>
  </w:num>
  <w:num w:numId="37">
    <w:abstractNumId w:val="31"/>
  </w:num>
  <w:num w:numId="38">
    <w:abstractNumId w:val="4"/>
  </w:num>
  <w:num w:numId="39">
    <w:abstractNumId w:val="15"/>
  </w:num>
  <w:num w:numId="40">
    <w:abstractNumId w:val="22"/>
  </w:num>
  <w:num w:numId="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65EE"/>
    <w:rsid w:val="00015FDE"/>
    <w:rsid w:val="00016217"/>
    <w:rsid w:val="00016861"/>
    <w:rsid w:val="000200CF"/>
    <w:rsid w:val="000205F1"/>
    <w:rsid w:val="00020E5F"/>
    <w:rsid w:val="00021D57"/>
    <w:rsid w:val="00022047"/>
    <w:rsid w:val="000274B9"/>
    <w:rsid w:val="0002758B"/>
    <w:rsid w:val="000276A0"/>
    <w:rsid w:val="000330DB"/>
    <w:rsid w:val="0003429F"/>
    <w:rsid w:val="0003562A"/>
    <w:rsid w:val="00036095"/>
    <w:rsid w:val="00036AF4"/>
    <w:rsid w:val="0004183C"/>
    <w:rsid w:val="00041C10"/>
    <w:rsid w:val="00043804"/>
    <w:rsid w:val="000441A1"/>
    <w:rsid w:val="00050869"/>
    <w:rsid w:val="00053AAC"/>
    <w:rsid w:val="000561C1"/>
    <w:rsid w:val="00056204"/>
    <w:rsid w:val="000570D1"/>
    <w:rsid w:val="000571A9"/>
    <w:rsid w:val="00060290"/>
    <w:rsid w:val="00063E24"/>
    <w:rsid w:val="00072229"/>
    <w:rsid w:val="00073CF1"/>
    <w:rsid w:val="00073F61"/>
    <w:rsid w:val="00074BD0"/>
    <w:rsid w:val="00074D9A"/>
    <w:rsid w:val="00074DB9"/>
    <w:rsid w:val="000753C4"/>
    <w:rsid w:val="00075DF0"/>
    <w:rsid w:val="000762CA"/>
    <w:rsid w:val="000803A4"/>
    <w:rsid w:val="0008339E"/>
    <w:rsid w:val="00090AD1"/>
    <w:rsid w:val="00090F4F"/>
    <w:rsid w:val="00091476"/>
    <w:rsid w:val="00092879"/>
    <w:rsid w:val="000929C7"/>
    <w:rsid w:val="00094DB5"/>
    <w:rsid w:val="00094E87"/>
    <w:rsid w:val="00097BE0"/>
    <w:rsid w:val="00097FB2"/>
    <w:rsid w:val="000A151D"/>
    <w:rsid w:val="000A24C5"/>
    <w:rsid w:val="000A3F7F"/>
    <w:rsid w:val="000A757E"/>
    <w:rsid w:val="000B28E2"/>
    <w:rsid w:val="000B3A13"/>
    <w:rsid w:val="000B4BB2"/>
    <w:rsid w:val="000C2CBD"/>
    <w:rsid w:val="000C76B0"/>
    <w:rsid w:val="000C7BBE"/>
    <w:rsid w:val="000D2475"/>
    <w:rsid w:val="000D2D15"/>
    <w:rsid w:val="000D442C"/>
    <w:rsid w:val="000D4DC4"/>
    <w:rsid w:val="000D4E43"/>
    <w:rsid w:val="000E38D8"/>
    <w:rsid w:val="000E612D"/>
    <w:rsid w:val="000E745A"/>
    <w:rsid w:val="000E7E9E"/>
    <w:rsid w:val="000F0044"/>
    <w:rsid w:val="000F703B"/>
    <w:rsid w:val="00106EF8"/>
    <w:rsid w:val="001101A2"/>
    <w:rsid w:val="00111489"/>
    <w:rsid w:val="00111797"/>
    <w:rsid w:val="00111B19"/>
    <w:rsid w:val="00113AAE"/>
    <w:rsid w:val="00114A64"/>
    <w:rsid w:val="00115F59"/>
    <w:rsid w:val="00116C1A"/>
    <w:rsid w:val="00121F3E"/>
    <w:rsid w:val="0012229E"/>
    <w:rsid w:val="00123849"/>
    <w:rsid w:val="00123A5E"/>
    <w:rsid w:val="00125010"/>
    <w:rsid w:val="00125266"/>
    <w:rsid w:val="00125B82"/>
    <w:rsid w:val="001305E6"/>
    <w:rsid w:val="00130EDB"/>
    <w:rsid w:val="0013239A"/>
    <w:rsid w:val="0013761A"/>
    <w:rsid w:val="0014423A"/>
    <w:rsid w:val="001456C0"/>
    <w:rsid w:val="00145DCD"/>
    <w:rsid w:val="00147042"/>
    <w:rsid w:val="001471A7"/>
    <w:rsid w:val="001506F6"/>
    <w:rsid w:val="00152089"/>
    <w:rsid w:val="00154032"/>
    <w:rsid w:val="001547D3"/>
    <w:rsid w:val="00154A17"/>
    <w:rsid w:val="00155718"/>
    <w:rsid w:val="001559BD"/>
    <w:rsid w:val="00157F79"/>
    <w:rsid w:val="00162225"/>
    <w:rsid w:val="00163E84"/>
    <w:rsid w:val="001668AA"/>
    <w:rsid w:val="0016751A"/>
    <w:rsid w:val="001675B1"/>
    <w:rsid w:val="0016789D"/>
    <w:rsid w:val="00167C87"/>
    <w:rsid w:val="00172EE3"/>
    <w:rsid w:val="00177E7E"/>
    <w:rsid w:val="0018356F"/>
    <w:rsid w:val="00186477"/>
    <w:rsid w:val="001876C5"/>
    <w:rsid w:val="00187D68"/>
    <w:rsid w:val="00190155"/>
    <w:rsid w:val="001906B5"/>
    <w:rsid w:val="00194163"/>
    <w:rsid w:val="00194216"/>
    <w:rsid w:val="00194FEB"/>
    <w:rsid w:val="0019630B"/>
    <w:rsid w:val="001970A4"/>
    <w:rsid w:val="00197AD1"/>
    <w:rsid w:val="001B0020"/>
    <w:rsid w:val="001B3840"/>
    <w:rsid w:val="001B3F87"/>
    <w:rsid w:val="001B4026"/>
    <w:rsid w:val="001B598C"/>
    <w:rsid w:val="001B76A6"/>
    <w:rsid w:val="001C07F8"/>
    <w:rsid w:val="001C2F59"/>
    <w:rsid w:val="001C6C08"/>
    <w:rsid w:val="001D2056"/>
    <w:rsid w:val="001D42D1"/>
    <w:rsid w:val="001D64E5"/>
    <w:rsid w:val="001D6EB8"/>
    <w:rsid w:val="001E05EC"/>
    <w:rsid w:val="001E4809"/>
    <w:rsid w:val="001E4F4F"/>
    <w:rsid w:val="001F27F4"/>
    <w:rsid w:val="001F3DC0"/>
    <w:rsid w:val="001F4C5A"/>
    <w:rsid w:val="001F6425"/>
    <w:rsid w:val="001F6772"/>
    <w:rsid w:val="001F7421"/>
    <w:rsid w:val="00200195"/>
    <w:rsid w:val="00200B5F"/>
    <w:rsid w:val="00201EEF"/>
    <w:rsid w:val="00203154"/>
    <w:rsid w:val="002047BA"/>
    <w:rsid w:val="002047C8"/>
    <w:rsid w:val="002052B3"/>
    <w:rsid w:val="002058F9"/>
    <w:rsid w:val="00212B1F"/>
    <w:rsid w:val="00213D7C"/>
    <w:rsid w:val="00214513"/>
    <w:rsid w:val="002155B7"/>
    <w:rsid w:val="0021766A"/>
    <w:rsid w:val="002225D3"/>
    <w:rsid w:val="00222A35"/>
    <w:rsid w:val="0022301D"/>
    <w:rsid w:val="00224B2C"/>
    <w:rsid w:val="00227E55"/>
    <w:rsid w:val="0023096B"/>
    <w:rsid w:val="00232AA0"/>
    <w:rsid w:val="00234CDF"/>
    <w:rsid w:val="00236B91"/>
    <w:rsid w:val="002424C0"/>
    <w:rsid w:val="00242CAA"/>
    <w:rsid w:val="002449B0"/>
    <w:rsid w:val="00245D74"/>
    <w:rsid w:val="00246DDF"/>
    <w:rsid w:val="002509B0"/>
    <w:rsid w:val="002521BD"/>
    <w:rsid w:val="00255809"/>
    <w:rsid w:val="002573CC"/>
    <w:rsid w:val="00260FAA"/>
    <w:rsid w:val="00262338"/>
    <w:rsid w:val="00263938"/>
    <w:rsid w:val="002646D7"/>
    <w:rsid w:val="002671D7"/>
    <w:rsid w:val="0027259C"/>
    <w:rsid w:val="00273543"/>
    <w:rsid w:val="00274C82"/>
    <w:rsid w:val="0027654D"/>
    <w:rsid w:val="002810DF"/>
    <w:rsid w:val="002812AB"/>
    <w:rsid w:val="002816D8"/>
    <w:rsid w:val="00282A8C"/>
    <w:rsid w:val="00283430"/>
    <w:rsid w:val="002854EE"/>
    <w:rsid w:val="0028565C"/>
    <w:rsid w:val="002862E3"/>
    <w:rsid w:val="002875DE"/>
    <w:rsid w:val="00287E07"/>
    <w:rsid w:val="00290EB3"/>
    <w:rsid w:val="00292846"/>
    <w:rsid w:val="00292A90"/>
    <w:rsid w:val="002971D6"/>
    <w:rsid w:val="002A2F08"/>
    <w:rsid w:val="002A3641"/>
    <w:rsid w:val="002A42E7"/>
    <w:rsid w:val="002A495F"/>
    <w:rsid w:val="002A5705"/>
    <w:rsid w:val="002A706F"/>
    <w:rsid w:val="002A70EA"/>
    <w:rsid w:val="002A7363"/>
    <w:rsid w:val="002A7F43"/>
    <w:rsid w:val="002B365E"/>
    <w:rsid w:val="002B489A"/>
    <w:rsid w:val="002B6341"/>
    <w:rsid w:val="002B7966"/>
    <w:rsid w:val="002C0526"/>
    <w:rsid w:val="002C27A8"/>
    <w:rsid w:val="002C333E"/>
    <w:rsid w:val="002C339D"/>
    <w:rsid w:val="002C352F"/>
    <w:rsid w:val="002C36C8"/>
    <w:rsid w:val="002C51A0"/>
    <w:rsid w:val="002D0584"/>
    <w:rsid w:val="002D2E2A"/>
    <w:rsid w:val="002D5295"/>
    <w:rsid w:val="002D52BF"/>
    <w:rsid w:val="002D583B"/>
    <w:rsid w:val="002D5E72"/>
    <w:rsid w:val="002D68FA"/>
    <w:rsid w:val="002D6D3E"/>
    <w:rsid w:val="002D7ECA"/>
    <w:rsid w:val="002E0141"/>
    <w:rsid w:val="002E0B5D"/>
    <w:rsid w:val="002E1495"/>
    <w:rsid w:val="002E1C04"/>
    <w:rsid w:val="002E2900"/>
    <w:rsid w:val="002E3C0D"/>
    <w:rsid w:val="002E43EC"/>
    <w:rsid w:val="002E5B3C"/>
    <w:rsid w:val="002E7A79"/>
    <w:rsid w:val="002F2C6E"/>
    <w:rsid w:val="002F3C88"/>
    <w:rsid w:val="002F4067"/>
    <w:rsid w:val="002F7339"/>
    <w:rsid w:val="002F7461"/>
    <w:rsid w:val="003025E2"/>
    <w:rsid w:val="00306D24"/>
    <w:rsid w:val="00307712"/>
    <w:rsid w:val="0031404A"/>
    <w:rsid w:val="00314B7C"/>
    <w:rsid w:val="00314E49"/>
    <w:rsid w:val="00315445"/>
    <w:rsid w:val="00317183"/>
    <w:rsid w:val="003204AE"/>
    <w:rsid w:val="003208EF"/>
    <w:rsid w:val="0032282C"/>
    <w:rsid w:val="00322A79"/>
    <w:rsid w:val="00323BCF"/>
    <w:rsid w:val="00324846"/>
    <w:rsid w:val="00324ABD"/>
    <w:rsid w:val="00324D9B"/>
    <w:rsid w:val="00326479"/>
    <w:rsid w:val="003272A6"/>
    <w:rsid w:val="003273CB"/>
    <w:rsid w:val="0033125E"/>
    <w:rsid w:val="00336913"/>
    <w:rsid w:val="0033718C"/>
    <w:rsid w:val="00337407"/>
    <w:rsid w:val="00340E02"/>
    <w:rsid w:val="00343E6E"/>
    <w:rsid w:val="003450C8"/>
    <w:rsid w:val="003463C7"/>
    <w:rsid w:val="0034782B"/>
    <w:rsid w:val="003512BF"/>
    <w:rsid w:val="00351E5C"/>
    <w:rsid w:val="0035580F"/>
    <w:rsid w:val="00356D95"/>
    <w:rsid w:val="00357CB4"/>
    <w:rsid w:val="003604EE"/>
    <w:rsid w:val="0036286B"/>
    <w:rsid w:val="00363371"/>
    <w:rsid w:val="00364989"/>
    <w:rsid w:val="003664C0"/>
    <w:rsid w:val="00367E04"/>
    <w:rsid w:val="003720C8"/>
    <w:rsid w:val="003761F2"/>
    <w:rsid w:val="00376A05"/>
    <w:rsid w:val="003774FE"/>
    <w:rsid w:val="00390E30"/>
    <w:rsid w:val="00392CAB"/>
    <w:rsid w:val="00393ABE"/>
    <w:rsid w:val="00394082"/>
    <w:rsid w:val="0039458D"/>
    <w:rsid w:val="00394D61"/>
    <w:rsid w:val="003A1F5A"/>
    <w:rsid w:val="003A2ECE"/>
    <w:rsid w:val="003A3000"/>
    <w:rsid w:val="003A4252"/>
    <w:rsid w:val="003A478B"/>
    <w:rsid w:val="003A539A"/>
    <w:rsid w:val="003A6253"/>
    <w:rsid w:val="003A62A4"/>
    <w:rsid w:val="003A6E5B"/>
    <w:rsid w:val="003A7091"/>
    <w:rsid w:val="003A7476"/>
    <w:rsid w:val="003A7D86"/>
    <w:rsid w:val="003B0AA1"/>
    <w:rsid w:val="003B243D"/>
    <w:rsid w:val="003B304F"/>
    <w:rsid w:val="003B4772"/>
    <w:rsid w:val="003B478C"/>
    <w:rsid w:val="003B5D18"/>
    <w:rsid w:val="003B795D"/>
    <w:rsid w:val="003C1251"/>
    <w:rsid w:val="003C26A6"/>
    <w:rsid w:val="003C26C1"/>
    <w:rsid w:val="003C5C11"/>
    <w:rsid w:val="003C6A5A"/>
    <w:rsid w:val="003C6AAD"/>
    <w:rsid w:val="003D1D4D"/>
    <w:rsid w:val="003D37DD"/>
    <w:rsid w:val="003D45DF"/>
    <w:rsid w:val="003D47C6"/>
    <w:rsid w:val="003D538A"/>
    <w:rsid w:val="003D67E4"/>
    <w:rsid w:val="003D7E38"/>
    <w:rsid w:val="003D7EAC"/>
    <w:rsid w:val="003E3186"/>
    <w:rsid w:val="003E379A"/>
    <w:rsid w:val="003E3E54"/>
    <w:rsid w:val="003E52B0"/>
    <w:rsid w:val="003E64DC"/>
    <w:rsid w:val="003E725D"/>
    <w:rsid w:val="003E7A43"/>
    <w:rsid w:val="003F0B58"/>
    <w:rsid w:val="003F0D40"/>
    <w:rsid w:val="003F2236"/>
    <w:rsid w:val="003F27B7"/>
    <w:rsid w:val="003F4051"/>
    <w:rsid w:val="003F5812"/>
    <w:rsid w:val="00400E4A"/>
    <w:rsid w:val="00402E9A"/>
    <w:rsid w:val="00403FA8"/>
    <w:rsid w:val="00404040"/>
    <w:rsid w:val="00404213"/>
    <w:rsid w:val="004048AC"/>
    <w:rsid w:val="00404B8E"/>
    <w:rsid w:val="004068C2"/>
    <w:rsid w:val="00415E7F"/>
    <w:rsid w:val="0042017D"/>
    <w:rsid w:val="00420288"/>
    <w:rsid w:val="00420CC0"/>
    <w:rsid w:val="00421C78"/>
    <w:rsid w:val="004224CE"/>
    <w:rsid w:val="00424A78"/>
    <w:rsid w:val="004254DB"/>
    <w:rsid w:val="00427EEA"/>
    <w:rsid w:val="00431836"/>
    <w:rsid w:val="004321E6"/>
    <w:rsid w:val="0043278E"/>
    <w:rsid w:val="004360AC"/>
    <w:rsid w:val="00436B83"/>
    <w:rsid w:val="00441061"/>
    <w:rsid w:val="00442666"/>
    <w:rsid w:val="004463C0"/>
    <w:rsid w:val="00446A07"/>
    <w:rsid w:val="00450073"/>
    <w:rsid w:val="00450C70"/>
    <w:rsid w:val="00453344"/>
    <w:rsid w:val="00454E76"/>
    <w:rsid w:val="00457080"/>
    <w:rsid w:val="0045795A"/>
    <w:rsid w:val="00460891"/>
    <w:rsid w:val="00464FB2"/>
    <w:rsid w:val="00466A64"/>
    <w:rsid w:val="0046745E"/>
    <w:rsid w:val="00470A4E"/>
    <w:rsid w:val="004736BE"/>
    <w:rsid w:val="0047556D"/>
    <w:rsid w:val="00475789"/>
    <w:rsid w:val="00476170"/>
    <w:rsid w:val="004820B0"/>
    <w:rsid w:val="00482E2F"/>
    <w:rsid w:val="004859B4"/>
    <w:rsid w:val="00486ACD"/>
    <w:rsid w:val="00492C65"/>
    <w:rsid w:val="0049403F"/>
    <w:rsid w:val="00494323"/>
    <w:rsid w:val="00494349"/>
    <w:rsid w:val="00494485"/>
    <w:rsid w:val="004964BF"/>
    <w:rsid w:val="00497D4B"/>
    <w:rsid w:val="004A0F27"/>
    <w:rsid w:val="004A0F37"/>
    <w:rsid w:val="004A0F68"/>
    <w:rsid w:val="004A3608"/>
    <w:rsid w:val="004A4FBD"/>
    <w:rsid w:val="004A7810"/>
    <w:rsid w:val="004A7E93"/>
    <w:rsid w:val="004B1219"/>
    <w:rsid w:val="004B3CFB"/>
    <w:rsid w:val="004B43AD"/>
    <w:rsid w:val="004B5D6B"/>
    <w:rsid w:val="004B76F8"/>
    <w:rsid w:val="004C1FA6"/>
    <w:rsid w:val="004C2BCD"/>
    <w:rsid w:val="004C5CFD"/>
    <w:rsid w:val="004D0CE2"/>
    <w:rsid w:val="004D12C0"/>
    <w:rsid w:val="004D3713"/>
    <w:rsid w:val="004D7E99"/>
    <w:rsid w:val="004E2919"/>
    <w:rsid w:val="004E2BDB"/>
    <w:rsid w:val="004F46EF"/>
    <w:rsid w:val="004F50AF"/>
    <w:rsid w:val="004F58A5"/>
    <w:rsid w:val="004F681D"/>
    <w:rsid w:val="004F7CB1"/>
    <w:rsid w:val="004F7D06"/>
    <w:rsid w:val="00502857"/>
    <w:rsid w:val="005044A9"/>
    <w:rsid w:val="00505994"/>
    <w:rsid w:val="00505FD4"/>
    <w:rsid w:val="00506E25"/>
    <w:rsid w:val="00506E49"/>
    <w:rsid w:val="0051132C"/>
    <w:rsid w:val="00513483"/>
    <w:rsid w:val="00514A55"/>
    <w:rsid w:val="00514EF5"/>
    <w:rsid w:val="0051782D"/>
    <w:rsid w:val="0052087E"/>
    <w:rsid w:val="00521019"/>
    <w:rsid w:val="0052315E"/>
    <w:rsid w:val="00530ED3"/>
    <w:rsid w:val="005312AF"/>
    <w:rsid w:val="00533A10"/>
    <w:rsid w:val="0053438E"/>
    <w:rsid w:val="005355EE"/>
    <w:rsid w:val="00535B16"/>
    <w:rsid w:val="005366D0"/>
    <w:rsid w:val="00537E27"/>
    <w:rsid w:val="00540B4D"/>
    <w:rsid w:val="00540FFA"/>
    <w:rsid w:val="00541393"/>
    <w:rsid w:val="00542930"/>
    <w:rsid w:val="005435B3"/>
    <w:rsid w:val="00550849"/>
    <w:rsid w:val="00551292"/>
    <w:rsid w:val="00554BF3"/>
    <w:rsid w:val="0055655F"/>
    <w:rsid w:val="0055657D"/>
    <w:rsid w:val="0055715F"/>
    <w:rsid w:val="00560D0D"/>
    <w:rsid w:val="00565FB1"/>
    <w:rsid w:val="005662FB"/>
    <w:rsid w:val="00566F3F"/>
    <w:rsid w:val="00567781"/>
    <w:rsid w:val="00567ECC"/>
    <w:rsid w:val="005713B1"/>
    <w:rsid w:val="00573453"/>
    <w:rsid w:val="00582662"/>
    <w:rsid w:val="00583090"/>
    <w:rsid w:val="005835F4"/>
    <w:rsid w:val="00583EFE"/>
    <w:rsid w:val="005841A3"/>
    <w:rsid w:val="005844B5"/>
    <w:rsid w:val="00590EAE"/>
    <w:rsid w:val="0059112A"/>
    <w:rsid w:val="00593216"/>
    <w:rsid w:val="00594380"/>
    <w:rsid w:val="00594BC3"/>
    <w:rsid w:val="00596AF7"/>
    <w:rsid w:val="00596CA7"/>
    <w:rsid w:val="00596DC8"/>
    <w:rsid w:val="00596E16"/>
    <w:rsid w:val="005A04AC"/>
    <w:rsid w:val="005A16A3"/>
    <w:rsid w:val="005A1C48"/>
    <w:rsid w:val="005A253A"/>
    <w:rsid w:val="005A776E"/>
    <w:rsid w:val="005B0983"/>
    <w:rsid w:val="005B4421"/>
    <w:rsid w:val="005B6749"/>
    <w:rsid w:val="005B6F0D"/>
    <w:rsid w:val="005B7929"/>
    <w:rsid w:val="005C25D1"/>
    <w:rsid w:val="005C35A9"/>
    <w:rsid w:val="005C464B"/>
    <w:rsid w:val="005C74A0"/>
    <w:rsid w:val="005D052C"/>
    <w:rsid w:val="005D16FE"/>
    <w:rsid w:val="005D4084"/>
    <w:rsid w:val="005D42B8"/>
    <w:rsid w:val="005D4777"/>
    <w:rsid w:val="005D4C2B"/>
    <w:rsid w:val="005D5A36"/>
    <w:rsid w:val="005E7154"/>
    <w:rsid w:val="005E7953"/>
    <w:rsid w:val="005E7E82"/>
    <w:rsid w:val="005F6C28"/>
    <w:rsid w:val="005F7AB6"/>
    <w:rsid w:val="005F7E3C"/>
    <w:rsid w:val="00600FA8"/>
    <w:rsid w:val="006063DA"/>
    <w:rsid w:val="00606CE3"/>
    <w:rsid w:val="00611DD3"/>
    <w:rsid w:val="00611EF0"/>
    <w:rsid w:val="00612219"/>
    <w:rsid w:val="00612E04"/>
    <w:rsid w:val="006142AA"/>
    <w:rsid w:val="00617131"/>
    <w:rsid w:val="006173A4"/>
    <w:rsid w:val="00617C44"/>
    <w:rsid w:val="00622CE4"/>
    <w:rsid w:val="006234A7"/>
    <w:rsid w:val="00625917"/>
    <w:rsid w:val="0062789F"/>
    <w:rsid w:val="006301BE"/>
    <w:rsid w:val="0063096E"/>
    <w:rsid w:val="00631A08"/>
    <w:rsid w:val="00633349"/>
    <w:rsid w:val="006339B0"/>
    <w:rsid w:val="00633D61"/>
    <w:rsid w:val="0063402B"/>
    <w:rsid w:val="00636570"/>
    <w:rsid w:val="00637443"/>
    <w:rsid w:val="00637901"/>
    <w:rsid w:val="00637E1B"/>
    <w:rsid w:val="006402DF"/>
    <w:rsid w:val="0064164B"/>
    <w:rsid w:val="00644468"/>
    <w:rsid w:val="00645B72"/>
    <w:rsid w:val="00645F5E"/>
    <w:rsid w:val="00647B1E"/>
    <w:rsid w:val="00647C55"/>
    <w:rsid w:val="0065008B"/>
    <w:rsid w:val="00653A3B"/>
    <w:rsid w:val="00653FD9"/>
    <w:rsid w:val="00654D42"/>
    <w:rsid w:val="00656328"/>
    <w:rsid w:val="00660279"/>
    <w:rsid w:val="0066117E"/>
    <w:rsid w:val="006622B9"/>
    <w:rsid w:val="00662E1E"/>
    <w:rsid w:val="0066371E"/>
    <w:rsid w:val="00664020"/>
    <w:rsid w:val="00666E71"/>
    <w:rsid w:val="00670B01"/>
    <w:rsid w:val="006724AD"/>
    <w:rsid w:val="00672BAB"/>
    <w:rsid w:val="0067314A"/>
    <w:rsid w:val="00673D1E"/>
    <w:rsid w:val="006779CF"/>
    <w:rsid w:val="00677A8F"/>
    <w:rsid w:val="00677F8A"/>
    <w:rsid w:val="006821E3"/>
    <w:rsid w:val="00683AD6"/>
    <w:rsid w:val="006842AE"/>
    <w:rsid w:val="0069097D"/>
    <w:rsid w:val="00693394"/>
    <w:rsid w:val="00693E54"/>
    <w:rsid w:val="006A0044"/>
    <w:rsid w:val="006A5773"/>
    <w:rsid w:val="006A5804"/>
    <w:rsid w:val="006A58F0"/>
    <w:rsid w:val="006B0372"/>
    <w:rsid w:val="006B0764"/>
    <w:rsid w:val="006B4467"/>
    <w:rsid w:val="006B4B35"/>
    <w:rsid w:val="006B6C46"/>
    <w:rsid w:val="006B6E78"/>
    <w:rsid w:val="006C0039"/>
    <w:rsid w:val="006C1927"/>
    <w:rsid w:val="006C2585"/>
    <w:rsid w:val="006C4008"/>
    <w:rsid w:val="006C5931"/>
    <w:rsid w:val="006C73EF"/>
    <w:rsid w:val="006D1383"/>
    <w:rsid w:val="006D13B5"/>
    <w:rsid w:val="006D1723"/>
    <w:rsid w:val="006D5D3F"/>
    <w:rsid w:val="006D60ED"/>
    <w:rsid w:val="006E1166"/>
    <w:rsid w:val="006E4153"/>
    <w:rsid w:val="006E47C6"/>
    <w:rsid w:val="006E596E"/>
    <w:rsid w:val="006F033F"/>
    <w:rsid w:val="006F24D8"/>
    <w:rsid w:val="006F2FC1"/>
    <w:rsid w:val="006F33B8"/>
    <w:rsid w:val="006F4C9C"/>
    <w:rsid w:val="006F4E33"/>
    <w:rsid w:val="006F640F"/>
    <w:rsid w:val="006F762A"/>
    <w:rsid w:val="00701B6B"/>
    <w:rsid w:val="0070384F"/>
    <w:rsid w:val="00703A9E"/>
    <w:rsid w:val="00703D6D"/>
    <w:rsid w:val="00704152"/>
    <w:rsid w:val="00704FB5"/>
    <w:rsid w:val="00706B71"/>
    <w:rsid w:val="00712EE5"/>
    <w:rsid w:val="00713493"/>
    <w:rsid w:val="00713494"/>
    <w:rsid w:val="00714031"/>
    <w:rsid w:val="0071466E"/>
    <w:rsid w:val="0071469E"/>
    <w:rsid w:val="00714A6C"/>
    <w:rsid w:val="00714CD3"/>
    <w:rsid w:val="007206A8"/>
    <w:rsid w:val="00720801"/>
    <w:rsid w:val="0072116D"/>
    <w:rsid w:val="0072226F"/>
    <w:rsid w:val="00725B78"/>
    <w:rsid w:val="00727082"/>
    <w:rsid w:val="00730562"/>
    <w:rsid w:val="0073233C"/>
    <w:rsid w:val="00732D0C"/>
    <w:rsid w:val="00733EAD"/>
    <w:rsid w:val="00734F54"/>
    <w:rsid w:val="00735CCE"/>
    <w:rsid w:val="00737C04"/>
    <w:rsid w:val="0074369B"/>
    <w:rsid w:val="00744110"/>
    <w:rsid w:val="00744595"/>
    <w:rsid w:val="00747A52"/>
    <w:rsid w:val="00750F1E"/>
    <w:rsid w:val="00751C12"/>
    <w:rsid w:val="00752691"/>
    <w:rsid w:val="007528F2"/>
    <w:rsid w:val="00760089"/>
    <w:rsid w:val="00763700"/>
    <w:rsid w:val="0076427C"/>
    <w:rsid w:val="00765217"/>
    <w:rsid w:val="007659AA"/>
    <w:rsid w:val="0077091F"/>
    <w:rsid w:val="0077266C"/>
    <w:rsid w:val="00772802"/>
    <w:rsid w:val="00773EF9"/>
    <w:rsid w:val="00775066"/>
    <w:rsid w:val="00776406"/>
    <w:rsid w:val="0078005A"/>
    <w:rsid w:val="00781B6F"/>
    <w:rsid w:val="00781F09"/>
    <w:rsid w:val="00781F9C"/>
    <w:rsid w:val="00782DFD"/>
    <w:rsid w:val="00784424"/>
    <w:rsid w:val="00784F51"/>
    <w:rsid w:val="00785474"/>
    <w:rsid w:val="00787B99"/>
    <w:rsid w:val="00787E04"/>
    <w:rsid w:val="0079421C"/>
    <w:rsid w:val="0079526D"/>
    <w:rsid w:val="00795A2C"/>
    <w:rsid w:val="00796E84"/>
    <w:rsid w:val="00797390"/>
    <w:rsid w:val="0079768C"/>
    <w:rsid w:val="007A05B6"/>
    <w:rsid w:val="007A1C0A"/>
    <w:rsid w:val="007A1C59"/>
    <w:rsid w:val="007A5B41"/>
    <w:rsid w:val="007A5C12"/>
    <w:rsid w:val="007B4636"/>
    <w:rsid w:val="007B5792"/>
    <w:rsid w:val="007C2301"/>
    <w:rsid w:val="007C31E2"/>
    <w:rsid w:val="007C5CE1"/>
    <w:rsid w:val="007C6F85"/>
    <w:rsid w:val="007C7CE3"/>
    <w:rsid w:val="007D0569"/>
    <w:rsid w:val="007D16B1"/>
    <w:rsid w:val="007D19E4"/>
    <w:rsid w:val="007D25FC"/>
    <w:rsid w:val="007D7400"/>
    <w:rsid w:val="007D7761"/>
    <w:rsid w:val="007D79FF"/>
    <w:rsid w:val="007E02A7"/>
    <w:rsid w:val="007E0329"/>
    <w:rsid w:val="007E1259"/>
    <w:rsid w:val="007E468A"/>
    <w:rsid w:val="007E51A5"/>
    <w:rsid w:val="007E7F4C"/>
    <w:rsid w:val="007F3018"/>
    <w:rsid w:val="008060C3"/>
    <w:rsid w:val="008063A1"/>
    <w:rsid w:val="00807F00"/>
    <w:rsid w:val="008134BD"/>
    <w:rsid w:val="00814656"/>
    <w:rsid w:val="00815695"/>
    <w:rsid w:val="008166D0"/>
    <w:rsid w:val="00816A57"/>
    <w:rsid w:val="00820E45"/>
    <w:rsid w:val="00821E2C"/>
    <w:rsid w:val="00822835"/>
    <w:rsid w:val="00826758"/>
    <w:rsid w:val="00826877"/>
    <w:rsid w:val="008353E0"/>
    <w:rsid w:val="008365F0"/>
    <w:rsid w:val="00841534"/>
    <w:rsid w:val="00843F88"/>
    <w:rsid w:val="008462F1"/>
    <w:rsid w:val="00850CBD"/>
    <w:rsid w:val="00850FDE"/>
    <w:rsid w:val="00852876"/>
    <w:rsid w:val="008543F5"/>
    <w:rsid w:val="00855004"/>
    <w:rsid w:val="008572C4"/>
    <w:rsid w:val="0085733E"/>
    <w:rsid w:val="008604A8"/>
    <w:rsid w:val="00861AFA"/>
    <w:rsid w:val="00863C61"/>
    <w:rsid w:val="00865522"/>
    <w:rsid w:val="00865ADF"/>
    <w:rsid w:val="0086644C"/>
    <w:rsid w:val="008666B5"/>
    <w:rsid w:val="008703B3"/>
    <w:rsid w:val="00876985"/>
    <w:rsid w:val="008813B9"/>
    <w:rsid w:val="00883780"/>
    <w:rsid w:val="00883B99"/>
    <w:rsid w:val="00883FDD"/>
    <w:rsid w:val="00885066"/>
    <w:rsid w:val="00885F85"/>
    <w:rsid w:val="0088665E"/>
    <w:rsid w:val="008923C8"/>
    <w:rsid w:val="00893260"/>
    <w:rsid w:val="008932A8"/>
    <w:rsid w:val="00893756"/>
    <w:rsid w:val="00894A9E"/>
    <w:rsid w:val="008950F6"/>
    <w:rsid w:val="00896815"/>
    <w:rsid w:val="008A0352"/>
    <w:rsid w:val="008A0744"/>
    <w:rsid w:val="008A0A6E"/>
    <w:rsid w:val="008A0B76"/>
    <w:rsid w:val="008A0D0F"/>
    <w:rsid w:val="008A2405"/>
    <w:rsid w:val="008A264F"/>
    <w:rsid w:val="008A2FB3"/>
    <w:rsid w:val="008A398B"/>
    <w:rsid w:val="008A5601"/>
    <w:rsid w:val="008A59AD"/>
    <w:rsid w:val="008A59E5"/>
    <w:rsid w:val="008A6CB7"/>
    <w:rsid w:val="008B0EEB"/>
    <w:rsid w:val="008B18A2"/>
    <w:rsid w:val="008B431D"/>
    <w:rsid w:val="008B51FD"/>
    <w:rsid w:val="008C1939"/>
    <w:rsid w:val="008C2B41"/>
    <w:rsid w:val="008C3396"/>
    <w:rsid w:val="008C621C"/>
    <w:rsid w:val="008C697C"/>
    <w:rsid w:val="008C75ED"/>
    <w:rsid w:val="008C7649"/>
    <w:rsid w:val="008D2C34"/>
    <w:rsid w:val="008E0991"/>
    <w:rsid w:val="008E338E"/>
    <w:rsid w:val="008E4D7F"/>
    <w:rsid w:val="008E57FE"/>
    <w:rsid w:val="008F2665"/>
    <w:rsid w:val="008F439A"/>
    <w:rsid w:val="008F4CAE"/>
    <w:rsid w:val="008F6376"/>
    <w:rsid w:val="009019FB"/>
    <w:rsid w:val="00903BF1"/>
    <w:rsid w:val="00905000"/>
    <w:rsid w:val="00905B05"/>
    <w:rsid w:val="0090753C"/>
    <w:rsid w:val="00911B66"/>
    <w:rsid w:val="00912A7E"/>
    <w:rsid w:val="00915330"/>
    <w:rsid w:val="00916E69"/>
    <w:rsid w:val="00917525"/>
    <w:rsid w:val="0091777D"/>
    <w:rsid w:val="0092057D"/>
    <w:rsid w:val="009218DE"/>
    <w:rsid w:val="00922CEB"/>
    <w:rsid w:val="00922D00"/>
    <w:rsid w:val="00923F17"/>
    <w:rsid w:val="00925D54"/>
    <w:rsid w:val="009266DA"/>
    <w:rsid w:val="00930DE8"/>
    <w:rsid w:val="009318DD"/>
    <w:rsid w:val="009320C4"/>
    <w:rsid w:val="00935413"/>
    <w:rsid w:val="00935F5D"/>
    <w:rsid w:val="009368E0"/>
    <w:rsid w:val="0094260B"/>
    <w:rsid w:val="00942661"/>
    <w:rsid w:val="00943F6A"/>
    <w:rsid w:val="00944B68"/>
    <w:rsid w:val="00945307"/>
    <w:rsid w:val="0094558D"/>
    <w:rsid w:val="00946FCE"/>
    <w:rsid w:val="00947E48"/>
    <w:rsid w:val="00947E7D"/>
    <w:rsid w:val="009515BC"/>
    <w:rsid w:val="00953ED0"/>
    <w:rsid w:val="0095492E"/>
    <w:rsid w:val="00955F7D"/>
    <w:rsid w:val="00957587"/>
    <w:rsid w:val="0096242F"/>
    <w:rsid w:val="00962E3B"/>
    <w:rsid w:val="00962FF5"/>
    <w:rsid w:val="00964A4E"/>
    <w:rsid w:val="00965B02"/>
    <w:rsid w:val="00965C07"/>
    <w:rsid w:val="00965D2D"/>
    <w:rsid w:val="00971847"/>
    <w:rsid w:val="00972964"/>
    <w:rsid w:val="00973460"/>
    <w:rsid w:val="009762FE"/>
    <w:rsid w:val="0097762F"/>
    <w:rsid w:val="009816B8"/>
    <w:rsid w:val="00983451"/>
    <w:rsid w:val="00983B45"/>
    <w:rsid w:val="0098766F"/>
    <w:rsid w:val="00993912"/>
    <w:rsid w:val="00994050"/>
    <w:rsid w:val="009962CF"/>
    <w:rsid w:val="009964E5"/>
    <w:rsid w:val="009969D6"/>
    <w:rsid w:val="009A07C0"/>
    <w:rsid w:val="009A5DB1"/>
    <w:rsid w:val="009A7C5A"/>
    <w:rsid w:val="009A7E51"/>
    <w:rsid w:val="009B052F"/>
    <w:rsid w:val="009B21B9"/>
    <w:rsid w:val="009B334B"/>
    <w:rsid w:val="009B4CD0"/>
    <w:rsid w:val="009B4DA7"/>
    <w:rsid w:val="009C21C6"/>
    <w:rsid w:val="009C383B"/>
    <w:rsid w:val="009C3A80"/>
    <w:rsid w:val="009C5238"/>
    <w:rsid w:val="009D00F4"/>
    <w:rsid w:val="009D12B4"/>
    <w:rsid w:val="009D1E70"/>
    <w:rsid w:val="009D2135"/>
    <w:rsid w:val="009D2FA7"/>
    <w:rsid w:val="009D3A68"/>
    <w:rsid w:val="009D4CAE"/>
    <w:rsid w:val="009D55F9"/>
    <w:rsid w:val="009D5A11"/>
    <w:rsid w:val="009D7760"/>
    <w:rsid w:val="009E01BD"/>
    <w:rsid w:val="009E16E6"/>
    <w:rsid w:val="009E2953"/>
    <w:rsid w:val="009E30CE"/>
    <w:rsid w:val="009E38F0"/>
    <w:rsid w:val="009F04C3"/>
    <w:rsid w:val="009F0760"/>
    <w:rsid w:val="009F2D20"/>
    <w:rsid w:val="009F461A"/>
    <w:rsid w:val="009F4860"/>
    <w:rsid w:val="009F7631"/>
    <w:rsid w:val="00A00057"/>
    <w:rsid w:val="00A00485"/>
    <w:rsid w:val="00A01A5F"/>
    <w:rsid w:val="00A02C96"/>
    <w:rsid w:val="00A02E65"/>
    <w:rsid w:val="00A0340A"/>
    <w:rsid w:val="00A041F7"/>
    <w:rsid w:val="00A0440C"/>
    <w:rsid w:val="00A0585F"/>
    <w:rsid w:val="00A0694A"/>
    <w:rsid w:val="00A069CB"/>
    <w:rsid w:val="00A10A30"/>
    <w:rsid w:val="00A1137C"/>
    <w:rsid w:val="00A113D7"/>
    <w:rsid w:val="00A11F0F"/>
    <w:rsid w:val="00A134B8"/>
    <w:rsid w:val="00A16126"/>
    <w:rsid w:val="00A24133"/>
    <w:rsid w:val="00A262BF"/>
    <w:rsid w:val="00A27809"/>
    <w:rsid w:val="00A309A5"/>
    <w:rsid w:val="00A317B0"/>
    <w:rsid w:val="00A34591"/>
    <w:rsid w:val="00A34E44"/>
    <w:rsid w:val="00A3640F"/>
    <w:rsid w:val="00A37CFF"/>
    <w:rsid w:val="00A40CE2"/>
    <w:rsid w:val="00A47176"/>
    <w:rsid w:val="00A475C5"/>
    <w:rsid w:val="00A4768C"/>
    <w:rsid w:val="00A5059A"/>
    <w:rsid w:val="00A50A68"/>
    <w:rsid w:val="00A50D3B"/>
    <w:rsid w:val="00A518AA"/>
    <w:rsid w:val="00A52833"/>
    <w:rsid w:val="00A53E94"/>
    <w:rsid w:val="00A552D9"/>
    <w:rsid w:val="00A56348"/>
    <w:rsid w:val="00A5703F"/>
    <w:rsid w:val="00A57D39"/>
    <w:rsid w:val="00A6316B"/>
    <w:rsid w:val="00A65316"/>
    <w:rsid w:val="00A65F22"/>
    <w:rsid w:val="00A674FF"/>
    <w:rsid w:val="00A70F69"/>
    <w:rsid w:val="00A72611"/>
    <w:rsid w:val="00A73ABB"/>
    <w:rsid w:val="00A76D2C"/>
    <w:rsid w:val="00A77746"/>
    <w:rsid w:val="00A806AA"/>
    <w:rsid w:val="00A83BF6"/>
    <w:rsid w:val="00A87F31"/>
    <w:rsid w:val="00A90D27"/>
    <w:rsid w:val="00A9103B"/>
    <w:rsid w:val="00A91284"/>
    <w:rsid w:val="00A918A7"/>
    <w:rsid w:val="00A92871"/>
    <w:rsid w:val="00A955EB"/>
    <w:rsid w:val="00AA1F49"/>
    <w:rsid w:val="00AA3A2E"/>
    <w:rsid w:val="00AA4099"/>
    <w:rsid w:val="00AA6913"/>
    <w:rsid w:val="00AB12BB"/>
    <w:rsid w:val="00AB2190"/>
    <w:rsid w:val="00AB39EB"/>
    <w:rsid w:val="00AB3F27"/>
    <w:rsid w:val="00AB3FD9"/>
    <w:rsid w:val="00AB7DE7"/>
    <w:rsid w:val="00AC1BE7"/>
    <w:rsid w:val="00AC275F"/>
    <w:rsid w:val="00AC50A4"/>
    <w:rsid w:val="00AC5A95"/>
    <w:rsid w:val="00AC6074"/>
    <w:rsid w:val="00AC6471"/>
    <w:rsid w:val="00AD1751"/>
    <w:rsid w:val="00AD2B6E"/>
    <w:rsid w:val="00AD3443"/>
    <w:rsid w:val="00AD42BD"/>
    <w:rsid w:val="00AD4B3C"/>
    <w:rsid w:val="00AD548C"/>
    <w:rsid w:val="00AD68A5"/>
    <w:rsid w:val="00AE185D"/>
    <w:rsid w:val="00AE1BFE"/>
    <w:rsid w:val="00AE3842"/>
    <w:rsid w:val="00AE3D83"/>
    <w:rsid w:val="00AE4374"/>
    <w:rsid w:val="00AE485C"/>
    <w:rsid w:val="00AE7D4F"/>
    <w:rsid w:val="00AE7FE4"/>
    <w:rsid w:val="00AF17D3"/>
    <w:rsid w:val="00AF1D77"/>
    <w:rsid w:val="00AF38BA"/>
    <w:rsid w:val="00AF4F67"/>
    <w:rsid w:val="00AF5082"/>
    <w:rsid w:val="00AF5811"/>
    <w:rsid w:val="00AF5A08"/>
    <w:rsid w:val="00AF6509"/>
    <w:rsid w:val="00B00BBE"/>
    <w:rsid w:val="00B0456E"/>
    <w:rsid w:val="00B06A05"/>
    <w:rsid w:val="00B06BF6"/>
    <w:rsid w:val="00B06F7F"/>
    <w:rsid w:val="00B100F0"/>
    <w:rsid w:val="00B1025B"/>
    <w:rsid w:val="00B1402E"/>
    <w:rsid w:val="00B14865"/>
    <w:rsid w:val="00B21D50"/>
    <w:rsid w:val="00B22EA4"/>
    <w:rsid w:val="00B22F9B"/>
    <w:rsid w:val="00B23747"/>
    <w:rsid w:val="00B24090"/>
    <w:rsid w:val="00B257E3"/>
    <w:rsid w:val="00B260C7"/>
    <w:rsid w:val="00B269A3"/>
    <w:rsid w:val="00B27494"/>
    <w:rsid w:val="00B27980"/>
    <w:rsid w:val="00B279B9"/>
    <w:rsid w:val="00B34F48"/>
    <w:rsid w:val="00B51BA0"/>
    <w:rsid w:val="00B530D0"/>
    <w:rsid w:val="00B535BD"/>
    <w:rsid w:val="00B53701"/>
    <w:rsid w:val="00B56A26"/>
    <w:rsid w:val="00B6110A"/>
    <w:rsid w:val="00B6176A"/>
    <w:rsid w:val="00B6301A"/>
    <w:rsid w:val="00B642DB"/>
    <w:rsid w:val="00B64CAD"/>
    <w:rsid w:val="00B65FEB"/>
    <w:rsid w:val="00B66751"/>
    <w:rsid w:val="00B6785C"/>
    <w:rsid w:val="00B67AA6"/>
    <w:rsid w:val="00B7066C"/>
    <w:rsid w:val="00B70EC9"/>
    <w:rsid w:val="00B717D8"/>
    <w:rsid w:val="00B72DF3"/>
    <w:rsid w:val="00B74146"/>
    <w:rsid w:val="00B76F6C"/>
    <w:rsid w:val="00B8080B"/>
    <w:rsid w:val="00B811EF"/>
    <w:rsid w:val="00B86EF1"/>
    <w:rsid w:val="00B90674"/>
    <w:rsid w:val="00B934E3"/>
    <w:rsid w:val="00B94323"/>
    <w:rsid w:val="00B961B7"/>
    <w:rsid w:val="00B963D4"/>
    <w:rsid w:val="00B9772B"/>
    <w:rsid w:val="00BA2DEF"/>
    <w:rsid w:val="00BA42FB"/>
    <w:rsid w:val="00BA4768"/>
    <w:rsid w:val="00BA516F"/>
    <w:rsid w:val="00BA628C"/>
    <w:rsid w:val="00BA7059"/>
    <w:rsid w:val="00BB0051"/>
    <w:rsid w:val="00BB02C6"/>
    <w:rsid w:val="00BB1082"/>
    <w:rsid w:val="00BB2127"/>
    <w:rsid w:val="00BB3805"/>
    <w:rsid w:val="00BB52A5"/>
    <w:rsid w:val="00BB6740"/>
    <w:rsid w:val="00BB7EA1"/>
    <w:rsid w:val="00BB7F81"/>
    <w:rsid w:val="00BC269B"/>
    <w:rsid w:val="00BC27D2"/>
    <w:rsid w:val="00BD35E1"/>
    <w:rsid w:val="00BD54FC"/>
    <w:rsid w:val="00BD63C3"/>
    <w:rsid w:val="00BD76A4"/>
    <w:rsid w:val="00BD7788"/>
    <w:rsid w:val="00BE1C8A"/>
    <w:rsid w:val="00BE4857"/>
    <w:rsid w:val="00BE5847"/>
    <w:rsid w:val="00BE5BE0"/>
    <w:rsid w:val="00BE70E8"/>
    <w:rsid w:val="00BF0E76"/>
    <w:rsid w:val="00BF19DC"/>
    <w:rsid w:val="00BF2B3E"/>
    <w:rsid w:val="00BF2D65"/>
    <w:rsid w:val="00BF2DAF"/>
    <w:rsid w:val="00BF32AF"/>
    <w:rsid w:val="00BF4E1B"/>
    <w:rsid w:val="00BF67A1"/>
    <w:rsid w:val="00C0480F"/>
    <w:rsid w:val="00C1043C"/>
    <w:rsid w:val="00C11F71"/>
    <w:rsid w:val="00C12A51"/>
    <w:rsid w:val="00C1591E"/>
    <w:rsid w:val="00C20D36"/>
    <w:rsid w:val="00C21038"/>
    <w:rsid w:val="00C224F6"/>
    <w:rsid w:val="00C2396B"/>
    <w:rsid w:val="00C2785F"/>
    <w:rsid w:val="00C30BA6"/>
    <w:rsid w:val="00C31467"/>
    <w:rsid w:val="00C33780"/>
    <w:rsid w:val="00C34CCB"/>
    <w:rsid w:val="00C34D57"/>
    <w:rsid w:val="00C36696"/>
    <w:rsid w:val="00C36720"/>
    <w:rsid w:val="00C37518"/>
    <w:rsid w:val="00C37F00"/>
    <w:rsid w:val="00C37F32"/>
    <w:rsid w:val="00C421C9"/>
    <w:rsid w:val="00C42A3A"/>
    <w:rsid w:val="00C4517F"/>
    <w:rsid w:val="00C45232"/>
    <w:rsid w:val="00C46E94"/>
    <w:rsid w:val="00C525F3"/>
    <w:rsid w:val="00C52BA5"/>
    <w:rsid w:val="00C53323"/>
    <w:rsid w:val="00C537AC"/>
    <w:rsid w:val="00C54D8C"/>
    <w:rsid w:val="00C63988"/>
    <w:rsid w:val="00C65DB6"/>
    <w:rsid w:val="00C66CEF"/>
    <w:rsid w:val="00C670FE"/>
    <w:rsid w:val="00C71E3C"/>
    <w:rsid w:val="00C75492"/>
    <w:rsid w:val="00C75546"/>
    <w:rsid w:val="00C77244"/>
    <w:rsid w:val="00C778F9"/>
    <w:rsid w:val="00C77C78"/>
    <w:rsid w:val="00C8146C"/>
    <w:rsid w:val="00C846DD"/>
    <w:rsid w:val="00C85CA6"/>
    <w:rsid w:val="00C87BC4"/>
    <w:rsid w:val="00C9147E"/>
    <w:rsid w:val="00C925ED"/>
    <w:rsid w:val="00C9339F"/>
    <w:rsid w:val="00C96A10"/>
    <w:rsid w:val="00C9753B"/>
    <w:rsid w:val="00CA19CD"/>
    <w:rsid w:val="00CA4A62"/>
    <w:rsid w:val="00CA659E"/>
    <w:rsid w:val="00CB23DD"/>
    <w:rsid w:val="00CB2757"/>
    <w:rsid w:val="00CB2FE7"/>
    <w:rsid w:val="00CB3B57"/>
    <w:rsid w:val="00CB42AE"/>
    <w:rsid w:val="00CB6768"/>
    <w:rsid w:val="00CC17DB"/>
    <w:rsid w:val="00CC2F01"/>
    <w:rsid w:val="00CC48FA"/>
    <w:rsid w:val="00CC4A3B"/>
    <w:rsid w:val="00CC6453"/>
    <w:rsid w:val="00CD019A"/>
    <w:rsid w:val="00CD2D8A"/>
    <w:rsid w:val="00CD31EA"/>
    <w:rsid w:val="00CD692F"/>
    <w:rsid w:val="00CE0392"/>
    <w:rsid w:val="00CE0BC1"/>
    <w:rsid w:val="00CE38CA"/>
    <w:rsid w:val="00CE5481"/>
    <w:rsid w:val="00CE5866"/>
    <w:rsid w:val="00CF0045"/>
    <w:rsid w:val="00CF7194"/>
    <w:rsid w:val="00CF7C90"/>
    <w:rsid w:val="00CF7EA0"/>
    <w:rsid w:val="00D00600"/>
    <w:rsid w:val="00D0329F"/>
    <w:rsid w:val="00D06299"/>
    <w:rsid w:val="00D067FA"/>
    <w:rsid w:val="00D1045D"/>
    <w:rsid w:val="00D133AA"/>
    <w:rsid w:val="00D13B0B"/>
    <w:rsid w:val="00D13CCF"/>
    <w:rsid w:val="00D14CF7"/>
    <w:rsid w:val="00D15E67"/>
    <w:rsid w:val="00D1646B"/>
    <w:rsid w:val="00D17214"/>
    <w:rsid w:val="00D20609"/>
    <w:rsid w:val="00D20ABB"/>
    <w:rsid w:val="00D24AEE"/>
    <w:rsid w:val="00D251BD"/>
    <w:rsid w:val="00D3073E"/>
    <w:rsid w:val="00D31676"/>
    <w:rsid w:val="00D316C8"/>
    <w:rsid w:val="00D32FD9"/>
    <w:rsid w:val="00D337D5"/>
    <w:rsid w:val="00D34817"/>
    <w:rsid w:val="00D3568B"/>
    <w:rsid w:val="00D365BB"/>
    <w:rsid w:val="00D3795A"/>
    <w:rsid w:val="00D37AB5"/>
    <w:rsid w:val="00D40C74"/>
    <w:rsid w:val="00D43282"/>
    <w:rsid w:val="00D43EA4"/>
    <w:rsid w:val="00D44508"/>
    <w:rsid w:val="00D47810"/>
    <w:rsid w:val="00D5128E"/>
    <w:rsid w:val="00D52FD0"/>
    <w:rsid w:val="00D54385"/>
    <w:rsid w:val="00D545BC"/>
    <w:rsid w:val="00D62035"/>
    <w:rsid w:val="00D6259C"/>
    <w:rsid w:val="00D63B91"/>
    <w:rsid w:val="00D64A4A"/>
    <w:rsid w:val="00D6679C"/>
    <w:rsid w:val="00D73EE6"/>
    <w:rsid w:val="00D742D2"/>
    <w:rsid w:val="00D744DC"/>
    <w:rsid w:val="00D75CF7"/>
    <w:rsid w:val="00D75F59"/>
    <w:rsid w:val="00D776C3"/>
    <w:rsid w:val="00D80153"/>
    <w:rsid w:val="00D81AC7"/>
    <w:rsid w:val="00D8495C"/>
    <w:rsid w:val="00D86737"/>
    <w:rsid w:val="00D8696A"/>
    <w:rsid w:val="00D9153B"/>
    <w:rsid w:val="00D93D6E"/>
    <w:rsid w:val="00D940F3"/>
    <w:rsid w:val="00D94115"/>
    <w:rsid w:val="00D95903"/>
    <w:rsid w:val="00D95D78"/>
    <w:rsid w:val="00DA0810"/>
    <w:rsid w:val="00DA120E"/>
    <w:rsid w:val="00DA1B69"/>
    <w:rsid w:val="00DA2E8C"/>
    <w:rsid w:val="00DA3FCE"/>
    <w:rsid w:val="00DA46FC"/>
    <w:rsid w:val="00DB4203"/>
    <w:rsid w:val="00DB7CA1"/>
    <w:rsid w:val="00DC25DA"/>
    <w:rsid w:val="00DC2DFE"/>
    <w:rsid w:val="00DC319C"/>
    <w:rsid w:val="00DC5149"/>
    <w:rsid w:val="00DC79F0"/>
    <w:rsid w:val="00DD1B88"/>
    <w:rsid w:val="00DD3C08"/>
    <w:rsid w:val="00DE0476"/>
    <w:rsid w:val="00DE162B"/>
    <w:rsid w:val="00DE1CA5"/>
    <w:rsid w:val="00DE2AAC"/>
    <w:rsid w:val="00DE49A7"/>
    <w:rsid w:val="00DF1125"/>
    <w:rsid w:val="00DF27AC"/>
    <w:rsid w:val="00DF28E7"/>
    <w:rsid w:val="00DF399A"/>
    <w:rsid w:val="00DF6280"/>
    <w:rsid w:val="00DF7B14"/>
    <w:rsid w:val="00E00009"/>
    <w:rsid w:val="00E01EF4"/>
    <w:rsid w:val="00E02CF2"/>
    <w:rsid w:val="00E04947"/>
    <w:rsid w:val="00E060B5"/>
    <w:rsid w:val="00E069F7"/>
    <w:rsid w:val="00E06C35"/>
    <w:rsid w:val="00E0710D"/>
    <w:rsid w:val="00E07F71"/>
    <w:rsid w:val="00E114D8"/>
    <w:rsid w:val="00E1347F"/>
    <w:rsid w:val="00E1621B"/>
    <w:rsid w:val="00E21114"/>
    <w:rsid w:val="00E22B84"/>
    <w:rsid w:val="00E26045"/>
    <w:rsid w:val="00E26BDB"/>
    <w:rsid w:val="00E27304"/>
    <w:rsid w:val="00E31FEF"/>
    <w:rsid w:val="00E337F5"/>
    <w:rsid w:val="00E339E4"/>
    <w:rsid w:val="00E34EBC"/>
    <w:rsid w:val="00E37211"/>
    <w:rsid w:val="00E37848"/>
    <w:rsid w:val="00E4034D"/>
    <w:rsid w:val="00E404B3"/>
    <w:rsid w:val="00E41EE7"/>
    <w:rsid w:val="00E42084"/>
    <w:rsid w:val="00E444B3"/>
    <w:rsid w:val="00E52CA2"/>
    <w:rsid w:val="00E55808"/>
    <w:rsid w:val="00E559EA"/>
    <w:rsid w:val="00E565FE"/>
    <w:rsid w:val="00E5696D"/>
    <w:rsid w:val="00E56E45"/>
    <w:rsid w:val="00E6161C"/>
    <w:rsid w:val="00E62DEC"/>
    <w:rsid w:val="00E63233"/>
    <w:rsid w:val="00E64CA5"/>
    <w:rsid w:val="00E65BEE"/>
    <w:rsid w:val="00E65F8A"/>
    <w:rsid w:val="00E66ECB"/>
    <w:rsid w:val="00E67486"/>
    <w:rsid w:val="00E71DAD"/>
    <w:rsid w:val="00E727CE"/>
    <w:rsid w:val="00E749E1"/>
    <w:rsid w:val="00E77782"/>
    <w:rsid w:val="00E8007A"/>
    <w:rsid w:val="00E80578"/>
    <w:rsid w:val="00E80B43"/>
    <w:rsid w:val="00E833CB"/>
    <w:rsid w:val="00E83995"/>
    <w:rsid w:val="00E83CBA"/>
    <w:rsid w:val="00E83D2E"/>
    <w:rsid w:val="00E83FB2"/>
    <w:rsid w:val="00E8631B"/>
    <w:rsid w:val="00E90615"/>
    <w:rsid w:val="00E91E74"/>
    <w:rsid w:val="00E91FE0"/>
    <w:rsid w:val="00E93568"/>
    <w:rsid w:val="00E94074"/>
    <w:rsid w:val="00E95AC2"/>
    <w:rsid w:val="00E97167"/>
    <w:rsid w:val="00E974AF"/>
    <w:rsid w:val="00E97DBB"/>
    <w:rsid w:val="00EA0169"/>
    <w:rsid w:val="00EA3781"/>
    <w:rsid w:val="00EA5023"/>
    <w:rsid w:val="00EA7061"/>
    <w:rsid w:val="00EB13FE"/>
    <w:rsid w:val="00EB254B"/>
    <w:rsid w:val="00EB39F1"/>
    <w:rsid w:val="00EB472E"/>
    <w:rsid w:val="00EB5434"/>
    <w:rsid w:val="00EB5D6C"/>
    <w:rsid w:val="00EB6A9B"/>
    <w:rsid w:val="00EB76D6"/>
    <w:rsid w:val="00EC0178"/>
    <w:rsid w:val="00EC049F"/>
    <w:rsid w:val="00EC7EE1"/>
    <w:rsid w:val="00ED024E"/>
    <w:rsid w:val="00ED194C"/>
    <w:rsid w:val="00ED22FC"/>
    <w:rsid w:val="00ED2C26"/>
    <w:rsid w:val="00ED3898"/>
    <w:rsid w:val="00ED5EC2"/>
    <w:rsid w:val="00EE074E"/>
    <w:rsid w:val="00EE0DF2"/>
    <w:rsid w:val="00EE142F"/>
    <w:rsid w:val="00EE21DD"/>
    <w:rsid w:val="00EE27D8"/>
    <w:rsid w:val="00EE56DF"/>
    <w:rsid w:val="00EE7C98"/>
    <w:rsid w:val="00EF020C"/>
    <w:rsid w:val="00EF1A24"/>
    <w:rsid w:val="00EF1BF1"/>
    <w:rsid w:val="00EF2FFE"/>
    <w:rsid w:val="00EF71E1"/>
    <w:rsid w:val="00F01BD5"/>
    <w:rsid w:val="00F0264E"/>
    <w:rsid w:val="00F05EAF"/>
    <w:rsid w:val="00F06D7C"/>
    <w:rsid w:val="00F1049D"/>
    <w:rsid w:val="00F119F0"/>
    <w:rsid w:val="00F147FD"/>
    <w:rsid w:val="00F15FC1"/>
    <w:rsid w:val="00F17762"/>
    <w:rsid w:val="00F23C5A"/>
    <w:rsid w:val="00F23E91"/>
    <w:rsid w:val="00F25176"/>
    <w:rsid w:val="00F27788"/>
    <w:rsid w:val="00F277D4"/>
    <w:rsid w:val="00F31104"/>
    <w:rsid w:val="00F34E93"/>
    <w:rsid w:val="00F431A1"/>
    <w:rsid w:val="00F4474B"/>
    <w:rsid w:val="00F513E5"/>
    <w:rsid w:val="00F517C8"/>
    <w:rsid w:val="00F5219B"/>
    <w:rsid w:val="00F53138"/>
    <w:rsid w:val="00F534C0"/>
    <w:rsid w:val="00F5467E"/>
    <w:rsid w:val="00F54930"/>
    <w:rsid w:val="00F5523B"/>
    <w:rsid w:val="00F5729F"/>
    <w:rsid w:val="00F57D99"/>
    <w:rsid w:val="00F623B6"/>
    <w:rsid w:val="00F6280F"/>
    <w:rsid w:val="00F62819"/>
    <w:rsid w:val="00F6394B"/>
    <w:rsid w:val="00F63D65"/>
    <w:rsid w:val="00F64D6A"/>
    <w:rsid w:val="00F708D9"/>
    <w:rsid w:val="00F720FB"/>
    <w:rsid w:val="00F80602"/>
    <w:rsid w:val="00F81376"/>
    <w:rsid w:val="00F84C20"/>
    <w:rsid w:val="00F87A16"/>
    <w:rsid w:val="00F92112"/>
    <w:rsid w:val="00F9230A"/>
    <w:rsid w:val="00F92366"/>
    <w:rsid w:val="00F92753"/>
    <w:rsid w:val="00F93F68"/>
    <w:rsid w:val="00F942ED"/>
    <w:rsid w:val="00F9598E"/>
    <w:rsid w:val="00F96B32"/>
    <w:rsid w:val="00F9735A"/>
    <w:rsid w:val="00FA305B"/>
    <w:rsid w:val="00FA42F4"/>
    <w:rsid w:val="00FA7A4D"/>
    <w:rsid w:val="00FB0730"/>
    <w:rsid w:val="00FB0BC1"/>
    <w:rsid w:val="00FB14A0"/>
    <w:rsid w:val="00FB4E4A"/>
    <w:rsid w:val="00FB6D3A"/>
    <w:rsid w:val="00FB7924"/>
    <w:rsid w:val="00FB7F35"/>
    <w:rsid w:val="00FC11D6"/>
    <w:rsid w:val="00FC260E"/>
    <w:rsid w:val="00FC48DD"/>
    <w:rsid w:val="00FC569E"/>
    <w:rsid w:val="00FC67E5"/>
    <w:rsid w:val="00FC6BFF"/>
    <w:rsid w:val="00FD04EB"/>
    <w:rsid w:val="00FD1036"/>
    <w:rsid w:val="00FD131D"/>
    <w:rsid w:val="00FD36E7"/>
    <w:rsid w:val="00FD5177"/>
    <w:rsid w:val="00FE35E1"/>
    <w:rsid w:val="00FE6D86"/>
    <w:rsid w:val="00FF0DA7"/>
    <w:rsid w:val="00FF3276"/>
    <w:rsid w:val="00FF5B26"/>
    <w:rsid w:val="00FF64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C0E1B1"/>
  <w15:docId w15:val="{031D60C2-4605-4506-B0B7-5EBCDEAB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paragraph" w:customStyle="1" w:styleId="Default">
    <w:name w:val="Default"/>
    <w:rsid w:val="00F5729F"/>
    <w:pPr>
      <w:autoSpaceDE w:val="0"/>
      <w:autoSpaceDN w:val="0"/>
      <w:adjustRightInd w:val="0"/>
    </w:pPr>
    <w:rPr>
      <w:rFonts w:eastAsiaTheme="minorHAnsi"/>
      <w:color w:val="000000"/>
      <w:sz w:val="24"/>
      <w:szCs w:val="24"/>
      <w:lang w:val="es-CL" w:eastAsia="en-US"/>
    </w:rPr>
  </w:style>
  <w:style w:type="paragraph" w:customStyle="1" w:styleId="Normal1">
    <w:name w:val="Normal1"/>
    <w:rsid w:val="00D067FA"/>
    <w:rPr>
      <w:color w:val="000000"/>
      <w:sz w:val="24"/>
      <w:lang w:val="en-US" w:eastAsia="en-US"/>
    </w:rPr>
  </w:style>
  <w:style w:type="paragraph" w:styleId="Revision">
    <w:name w:val="Revision"/>
    <w:hidden/>
    <w:uiPriority w:val="99"/>
    <w:semiHidden/>
    <w:rsid w:val="00781F09"/>
    <w:rPr>
      <w:lang w:val="en-US" w:eastAsia="en-US"/>
    </w:rPr>
  </w:style>
  <w:style w:type="character" w:customStyle="1" w:styleId="ListParagraphChar">
    <w:name w:val="List Paragraph Char"/>
    <w:link w:val="ListParagraph"/>
    <w:uiPriority w:val="34"/>
    <w:locked/>
    <w:rsid w:val="00C6398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513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cl" TargetMode="External"/><Relationship Id="rId2" Type="http://schemas.openxmlformats.org/officeDocument/2006/relationships/hyperlink" Target="http://www.senado.cl" TargetMode="External"/><Relationship Id="rId1" Type="http://schemas.openxmlformats.org/officeDocument/2006/relationships/hyperlink" Target="http://www.camara.c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e47e28fca7b8ef0e1176c330c2071549">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582706D7-94D0-4113-BC81-F246756B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99BB5-4298-4E75-8E9C-C9B55C43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6238</Words>
  <Characters>35560</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CPD- Revised Template and Guidance</vt:lpstr>
      <vt:lpstr>CPD- Revised Template and Guidance</vt:lpstr>
    </vt:vector>
  </TitlesOfParts>
  <Company>Microsoft</Company>
  <LinksUpToDate>false</LinksUpToDate>
  <CharactersWithSpaces>41715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2</cp:revision>
  <cp:lastPrinted>2014-09-16T18:18:00Z</cp:lastPrinted>
  <dcterms:created xsi:type="dcterms:W3CDTF">2014-11-03T17:42:00Z</dcterms:created>
  <dcterms:modified xsi:type="dcterms:W3CDTF">2014-11-03T17:42:00Z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