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D971" w14:textId="03F999B0" w:rsidR="00C10832" w:rsidRPr="00F032B2" w:rsidRDefault="00C10832">
      <w:pPr>
        <w:rPr>
          <w:b/>
          <w:color w:val="000000"/>
          <w:lang w:val="en-GB"/>
        </w:rPr>
      </w:pPr>
    </w:p>
    <w:p w14:paraId="77E57C18" w14:textId="77777777" w:rsidR="00C10832" w:rsidRPr="00F032B2" w:rsidRDefault="00C10832">
      <w:pPr>
        <w:rPr>
          <w:color w:val="000000"/>
          <w:sz w:val="6"/>
          <w:lang w:val="en-GB"/>
        </w:rPr>
        <w:sectPr w:rsidR="00C10832" w:rsidRPr="00F032B2">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8A467EF" w14:textId="77777777" w:rsidR="00A8632E" w:rsidRPr="00B9195C" w:rsidRDefault="00A8632E" w:rsidP="00A8632E">
      <w:pPr>
        <w:rPr>
          <w:b/>
          <w:color w:val="000000"/>
          <w:lang w:val="en-GB"/>
        </w:rPr>
      </w:pPr>
      <w:r w:rsidRPr="00B9195C">
        <w:rPr>
          <w:b/>
          <w:color w:val="000000"/>
          <w:lang w:val="en-GB"/>
        </w:rPr>
        <w:t>First regular session 2023</w:t>
      </w:r>
    </w:p>
    <w:p w14:paraId="06341E95" w14:textId="77777777" w:rsidR="00A8632E" w:rsidRPr="00B9195C" w:rsidRDefault="00A8632E" w:rsidP="00A863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9195C">
        <w:rPr>
          <w:color w:val="000000"/>
          <w:lang w:val="en-GB"/>
        </w:rPr>
        <w:t>30 January – 3 February 2023, New York</w:t>
      </w:r>
    </w:p>
    <w:p w14:paraId="1885FD0B" w14:textId="77777777" w:rsidR="00A8632E" w:rsidRPr="00B9195C" w:rsidRDefault="00A8632E" w:rsidP="00A863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9195C">
        <w:rPr>
          <w:color w:val="000000"/>
          <w:lang w:val="en-GB"/>
        </w:rPr>
        <w:t>Item 7 of the provisional agenda</w:t>
      </w:r>
    </w:p>
    <w:p w14:paraId="67494A56" w14:textId="77777777" w:rsidR="00A8632E" w:rsidRPr="00B9195C" w:rsidRDefault="00A8632E" w:rsidP="00A8632E">
      <w:pPr>
        <w:ind w:right="1260"/>
        <w:rPr>
          <w:b/>
          <w:color w:val="000000"/>
          <w:lang w:val="en-GB"/>
        </w:rPr>
      </w:pPr>
      <w:r w:rsidRPr="00B9195C">
        <w:rPr>
          <w:b/>
          <w:color w:val="000000"/>
          <w:lang w:val="en-GB"/>
        </w:rPr>
        <w:t>Country programmes and related matters</w:t>
      </w:r>
    </w:p>
    <w:p w14:paraId="1A36E088" w14:textId="77777777" w:rsidR="00C10832" w:rsidRPr="00F032B2" w:rsidRDefault="00C10832" w:rsidP="000D2091">
      <w:pPr>
        <w:pStyle w:val="SingleTxt"/>
        <w:spacing w:after="0" w:line="120" w:lineRule="exact"/>
        <w:rPr>
          <w:color w:val="000000"/>
        </w:rPr>
      </w:pPr>
    </w:p>
    <w:p w14:paraId="46507422" w14:textId="77777777" w:rsidR="00C10832" w:rsidRPr="00F032B2" w:rsidRDefault="00C10832" w:rsidP="000D2091">
      <w:pPr>
        <w:pStyle w:val="SingleTxt"/>
        <w:spacing w:after="0" w:line="120" w:lineRule="exact"/>
        <w:rPr>
          <w:color w:val="000000"/>
        </w:rPr>
      </w:pPr>
    </w:p>
    <w:p w14:paraId="17841512" w14:textId="77777777" w:rsidR="00C10832" w:rsidRPr="00F032B2" w:rsidRDefault="00C10832" w:rsidP="000D2091">
      <w:pPr>
        <w:pStyle w:val="SingleTxt"/>
        <w:spacing w:after="0" w:line="120" w:lineRule="exact"/>
        <w:rPr>
          <w:color w:val="000000"/>
        </w:rPr>
      </w:pPr>
    </w:p>
    <w:p w14:paraId="58CA8464" w14:textId="4DDF936B" w:rsidR="00EB5E2E" w:rsidRPr="00EB5E2E" w:rsidRDefault="00BF7D41" w:rsidP="00EB5E2E">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b/>
          <w:color w:val="000000"/>
          <w:spacing w:val="-2"/>
          <w:w w:val="103"/>
          <w:kern w:val="14"/>
          <w:sz w:val="32"/>
          <w:szCs w:val="32"/>
          <w:lang w:val="en-GB"/>
        </w:rPr>
      </w:pPr>
      <w:r w:rsidRPr="00F032B2">
        <w:rPr>
          <w:color w:val="000000"/>
        </w:rPr>
        <w:tab/>
      </w:r>
      <w:r w:rsidR="00EB5E2E" w:rsidRPr="00EB5E2E">
        <w:rPr>
          <w:b/>
          <w:color w:val="000000"/>
          <w:spacing w:val="-2"/>
          <w:w w:val="103"/>
          <w:kern w:val="14"/>
          <w:sz w:val="32"/>
          <w:szCs w:val="32"/>
          <w:lang w:val="en-GB"/>
        </w:rPr>
        <w:t xml:space="preserve">Draft country programme document for </w:t>
      </w:r>
      <w:r w:rsidR="00EB5E2E" w:rsidRPr="00EB5E2E">
        <w:rPr>
          <w:b/>
          <w:color w:val="000000"/>
          <w:spacing w:val="-2"/>
          <w:w w:val="103"/>
          <w:kern w:val="14"/>
          <w:sz w:val="32"/>
          <w:szCs w:val="32"/>
        </w:rPr>
        <w:t>São Tomé and Príncipe</w:t>
      </w:r>
      <w:r w:rsidR="00EB5E2E" w:rsidRPr="00EB5E2E">
        <w:rPr>
          <w:b/>
          <w:color w:val="000000"/>
          <w:spacing w:val="-2"/>
          <w:w w:val="103"/>
          <w:kern w:val="14"/>
          <w:sz w:val="32"/>
          <w:szCs w:val="32"/>
        </w:rPr>
        <w:br/>
      </w:r>
      <w:r w:rsidR="00EB5E2E" w:rsidRPr="00EB5E2E">
        <w:rPr>
          <w:b/>
          <w:color w:val="000000"/>
          <w:spacing w:val="-2"/>
          <w:w w:val="103"/>
          <w:kern w:val="14"/>
          <w:sz w:val="32"/>
          <w:szCs w:val="32"/>
          <w:lang w:val="en-GB"/>
        </w:rPr>
        <w:t>(20</w:t>
      </w:r>
      <w:r w:rsidR="00EB5E2E">
        <w:rPr>
          <w:b/>
          <w:color w:val="000000"/>
          <w:spacing w:val="-2"/>
          <w:w w:val="103"/>
          <w:kern w:val="14"/>
          <w:sz w:val="32"/>
          <w:szCs w:val="32"/>
          <w:lang w:val="en-GB"/>
        </w:rPr>
        <w:t>23</w:t>
      </w:r>
      <w:r w:rsidR="00EB5E2E" w:rsidRPr="00EB5E2E">
        <w:rPr>
          <w:b/>
          <w:color w:val="000000"/>
          <w:spacing w:val="-2"/>
          <w:w w:val="103"/>
          <w:kern w:val="14"/>
          <w:sz w:val="32"/>
          <w:szCs w:val="32"/>
          <w:lang w:val="en-GB"/>
        </w:rPr>
        <w:t>-202</w:t>
      </w:r>
      <w:r w:rsidR="00EB5E2E">
        <w:rPr>
          <w:b/>
          <w:color w:val="000000"/>
          <w:spacing w:val="-2"/>
          <w:w w:val="103"/>
          <w:kern w:val="14"/>
          <w:sz w:val="32"/>
          <w:szCs w:val="32"/>
          <w:lang w:val="en-GB"/>
        </w:rPr>
        <w:t>7</w:t>
      </w:r>
      <w:r w:rsidR="00EB5E2E" w:rsidRPr="00EB5E2E">
        <w:rPr>
          <w:b/>
          <w:color w:val="000000"/>
          <w:spacing w:val="-2"/>
          <w:w w:val="103"/>
          <w:kern w:val="14"/>
          <w:sz w:val="32"/>
          <w:szCs w:val="32"/>
          <w:lang w:val="en-GB"/>
        </w:rPr>
        <w:t>)</w:t>
      </w:r>
    </w:p>
    <w:p w14:paraId="4129096A" w14:textId="698575F2" w:rsidR="00C10832" w:rsidRDefault="00C10832" w:rsidP="000D20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color w:val="000000"/>
          <w:sz w:val="20"/>
        </w:rPr>
      </w:pPr>
    </w:p>
    <w:p w14:paraId="05CF9FE6" w14:textId="77777777" w:rsidR="009B6F50" w:rsidRPr="009B6F50" w:rsidRDefault="009B6F50" w:rsidP="009B6F5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kern w:val="14"/>
          <w:sz w:val="28"/>
          <w:szCs w:val="28"/>
          <w:lang w:val="en-GB"/>
        </w:rPr>
      </w:pPr>
    </w:p>
    <w:p w14:paraId="0935F886" w14:textId="77777777" w:rsidR="009B6F50" w:rsidRPr="009B6F50" w:rsidRDefault="009B6F50" w:rsidP="009B6F5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9B6F50">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9B6F50" w:rsidRPr="009B6F50" w14:paraId="7D1982D5" w14:textId="77777777" w:rsidTr="001D729C">
        <w:tc>
          <w:tcPr>
            <w:tcW w:w="1260" w:type="dxa"/>
            <w:shd w:val="clear" w:color="auto" w:fill="auto"/>
          </w:tcPr>
          <w:p w14:paraId="768BE878" w14:textId="77777777" w:rsidR="009B6F50" w:rsidRPr="009B6F50" w:rsidRDefault="009B6F50" w:rsidP="009B6F50">
            <w:pPr>
              <w:tabs>
                <w:tab w:val="left" w:pos="1620"/>
              </w:tabs>
              <w:suppressAutoHyphens/>
              <w:spacing w:after="120"/>
              <w:jc w:val="right"/>
              <w:rPr>
                <w:i/>
                <w:color w:val="000000"/>
                <w:spacing w:val="4"/>
                <w:w w:val="103"/>
                <w:kern w:val="14"/>
                <w:sz w:val="14"/>
                <w:lang w:val="en-GB"/>
              </w:rPr>
            </w:pPr>
            <w:r w:rsidRPr="009B6F50">
              <w:rPr>
                <w:i/>
                <w:color w:val="000000"/>
                <w:spacing w:val="4"/>
                <w:w w:val="103"/>
                <w:kern w:val="14"/>
                <w:sz w:val="14"/>
                <w:lang w:val="en-GB"/>
              </w:rPr>
              <w:t>Chapter</w:t>
            </w:r>
          </w:p>
        </w:tc>
        <w:tc>
          <w:tcPr>
            <w:tcW w:w="8280" w:type="dxa"/>
            <w:gridSpan w:val="2"/>
            <w:shd w:val="clear" w:color="auto" w:fill="auto"/>
          </w:tcPr>
          <w:p w14:paraId="706241D8" w14:textId="77777777" w:rsidR="009B6F50" w:rsidRPr="009B6F50" w:rsidRDefault="009B6F50" w:rsidP="009B6F50">
            <w:pPr>
              <w:tabs>
                <w:tab w:val="left" w:pos="1620"/>
              </w:tabs>
              <w:suppressAutoHyphens/>
              <w:spacing w:after="120"/>
              <w:rPr>
                <w:i/>
                <w:color w:val="000000"/>
                <w:spacing w:val="4"/>
                <w:w w:val="103"/>
                <w:kern w:val="14"/>
                <w:sz w:val="14"/>
                <w:lang w:val="en-GB"/>
              </w:rPr>
            </w:pPr>
          </w:p>
        </w:tc>
        <w:tc>
          <w:tcPr>
            <w:tcW w:w="362" w:type="dxa"/>
            <w:shd w:val="clear" w:color="auto" w:fill="auto"/>
          </w:tcPr>
          <w:p w14:paraId="0484FE39" w14:textId="77777777" w:rsidR="009B6F50" w:rsidRPr="009B6F50" w:rsidRDefault="009B6F50" w:rsidP="009B6F50">
            <w:pPr>
              <w:tabs>
                <w:tab w:val="left" w:pos="1620"/>
              </w:tabs>
              <w:suppressAutoHyphens/>
              <w:spacing w:after="120"/>
              <w:jc w:val="right"/>
              <w:rPr>
                <w:i/>
                <w:color w:val="000000"/>
                <w:spacing w:val="4"/>
                <w:w w:val="103"/>
                <w:kern w:val="14"/>
                <w:sz w:val="14"/>
                <w:lang w:val="en-GB"/>
              </w:rPr>
            </w:pPr>
            <w:r w:rsidRPr="009B6F50">
              <w:rPr>
                <w:i/>
                <w:color w:val="000000"/>
                <w:kern w:val="14"/>
                <w:sz w:val="14"/>
                <w:lang w:val="en-GB"/>
              </w:rPr>
              <w:t>Page</w:t>
            </w:r>
          </w:p>
        </w:tc>
      </w:tr>
      <w:tr w:rsidR="009B6F50" w:rsidRPr="009B6F50" w14:paraId="1468FD6E" w14:textId="77777777" w:rsidTr="001D729C">
        <w:tc>
          <w:tcPr>
            <w:tcW w:w="9540" w:type="dxa"/>
            <w:gridSpan w:val="3"/>
            <w:shd w:val="clear" w:color="auto" w:fill="auto"/>
          </w:tcPr>
          <w:p w14:paraId="56BD1313" w14:textId="77777777" w:rsidR="009B6F50" w:rsidRPr="009B6F50" w:rsidRDefault="009B6F50" w:rsidP="009B6F50">
            <w:pPr>
              <w:numPr>
                <w:ilvl w:val="0"/>
                <w:numId w:val="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9B6F50">
              <w:rPr>
                <w:color w:val="000000"/>
                <w:kern w:val="14"/>
                <w:lang w:val="en-GB"/>
              </w:rPr>
              <w:tab/>
              <w:t>UNDP within the United Nations Sustainable Development Cooperation Framework</w:t>
            </w:r>
            <w:r w:rsidRPr="009B6F50">
              <w:rPr>
                <w:color w:val="000000"/>
                <w:sz w:val="24"/>
                <w:lang w:val="en-GB"/>
              </w:rPr>
              <w:tab/>
            </w:r>
          </w:p>
        </w:tc>
        <w:tc>
          <w:tcPr>
            <w:tcW w:w="362" w:type="dxa"/>
            <w:vMerge w:val="restart"/>
            <w:shd w:val="clear" w:color="auto" w:fill="auto"/>
            <w:vAlign w:val="bottom"/>
          </w:tcPr>
          <w:p w14:paraId="2E9196BF" w14:textId="77777777" w:rsidR="009B6F50" w:rsidRPr="009B6F50" w:rsidRDefault="009B6F50" w:rsidP="009B6F50">
            <w:pPr>
              <w:tabs>
                <w:tab w:val="left" w:pos="1620"/>
              </w:tabs>
              <w:suppressAutoHyphens/>
              <w:spacing w:after="120" w:line="240" w:lineRule="exact"/>
              <w:jc w:val="right"/>
              <w:rPr>
                <w:color w:val="000000"/>
                <w:spacing w:val="4"/>
                <w:w w:val="103"/>
                <w:kern w:val="14"/>
                <w:lang w:val="en-GB"/>
              </w:rPr>
            </w:pPr>
            <w:r w:rsidRPr="009B6F50">
              <w:rPr>
                <w:color w:val="000000"/>
                <w:kern w:val="14"/>
                <w:lang w:val="en-GB"/>
              </w:rPr>
              <w:t>2</w:t>
            </w:r>
          </w:p>
          <w:p w14:paraId="2250E4DF" w14:textId="77777777" w:rsidR="009B6F50" w:rsidRPr="009B6F50" w:rsidRDefault="009B6F50" w:rsidP="009B6F50">
            <w:pPr>
              <w:tabs>
                <w:tab w:val="left" w:pos="1620"/>
              </w:tabs>
              <w:suppressAutoHyphens/>
              <w:spacing w:after="120" w:line="240" w:lineRule="exact"/>
              <w:jc w:val="right"/>
              <w:rPr>
                <w:color w:val="000000"/>
                <w:spacing w:val="4"/>
                <w:w w:val="103"/>
                <w:kern w:val="14"/>
                <w:lang w:val="en-GB"/>
              </w:rPr>
            </w:pPr>
            <w:r w:rsidRPr="009B6F50">
              <w:rPr>
                <w:color w:val="000000"/>
                <w:spacing w:val="4"/>
                <w:w w:val="103"/>
                <w:kern w:val="14"/>
                <w:lang w:val="en-GB"/>
              </w:rPr>
              <w:t>4</w:t>
            </w:r>
          </w:p>
        </w:tc>
      </w:tr>
      <w:tr w:rsidR="009B6F50" w:rsidRPr="009B6F50" w14:paraId="54385DA5" w14:textId="77777777" w:rsidTr="001D729C">
        <w:tc>
          <w:tcPr>
            <w:tcW w:w="9540" w:type="dxa"/>
            <w:gridSpan w:val="3"/>
            <w:shd w:val="clear" w:color="auto" w:fill="auto"/>
          </w:tcPr>
          <w:p w14:paraId="1ACF2434" w14:textId="77777777" w:rsidR="009B6F50" w:rsidRPr="009B6F50" w:rsidRDefault="009B6F50" w:rsidP="009B6F50">
            <w:pPr>
              <w:numPr>
                <w:ilvl w:val="0"/>
                <w:numId w:val="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9B6F50">
              <w:rPr>
                <w:color w:val="000000"/>
                <w:kern w:val="14"/>
                <w:lang w:val="en-GB"/>
              </w:rPr>
              <w:tab/>
              <w:t>Programme priorities and partnerships</w:t>
            </w:r>
            <w:r w:rsidRPr="009B6F50">
              <w:rPr>
                <w:color w:val="000000"/>
                <w:lang w:val="en-GB"/>
              </w:rPr>
              <w:t>………………………………………………….</w:t>
            </w:r>
            <w:r w:rsidRPr="009B6F50">
              <w:rPr>
                <w:color w:val="000000"/>
                <w:lang w:val="en-GB"/>
              </w:rPr>
              <w:tab/>
              <w:t>……….…</w:t>
            </w:r>
          </w:p>
        </w:tc>
        <w:tc>
          <w:tcPr>
            <w:tcW w:w="362" w:type="dxa"/>
            <w:vMerge/>
            <w:shd w:val="clear" w:color="auto" w:fill="auto"/>
            <w:vAlign w:val="bottom"/>
          </w:tcPr>
          <w:p w14:paraId="17AC9E0F" w14:textId="77777777" w:rsidR="009B6F50" w:rsidRPr="009B6F50" w:rsidRDefault="009B6F50" w:rsidP="009B6F50">
            <w:pPr>
              <w:tabs>
                <w:tab w:val="left" w:pos="1620"/>
              </w:tabs>
              <w:suppressAutoHyphens/>
              <w:spacing w:after="120" w:line="240" w:lineRule="exact"/>
              <w:jc w:val="right"/>
              <w:rPr>
                <w:color w:val="000000"/>
                <w:spacing w:val="4"/>
                <w:w w:val="103"/>
                <w:kern w:val="14"/>
                <w:lang w:val="en-GB"/>
              </w:rPr>
            </w:pPr>
          </w:p>
        </w:tc>
      </w:tr>
      <w:tr w:rsidR="009B6F50" w:rsidRPr="009B6F50" w14:paraId="7BD1436E" w14:textId="77777777" w:rsidTr="001D729C">
        <w:tc>
          <w:tcPr>
            <w:tcW w:w="9540" w:type="dxa"/>
            <w:gridSpan w:val="3"/>
            <w:shd w:val="clear" w:color="auto" w:fill="auto"/>
          </w:tcPr>
          <w:p w14:paraId="116D65A0" w14:textId="77777777" w:rsidR="009B6F50" w:rsidRPr="009B6F50" w:rsidRDefault="009B6F50" w:rsidP="009B6F50">
            <w:pPr>
              <w:numPr>
                <w:ilvl w:val="0"/>
                <w:numId w:val="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9B6F50">
              <w:rPr>
                <w:color w:val="000000"/>
                <w:kern w:val="14"/>
                <w:lang w:val="en-GB"/>
              </w:rPr>
              <w:tab/>
              <w:t xml:space="preserve">Programme and risk management </w:t>
            </w:r>
            <w:r w:rsidRPr="009B6F50">
              <w:rPr>
                <w:color w:val="000000"/>
                <w:lang w:val="en-GB"/>
              </w:rPr>
              <w:t>……………………………………………….…………………</w:t>
            </w:r>
          </w:p>
        </w:tc>
        <w:tc>
          <w:tcPr>
            <w:tcW w:w="362" w:type="dxa"/>
            <w:vMerge w:val="restart"/>
            <w:shd w:val="clear" w:color="auto" w:fill="auto"/>
            <w:vAlign w:val="bottom"/>
          </w:tcPr>
          <w:p w14:paraId="2CE06712" w14:textId="798C16DF" w:rsidR="009B6F50" w:rsidRPr="009B6F50" w:rsidRDefault="00E1716A" w:rsidP="009B6F50">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p w14:paraId="37DEDD01" w14:textId="56C7E729" w:rsidR="009B6F50" w:rsidRPr="009B6F50" w:rsidRDefault="00490F75" w:rsidP="009B6F50">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r w:rsidR="009B6F50" w:rsidRPr="009B6F50" w14:paraId="0A5F09E1" w14:textId="77777777" w:rsidTr="001D729C">
        <w:tc>
          <w:tcPr>
            <w:tcW w:w="9540" w:type="dxa"/>
            <w:gridSpan w:val="3"/>
            <w:shd w:val="clear" w:color="auto" w:fill="auto"/>
          </w:tcPr>
          <w:p w14:paraId="2614CB86" w14:textId="77777777" w:rsidR="009B6F50" w:rsidRPr="009B6F50" w:rsidRDefault="009B6F50" w:rsidP="009B6F50">
            <w:pPr>
              <w:numPr>
                <w:ilvl w:val="0"/>
                <w:numId w:val="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9B6F50">
              <w:rPr>
                <w:color w:val="000000"/>
                <w:kern w:val="14"/>
                <w:lang w:val="en-GB"/>
              </w:rPr>
              <w:tab/>
              <w:t>Monitoring and evaluation</w:t>
            </w:r>
            <w:r w:rsidRPr="009B6F50">
              <w:rPr>
                <w:color w:val="000000"/>
                <w:sz w:val="24"/>
                <w:lang w:val="en-GB"/>
              </w:rPr>
              <w:tab/>
            </w:r>
            <w:r w:rsidRPr="009B6F50">
              <w:rPr>
                <w:color w:val="000000"/>
                <w:lang w:val="en-GB"/>
              </w:rPr>
              <w:t>…………………………………………………….……………………</w:t>
            </w:r>
          </w:p>
        </w:tc>
        <w:tc>
          <w:tcPr>
            <w:tcW w:w="362" w:type="dxa"/>
            <w:vMerge/>
            <w:shd w:val="clear" w:color="auto" w:fill="auto"/>
            <w:vAlign w:val="bottom"/>
          </w:tcPr>
          <w:p w14:paraId="06D09133" w14:textId="77777777" w:rsidR="009B6F50" w:rsidRPr="009B6F50" w:rsidRDefault="009B6F50" w:rsidP="009B6F50">
            <w:pPr>
              <w:tabs>
                <w:tab w:val="left" w:pos="1620"/>
              </w:tabs>
              <w:suppressAutoHyphens/>
              <w:spacing w:after="120" w:line="240" w:lineRule="exact"/>
              <w:jc w:val="right"/>
              <w:rPr>
                <w:color w:val="000000"/>
                <w:spacing w:val="4"/>
                <w:w w:val="103"/>
                <w:kern w:val="14"/>
                <w:lang w:val="en-GB"/>
              </w:rPr>
            </w:pPr>
          </w:p>
        </w:tc>
      </w:tr>
      <w:tr w:rsidR="009B6F50" w:rsidRPr="009B6F50" w14:paraId="482479F3" w14:textId="77777777" w:rsidTr="001D729C">
        <w:tc>
          <w:tcPr>
            <w:tcW w:w="9369" w:type="dxa"/>
            <w:gridSpan w:val="2"/>
            <w:shd w:val="clear" w:color="auto" w:fill="auto"/>
          </w:tcPr>
          <w:p w14:paraId="7B0AA0A0" w14:textId="77777777" w:rsidR="009B6F50" w:rsidRPr="009B6F50" w:rsidRDefault="009B6F50" w:rsidP="009B6F5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9B6F50">
              <w:rPr>
                <w:color w:val="000000"/>
                <w:kern w:val="14"/>
                <w:lang w:val="en-GB"/>
              </w:rPr>
              <w:t>Annex</w:t>
            </w:r>
          </w:p>
        </w:tc>
        <w:tc>
          <w:tcPr>
            <w:tcW w:w="533" w:type="dxa"/>
            <w:gridSpan w:val="2"/>
            <w:shd w:val="clear" w:color="auto" w:fill="auto"/>
            <w:vAlign w:val="bottom"/>
          </w:tcPr>
          <w:p w14:paraId="61C11A8D" w14:textId="77777777" w:rsidR="009B6F50" w:rsidRPr="009B6F50" w:rsidRDefault="009B6F50" w:rsidP="009B6F50">
            <w:pPr>
              <w:tabs>
                <w:tab w:val="left" w:pos="1620"/>
              </w:tabs>
              <w:suppressAutoHyphens/>
              <w:spacing w:after="120" w:line="240" w:lineRule="exact"/>
              <w:jc w:val="right"/>
              <w:rPr>
                <w:color w:val="000000"/>
                <w:spacing w:val="4"/>
                <w:w w:val="103"/>
                <w:kern w:val="14"/>
                <w:lang w:val="en-GB"/>
              </w:rPr>
            </w:pPr>
          </w:p>
        </w:tc>
      </w:tr>
      <w:tr w:rsidR="009B6F50" w:rsidRPr="009B6F50" w14:paraId="0F8DBFCB" w14:textId="77777777" w:rsidTr="001D729C">
        <w:tc>
          <w:tcPr>
            <w:tcW w:w="9369" w:type="dxa"/>
            <w:gridSpan w:val="2"/>
            <w:shd w:val="clear" w:color="auto" w:fill="auto"/>
          </w:tcPr>
          <w:p w14:paraId="3A673A3E" w14:textId="644B8FA4" w:rsidR="009B6F50" w:rsidRPr="009B6F50" w:rsidRDefault="009B6F50" w:rsidP="009B6F5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9B6F50">
              <w:rPr>
                <w:color w:val="000000"/>
                <w:kern w:val="14"/>
                <w:lang w:val="en-GB"/>
              </w:rPr>
              <w:t>Results and resources framework for São Tomé and Príncipe (2023-2027)</w:t>
            </w:r>
            <w:r w:rsidRPr="009B6F50">
              <w:rPr>
                <w:color w:val="000000"/>
                <w:sz w:val="24"/>
                <w:lang w:val="en-GB"/>
              </w:rPr>
              <w:tab/>
            </w:r>
          </w:p>
        </w:tc>
        <w:tc>
          <w:tcPr>
            <w:tcW w:w="533" w:type="dxa"/>
            <w:gridSpan w:val="2"/>
            <w:shd w:val="clear" w:color="auto" w:fill="auto"/>
            <w:vAlign w:val="bottom"/>
          </w:tcPr>
          <w:p w14:paraId="253223A2" w14:textId="38D40631" w:rsidR="009B6F50" w:rsidRPr="009B6F50" w:rsidRDefault="00490F75" w:rsidP="009B6F50">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10</w:t>
            </w:r>
          </w:p>
        </w:tc>
      </w:tr>
    </w:tbl>
    <w:p w14:paraId="56F6D886" w14:textId="77777777" w:rsidR="00C10832" w:rsidRPr="00F032B2" w:rsidRDefault="00C10832" w:rsidP="000D2091">
      <w:pPr>
        <w:jc w:val="both"/>
        <w:rPr>
          <w:lang w:val="en-GB"/>
        </w:rPr>
      </w:pPr>
    </w:p>
    <w:p w14:paraId="1DD5E648" w14:textId="096EBCBA" w:rsidR="00BF7D41" w:rsidRPr="008952AA" w:rsidRDefault="00BF7D41" w:rsidP="003F4315">
      <w:pPr>
        <w:pStyle w:val="Heading2"/>
        <w:numPr>
          <w:ilvl w:val="0"/>
          <w:numId w:val="3"/>
        </w:numPr>
        <w:tabs>
          <w:tab w:val="left" w:pos="1620"/>
        </w:tabs>
        <w:ind w:left="1260" w:right="1210" w:hanging="360"/>
        <w:jc w:val="both"/>
        <w:rPr>
          <w:rFonts w:ascii="Times New Roman" w:hAnsi="Times New Roman"/>
          <w:bCs/>
          <w:sz w:val="24"/>
          <w:szCs w:val="24"/>
          <w:lang w:val="en-GB"/>
        </w:rPr>
      </w:pPr>
      <w:r w:rsidRPr="00F032B2">
        <w:rPr>
          <w:rFonts w:ascii="Times New Roman" w:hAnsi="Times New Roman"/>
          <w:sz w:val="20"/>
          <w:lang w:val="en-GB"/>
        </w:rPr>
        <w:br w:type="page"/>
      </w:r>
      <w:bookmarkStart w:id="0" w:name="_Hlk66783028"/>
      <w:r w:rsidR="00C422B1" w:rsidRPr="008952AA">
        <w:rPr>
          <w:rFonts w:ascii="Times New Roman" w:hAnsi="Times New Roman"/>
          <w:bCs/>
          <w:sz w:val="24"/>
          <w:szCs w:val="24"/>
          <w:lang w:val="en-GB"/>
        </w:rPr>
        <w:lastRenderedPageBreak/>
        <w:t xml:space="preserve">UNDP </w:t>
      </w:r>
      <w:r w:rsidR="00E11D1B">
        <w:rPr>
          <w:rFonts w:ascii="Times New Roman" w:hAnsi="Times New Roman"/>
          <w:bCs/>
          <w:color w:val="000000"/>
          <w:sz w:val="24"/>
          <w:szCs w:val="24"/>
        </w:rPr>
        <w:t xml:space="preserve">within </w:t>
      </w:r>
      <w:r w:rsidR="00E11D1B" w:rsidRPr="00F10EA6">
        <w:rPr>
          <w:rFonts w:ascii="Times New Roman" w:hAnsi="Times New Roman"/>
          <w:color w:val="000000"/>
          <w:sz w:val="24"/>
          <w:szCs w:val="24"/>
        </w:rPr>
        <w:t>the U</w:t>
      </w:r>
      <w:r w:rsidR="00E11D1B">
        <w:rPr>
          <w:rFonts w:ascii="Times New Roman" w:hAnsi="Times New Roman"/>
          <w:color w:val="000000"/>
          <w:sz w:val="24"/>
          <w:szCs w:val="24"/>
        </w:rPr>
        <w:t xml:space="preserve">nited </w:t>
      </w:r>
      <w:r w:rsidR="00E11D1B" w:rsidRPr="00F10EA6">
        <w:rPr>
          <w:rFonts w:ascii="Times New Roman" w:hAnsi="Times New Roman"/>
          <w:color w:val="000000"/>
          <w:sz w:val="24"/>
          <w:szCs w:val="24"/>
        </w:rPr>
        <w:t>N</w:t>
      </w:r>
      <w:r w:rsidR="00E11D1B">
        <w:rPr>
          <w:rFonts w:ascii="Times New Roman" w:hAnsi="Times New Roman"/>
          <w:color w:val="000000"/>
          <w:sz w:val="24"/>
          <w:szCs w:val="24"/>
        </w:rPr>
        <w:t>ations</w:t>
      </w:r>
      <w:r w:rsidR="00E11D1B" w:rsidRPr="00F10EA6">
        <w:rPr>
          <w:rFonts w:ascii="Times New Roman" w:hAnsi="Times New Roman"/>
          <w:color w:val="000000"/>
          <w:sz w:val="24"/>
          <w:szCs w:val="24"/>
        </w:rPr>
        <w:t xml:space="preserve"> Sustainable Development Cooperation Framewor</w:t>
      </w:r>
      <w:r w:rsidR="00E11D1B">
        <w:rPr>
          <w:rFonts w:ascii="Times New Roman" w:hAnsi="Times New Roman"/>
          <w:color w:val="000000"/>
          <w:sz w:val="24"/>
          <w:szCs w:val="24"/>
        </w:rPr>
        <w:t>k</w:t>
      </w:r>
    </w:p>
    <w:bookmarkEnd w:id="0"/>
    <w:p w14:paraId="31F024E2" w14:textId="77777777" w:rsidR="00BF7D41" w:rsidRPr="005B7BF5" w:rsidRDefault="00BF7D41" w:rsidP="00B13D1B">
      <w:pPr>
        <w:tabs>
          <w:tab w:val="left" w:pos="1620"/>
        </w:tabs>
        <w:ind w:left="1260" w:right="1210"/>
        <w:jc w:val="both"/>
        <w:rPr>
          <w:lang w:val="en-GB"/>
        </w:rPr>
      </w:pPr>
    </w:p>
    <w:p w14:paraId="48DA2115" w14:textId="5A13B227" w:rsidR="008952AA" w:rsidRPr="005B7BF5" w:rsidRDefault="008952AA" w:rsidP="00B13D1B">
      <w:pPr>
        <w:numPr>
          <w:ilvl w:val="0"/>
          <w:numId w:val="4"/>
        </w:numPr>
        <w:tabs>
          <w:tab w:val="left" w:pos="1620"/>
        </w:tabs>
        <w:spacing w:after="120"/>
        <w:ind w:left="1260" w:right="1210" w:firstLine="0"/>
        <w:jc w:val="both"/>
        <w:rPr>
          <w:shd w:val="clear" w:color="auto" w:fill="FFFFFF"/>
          <w:lang w:val="en-GB"/>
        </w:rPr>
      </w:pPr>
      <w:r w:rsidRPr="005B7BF5">
        <w:rPr>
          <w:shd w:val="clear" w:color="auto" w:fill="FFFFFF"/>
          <w:lang w:val="en-GB"/>
        </w:rPr>
        <w:t>São Tomé and Príncipe is a comparatively stable democracy</w:t>
      </w:r>
      <w:r w:rsidRPr="005B7BF5">
        <w:rPr>
          <w:vertAlign w:val="superscript"/>
          <w:lang w:val="en-GB"/>
        </w:rPr>
        <w:footnoteReference w:id="2"/>
      </w:r>
      <w:r w:rsidRPr="005B7BF5">
        <w:rPr>
          <w:shd w:val="clear" w:color="auto" w:fill="FFFFFF"/>
          <w:lang w:val="en-GB"/>
        </w:rPr>
        <w:t xml:space="preserve"> </w:t>
      </w:r>
      <w:r w:rsidR="007808D6">
        <w:rPr>
          <w:shd w:val="clear" w:color="auto" w:fill="FFFFFF"/>
          <w:lang w:val="en-GB"/>
        </w:rPr>
        <w:t>that</w:t>
      </w:r>
      <w:r w:rsidR="007808D6" w:rsidRPr="005B7BF5">
        <w:rPr>
          <w:shd w:val="clear" w:color="auto" w:fill="FFFFFF"/>
          <w:lang w:val="en-GB"/>
        </w:rPr>
        <w:t xml:space="preserve"> </w:t>
      </w:r>
      <w:r w:rsidRPr="005B7BF5">
        <w:rPr>
          <w:shd w:val="clear" w:color="auto" w:fill="FFFFFF"/>
          <w:lang w:val="en-GB"/>
        </w:rPr>
        <w:t xml:space="preserve">has achieved progress in human development, driven by public investments in health and education. </w:t>
      </w:r>
      <w:r w:rsidR="00267F46">
        <w:rPr>
          <w:shd w:val="clear" w:color="auto" w:fill="FFFFFF"/>
          <w:lang w:val="en-GB"/>
        </w:rPr>
        <w:t>With a population of 219,078,</w:t>
      </w:r>
      <w:r w:rsidR="00C92265">
        <w:rPr>
          <w:shd w:val="clear" w:color="auto" w:fill="FFFFFF"/>
          <w:lang w:val="en-GB"/>
        </w:rPr>
        <w:t xml:space="preserve"> the</w:t>
      </w:r>
      <w:r w:rsidR="00267F46">
        <w:rPr>
          <w:shd w:val="clear" w:color="auto" w:fill="FFFFFF"/>
          <w:lang w:val="en-GB"/>
        </w:rPr>
        <w:t xml:space="preserve"> </w:t>
      </w:r>
      <w:r w:rsidRPr="005B7BF5">
        <w:rPr>
          <w:shd w:val="clear" w:color="auto" w:fill="FFFFFF"/>
          <w:lang w:val="en-GB"/>
        </w:rPr>
        <w:t>average life expectancy reached 70.4</w:t>
      </w:r>
      <w:r w:rsidR="00267F46">
        <w:rPr>
          <w:shd w:val="clear" w:color="auto" w:fill="FFFFFF"/>
          <w:lang w:val="en-GB"/>
        </w:rPr>
        <w:t xml:space="preserve"> in 2019 </w:t>
      </w:r>
      <w:r w:rsidR="00C92265">
        <w:rPr>
          <w:shd w:val="clear" w:color="auto" w:fill="FFFFFF"/>
          <w:lang w:val="en-GB"/>
        </w:rPr>
        <w:t>while</w:t>
      </w:r>
      <w:r w:rsidR="00C92265" w:rsidRPr="005B7BF5">
        <w:rPr>
          <w:shd w:val="clear" w:color="auto" w:fill="FFFFFF"/>
          <w:lang w:val="en-GB"/>
        </w:rPr>
        <w:t xml:space="preserve"> </w:t>
      </w:r>
      <w:r w:rsidRPr="005B7BF5">
        <w:rPr>
          <w:shd w:val="clear" w:color="auto" w:fill="FFFFFF"/>
          <w:lang w:val="en-GB"/>
        </w:rPr>
        <w:t>years of schooling averaged 12.7. Between 2010</w:t>
      </w:r>
      <w:r w:rsidR="00C92265">
        <w:rPr>
          <w:shd w:val="clear" w:color="auto" w:fill="FFFFFF"/>
          <w:lang w:val="en-GB"/>
        </w:rPr>
        <w:t xml:space="preserve"> and </w:t>
      </w:r>
      <w:r w:rsidRPr="005B7BF5">
        <w:rPr>
          <w:shd w:val="clear" w:color="auto" w:fill="FFFFFF"/>
          <w:lang w:val="en-GB"/>
        </w:rPr>
        <w:t>2019 economic growth averaged 4.17</w:t>
      </w:r>
      <w:r w:rsidR="004F0BA9">
        <w:rPr>
          <w:shd w:val="clear" w:color="auto" w:fill="FFFFFF"/>
          <w:lang w:val="en-GB"/>
        </w:rPr>
        <w:t xml:space="preserve"> per</w:t>
      </w:r>
      <w:r w:rsidR="00C92265">
        <w:rPr>
          <w:shd w:val="clear" w:color="auto" w:fill="FFFFFF"/>
          <w:lang w:val="en-GB"/>
        </w:rPr>
        <w:t xml:space="preserve"> </w:t>
      </w:r>
      <w:r w:rsidR="004F0BA9">
        <w:rPr>
          <w:shd w:val="clear" w:color="auto" w:fill="FFFFFF"/>
          <w:lang w:val="en-GB"/>
        </w:rPr>
        <w:t>cent</w:t>
      </w:r>
      <w:r w:rsidRPr="005B7BF5">
        <w:rPr>
          <w:shd w:val="clear" w:color="auto" w:fill="FFFFFF"/>
          <w:lang w:val="en-GB"/>
        </w:rPr>
        <w:t xml:space="preserve"> </w:t>
      </w:r>
      <w:r w:rsidR="00C92265">
        <w:rPr>
          <w:shd w:val="clear" w:color="auto" w:fill="FFFFFF"/>
          <w:lang w:val="en-GB"/>
        </w:rPr>
        <w:t>and</w:t>
      </w:r>
      <w:r w:rsidR="00C92265" w:rsidRPr="005B7BF5">
        <w:rPr>
          <w:shd w:val="clear" w:color="auto" w:fill="FFFFFF"/>
          <w:lang w:val="en-GB"/>
        </w:rPr>
        <w:t xml:space="preserve"> </w:t>
      </w:r>
      <w:r w:rsidRPr="005B7BF5">
        <w:rPr>
          <w:shd w:val="clear" w:color="auto" w:fill="FFFFFF"/>
          <w:lang w:val="en-GB"/>
        </w:rPr>
        <w:t xml:space="preserve">the GNI per capita </w:t>
      </w:r>
      <w:r w:rsidR="00C92265">
        <w:rPr>
          <w:shd w:val="clear" w:color="auto" w:fill="FFFFFF"/>
          <w:lang w:val="en-GB"/>
        </w:rPr>
        <w:t>reached</w:t>
      </w:r>
      <w:r w:rsidR="00C92265" w:rsidRPr="005B7BF5">
        <w:rPr>
          <w:shd w:val="clear" w:color="auto" w:fill="FFFFFF"/>
          <w:lang w:val="en-GB"/>
        </w:rPr>
        <w:t xml:space="preserve"> </w:t>
      </w:r>
      <w:r w:rsidRPr="005B7BF5">
        <w:rPr>
          <w:shd w:val="clear" w:color="auto" w:fill="FFFFFF"/>
          <w:lang w:val="en-GB"/>
        </w:rPr>
        <w:t xml:space="preserve">almost </w:t>
      </w:r>
      <w:r w:rsidR="00C92265">
        <w:rPr>
          <w:shd w:val="clear" w:color="auto" w:fill="FFFFFF"/>
          <w:lang w:val="en-GB"/>
        </w:rPr>
        <w:t>$</w:t>
      </w:r>
      <w:r w:rsidRPr="005B7BF5">
        <w:rPr>
          <w:shd w:val="clear" w:color="auto" w:fill="FFFFFF"/>
          <w:lang w:val="en-GB"/>
        </w:rPr>
        <w:t>4</w:t>
      </w:r>
      <w:r w:rsidR="00FC456E" w:rsidRPr="005B7BF5">
        <w:rPr>
          <w:shd w:val="clear" w:color="auto" w:fill="FFFFFF"/>
          <w:lang w:val="en-GB"/>
        </w:rPr>
        <w:t>,</w:t>
      </w:r>
      <w:r w:rsidRPr="005B7BF5">
        <w:rPr>
          <w:shd w:val="clear" w:color="auto" w:fill="FFFFFF"/>
          <w:lang w:val="en-GB"/>
        </w:rPr>
        <w:t>000</w:t>
      </w:r>
      <w:r w:rsidR="00C92265">
        <w:rPr>
          <w:shd w:val="clear" w:color="auto" w:fill="FFFFFF"/>
          <w:lang w:val="en-GB"/>
        </w:rPr>
        <w:t xml:space="preserve"> US dollars</w:t>
      </w:r>
      <w:r w:rsidRPr="005B7BF5">
        <w:rPr>
          <w:shd w:val="clear" w:color="auto" w:fill="FFFFFF"/>
          <w:lang w:val="en-GB"/>
        </w:rPr>
        <w:t xml:space="preserve"> in 2019</w:t>
      </w:r>
      <w:r w:rsidR="00C92265">
        <w:rPr>
          <w:shd w:val="clear" w:color="auto" w:fill="FFFFFF"/>
          <w:lang w:val="en-GB"/>
        </w:rPr>
        <w:t xml:space="preserve">, which </w:t>
      </w:r>
      <w:r w:rsidR="00B478DF">
        <w:rPr>
          <w:shd w:val="clear" w:color="auto" w:fill="FFFFFF"/>
          <w:lang w:val="en-GB"/>
        </w:rPr>
        <w:t>elevated</w:t>
      </w:r>
      <w:r w:rsidRPr="005B7BF5">
        <w:rPr>
          <w:shd w:val="clear" w:color="auto" w:fill="FFFFFF"/>
          <w:lang w:val="en-GB"/>
        </w:rPr>
        <w:t xml:space="preserve"> </w:t>
      </w:r>
      <w:r w:rsidR="00C92265">
        <w:rPr>
          <w:shd w:val="clear" w:color="auto" w:fill="FFFFFF"/>
          <w:lang w:val="en-GB"/>
        </w:rPr>
        <w:t>the country’s</w:t>
      </w:r>
      <w:r w:rsidRPr="005B7BF5">
        <w:rPr>
          <w:shd w:val="clear" w:color="auto" w:fill="FFFFFF"/>
          <w:lang w:val="en-GB"/>
        </w:rPr>
        <w:t xml:space="preserve"> human development index above the </w:t>
      </w:r>
      <w:r w:rsidR="00C92265">
        <w:rPr>
          <w:shd w:val="clear" w:color="auto" w:fill="FFFFFF"/>
          <w:lang w:val="en-GB"/>
        </w:rPr>
        <w:t>average of s</w:t>
      </w:r>
      <w:r w:rsidRPr="005B7BF5">
        <w:rPr>
          <w:shd w:val="clear" w:color="auto" w:fill="FFFFFF"/>
          <w:lang w:val="en-GB"/>
        </w:rPr>
        <w:t>ub-Saharan Africa</w:t>
      </w:r>
      <w:r w:rsidR="00C92265">
        <w:rPr>
          <w:shd w:val="clear" w:color="auto" w:fill="FFFFFF"/>
          <w:lang w:val="en-GB"/>
        </w:rPr>
        <w:t>,</w:t>
      </w:r>
      <w:r w:rsidRPr="005B7BF5">
        <w:rPr>
          <w:vertAlign w:val="superscript"/>
          <w:lang w:val="en-GB"/>
        </w:rPr>
        <w:footnoteReference w:id="3"/>
      </w:r>
      <w:r w:rsidRPr="005B7BF5">
        <w:rPr>
          <w:shd w:val="clear" w:color="auto" w:fill="FFFFFF"/>
          <w:lang w:val="en-GB"/>
        </w:rPr>
        <w:t xml:space="preserve"> </w:t>
      </w:r>
      <w:r w:rsidRPr="005B7BF5">
        <w:rPr>
          <w:lang w:val="en-GB"/>
        </w:rPr>
        <w:t xml:space="preserve">making </w:t>
      </w:r>
      <w:r w:rsidRPr="005B7BF5">
        <w:rPr>
          <w:shd w:val="clear" w:color="auto" w:fill="FFFFFF"/>
          <w:lang w:val="en-GB"/>
        </w:rPr>
        <w:t>the country a candidate for graduation to</w:t>
      </w:r>
      <w:r w:rsidR="00BF5E57" w:rsidRPr="005B7BF5">
        <w:rPr>
          <w:shd w:val="clear" w:color="auto" w:fill="FFFFFF"/>
          <w:lang w:val="en-GB"/>
        </w:rPr>
        <w:t xml:space="preserve"> a</w:t>
      </w:r>
      <w:r w:rsidRPr="005B7BF5">
        <w:rPr>
          <w:shd w:val="clear" w:color="auto" w:fill="FFFFFF"/>
          <w:lang w:val="en-GB"/>
        </w:rPr>
        <w:t xml:space="preserve"> </w:t>
      </w:r>
      <w:r w:rsidR="00C92265">
        <w:rPr>
          <w:shd w:val="clear" w:color="auto" w:fill="FFFFFF"/>
          <w:lang w:val="en-GB"/>
        </w:rPr>
        <w:t>m</w:t>
      </w:r>
      <w:r w:rsidR="00B75814" w:rsidRPr="005B7BF5">
        <w:rPr>
          <w:shd w:val="clear" w:color="auto" w:fill="FFFFFF"/>
          <w:lang w:val="en-GB"/>
        </w:rPr>
        <w:t>iddle-</w:t>
      </w:r>
      <w:r w:rsidR="00C92265">
        <w:rPr>
          <w:shd w:val="clear" w:color="auto" w:fill="FFFFFF"/>
          <w:lang w:val="en-GB"/>
        </w:rPr>
        <w:t>i</w:t>
      </w:r>
      <w:r w:rsidR="00B75814" w:rsidRPr="005B7BF5">
        <w:rPr>
          <w:shd w:val="clear" w:color="auto" w:fill="FFFFFF"/>
          <w:lang w:val="en-GB"/>
        </w:rPr>
        <w:t>ncome</w:t>
      </w:r>
      <w:r w:rsidRPr="005B7BF5">
        <w:rPr>
          <w:shd w:val="clear" w:color="auto" w:fill="FFFFFF"/>
          <w:lang w:val="en-GB"/>
        </w:rPr>
        <w:t xml:space="preserve"> </w:t>
      </w:r>
      <w:r w:rsidR="00C92265">
        <w:rPr>
          <w:shd w:val="clear" w:color="auto" w:fill="FFFFFF"/>
          <w:lang w:val="en-GB"/>
        </w:rPr>
        <w:t>c</w:t>
      </w:r>
      <w:r w:rsidRPr="005B7BF5">
        <w:rPr>
          <w:shd w:val="clear" w:color="auto" w:fill="FFFFFF"/>
          <w:lang w:val="en-GB"/>
        </w:rPr>
        <w:t xml:space="preserve">ountry in 2024. </w:t>
      </w:r>
    </w:p>
    <w:p w14:paraId="2BC580A4" w14:textId="4BA58CBA" w:rsidR="008952AA" w:rsidRPr="005B7BF5" w:rsidRDefault="008952AA" w:rsidP="00B13D1B">
      <w:pPr>
        <w:numPr>
          <w:ilvl w:val="0"/>
          <w:numId w:val="4"/>
        </w:numPr>
        <w:tabs>
          <w:tab w:val="left" w:pos="1620"/>
        </w:tabs>
        <w:spacing w:after="120"/>
        <w:ind w:left="1260" w:right="1210" w:firstLine="0"/>
        <w:jc w:val="both"/>
      </w:pPr>
      <w:r w:rsidRPr="005B7BF5">
        <w:rPr>
          <w:shd w:val="clear" w:color="auto" w:fill="FFFFFF"/>
          <w:lang w:val="en-GB"/>
        </w:rPr>
        <w:t xml:space="preserve">Socioeconomic development has been largely financed through </w:t>
      </w:r>
      <w:r w:rsidR="00C92265">
        <w:rPr>
          <w:shd w:val="clear" w:color="auto" w:fill="FFFFFF"/>
          <w:lang w:val="en-GB"/>
        </w:rPr>
        <w:t>g</w:t>
      </w:r>
      <w:r w:rsidRPr="005B7BF5">
        <w:rPr>
          <w:shd w:val="clear" w:color="auto" w:fill="FFFFFF"/>
          <w:lang w:val="en-GB"/>
        </w:rPr>
        <w:t>overnment expenditure sustained by development aid, external borrowing, and</w:t>
      </w:r>
      <w:r w:rsidR="0002145C" w:rsidRPr="005B7BF5">
        <w:rPr>
          <w:shd w:val="clear" w:color="auto" w:fill="FFFFFF"/>
          <w:lang w:val="en-GB"/>
        </w:rPr>
        <w:t xml:space="preserve"> </w:t>
      </w:r>
      <w:r w:rsidRPr="005B7BF5">
        <w:rPr>
          <w:shd w:val="clear" w:color="auto" w:fill="FFFFFF"/>
          <w:lang w:val="en-GB"/>
        </w:rPr>
        <w:t>foreign direct investment in tourism and related value chains. A</w:t>
      </w:r>
      <w:r w:rsidR="00C92265">
        <w:rPr>
          <w:shd w:val="clear" w:color="auto" w:fill="FFFFFF"/>
          <w:lang w:val="en-GB"/>
        </w:rPr>
        <w:t xml:space="preserve">s </w:t>
      </w:r>
      <w:r w:rsidRPr="005B7BF5">
        <w:rPr>
          <w:shd w:val="clear" w:color="auto" w:fill="FFFFFF"/>
          <w:lang w:val="en-GB"/>
        </w:rPr>
        <w:t>97</w:t>
      </w:r>
      <w:r w:rsidR="004F0BA9">
        <w:rPr>
          <w:shd w:val="clear" w:color="auto" w:fill="FFFFFF"/>
          <w:lang w:val="en-GB"/>
        </w:rPr>
        <w:t xml:space="preserve"> per cent</w:t>
      </w:r>
      <w:r w:rsidRPr="005B7BF5">
        <w:rPr>
          <w:shd w:val="clear" w:color="auto" w:fill="FFFFFF"/>
          <w:lang w:val="en-GB"/>
        </w:rPr>
        <w:t xml:space="preserve"> of public investment is financed through debt and external aid</w:t>
      </w:r>
      <w:r w:rsidR="00C92265">
        <w:rPr>
          <w:shd w:val="clear" w:color="auto" w:fill="FFFFFF"/>
          <w:lang w:val="en-GB"/>
        </w:rPr>
        <w:t>,</w:t>
      </w:r>
      <w:r w:rsidRPr="005B7BF5">
        <w:rPr>
          <w:vertAlign w:val="superscript"/>
          <w:lang w:val="en-GB"/>
        </w:rPr>
        <w:footnoteReference w:id="4"/>
      </w:r>
      <w:r w:rsidR="00B478DF">
        <w:rPr>
          <w:shd w:val="clear" w:color="auto" w:fill="FFFFFF"/>
          <w:lang w:val="en-GB"/>
        </w:rPr>
        <w:t xml:space="preserve"> </w:t>
      </w:r>
      <w:r w:rsidR="00E60D37" w:rsidRPr="005B7BF5">
        <w:rPr>
          <w:shd w:val="clear" w:color="auto" w:fill="FFFFFF"/>
          <w:lang w:val="en-GB"/>
        </w:rPr>
        <w:t xml:space="preserve">São Tomé and Príncipe </w:t>
      </w:r>
      <w:r w:rsidRPr="005B7BF5">
        <w:t xml:space="preserve">faces persistent and connected development challenges characteristic of small island developing states (SIDS). </w:t>
      </w:r>
      <w:r w:rsidR="0002145C" w:rsidRPr="005B7BF5">
        <w:t xml:space="preserve">The </w:t>
      </w:r>
      <w:r w:rsidRPr="005B7BF5">
        <w:t xml:space="preserve">ability to respond to </w:t>
      </w:r>
      <w:r w:rsidR="00E40A43" w:rsidRPr="005B7BF5">
        <w:t xml:space="preserve">exogenous </w:t>
      </w:r>
      <w:r w:rsidRPr="005B7BF5">
        <w:t xml:space="preserve">shocks, </w:t>
      </w:r>
      <w:r w:rsidR="00E40A43" w:rsidRPr="005B7BF5">
        <w:t>climate change</w:t>
      </w:r>
      <w:r w:rsidR="00C92265">
        <w:t>,</w:t>
      </w:r>
      <w:r w:rsidR="00E40A43" w:rsidRPr="005B7BF5">
        <w:t xml:space="preserve"> global</w:t>
      </w:r>
      <w:r w:rsidR="00C92265">
        <w:t xml:space="preserve">, </w:t>
      </w:r>
      <w:r w:rsidR="00E40A43" w:rsidRPr="005B7BF5">
        <w:t>political and economic crises</w:t>
      </w:r>
      <w:r w:rsidR="00BF5E57" w:rsidRPr="005B7BF5">
        <w:t>,</w:t>
      </w:r>
      <w:r w:rsidR="00E40A43" w:rsidRPr="005B7BF5">
        <w:t xml:space="preserve"> and </w:t>
      </w:r>
      <w:r w:rsidRPr="005B7BF5">
        <w:t xml:space="preserve">balance the budget </w:t>
      </w:r>
      <w:r w:rsidR="0002145C" w:rsidRPr="005B7BF5">
        <w:t xml:space="preserve">is constrained by </w:t>
      </w:r>
      <w:r w:rsidR="00C92265">
        <w:t>the</w:t>
      </w:r>
      <w:r w:rsidR="00C92265" w:rsidRPr="005B7BF5">
        <w:t xml:space="preserve"> </w:t>
      </w:r>
      <w:r w:rsidRPr="005B7BF5">
        <w:t>dependency on imports to satisfy domestic demand</w:t>
      </w:r>
      <w:r w:rsidR="00B478DF">
        <w:t xml:space="preserve">. Its </w:t>
      </w:r>
      <w:r w:rsidRPr="005B7BF5">
        <w:t xml:space="preserve">size, remoteness and elevated production costs limit economic diversification </w:t>
      </w:r>
      <w:r w:rsidR="00C92265">
        <w:t>and increase</w:t>
      </w:r>
      <w:r w:rsidR="00C92265" w:rsidRPr="005B7BF5">
        <w:t xml:space="preserve"> </w:t>
      </w:r>
      <w:r w:rsidRPr="005B7BF5">
        <w:t xml:space="preserve">vulnerability. </w:t>
      </w:r>
      <w:r w:rsidR="00C92265">
        <w:t>I</w:t>
      </w:r>
      <w:r w:rsidR="005B7BF5" w:rsidRPr="005B7BF5">
        <w:t xml:space="preserve">mpacts of climate change </w:t>
      </w:r>
      <w:r w:rsidR="00C92265">
        <w:t>have</w:t>
      </w:r>
      <w:r w:rsidR="00C92265" w:rsidRPr="005B7BF5">
        <w:t xml:space="preserve"> </w:t>
      </w:r>
      <w:r w:rsidR="005B7BF5" w:rsidRPr="005B7BF5">
        <w:t xml:space="preserve">already </w:t>
      </w:r>
      <w:r w:rsidR="00C92265">
        <w:t>become</w:t>
      </w:r>
      <w:r w:rsidR="00C92265" w:rsidRPr="005B7BF5">
        <w:t xml:space="preserve"> </w:t>
      </w:r>
      <w:r w:rsidR="005B7BF5" w:rsidRPr="005B7BF5">
        <w:t xml:space="preserve">apparent and </w:t>
      </w:r>
      <w:r w:rsidR="00C92265">
        <w:t>impact</w:t>
      </w:r>
      <w:r w:rsidR="00C92265" w:rsidRPr="005B7BF5">
        <w:t xml:space="preserve"> </w:t>
      </w:r>
      <w:r w:rsidR="005B7BF5" w:rsidRPr="005B7BF5">
        <w:t xml:space="preserve">the most vulnerable, but the financial and technical capacity to mitigate </w:t>
      </w:r>
      <w:r w:rsidR="005B7BF5">
        <w:t>these</w:t>
      </w:r>
      <w:r w:rsidR="005B7BF5" w:rsidRPr="005B7BF5">
        <w:t xml:space="preserve"> impacts and strengthen resilience is lacking</w:t>
      </w:r>
      <w:r w:rsidR="005B7BF5">
        <w:t xml:space="preserve">, </w:t>
      </w:r>
      <w:r w:rsidR="005B7BF5" w:rsidRPr="005B7BF5">
        <w:t xml:space="preserve">and the rich biodiversity </w:t>
      </w:r>
      <w:r w:rsidR="00C92265">
        <w:t xml:space="preserve">of the country </w:t>
      </w:r>
      <w:r w:rsidR="005B7BF5" w:rsidRPr="005B7BF5">
        <w:t>is put at risk</w:t>
      </w:r>
      <w:r w:rsidR="00B478DF">
        <w:t xml:space="preserve"> </w:t>
      </w:r>
      <w:r w:rsidR="005B7BF5" w:rsidRPr="005B7BF5">
        <w:t xml:space="preserve">by </w:t>
      </w:r>
      <w:r w:rsidR="00C92265">
        <w:t>a</w:t>
      </w:r>
      <w:r w:rsidR="005B7BF5" w:rsidRPr="005B7BF5">
        <w:t xml:space="preserve"> fast-growing population, large-scale agricultural projects, illegal logging, and land degradation.</w:t>
      </w:r>
    </w:p>
    <w:p w14:paraId="1C2CE2A2" w14:textId="4EDCFA39" w:rsidR="00C5522D" w:rsidRDefault="00C92265" w:rsidP="00B13D1B">
      <w:pPr>
        <w:pStyle w:val="ListParagraph"/>
        <w:numPr>
          <w:ilvl w:val="0"/>
          <w:numId w:val="4"/>
        </w:numPr>
        <w:tabs>
          <w:tab w:val="left" w:pos="1620"/>
        </w:tabs>
        <w:spacing w:after="120"/>
        <w:ind w:left="1260" w:right="1210" w:firstLine="0"/>
        <w:jc w:val="both"/>
      </w:pPr>
      <w:r>
        <w:rPr>
          <w:lang w:val="en-GB"/>
        </w:rPr>
        <w:t>The</w:t>
      </w:r>
      <w:r w:rsidRPr="0069075D">
        <w:rPr>
          <w:lang w:val="en-GB"/>
        </w:rPr>
        <w:t xml:space="preserve"> </w:t>
      </w:r>
      <w:r w:rsidR="008952AA" w:rsidRPr="0069075D">
        <w:rPr>
          <w:lang w:val="en-GB"/>
        </w:rPr>
        <w:t>productive sector is overdependent on palm oil, cocoa</w:t>
      </w:r>
      <w:r>
        <w:rPr>
          <w:lang w:val="en-GB"/>
        </w:rPr>
        <w:t>,</w:t>
      </w:r>
      <w:r w:rsidR="008952AA" w:rsidRPr="0069075D">
        <w:rPr>
          <w:lang w:val="en-GB"/>
        </w:rPr>
        <w:t xml:space="preserve"> and tourism</w:t>
      </w:r>
      <w:r w:rsidR="00A87EAE">
        <w:rPr>
          <w:lang w:val="en-GB"/>
        </w:rPr>
        <w:t xml:space="preserve">. </w:t>
      </w:r>
      <w:r w:rsidR="00911754">
        <w:t xml:space="preserve">Agriculture </w:t>
      </w:r>
      <w:r w:rsidR="008952AA" w:rsidRPr="008952AA">
        <w:t xml:space="preserve">and subsistence farming </w:t>
      </w:r>
      <w:r w:rsidR="00027F01">
        <w:t>account</w:t>
      </w:r>
      <w:r w:rsidR="008952AA" w:rsidRPr="008952AA">
        <w:t xml:space="preserve"> for 70</w:t>
      </w:r>
      <w:r w:rsidR="004F0BA9">
        <w:t xml:space="preserve"> per</w:t>
      </w:r>
      <w:r>
        <w:t xml:space="preserve"> </w:t>
      </w:r>
      <w:r w:rsidR="004F0BA9">
        <w:t>cent</w:t>
      </w:r>
      <w:r w:rsidR="008952AA" w:rsidRPr="008952AA">
        <w:t xml:space="preserve"> of rural employment. The private sector is small, fragile and comprise</w:t>
      </w:r>
      <w:r>
        <w:t>d</w:t>
      </w:r>
      <w:r w:rsidR="009C4B7A">
        <w:t xml:space="preserve"> </w:t>
      </w:r>
      <w:r w:rsidR="008952AA" w:rsidRPr="008952AA">
        <w:t xml:space="preserve">mainly </w:t>
      </w:r>
      <w:r>
        <w:t xml:space="preserve">of </w:t>
      </w:r>
      <w:r w:rsidR="008952AA" w:rsidRPr="008952AA">
        <w:t>informal, micro-enterprises</w:t>
      </w:r>
      <w:r>
        <w:t>,</w:t>
      </w:r>
      <w:r w:rsidR="008952AA" w:rsidRPr="008952AA">
        <w:t xml:space="preserve"> </w:t>
      </w:r>
      <w:r w:rsidR="00B478DF">
        <w:t xml:space="preserve">and </w:t>
      </w:r>
      <w:r w:rsidR="008952AA" w:rsidRPr="008952AA">
        <w:t>small number of medium-size</w:t>
      </w:r>
      <w:r w:rsidR="00B478DF">
        <w:t>d but undercapitalized,</w:t>
      </w:r>
      <w:r w:rsidR="008952AA" w:rsidRPr="008952AA">
        <w:t xml:space="preserve"> companies</w:t>
      </w:r>
      <w:r w:rsidR="00A87EAE">
        <w:t xml:space="preserve"> in the formal sector</w:t>
      </w:r>
      <w:r w:rsidR="00B478DF">
        <w:t xml:space="preserve">. </w:t>
      </w:r>
      <w:r w:rsidR="005B7BF5">
        <w:t>G</w:t>
      </w:r>
      <w:r w:rsidR="008952AA" w:rsidRPr="008952AA">
        <w:t>rowth has not improved livelihoods or reduced poverty, particularly among</w:t>
      </w:r>
      <w:r>
        <w:t>st</w:t>
      </w:r>
      <w:r w:rsidR="008952AA" w:rsidRPr="008952AA">
        <w:t xml:space="preserve"> women and young people</w:t>
      </w:r>
      <w:r w:rsidR="000E7C59" w:rsidRPr="000E7C59">
        <w:t xml:space="preserve"> </w:t>
      </w:r>
      <w:r w:rsidR="000E7C59">
        <w:t xml:space="preserve">who are </w:t>
      </w:r>
      <w:r w:rsidR="000E7C59" w:rsidRPr="000E7C59">
        <w:t>disproportionately represented in the informal sector and vulnerable occupations</w:t>
      </w:r>
      <w:r w:rsidR="00E40A43">
        <w:t xml:space="preserve">. </w:t>
      </w:r>
      <w:r w:rsidR="008952AA" w:rsidRPr="008952AA">
        <w:t xml:space="preserve">The GINI coefficient </w:t>
      </w:r>
      <w:r>
        <w:t>rose</w:t>
      </w:r>
      <w:r w:rsidR="008952AA" w:rsidRPr="008952AA">
        <w:t xml:space="preserve"> from 32.1 in 2000 to </w:t>
      </w:r>
      <w:r w:rsidR="007F0309">
        <w:t>40.7</w:t>
      </w:r>
      <w:r w:rsidR="008952AA" w:rsidRPr="008952AA">
        <w:t xml:space="preserve"> in 2017</w:t>
      </w:r>
      <w:r>
        <w:t xml:space="preserve"> and indicates</w:t>
      </w:r>
      <w:r w:rsidRPr="008952AA">
        <w:t xml:space="preserve"> </w:t>
      </w:r>
      <w:r w:rsidR="008952AA" w:rsidRPr="008952AA">
        <w:t>inequality</w:t>
      </w:r>
      <w:r w:rsidR="00E40A43">
        <w:t xml:space="preserve"> is a major challenge</w:t>
      </w:r>
      <w:r>
        <w:t>.</w:t>
      </w:r>
      <w:r w:rsidR="007F0309">
        <w:rPr>
          <w:rStyle w:val="FootnoteReference"/>
        </w:rPr>
        <w:footnoteReference w:id="5"/>
      </w:r>
      <w:r w:rsidR="00B478DF">
        <w:t xml:space="preserve"> P</w:t>
      </w:r>
      <w:r w:rsidR="008952AA" w:rsidRPr="008952AA">
        <w:t>overty remains high</w:t>
      </w:r>
      <w:r w:rsidR="00E40A43">
        <w:t>,</w:t>
      </w:r>
      <w:r w:rsidR="008952AA" w:rsidRPr="008952AA">
        <w:t xml:space="preserve"> </w:t>
      </w:r>
      <w:r>
        <w:t>having fallen</w:t>
      </w:r>
      <w:r w:rsidRPr="008952AA">
        <w:t xml:space="preserve"> </w:t>
      </w:r>
      <w:r w:rsidR="008952AA" w:rsidRPr="008952AA">
        <w:t>marginally from 68.4</w:t>
      </w:r>
      <w:r w:rsidR="004F0BA9">
        <w:t xml:space="preserve"> per</w:t>
      </w:r>
      <w:r>
        <w:t xml:space="preserve"> </w:t>
      </w:r>
      <w:r w:rsidR="004F0BA9">
        <w:t>cent</w:t>
      </w:r>
      <w:r w:rsidR="008952AA" w:rsidRPr="008952AA">
        <w:t xml:space="preserve"> to 66.7</w:t>
      </w:r>
      <w:r w:rsidR="004F0BA9">
        <w:t xml:space="preserve"> per</w:t>
      </w:r>
      <w:r>
        <w:t xml:space="preserve"> </w:t>
      </w:r>
      <w:r w:rsidR="004F0BA9">
        <w:t>cent</w:t>
      </w:r>
      <w:r w:rsidR="008952AA" w:rsidRPr="008952AA">
        <w:t xml:space="preserve"> between 2010 and 2017</w:t>
      </w:r>
      <w:r>
        <w:t xml:space="preserve">, while </w:t>
      </w:r>
      <w:r w:rsidR="004F0BA9" w:rsidRPr="004F0BA9">
        <w:t xml:space="preserve">extreme poverty </w:t>
      </w:r>
      <w:r>
        <w:t xml:space="preserve">is </w:t>
      </w:r>
      <w:r w:rsidR="004F0BA9" w:rsidRPr="004F0BA9">
        <w:t>47 per</w:t>
      </w:r>
      <w:r>
        <w:t xml:space="preserve"> </w:t>
      </w:r>
      <w:r w:rsidR="004F0BA9" w:rsidRPr="004F0BA9">
        <w:t>cent</w:t>
      </w:r>
      <w:r>
        <w:t>.</w:t>
      </w:r>
      <w:r w:rsidR="008952AA" w:rsidRPr="008952AA">
        <w:rPr>
          <w:vertAlign w:val="superscript"/>
        </w:rPr>
        <w:footnoteReference w:id="6"/>
      </w:r>
      <w:r w:rsidR="004F0BA9">
        <w:t xml:space="preserve"> </w:t>
      </w:r>
    </w:p>
    <w:p w14:paraId="52E4CB66" w14:textId="5FA18ECF" w:rsidR="008952AA" w:rsidRPr="008952AA" w:rsidRDefault="00C5522D" w:rsidP="00B13D1B">
      <w:pPr>
        <w:pStyle w:val="ListParagraph"/>
        <w:numPr>
          <w:ilvl w:val="0"/>
          <w:numId w:val="4"/>
        </w:numPr>
        <w:tabs>
          <w:tab w:val="left" w:pos="1620"/>
        </w:tabs>
        <w:spacing w:after="120"/>
        <w:ind w:left="1260" w:right="1210" w:firstLine="0"/>
        <w:jc w:val="both"/>
      </w:pPr>
      <w:r>
        <w:t>T</w:t>
      </w:r>
      <w:r w:rsidRPr="00C5522D">
        <w:t>he COVID</w:t>
      </w:r>
      <w:r w:rsidR="00C92265">
        <w:t>-</w:t>
      </w:r>
      <w:r w:rsidRPr="00C5522D">
        <w:t xml:space="preserve">19 pandemic </w:t>
      </w:r>
      <w:r w:rsidR="00B478DF">
        <w:t xml:space="preserve">exacerbated </w:t>
      </w:r>
      <w:r w:rsidR="00C92265">
        <w:t xml:space="preserve">the </w:t>
      </w:r>
      <w:r w:rsidR="00B478DF">
        <w:t xml:space="preserve">situation and </w:t>
      </w:r>
      <w:r w:rsidRPr="00C5522D">
        <w:t>highlighted fragilities in health system</w:t>
      </w:r>
      <w:r>
        <w:t xml:space="preserve">s. </w:t>
      </w:r>
      <w:r w:rsidR="00C92265">
        <w:t>Poor h</w:t>
      </w:r>
      <w:r w:rsidRPr="00C5522D">
        <w:t>ealth data production and management impacts planning, resource management</w:t>
      </w:r>
      <w:r w:rsidR="00C92265">
        <w:t>,</w:t>
      </w:r>
      <w:r w:rsidRPr="00C5522D">
        <w:t xml:space="preserve"> and patient care.</w:t>
      </w:r>
      <w:r w:rsidR="00EF0AE1">
        <w:t xml:space="preserve"> </w:t>
      </w:r>
      <w:r w:rsidR="00C92265">
        <w:t>Impoverished</w:t>
      </w:r>
      <w:r w:rsidR="00C92265" w:rsidRPr="00C5522D">
        <w:t xml:space="preserve"> </w:t>
      </w:r>
      <w:r w:rsidRPr="00C5522D">
        <w:t xml:space="preserve">households, particularly in rural areas, have disproportionately </w:t>
      </w:r>
      <w:r w:rsidR="00C92265">
        <w:t>worse</w:t>
      </w:r>
      <w:r w:rsidR="00C92265" w:rsidRPr="00C5522D">
        <w:t xml:space="preserve"> </w:t>
      </w:r>
      <w:r w:rsidRPr="00C5522D">
        <w:t>health outcomes</w:t>
      </w:r>
      <w:r>
        <w:t xml:space="preserve">. </w:t>
      </w:r>
      <w:r w:rsidR="00A87EAE">
        <w:t>S</w:t>
      </w:r>
      <w:r w:rsidR="0069075D" w:rsidRPr="0069075D">
        <w:t xml:space="preserve">ocial protection is </w:t>
      </w:r>
      <w:r w:rsidR="006B5039">
        <w:t xml:space="preserve">under resourced and </w:t>
      </w:r>
      <w:r w:rsidR="00071164">
        <w:t>cover</w:t>
      </w:r>
      <w:r w:rsidR="006B5039">
        <w:t>s</w:t>
      </w:r>
      <w:r w:rsidR="00071164">
        <w:t xml:space="preserve"> </w:t>
      </w:r>
      <w:r w:rsidR="00071164" w:rsidRPr="00071164">
        <w:t xml:space="preserve">less than half the total </w:t>
      </w:r>
      <w:r w:rsidR="00A87EAE">
        <w:t xml:space="preserve">number of </w:t>
      </w:r>
      <w:r w:rsidR="00071164" w:rsidRPr="00071164">
        <w:t>poor</w:t>
      </w:r>
      <w:r w:rsidR="00A87EAE">
        <w:t xml:space="preserve"> and vulnerable people</w:t>
      </w:r>
      <w:r w:rsidR="00C92265">
        <w:t>.</w:t>
      </w:r>
      <w:r w:rsidR="00C500A0">
        <w:rPr>
          <w:rStyle w:val="FootnoteReference"/>
        </w:rPr>
        <w:footnoteReference w:id="7"/>
      </w:r>
      <w:r w:rsidR="00071164" w:rsidRPr="00071164">
        <w:t xml:space="preserve"> </w:t>
      </w:r>
      <w:r w:rsidR="006B5039">
        <w:t xml:space="preserve">The </w:t>
      </w:r>
      <w:r w:rsidR="006B5039" w:rsidRPr="006B5039">
        <w:t xml:space="preserve">Gender Development Index (GDI) </w:t>
      </w:r>
      <w:r w:rsidR="006B5039">
        <w:t>for 20</w:t>
      </w:r>
      <w:r w:rsidR="00B2572E">
        <w:t>19 p</w:t>
      </w:r>
      <w:r w:rsidR="000456D8">
        <w:t>l</w:t>
      </w:r>
      <w:r w:rsidR="00B2572E">
        <w:t xml:space="preserve">aces </w:t>
      </w:r>
      <w:r w:rsidR="00E60D37" w:rsidRPr="005B7BF5">
        <w:rPr>
          <w:shd w:val="clear" w:color="auto" w:fill="FFFFFF"/>
          <w:lang w:val="en-GB"/>
        </w:rPr>
        <w:t xml:space="preserve">São Tomé and Príncipe </w:t>
      </w:r>
      <w:r w:rsidR="00B2572E">
        <w:t>a</w:t>
      </w:r>
      <w:r w:rsidR="006B5039" w:rsidRPr="006B5039">
        <w:t xml:space="preserve">bove the </w:t>
      </w:r>
      <w:r w:rsidR="00C92265">
        <w:t>s</w:t>
      </w:r>
      <w:r w:rsidR="006B5039" w:rsidRPr="006B5039">
        <w:t>ub-Saharan average</w:t>
      </w:r>
      <w:r w:rsidR="00A87EAE">
        <w:t xml:space="preserve">, </w:t>
      </w:r>
      <w:r w:rsidR="00EF0AE1">
        <w:t xml:space="preserve">but </w:t>
      </w:r>
      <w:r w:rsidR="00B2572E">
        <w:t>c</w:t>
      </w:r>
      <w:r w:rsidR="0083729B" w:rsidRPr="0083729B">
        <w:t xml:space="preserve">hallenges </w:t>
      </w:r>
      <w:r w:rsidR="00B2572E">
        <w:t xml:space="preserve">for </w:t>
      </w:r>
      <w:r w:rsidR="0083729B" w:rsidRPr="0083729B">
        <w:t>gender equality</w:t>
      </w:r>
      <w:r w:rsidR="00B2572E">
        <w:t xml:space="preserve"> persist</w:t>
      </w:r>
      <w:r w:rsidR="00A87EAE">
        <w:t>,</w:t>
      </w:r>
      <w:r w:rsidR="0083729B" w:rsidRPr="0083729B">
        <w:t xml:space="preserve"> </w:t>
      </w:r>
      <w:r w:rsidR="00EF0AE1">
        <w:t xml:space="preserve">notably in </w:t>
      </w:r>
      <w:r w:rsidR="00465882">
        <w:t>labor</w:t>
      </w:r>
      <w:r w:rsidR="00EF0AE1">
        <w:t xml:space="preserve"> market </w:t>
      </w:r>
      <w:r w:rsidR="0083729B" w:rsidRPr="0083729B">
        <w:t xml:space="preserve">access, </w:t>
      </w:r>
      <w:r w:rsidR="00276264" w:rsidRPr="0083729B">
        <w:t>income,</w:t>
      </w:r>
      <w:r w:rsidR="0083729B" w:rsidRPr="0083729B">
        <w:t xml:space="preserve"> and political participation</w:t>
      </w:r>
      <w:r w:rsidR="00A87EAE">
        <w:t xml:space="preserve"> of women</w:t>
      </w:r>
      <w:r w:rsidR="0083729B" w:rsidRPr="0083729B">
        <w:t>.</w:t>
      </w:r>
      <w:r w:rsidR="0083729B">
        <w:t xml:space="preserve"> </w:t>
      </w:r>
      <w:r w:rsidR="00C92265">
        <w:t xml:space="preserve">Moreover, the </w:t>
      </w:r>
      <w:r w:rsidR="00E475F9">
        <w:t>Voluntary National Review</w:t>
      </w:r>
      <w:r w:rsidR="00E475F9" w:rsidRPr="00E475F9">
        <w:t xml:space="preserve"> highlight</w:t>
      </w:r>
      <w:r w:rsidR="00C92265">
        <w:t>ed</w:t>
      </w:r>
      <w:r w:rsidR="00E475F9" w:rsidRPr="00E475F9">
        <w:t xml:space="preserve"> the persist</w:t>
      </w:r>
      <w:r w:rsidR="00C92265">
        <w:t>ent</w:t>
      </w:r>
      <w:r w:rsidR="00E475F9" w:rsidRPr="00E475F9">
        <w:t xml:space="preserve"> problem of sexual abuse of minors</w:t>
      </w:r>
      <w:r w:rsidR="00EF0AE1">
        <w:t>,</w:t>
      </w:r>
      <w:r w:rsidR="00E475F9" w:rsidRPr="00E475F9">
        <w:t xml:space="preserve"> high rates of </w:t>
      </w:r>
      <w:r w:rsidR="00C92265">
        <w:t>g</w:t>
      </w:r>
      <w:r w:rsidR="00E475F9" w:rsidRPr="00E475F9">
        <w:t>ender-</w:t>
      </w:r>
      <w:r w:rsidR="00C92265">
        <w:t>b</w:t>
      </w:r>
      <w:r w:rsidR="00E475F9" w:rsidRPr="00E475F9">
        <w:t xml:space="preserve">ased </w:t>
      </w:r>
      <w:r w:rsidR="00C92265">
        <w:t>v</w:t>
      </w:r>
      <w:r w:rsidR="00E475F9" w:rsidRPr="00E475F9">
        <w:t>iolence</w:t>
      </w:r>
      <w:r w:rsidR="00C92265">
        <w:t xml:space="preserve"> (violence)</w:t>
      </w:r>
      <w:r w:rsidR="00E475F9" w:rsidRPr="00E475F9">
        <w:t xml:space="preserve"> and </w:t>
      </w:r>
      <w:r w:rsidR="00C92265">
        <w:t>child</w:t>
      </w:r>
      <w:r w:rsidR="00C92265" w:rsidRPr="00E475F9">
        <w:t xml:space="preserve"> </w:t>
      </w:r>
      <w:r w:rsidR="00E475F9" w:rsidRPr="00E475F9">
        <w:t>marriage before the age of 15.</w:t>
      </w:r>
    </w:p>
    <w:p w14:paraId="2E5BEE42" w14:textId="16DE1C25" w:rsidR="008952AA" w:rsidRPr="005D23DB" w:rsidRDefault="00C92265" w:rsidP="00B13D1B">
      <w:pPr>
        <w:numPr>
          <w:ilvl w:val="0"/>
          <w:numId w:val="4"/>
        </w:numPr>
        <w:tabs>
          <w:tab w:val="left" w:pos="1620"/>
        </w:tabs>
        <w:spacing w:after="120"/>
        <w:ind w:left="1260" w:right="1210" w:firstLine="0"/>
        <w:jc w:val="both"/>
      </w:pPr>
      <w:r>
        <w:t>The</w:t>
      </w:r>
      <w:r w:rsidR="008952AA" w:rsidRPr="008952AA">
        <w:t xml:space="preserve"> strategic vision for overcoming these challenges is set out in </w:t>
      </w:r>
      <w:r>
        <w:t>the national</w:t>
      </w:r>
      <w:r w:rsidRPr="008952AA">
        <w:t xml:space="preserve"> </w:t>
      </w:r>
      <w:r w:rsidR="008952AA" w:rsidRPr="008952AA">
        <w:t>2030 Agenda for Transformation</w:t>
      </w:r>
      <w:r>
        <w:t>,</w:t>
      </w:r>
      <w:r w:rsidR="008952AA" w:rsidRPr="008952AA">
        <w:t xml:space="preserve"> which defines a path to sustainable economic and social development aligned with the 2030 Agenda and </w:t>
      </w:r>
      <w:r w:rsidR="00322182">
        <w:t>African Union</w:t>
      </w:r>
      <w:r w:rsidR="008952AA" w:rsidRPr="008952AA">
        <w:t xml:space="preserve"> Agenda 2063</w:t>
      </w:r>
      <w:r w:rsidR="008952AA" w:rsidRPr="005D23DB">
        <w:t xml:space="preserve">. </w:t>
      </w:r>
      <w:r>
        <w:t>The</w:t>
      </w:r>
      <w:r w:rsidR="005D23DB" w:rsidRPr="005D23DB">
        <w:t xml:space="preserve"> institutional, technical, and financial capacit</w:t>
      </w:r>
      <w:r>
        <w:t>ies</w:t>
      </w:r>
      <w:r w:rsidR="005D23DB" w:rsidRPr="005D23DB">
        <w:t xml:space="preserve"> of </w:t>
      </w:r>
      <w:r>
        <w:t>g</w:t>
      </w:r>
      <w:r w:rsidR="005D23DB" w:rsidRPr="005D23DB">
        <w:t>overnment institutions to formulate evidence-based polic</w:t>
      </w:r>
      <w:r>
        <w:t>ies and</w:t>
      </w:r>
      <w:r w:rsidR="005D23DB" w:rsidRPr="005D23DB">
        <w:t xml:space="preserve"> plan</w:t>
      </w:r>
      <w:r>
        <w:t>s</w:t>
      </w:r>
      <w:r w:rsidR="005D23DB" w:rsidRPr="005D23DB">
        <w:t>, coordinate implementation, and monitor performance</w:t>
      </w:r>
      <w:r w:rsidR="005D23DB">
        <w:t xml:space="preserve"> in a participative and transparent way</w:t>
      </w:r>
      <w:r>
        <w:t>, however,</w:t>
      </w:r>
      <w:r w:rsidR="005D23DB">
        <w:t xml:space="preserve"> needs to be enhanced</w:t>
      </w:r>
      <w:r w:rsidR="005D23DB" w:rsidRPr="005D23DB">
        <w:t>.</w:t>
      </w:r>
      <w:r w:rsidR="005D23DB">
        <w:t xml:space="preserve"> A</w:t>
      </w:r>
      <w:r w:rsidR="008952AA" w:rsidRPr="005D23DB">
        <w:t>ctionable</w:t>
      </w:r>
      <w:r w:rsidR="0008464D" w:rsidRPr="005D23DB">
        <w:t xml:space="preserve"> </w:t>
      </w:r>
      <w:r w:rsidR="008952AA" w:rsidRPr="005D23DB">
        <w:t xml:space="preserve">goals set out </w:t>
      </w:r>
      <w:r w:rsidR="008952AA" w:rsidRPr="005D23DB">
        <w:lastRenderedPageBreak/>
        <w:t>in the National Plan for Sustainable Development 2020-2024, have not been fully embraced or a</w:t>
      </w:r>
      <w:r w:rsidR="009C4B7A" w:rsidRPr="005D23DB">
        <w:t>dequately</w:t>
      </w:r>
      <w:r w:rsidR="008952AA" w:rsidRPr="005D23DB">
        <w:t xml:space="preserve"> funded. In 2021, the </w:t>
      </w:r>
      <w:r w:rsidR="00CF5803">
        <w:t>g</w:t>
      </w:r>
      <w:r w:rsidR="008952AA" w:rsidRPr="005D23DB">
        <w:t>overnment approved its National Plan for Socio-Economic Resilience and Mitigation against COVID</w:t>
      </w:r>
      <w:r w:rsidR="00F20299">
        <w:t>-19</w:t>
      </w:r>
      <w:r w:rsidR="008952AA" w:rsidRPr="005D23DB">
        <w:t xml:space="preserve"> (PNARME) that addresses socioeconomic challenges resulting from the pandemic with a view to accelerating progress towards </w:t>
      </w:r>
      <w:r w:rsidR="00F20299">
        <w:t>Sustainable Development Goals (</w:t>
      </w:r>
      <w:r w:rsidR="008952AA" w:rsidRPr="005D23DB">
        <w:t>SDG</w:t>
      </w:r>
      <w:r w:rsidR="00F20299">
        <w:t>s)</w:t>
      </w:r>
      <w:r w:rsidR="008952AA" w:rsidRPr="005D23DB">
        <w:t xml:space="preserve"> achievement.  </w:t>
      </w:r>
    </w:p>
    <w:p w14:paraId="17D02A87" w14:textId="217EDE1C" w:rsidR="008952AA" w:rsidRPr="008952AA" w:rsidRDefault="008952AA" w:rsidP="00B13D1B">
      <w:pPr>
        <w:numPr>
          <w:ilvl w:val="0"/>
          <w:numId w:val="4"/>
        </w:numPr>
        <w:tabs>
          <w:tab w:val="left" w:pos="1620"/>
        </w:tabs>
        <w:spacing w:after="120"/>
        <w:ind w:left="1260" w:right="1210" w:firstLine="0"/>
        <w:jc w:val="both"/>
      </w:pPr>
      <w:r w:rsidRPr="008952AA">
        <w:t xml:space="preserve">The </w:t>
      </w:r>
      <w:r w:rsidR="007F5511">
        <w:t>I</w:t>
      </w:r>
      <w:r w:rsidRPr="008952AA">
        <w:t>ndependent Country Programme</w:t>
      </w:r>
      <w:r w:rsidR="007F5511">
        <w:t xml:space="preserve"> Evaluation</w:t>
      </w:r>
      <w:r w:rsidR="00F20299">
        <w:t xml:space="preserve"> (ICPE) for</w:t>
      </w:r>
      <w:r w:rsidR="007F5511">
        <w:t xml:space="preserve"> </w:t>
      </w:r>
      <w:r w:rsidRPr="008952AA">
        <w:t>2017-2021</w:t>
      </w:r>
      <w:r w:rsidRPr="008952AA">
        <w:rPr>
          <w:vertAlign w:val="superscript"/>
        </w:rPr>
        <w:footnoteReference w:id="8"/>
      </w:r>
      <w:r w:rsidRPr="008952AA">
        <w:t xml:space="preserve"> concluded </w:t>
      </w:r>
      <w:r w:rsidR="00F20299">
        <w:t xml:space="preserve">the </w:t>
      </w:r>
      <w:r w:rsidRPr="008952AA">
        <w:t xml:space="preserve">UNDP astute reading of the national context resulted in </w:t>
      </w:r>
      <w:r w:rsidR="001D7C66">
        <w:t>country programme document (</w:t>
      </w:r>
      <w:r w:rsidRPr="008952AA">
        <w:t>CPD</w:t>
      </w:r>
      <w:r w:rsidR="001D7C66">
        <w:t>)</w:t>
      </w:r>
      <w:r w:rsidRPr="008952AA">
        <w:t xml:space="preserve"> outcomes </w:t>
      </w:r>
      <w:r w:rsidR="00F20299">
        <w:t>that are</w:t>
      </w:r>
      <w:r w:rsidR="00F20299" w:rsidRPr="008952AA">
        <w:t xml:space="preserve"> </w:t>
      </w:r>
      <w:r w:rsidRPr="008952AA">
        <w:t xml:space="preserve">highly aligned with national development priorities, sector </w:t>
      </w:r>
      <w:r w:rsidR="009F439F" w:rsidRPr="008952AA">
        <w:t>plans,</w:t>
      </w:r>
      <w:r w:rsidRPr="008952AA">
        <w:t xml:space="preserve"> and the S</w:t>
      </w:r>
      <w:r w:rsidR="0008464D">
        <w:t>DGs</w:t>
      </w:r>
      <w:r w:rsidRPr="008952AA">
        <w:t xml:space="preserve">. </w:t>
      </w:r>
      <w:r w:rsidR="00F20299">
        <w:t xml:space="preserve">Development partners perceive </w:t>
      </w:r>
      <w:r w:rsidRPr="008952AA">
        <w:t xml:space="preserve">UNDP </w:t>
      </w:r>
      <w:r w:rsidR="0008464D">
        <w:t xml:space="preserve">to be </w:t>
      </w:r>
      <w:r w:rsidRPr="008952AA">
        <w:t>a relevant, trustworthy, and valuable partner that deliver</w:t>
      </w:r>
      <w:r w:rsidR="00F20299">
        <w:t>s</w:t>
      </w:r>
      <w:r w:rsidRPr="008952AA">
        <w:t xml:space="preserve"> sustainable results, particularly in relation to institutional capacity building and upstream legislative and policy advice. A </w:t>
      </w:r>
      <w:r w:rsidR="00F20299">
        <w:t>central</w:t>
      </w:r>
      <w:r w:rsidR="00F20299" w:rsidRPr="008952AA">
        <w:t xml:space="preserve"> </w:t>
      </w:r>
      <w:r w:rsidRPr="008952AA">
        <w:t xml:space="preserve">aspect </w:t>
      </w:r>
      <w:r w:rsidR="00F20299">
        <w:t>of</w:t>
      </w:r>
      <w:r w:rsidR="009C4B7A">
        <w:t xml:space="preserve"> </w:t>
      </w:r>
      <w:r w:rsidRPr="008952AA">
        <w:t xml:space="preserve">UNDP </w:t>
      </w:r>
      <w:r w:rsidR="00964A50">
        <w:t xml:space="preserve">added </w:t>
      </w:r>
      <w:r w:rsidRPr="008952AA">
        <w:t xml:space="preserve">value is its access to specialized technical expertise </w:t>
      </w:r>
      <w:r w:rsidR="0008464D">
        <w:t>and</w:t>
      </w:r>
      <w:r w:rsidRPr="008952AA">
        <w:t xml:space="preserve"> capacity to mobilize resources. </w:t>
      </w:r>
      <w:r w:rsidR="00F20299">
        <w:t>Starting f</w:t>
      </w:r>
      <w:r w:rsidRPr="008952AA">
        <w:t xml:space="preserve">rom an indicative budget of </w:t>
      </w:r>
      <w:r w:rsidR="00F20299">
        <w:t>$</w:t>
      </w:r>
      <w:r w:rsidRPr="008952AA">
        <w:t>14.2 million</w:t>
      </w:r>
      <w:r w:rsidR="00F20299">
        <w:t xml:space="preserve"> US dollars</w:t>
      </w:r>
      <w:r w:rsidRPr="008952AA">
        <w:t xml:space="preserve"> in 2016, UNDP mobilized and executed </w:t>
      </w:r>
      <w:r w:rsidR="00964A50">
        <w:t>over</w:t>
      </w:r>
      <w:r w:rsidRPr="008952AA">
        <w:t xml:space="preserve"> </w:t>
      </w:r>
      <w:r w:rsidR="00F20299">
        <w:t>$</w:t>
      </w:r>
      <w:r w:rsidRPr="008952AA">
        <w:t>38 million</w:t>
      </w:r>
      <w:r w:rsidR="00F20299">
        <w:t xml:space="preserve"> US dollars</w:t>
      </w:r>
      <w:r w:rsidRPr="008952AA">
        <w:t xml:space="preserve"> by 2022</w:t>
      </w:r>
      <w:r w:rsidR="00F05BFE">
        <w:t xml:space="preserve"> and </w:t>
      </w:r>
      <w:r w:rsidR="00F20299">
        <w:t xml:space="preserve">is </w:t>
      </w:r>
      <w:r w:rsidRPr="008952AA">
        <w:t xml:space="preserve">considered a key partner in assisting </w:t>
      </w:r>
      <w:r w:rsidR="00F20299">
        <w:t>the country in</w:t>
      </w:r>
      <w:r w:rsidRPr="008952AA">
        <w:t xml:space="preserve"> address</w:t>
      </w:r>
      <w:r w:rsidR="00F20299">
        <w:t>ing</w:t>
      </w:r>
      <w:r w:rsidRPr="008952AA">
        <w:t xml:space="preserve"> COVID-19 pandemic </w:t>
      </w:r>
      <w:r w:rsidR="00F20299">
        <w:t xml:space="preserve">challenges </w:t>
      </w:r>
      <w:r w:rsidR="0008464D">
        <w:t xml:space="preserve">by </w:t>
      </w:r>
      <w:r w:rsidRPr="008952AA">
        <w:t xml:space="preserve">successfully </w:t>
      </w:r>
      <w:r w:rsidR="00664E4E">
        <w:t xml:space="preserve">reprogramming </w:t>
      </w:r>
      <w:r w:rsidR="00F20299">
        <w:t xml:space="preserve">a </w:t>
      </w:r>
      <w:r w:rsidR="00664E4E">
        <w:t xml:space="preserve">million dollars and </w:t>
      </w:r>
      <w:r w:rsidRPr="008952AA">
        <w:t>mobilizing a</w:t>
      </w:r>
      <w:r w:rsidR="00F20299">
        <w:t>n</w:t>
      </w:r>
      <w:r w:rsidR="004A1575">
        <w:t xml:space="preserve"> </w:t>
      </w:r>
      <w:r w:rsidR="00664E4E">
        <w:t xml:space="preserve">equivalent amount </w:t>
      </w:r>
      <w:r w:rsidRPr="008952AA">
        <w:t xml:space="preserve">between 2020 and 2022. </w:t>
      </w:r>
    </w:p>
    <w:p w14:paraId="27FC3AA3" w14:textId="6D3ED5F8" w:rsidR="008952AA" w:rsidRPr="008952AA" w:rsidRDefault="008952AA" w:rsidP="00B13D1B">
      <w:pPr>
        <w:numPr>
          <w:ilvl w:val="0"/>
          <w:numId w:val="4"/>
        </w:numPr>
        <w:tabs>
          <w:tab w:val="left" w:pos="1620"/>
        </w:tabs>
        <w:spacing w:after="120"/>
        <w:ind w:left="1260" w:right="1210" w:firstLine="0"/>
        <w:jc w:val="both"/>
      </w:pPr>
      <w:r w:rsidRPr="008952AA">
        <w:t>UNDP leverage</w:t>
      </w:r>
      <w:r w:rsidR="004A1575">
        <w:t>d</w:t>
      </w:r>
      <w:r w:rsidRPr="008952AA">
        <w:t xml:space="preserve"> E</w:t>
      </w:r>
      <w:r w:rsidR="00F20299">
        <w:t xml:space="preserve">uropean </w:t>
      </w:r>
      <w:r w:rsidRPr="008952AA">
        <w:t>U</w:t>
      </w:r>
      <w:r w:rsidR="00F20299">
        <w:t>nion</w:t>
      </w:r>
      <w:r w:rsidRPr="008952AA">
        <w:t xml:space="preserve"> and African Development Bank</w:t>
      </w:r>
      <w:r w:rsidR="00964A50">
        <w:t xml:space="preserve"> (AfDB)</w:t>
      </w:r>
      <w:r w:rsidR="000215F6">
        <w:t xml:space="preserve"> funds</w:t>
      </w:r>
      <w:r w:rsidRPr="008952AA">
        <w:t xml:space="preserve"> to support justice sector and renewable energy projects</w:t>
      </w:r>
      <w:r w:rsidR="00964A50">
        <w:t>, the latter</w:t>
      </w:r>
      <w:r w:rsidRPr="008952AA">
        <w:t xml:space="preserve"> based on UNDP feasibility studies. A data </w:t>
      </w:r>
      <w:r w:rsidR="00465882" w:rsidRPr="008952AA">
        <w:t>center</w:t>
      </w:r>
      <w:r w:rsidRPr="008952AA">
        <w:t xml:space="preserve"> </w:t>
      </w:r>
      <w:r w:rsidR="00F20299">
        <w:t xml:space="preserve">initiative, </w:t>
      </w:r>
      <w:r w:rsidR="000215F6">
        <w:t>supported by</w:t>
      </w:r>
      <w:r w:rsidRPr="008952AA">
        <w:t xml:space="preserve"> UNDP</w:t>
      </w:r>
      <w:r w:rsidR="000215F6">
        <w:t xml:space="preserve">, </w:t>
      </w:r>
      <w:r w:rsidRPr="008952AA">
        <w:t xml:space="preserve">encouraged the World Bank to </w:t>
      </w:r>
      <w:r w:rsidR="004A1575">
        <w:t>explore f</w:t>
      </w:r>
      <w:r w:rsidRPr="008952AA">
        <w:t>inanc</w:t>
      </w:r>
      <w:r w:rsidR="004A1575">
        <w:t>ing</w:t>
      </w:r>
      <w:r w:rsidRPr="008952AA">
        <w:t xml:space="preserve"> a digital interoperability project. A UNDP social entrepreneurship initiative </w:t>
      </w:r>
      <w:r w:rsidR="00964A50">
        <w:t>transitioned</w:t>
      </w:r>
      <w:r w:rsidRPr="008952AA">
        <w:t xml:space="preserve"> into a challenge fund </w:t>
      </w:r>
      <w:r w:rsidR="00F20299">
        <w:t>that supports</w:t>
      </w:r>
      <w:r w:rsidRPr="008952AA">
        <w:t xml:space="preserve"> innovative, community-based</w:t>
      </w:r>
      <w:r w:rsidR="00F20299">
        <w:t>,</w:t>
      </w:r>
      <w:r w:rsidRPr="008952AA">
        <w:t xml:space="preserve"> and SIDS cost-efficient </w:t>
      </w:r>
      <w:r w:rsidR="00F20299">
        <w:t xml:space="preserve">and </w:t>
      </w:r>
      <w:r w:rsidR="00964A50">
        <w:t xml:space="preserve">sustainable development </w:t>
      </w:r>
      <w:r w:rsidRPr="008952AA">
        <w:t>solutions,</w:t>
      </w:r>
      <w:r w:rsidR="00F20299">
        <w:t xml:space="preserve"> including</w:t>
      </w:r>
      <w:r w:rsidRPr="008952AA">
        <w:t xml:space="preserve"> </w:t>
      </w:r>
      <w:r w:rsidR="00F20299">
        <w:t>promising</w:t>
      </w:r>
      <w:r w:rsidRPr="008952AA">
        <w:t xml:space="preserve"> alternative</w:t>
      </w:r>
      <w:r w:rsidR="00F20299">
        <w:t>s</w:t>
      </w:r>
      <w:r w:rsidRPr="008952AA">
        <w:t xml:space="preserve"> to the Accelerator Lab model. </w:t>
      </w:r>
    </w:p>
    <w:p w14:paraId="12623E88" w14:textId="6831477B" w:rsidR="008952AA" w:rsidRPr="008952AA" w:rsidRDefault="00F20299" w:rsidP="00B13D1B">
      <w:pPr>
        <w:numPr>
          <w:ilvl w:val="0"/>
          <w:numId w:val="4"/>
        </w:numPr>
        <w:tabs>
          <w:tab w:val="left" w:pos="1620"/>
        </w:tabs>
        <w:spacing w:after="120"/>
        <w:ind w:left="1260" w:right="1210" w:firstLine="0"/>
        <w:jc w:val="both"/>
      </w:pPr>
      <w:r>
        <w:t>Primary</w:t>
      </w:r>
      <w:r w:rsidRPr="008952AA">
        <w:t xml:space="preserve"> </w:t>
      </w:r>
      <w:r w:rsidR="008952AA" w:rsidRPr="008952AA">
        <w:t xml:space="preserve">lessons </w:t>
      </w:r>
      <w:r w:rsidR="009067C2">
        <w:t xml:space="preserve">identified </w:t>
      </w:r>
      <w:r w:rsidR="007F5511">
        <w:t xml:space="preserve">in the ICPE </w:t>
      </w:r>
      <w:r w:rsidR="0008464D">
        <w:t>informed</w:t>
      </w:r>
      <w:r w:rsidR="009067C2">
        <w:t xml:space="preserve"> programme design</w:t>
      </w:r>
      <w:r>
        <w:t xml:space="preserve">, </w:t>
      </w:r>
      <w:r w:rsidR="009067C2">
        <w:t>notably</w:t>
      </w:r>
      <w:r w:rsidR="006F776E">
        <w:t xml:space="preserve"> </w:t>
      </w:r>
      <w:r>
        <w:t>the need to</w:t>
      </w:r>
      <w:r w:rsidR="00A672D8">
        <w:t>,</w:t>
      </w:r>
      <w:r>
        <w:t xml:space="preserve"> </w:t>
      </w:r>
      <w:r w:rsidR="008952AA" w:rsidRPr="008952AA">
        <w:t xml:space="preserve"> </w:t>
      </w:r>
      <w:r w:rsidR="00E82D9E">
        <w:t>(</w:t>
      </w:r>
      <w:r w:rsidR="008952AA" w:rsidRPr="008952AA">
        <w:t>i) consolidate in-depth consultations with government</w:t>
      </w:r>
      <w:r>
        <w:t xml:space="preserve"> and</w:t>
      </w:r>
      <w:r w:rsidR="008952AA" w:rsidRPr="008952AA">
        <w:t xml:space="preserve"> development to increase</w:t>
      </w:r>
      <w:r w:rsidR="000215F6">
        <w:t xml:space="preserve"> </w:t>
      </w:r>
      <w:r w:rsidR="009067C2">
        <w:t xml:space="preserve">programme </w:t>
      </w:r>
      <w:r w:rsidR="008952AA" w:rsidRPr="008952AA">
        <w:t xml:space="preserve">relevance and sustainability; </w:t>
      </w:r>
      <w:r w:rsidR="00E82D9E">
        <w:t>(</w:t>
      </w:r>
      <w:r w:rsidR="008952AA" w:rsidRPr="008952AA">
        <w:t>ii) establish a monitoring and evaluation unit to strengthen information</w:t>
      </w:r>
      <w:r>
        <w:t xml:space="preserve">, </w:t>
      </w:r>
      <w:r w:rsidR="008952AA" w:rsidRPr="008952AA">
        <w:t>knowledge management</w:t>
      </w:r>
      <w:r>
        <w:t>,</w:t>
      </w:r>
      <w:r w:rsidR="008952AA" w:rsidRPr="008952AA">
        <w:t xml:space="preserve"> and adaptive learning; </w:t>
      </w:r>
      <w:r w:rsidR="00E82D9E">
        <w:t>(</w:t>
      </w:r>
      <w:r w:rsidR="008952AA" w:rsidRPr="008952AA">
        <w:t xml:space="preserve">iii) improve data collection, particularly on key socioeconomic and environmental indicators; </w:t>
      </w:r>
      <w:r w:rsidR="00E82D9E">
        <w:t>(</w:t>
      </w:r>
      <w:r w:rsidR="008952AA" w:rsidRPr="008952AA">
        <w:t>iv) intensify the systematic involvement of the private sector in projects and programmes</w:t>
      </w:r>
      <w:r>
        <w:t>,</w:t>
      </w:r>
      <w:r w:rsidR="008952AA" w:rsidRPr="008952AA">
        <w:t xml:space="preserve"> and </w:t>
      </w:r>
      <w:r w:rsidR="00E82D9E">
        <w:t>(</w:t>
      </w:r>
      <w:r w:rsidR="008952AA" w:rsidRPr="008952AA">
        <w:t xml:space="preserve">v) strengthen South-South and triangular cooperation activities. </w:t>
      </w:r>
    </w:p>
    <w:p w14:paraId="36D9E67A" w14:textId="285A9453" w:rsidR="00AC1CE4" w:rsidRPr="0008464D" w:rsidRDefault="008952AA" w:rsidP="00B13D1B">
      <w:pPr>
        <w:numPr>
          <w:ilvl w:val="0"/>
          <w:numId w:val="4"/>
        </w:numPr>
        <w:tabs>
          <w:tab w:val="left" w:pos="1620"/>
        </w:tabs>
        <w:spacing w:after="120"/>
        <w:ind w:left="1260" w:right="1210" w:firstLine="0"/>
        <w:jc w:val="both"/>
        <w:rPr>
          <w:lang w:val="en-GB"/>
        </w:rPr>
      </w:pPr>
      <w:r w:rsidRPr="008952AA">
        <w:t xml:space="preserve">The </w:t>
      </w:r>
      <w:r w:rsidR="00F20299" w:rsidRPr="00F20299">
        <w:t>United Nations Sustainable Development Cooperation Framework</w:t>
      </w:r>
      <w:r w:rsidR="00F20299">
        <w:t xml:space="preserve"> (</w:t>
      </w:r>
      <w:r w:rsidRPr="008952AA">
        <w:t>UNSDCF</w:t>
      </w:r>
      <w:r w:rsidR="00F20299">
        <w:t>)</w:t>
      </w:r>
      <w:r w:rsidRPr="008952AA">
        <w:t xml:space="preserve"> for 2023-2027 is fully aligned with </w:t>
      </w:r>
      <w:r w:rsidR="00F20299">
        <w:t xml:space="preserve">five </w:t>
      </w:r>
      <w:r w:rsidRPr="008952AA">
        <w:t xml:space="preserve">national development priorities </w:t>
      </w:r>
      <w:r w:rsidR="00A87EAE">
        <w:t xml:space="preserve">in the </w:t>
      </w:r>
      <w:r w:rsidRPr="008952AA">
        <w:t>PNARME</w:t>
      </w:r>
      <w:r w:rsidR="00F20299">
        <w:t xml:space="preserve"> and</w:t>
      </w:r>
      <w:r w:rsidRPr="008952AA">
        <w:t xml:space="preserve"> attributes a leading strategic role to UNDP</w:t>
      </w:r>
      <w:r w:rsidR="009371FB">
        <w:t xml:space="preserve"> across all four outcomes</w:t>
      </w:r>
      <w:r w:rsidR="004A1575">
        <w:t xml:space="preserve">. </w:t>
      </w:r>
      <w:r w:rsidRPr="008952AA">
        <w:t xml:space="preserve">UNDP experience and comparative advantages as a convenor, integrator, </w:t>
      </w:r>
      <w:r w:rsidR="00D74485" w:rsidRPr="008952AA">
        <w:t>thought</w:t>
      </w:r>
      <w:r w:rsidR="00B43940">
        <w:t xml:space="preserve"> </w:t>
      </w:r>
      <w:r w:rsidR="00D74485" w:rsidRPr="008952AA">
        <w:t>leader</w:t>
      </w:r>
      <w:r w:rsidRPr="008952AA">
        <w:t xml:space="preserve"> and innovator in relation to human rights, governance, rule of law, climate </w:t>
      </w:r>
      <w:r w:rsidR="00AB0499" w:rsidRPr="008952AA">
        <w:t>change</w:t>
      </w:r>
      <w:r w:rsidR="00F20299">
        <w:t xml:space="preserve">, </w:t>
      </w:r>
      <w:r w:rsidRPr="008952AA">
        <w:t>disaster risk reduction and recovery, and the empowerment of women and youth</w:t>
      </w:r>
      <w:r w:rsidR="00D74485">
        <w:t>,</w:t>
      </w:r>
      <w:r w:rsidRPr="008952AA">
        <w:t xml:space="preserve"> </w:t>
      </w:r>
      <w:r w:rsidR="001D7C66">
        <w:t xml:space="preserve">allow for </w:t>
      </w:r>
      <w:r w:rsidRPr="008952AA">
        <w:t>significant contribution</w:t>
      </w:r>
      <w:r w:rsidR="001D7C66">
        <w:t>s</w:t>
      </w:r>
      <w:r w:rsidRPr="008952AA">
        <w:t xml:space="preserve"> to</w:t>
      </w:r>
      <w:r w:rsidR="00A87EAE">
        <w:t xml:space="preserve"> </w:t>
      </w:r>
      <w:r w:rsidR="00911754">
        <w:t>all UNSDCF</w:t>
      </w:r>
      <w:r w:rsidR="004A1575">
        <w:t xml:space="preserve"> </w:t>
      </w:r>
      <w:r w:rsidRPr="008952AA">
        <w:t xml:space="preserve">strategic priority areas. </w:t>
      </w:r>
      <w:r w:rsidR="001D7C66">
        <w:t>The</w:t>
      </w:r>
      <w:r w:rsidR="001D7C66" w:rsidRPr="008952AA">
        <w:t xml:space="preserve"> </w:t>
      </w:r>
      <w:r w:rsidR="001D7C66">
        <w:t>ability</w:t>
      </w:r>
      <w:r w:rsidR="001D7C66" w:rsidRPr="008952AA">
        <w:t xml:space="preserve"> </w:t>
      </w:r>
      <w:r w:rsidRPr="008952AA">
        <w:t xml:space="preserve">to scale-up reconstruction and recovery efforts demonstrate </w:t>
      </w:r>
      <w:r w:rsidR="001D7C66">
        <w:t>organizational</w:t>
      </w:r>
      <w:r w:rsidR="00F20299" w:rsidRPr="008952AA">
        <w:t xml:space="preserve"> </w:t>
      </w:r>
      <w:r w:rsidRPr="008952AA">
        <w:t xml:space="preserve">agility and </w:t>
      </w:r>
      <w:r w:rsidR="001D7C66" w:rsidRPr="008952AA">
        <w:t>capacity</w:t>
      </w:r>
      <w:r w:rsidRPr="008952AA">
        <w:t xml:space="preserve"> to integrate sustainable programming within the </w:t>
      </w:r>
      <w:r w:rsidR="00664E4E">
        <w:t>t</w:t>
      </w:r>
      <w:r w:rsidR="00664E4E" w:rsidRPr="00664E4E">
        <w:t xml:space="preserve">riple nexus </w:t>
      </w:r>
      <w:r w:rsidR="00664E4E">
        <w:t xml:space="preserve">of </w:t>
      </w:r>
      <w:r w:rsidR="00664E4E" w:rsidRPr="00664E4E">
        <w:t>humanitarian</w:t>
      </w:r>
      <w:r w:rsidR="00F20299">
        <w:t xml:space="preserve">, </w:t>
      </w:r>
      <w:r w:rsidR="00664E4E" w:rsidRPr="00664E4E">
        <w:t>development</w:t>
      </w:r>
      <w:r w:rsidR="00F20299">
        <w:t>,</w:t>
      </w:r>
      <w:r w:rsidR="00664E4E" w:rsidRPr="00664E4E">
        <w:t xml:space="preserve"> and peace </w:t>
      </w:r>
      <w:r w:rsidR="00F20299">
        <w:t>by</w:t>
      </w:r>
      <w:r w:rsidR="00F20299" w:rsidRPr="008952AA">
        <w:t xml:space="preserve"> </w:t>
      </w:r>
      <w:r w:rsidRPr="008952AA">
        <w:t>supporting improvements to basic services, economic recovery and diversification</w:t>
      </w:r>
      <w:r w:rsidR="00F20299">
        <w:t>,</w:t>
      </w:r>
      <w:r w:rsidRPr="008952AA">
        <w:t xml:space="preserve"> and enhancing social cohesion.</w:t>
      </w:r>
    </w:p>
    <w:p w14:paraId="7C4F6C94" w14:textId="51CEA619" w:rsidR="00BF7D41" w:rsidRPr="00AC1CE4" w:rsidRDefault="00B43940" w:rsidP="00B13D1B">
      <w:pPr>
        <w:numPr>
          <w:ilvl w:val="0"/>
          <w:numId w:val="4"/>
        </w:numPr>
        <w:tabs>
          <w:tab w:val="left" w:pos="1620"/>
        </w:tabs>
        <w:spacing w:after="360"/>
        <w:ind w:left="1260" w:right="1210" w:firstLine="0"/>
        <w:jc w:val="both"/>
        <w:rPr>
          <w:lang w:val="en-GB"/>
        </w:rPr>
      </w:pPr>
      <w:r>
        <w:rPr>
          <w:lang w:val="en-GB"/>
        </w:rPr>
        <w:t xml:space="preserve">Capitalizing </w:t>
      </w:r>
      <w:r w:rsidR="008952AA" w:rsidRPr="00AC1CE4">
        <w:rPr>
          <w:lang w:val="en-GB"/>
        </w:rPr>
        <w:t>on global networks, UNDP will contribute to the UN</w:t>
      </w:r>
      <w:r w:rsidR="00C05F50">
        <w:rPr>
          <w:lang w:val="en-GB"/>
        </w:rPr>
        <w:t>SD</w:t>
      </w:r>
      <w:r w:rsidR="008952AA" w:rsidRPr="00AC1CE4">
        <w:rPr>
          <w:lang w:val="en-GB"/>
        </w:rPr>
        <w:t xml:space="preserve">CF </w:t>
      </w:r>
      <w:r w:rsidR="001D7C66">
        <w:rPr>
          <w:lang w:val="en-GB"/>
        </w:rPr>
        <w:t>by</w:t>
      </w:r>
      <w:r w:rsidR="001D7C66" w:rsidRPr="00AC1CE4">
        <w:rPr>
          <w:lang w:val="en-GB"/>
        </w:rPr>
        <w:t xml:space="preserve"> </w:t>
      </w:r>
      <w:r w:rsidR="008952AA" w:rsidRPr="00AC1CE4">
        <w:rPr>
          <w:lang w:val="en-GB"/>
        </w:rPr>
        <w:t>scal</w:t>
      </w:r>
      <w:r w:rsidR="008931AF">
        <w:rPr>
          <w:lang w:val="en-GB"/>
        </w:rPr>
        <w:t>ing</w:t>
      </w:r>
      <w:r w:rsidR="008952AA" w:rsidRPr="00AC1CE4">
        <w:rPr>
          <w:lang w:val="en-GB"/>
        </w:rPr>
        <w:t>-up best practices, accelerat</w:t>
      </w:r>
      <w:r w:rsidR="008931AF">
        <w:rPr>
          <w:lang w:val="en-GB"/>
        </w:rPr>
        <w:t>ing</w:t>
      </w:r>
      <w:r w:rsidR="008952AA" w:rsidRPr="00AC1CE4">
        <w:rPr>
          <w:lang w:val="en-GB"/>
        </w:rPr>
        <w:t xml:space="preserve"> support for legal and policy reforms, and develop</w:t>
      </w:r>
      <w:r w:rsidR="008931AF">
        <w:rPr>
          <w:lang w:val="en-GB"/>
        </w:rPr>
        <w:t xml:space="preserve">ing </w:t>
      </w:r>
      <w:r w:rsidR="008952AA" w:rsidRPr="00AC1CE4">
        <w:rPr>
          <w:lang w:val="en-GB"/>
        </w:rPr>
        <w:t xml:space="preserve">digital solutions </w:t>
      </w:r>
      <w:r w:rsidR="008931AF">
        <w:rPr>
          <w:lang w:val="en-GB"/>
        </w:rPr>
        <w:t>to</w:t>
      </w:r>
      <w:r w:rsidR="008952AA" w:rsidRPr="00AC1CE4">
        <w:rPr>
          <w:lang w:val="en-GB"/>
        </w:rPr>
        <w:t xml:space="preserve"> improve service delivery and enhance evidence-based</w:t>
      </w:r>
      <w:r w:rsidR="008931AF">
        <w:rPr>
          <w:lang w:val="en-GB"/>
        </w:rPr>
        <w:t xml:space="preserve"> </w:t>
      </w:r>
      <w:r w:rsidR="008952AA" w:rsidRPr="00AC1CE4">
        <w:rPr>
          <w:lang w:val="en-GB"/>
        </w:rPr>
        <w:t xml:space="preserve">decision-making. </w:t>
      </w:r>
      <w:r w:rsidR="001D7C66">
        <w:rPr>
          <w:lang w:val="en-GB"/>
        </w:rPr>
        <w:t>L</w:t>
      </w:r>
      <w:r w:rsidR="008952AA" w:rsidRPr="00AC1CE4">
        <w:rPr>
          <w:lang w:val="en-GB"/>
        </w:rPr>
        <w:t xml:space="preserve">ong-term support for governance and justice reform </w:t>
      </w:r>
      <w:r w:rsidR="001D7C66">
        <w:rPr>
          <w:lang w:val="en-GB"/>
        </w:rPr>
        <w:t>means</w:t>
      </w:r>
      <w:r w:rsidR="001D7C66" w:rsidRPr="00AC1CE4">
        <w:rPr>
          <w:lang w:val="en-GB"/>
        </w:rPr>
        <w:t xml:space="preserve"> </w:t>
      </w:r>
      <w:r w:rsidR="008952AA" w:rsidRPr="00AC1CE4">
        <w:rPr>
          <w:lang w:val="en-GB"/>
        </w:rPr>
        <w:t xml:space="preserve">UNDP </w:t>
      </w:r>
      <w:r w:rsidR="001D7C66">
        <w:rPr>
          <w:lang w:val="en-GB"/>
        </w:rPr>
        <w:t>can</w:t>
      </w:r>
      <w:r w:rsidR="001D7C66" w:rsidRPr="00AC1CE4">
        <w:rPr>
          <w:lang w:val="en-GB"/>
        </w:rPr>
        <w:t xml:space="preserve"> </w:t>
      </w:r>
      <w:r w:rsidR="008952AA" w:rsidRPr="00AC1CE4">
        <w:rPr>
          <w:lang w:val="en-GB"/>
        </w:rPr>
        <w:t>significantly contribute to enhancing transparency and accountability, strengthen</w:t>
      </w:r>
      <w:r w:rsidR="001D7C66">
        <w:rPr>
          <w:lang w:val="en-GB"/>
        </w:rPr>
        <w:t>ing</w:t>
      </w:r>
      <w:r w:rsidR="008952AA" w:rsidRPr="00AC1CE4">
        <w:rPr>
          <w:lang w:val="en-GB"/>
        </w:rPr>
        <w:t xml:space="preserve"> governance management systems, and </w:t>
      </w:r>
      <w:r w:rsidR="001D7C66">
        <w:rPr>
          <w:lang w:val="en-GB"/>
        </w:rPr>
        <w:t>expand</w:t>
      </w:r>
      <w:r w:rsidR="00AB0499">
        <w:rPr>
          <w:lang w:val="en-GB"/>
        </w:rPr>
        <w:t xml:space="preserve"> </w:t>
      </w:r>
      <w:r w:rsidR="008952AA" w:rsidRPr="00AC1CE4">
        <w:rPr>
          <w:lang w:val="en-GB"/>
        </w:rPr>
        <w:t xml:space="preserve">civic space </w:t>
      </w:r>
      <w:r w:rsidR="008931AF">
        <w:rPr>
          <w:lang w:val="en-GB"/>
        </w:rPr>
        <w:t>to</w:t>
      </w:r>
      <w:r w:rsidR="008952AA" w:rsidRPr="00AC1CE4">
        <w:rPr>
          <w:lang w:val="en-GB"/>
        </w:rPr>
        <w:t xml:space="preserve"> empower women and youth. As </w:t>
      </w:r>
      <w:r w:rsidR="00AB0499">
        <w:rPr>
          <w:lang w:val="en-GB"/>
        </w:rPr>
        <w:t xml:space="preserve">a member </w:t>
      </w:r>
      <w:r w:rsidR="008952AA" w:rsidRPr="00AC1CE4">
        <w:rPr>
          <w:lang w:val="en-GB"/>
        </w:rPr>
        <w:t xml:space="preserve">of </w:t>
      </w:r>
      <w:r w:rsidR="00AB0499">
        <w:rPr>
          <w:lang w:val="en-GB"/>
        </w:rPr>
        <w:t>the</w:t>
      </w:r>
      <w:r w:rsidR="008952AA" w:rsidRPr="00AC1CE4">
        <w:rPr>
          <w:lang w:val="en-GB"/>
        </w:rPr>
        <w:t xml:space="preserve"> global and regional SIDS network, UNDP </w:t>
      </w:r>
      <w:r w:rsidR="00236775">
        <w:rPr>
          <w:lang w:val="en-GB"/>
        </w:rPr>
        <w:t>will</w:t>
      </w:r>
      <w:r w:rsidR="008952AA" w:rsidRPr="00AC1CE4">
        <w:rPr>
          <w:lang w:val="en-GB"/>
        </w:rPr>
        <w:t xml:space="preserve"> leverage South-South and </w:t>
      </w:r>
      <w:r w:rsidR="001D7C66">
        <w:rPr>
          <w:lang w:val="en-GB"/>
        </w:rPr>
        <w:t>t</w:t>
      </w:r>
      <w:r w:rsidR="008952AA" w:rsidRPr="00AC1CE4">
        <w:rPr>
          <w:lang w:val="en-GB"/>
        </w:rPr>
        <w:t xml:space="preserve">riangular </w:t>
      </w:r>
      <w:r w:rsidR="001D7C66">
        <w:rPr>
          <w:lang w:val="en-GB"/>
        </w:rPr>
        <w:t>c</w:t>
      </w:r>
      <w:r w:rsidR="008952AA" w:rsidRPr="00AC1CE4">
        <w:rPr>
          <w:lang w:val="en-GB"/>
        </w:rPr>
        <w:t>ooperation opportunities</w:t>
      </w:r>
      <w:r w:rsidR="008952AA" w:rsidRPr="008952AA">
        <w:t xml:space="preserve"> </w:t>
      </w:r>
      <w:r w:rsidR="0063307D">
        <w:t xml:space="preserve">across all priority areas </w:t>
      </w:r>
      <w:r w:rsidR="00351F5F">
        <w:t>to</w:t>
      </w:r>
      <w:r w:rsidR="008952AA" w:rsidRPr="008952AA">
        <w:t xml:space="preserve"> replicate sustainable development solutions</w:t>
      </w:r>
      <w:r w:rsidR="0063307D">
        <w:t xml:space="preserve"> and promote adaptive learning</w:t>
      </w:r>
      <w:r w:rsidR="00351F5F">
        <w:t>.</w:t>
      </w:r>
    </w:p>
    <w:p w14:paraId="20937962" w14:textId="51A0FE39" w:rsidR="00123C51" w:rsidRPr="00AC1CE4" w:rsidRDefault="00BF7D41" w:rsidP="00ED76E0">
      <w:pPr>
        <w:pStyle w:val="ListParagraph"/>
        <w:numPr>
          <w:ilvl w:val="0"/>
          <w:numId w:val="3"/>
        </w:numPr>
        <w:tabs>
          <w:tab w:val="left" w:pos="1620"/>
        </w:tabs>
        <w:spacing w:after="200"/>
        <w:ind w:left="1260" w:right="1210" w:hanging="360"/>
        <w:jc w:val="both"/>
        <w:rPr>
          <w:b/>
          <w:bCs/>
          <w:sz w:val="24"/>
          <w:szCs w:val="24"/>
          <w:lang w:val="en-GB"/>
        </w:rPr>
      </w:pPr>
      <w:bookmarkStart w:id="1" w:name="_Hlk66784748"/>
      <w:r w:rsidRPr="00AC1CE4">
        <w:rPr>
          <w:b/>
          <w:bCs/>
          <w:sz w:val="24"/>
          <w:szCs w:val="24"/>
          <w:lang w:val="en-GB"/>
        </w:rPr>
        <w:lastRenderedPageBreak/>
        <w:t xml:space="preserve">Programme </w:t>
      </w:r>
      <w:r w:rsidR="003F4315">
        <w:rPr>
          <w:b/>
          <w:bCs/>
          <w:sz w:val="24"/>
          <w:szCs w:val="24"/>
          <w:lang w:val="en-GB"/>
        </w:rPr>
        <w:t>p</w:t>
      </w:r>
      <w:r w:rsidRPr="00AC1CE4">
        <w:rPr>
          <w:b/>
          <w:bCs/>
          <w:sz w:val="24"/>
          <w:szCs w:val="24"/>
          <w:lang w:val="en-GB"/>
        </w:rPr>
        <w:t xml:space="preserve">riorities and </w:t>
      </w:r>
      <w:r w:rsidR="003F4315">
        <w:rPr>
          <w:b/>
          <w:bCs/>
          <w:sz w:val="24"/>
          <w:szCs w:val="24"/>
          <w:lang w:val="en-GB"/>
        </w:rPr>
        <w:t>p</w:t>
      </w:r>
      <w:r w:rsidRPr="00AC1CE4">
        <w:rPr>
          <w:b/>
          <w:bCs/>
          <w:sz w:val="24"/>
          <w:szCs w:val="24"/>
          <w:lang w:val="en-GB"/>
        </w:rPr>
        <w:t xml:space="preserve">artnerships </w:t>
      </w:r>
    </w:p>
    <w:p w14:paraId="2502BBA9" w14:textId="0DB8170A" w:rsidR="001F77A0" w:rsidRDefault="003C3CF6" w:rsidP="00B13D1B">
      <w:pPr>
        <w:pStyle w:val="ListParagraph"/>
        <w:numPr>
          <w:ilvl w:val="0"/>
          <w:numId w:val="5"/>
        </w:numPr>
        <w:tabs>
          <w:tab w:val="left" w:pos="1620"/>
        </w:tabs>
        <w:spacing w:after="120"/>
        <w:ind w:left="1260" w:right="1210" w:firstLine="0"/>
        <w:jc w:val="both"/>
        <w:rPr>
          <w:lang w:val="en-GB"/>
        </w:rPr>
      </w:pPr>
      <w:r w:rsidRPr="001F77A0">
        <w:rPr>
          <w:lang w:val="en-GB"/>
        </w:rPr>
        <w:t xml:space="preserve">Programme development began in July 2022 </w:t>
      </w:r>
      <w:r w:rsidR="001D7C66">
        <w:rPr>
          <w:lang w:val="en-GB"/>
        </w:rPr>
        <w:t>with</w:t>
      </w:r>
      <w:r w:rsidR="001D7C66" w:rsidRPr="001F77A0">
        <w:rPr>
          <w:lang w:val="en-GB"/>
        </w:rPr>
        <w:t xml:space="preserve"> </w:t>
      </w:r>
      <w:r w:rsidRPr="001F77A0">
        <w:rPr>
          <w:lang w:val="en-GB"/>
        </w:rPr>
        <w:t>discussions involving representatives of</w:t>
      </w:r>
      <w:r w:rsidR="001D7C66">
        <w:rPr>
          <w:lang w:val="en-GB"/>
        </w:rPr>
        <w:t xml:space="preserve"> the</w:t>
      </w:r>
      <w:r w:rsidRPr="001F77A0">
        <w:rPr>
          <w:lang w:val="en-GB"/>
        </w:rPr>
        <w:t xml:space="preserve"> </w:t>
      </w:r>
      <w:r w:rsidR="001D7C66">
        <w:rPr>
          <w:lang w:val="en-GB"/>
        </w:rPr>
        <w:t>g</w:t>
      </w:r>
      <w:r w:rsidRPr="001F77A0">
        <w:rPr>
          <w:lang w:val="en-GB"/>
        </w:rPr>
        <w:t>overnment, international and local development partners, civil society organi</w:t>
      </w:r>
      <w:r w:rsidR="001D7C66">
        <w:rPr>
          <w:lang w:val="en-GB"/>
        </w:rPr>
        <w:t>z</w:t>
      </w:r>
      <w:r w:rsidRPr="001F77A0">
        <w:rPr>
          <w:lang w:val="en-GB"/>
        </w:rPr>
        <w:t xml:space="preserve">ations, the private sector and academics </w:t>
      </w:r>
      <w:r w:rsidR="001D7C66">
        <w:rPr>
          <w:lang w:val="en-GB"/>
        </w:rPr>
        <w:t>to</w:t>
      </w:r>
      <w:r w:rsidR="001D7C66" w:rsidRPr="001F77A0">
        <w:rPr>
          <w:lang w:val="en-GB"/>
        </w:rPr>
        <w:t xml:space="preserve"> </w:t>
      </w:r>
      <w:r w:rsidRPr="001F77A0">
        <w:rPr>
          <w:lang w:val="en-GB"/>
        </w:rPr>
        <w:t>buil</w:t>
      </w:r>
      <w:r w:rsidR="001D7C66">
        <w:rPr>
          <w:lang w:val="en-GB"/>
        </w:rPr>
        <w:t>d</w:t>
      </w:r>
      <w:r w:rsidRPr="001F77A0">
        <w:rPr>
          <w:lang w:val="en-GB"/>
        </w:rPr>
        <w:t xml:space="preserve"> a consensus around </w:t>
      </w:r>
      <w:r w:rsidR="001D7C66">
        <w:rPr>
          <w:lang w:val="en-GB"/>
        </w:rPr>
        <w:t>pressing</w:t>
      </w:r>
      <w:r w:rsidR="001D7C66" w:rsidRPr="001F77A0">
        <w:rPr>
          <w:lang w:val="en-GB"/>
        </w:rPr>
        <w:t xml:space="preserve"> </w:t>
      </w:r>
      <w:r w:rsidRPr="001F77A0">
        <w:rPr>
          <w:lang w:val="en-GB"/>
        </w:rPr>
        <w:t>development challenges, priorities</w:t>
      </w:r>
      <w:r w:rsidR="001D7C66">
        <w:rPr>
          <w:lang w:val="en-GB"/>
        </w:rPr>
        <w:t>,</w:t>
      </w:r>
      <w:r w:rsidRPr="001F77A0">
        <w:rPr>
          <w:lang w:val="en-GB"/>
        </w:rPr>
        <w:t xml:space="preserve"> and strategies. Four strategic priority areas were subject to in-depth discussion</w:t>
      </w:r>
      <w:r w:rsidR="001D7C66">
        <w:rPr>
          <w:lang w:val="en-GB"/>
        </w:rPr>
        <w:t>s</w:t>
      </w:r>
      <w:r w:rsidRPr="001F77A0">
        <w:rPr>
          <w:lang w:val="en-GB"/>
        </w:rPr>
        <w:t xml:space="preserve"> </w:t>
      </w:r>
      <w:r w:rsidR="001D7C66">
        <w:rPr>
          <w:lang w:val="en-GB"/>
        </w:rPr>
        <w:t>via</w:t>
      </w:r>
      <w:r w:rsidR="001D7C66" w:rsidRPr="001F77A0">
        <w:rPr>
          <w:lang w:val="en-GB"/>
        </w:rPr>
        <w:t xml:space="preserve"> </w:t>
      </w:r>
      <w:r w:rsidRPr="001F77A0">
        <w:rPr>
          <w:lang w:val="en-GB"/>
        </w:rPr>
        <w:t xml:space="preserve">a series of thematic workshops in August 2022 </w:t>
      </w:r>
      <w:r w:rsidR="001D7C66">
        <w:rPr>
          <w:lang w:val="en-GB"/>
        </w:rPr>
        <w:t>to identify</w:t>
      </w:r>
      <w:r w:rsidRPr="001F77A0">
        <w:rPr>
          <w:lang w:val="en-GB"/>
        </w:rPr>
        <w:t xml:space="preserve"> target groups and develop outputs and indicative activities. </w:t>
      </w:r>
      <w:r w:rsidR="001D7C66">
        <w:rPr>
          <w:lang w:val="en-GB"/>
        </w:rPr>
        <w:t>All</w:t>
      </w:r>
      <w:r w:rsidR="001D7C66" w:rsidRPr="001F77A0">
        <w:rPr>
          <w:lang w:val="en-GB"/>
        </w:rPr>
        <w:t xml:space="preserve"> </w:t>
      </w:r>
      <w:r w:rsidRPr="001F77A0">
        <w:rPr>
          <w:lang w:val="en-GB"/>
        </w:rPr>
        <w:t xml:space="preserve">were subsequently validated at </w:t>
      </w:r>
      <w:r w:rsidR="001D7C66">
        <w:rPr>
          <w:lang w:val="en-GB"/>
        </w:rPr>
        <w:t>a</w:t>
      </w:r>
      <w:r w:rsidR="001D7C66" w:rsidRPr="001F77A0">
        <w:rPr>
          <w:lang w:val="en-GB"/>
        </w:rPr>
        <w:t xml:space="preserve"> </w:t>
      </w:r>
      <w:r w:rsidR="001F77A0">
        <w:rPr>
          <w:lang w:val="en-GB"/>
        </w:rPr>
        <w:t xml:space="preserve">national </w:t>
      </w:r>
      <w:r w:rsidRPr="001F77A0">
        <w:rPr>
          <w:lang w:val="en-GB"/>
        </w:rPr>
        <w:t xml:space="preserve">stakeholder workshop.  </w:t>
      </w:r>
    </w:p>
    <w:p w14:paraId="54819E34" w14:textId="21C5F8B0" w:rsidR="003C3CF6" w:rsidRPr="001F77A0" w:rsidRDefault="004F1F2C" w:rsidP="00B13D1B">
      <w:pPr>
        <w:pStyle w:val="ListParagraph"/>
        <w:numPr>
          <w:ilvl w:val="0"/>
          <w:numId w:val="5"/>
        </w:numPr>
        <w:tabs>
          <w:tab w:val="left" w:pos="1620"/>
        </w:tabs>
        <w:spacing w:after="120"/>
        <w:ind w:left="1260" w:right="1210" w:firstLine="0"/>
        <w:jc w:val="both"/>
        <w:rPr>
          <w:lang w:val="en-GB"/>
        </w:rPr>
      </w:pPr>
      <w:r w:rsidRPr="001F77A0">
        <w:rPr>
          <w:lang w:val="en-GB"/>
        </w:rPr>
        <w:t>The programme</w:t>
      </w:r>
      <w:r w:rsidR="00CD0291" w:rsidRPr="001F77A0">
        <w:rPr>
          <w:lang w:val="en-GB"/>
        </w:rPr>
        <w:t xml:space="preserve"> </w:t>
      </w:r>
      <w:r w:rsidR="001D7C66">
        <w:rPr>
          <w:lang w:val="en-GB"/>
        </w:rPr>
        <w:t>is aligned</w:t>
      </w:r>
      <w:r w:rsidR="001D7C66" w:rsidRPr="001F77A0">
        <w:rPr>
          <w:lang w:val="en-GB"/>
        </w:rPr>
        <w:t xml:space="preserve"> </w:t>
      </w:r>
      <w:r w:rsidR="00AC1CE4" w:rsidRPr="001F77A0">
        <w:rPr>
          <w:lang w:val="en-GB"/>
        </w:rPr>
        <w:t>with the R</w:t>
      </w:r>
      <w:r w:rsidR="00B87ADA">
        <w:rPr>
          <w:lang w:val="en-GB"/>
        </w:rPr>
        <w:t xml:space="preserve">egional </w:t>
      </w:r>
      <w:r w:rsidR="00AC1CE4" w:rsidRPr="001F77A0">
        <w:rPr>
          <w:lang w:val="en-GB"/>
        </w:rPr>
        <w:t>B</w:t>
      </w:r>
      <w:r w:rsidR="00B87ADA">
        <w:rPr>
          <w:lang w:val="en-GB"/>
        </w:rPr>
        <w:t xml:space="preserve">ureau for </w:t>
      </w:r>
      <w:r w:rsidR="00AC1CE4" w:rsidRPr="001F77A0">
        <w:rPr>
          <w:lang w:val="en-GB"/>
        </w:rPr>
        <w:t>A</w:t>
      </w:r>
      <w:r w:rsidR="00B87ADA">
        <w:rPr>
          <w:lang w:val="en-GB"/>
        </w:rPr>
        <w:t>frica</w:t>
      </w:r>
      <w:r w:rsidR="00AC1CE4" w:rsidRPr="001F77A0">
        <w:rPr>
          <w:lang w:val="en-GB"/>
        </w:rPr>
        <w:t xml:space="preserve"> </w:t>
      </w:r>
      <w:r w:rsidR="00BB202E">
        <w:rPr>
          <w:lang w:val="en-GB"/>
        </w:rPr>
        <w:t>(RBA)</w:t>
      </w:r>
      <w:r w:rsidR="00AC1CE4" w:rsidRPr="001F77A0">
        <w:rPr>
          <w:lang w:val="en-GB"/>
        </w:rPr>
        <w:t>Strategic Offer to Africa, SAMOA</w:t>
      </w:r>
      <w:r w:rsidR="00AB0499" w:rsidRPr="001F77A0">
        <w:rPr>
          <w:lang w:val="en-GB"/>
        </w:rPr>
        <w:t xml:space="preserve"> </w:t>
      </w:r>
      <w:r w:rsidR="00AC1CE4" w:rsidRPr="001F77A0">
        <w:rPr>
          <w:lang w:val="en-GB"/>
        </w:rPr>
        <w:t>Pathway</w:t>
      </w:r>
      <w:r w:rsidR="00430E32">
        <w:rPr>
          <w:lang w:val="en-GB"/>
        </w:rPr>
        <w:t>,</w:t>
      </w:r>
      <w:r w:rsidR="00AC1CE4" w:rsidRPr="001F77A0">
        <w:rPr>
          <w:lang w:val="en-GB"/>
        </w:rPr>
        <w:t xml:space="preserve"> and Sendai Framework. </w:t>
      </w:r>
      <w:r w:rsidR="00CD0291" w:rsidRPr="001F77A0">
        <w:rPr>
          <w:lang w:val="en-GB"/>
        </w:rPr>
        <w:t xml:space="preserve">Planned interventions are </w:t>
      </w:r>
      <w:r w:rsidR="007B0186" w:rsidRPr="001F77A0">
        <w:rPr>
          <w:lang w:val="en-GB"/>
        </w:rPr>
        <w:t xml:space="preserve">anchored in a </w:t>
      </w:r>
      <w:r w:rsidR="001D7C66">
        <w:rPr>
          <w:lang w:val="en-GB"/>
        </w:rPr>
        <w:t>‘</w:t>
      </w:r>
      <w:r w:rsidR="007B0186" w:rsidRPr="001F77A0">
        <w:rPr>
          <w:lang w:val="en-GB"/>
        </w:rPr>
        <w:t>6x3</w:t>
      </w:r>
      <w:r w:rsidR="001D7C66">
        <w:rPr>
          <w:lang w:val="en-GB"/>
        </w:rPr>
        <w:t>’</w:t>
      </w:r>
      <w:r w:rsidR="007B0186" w:rsidRPr="001F77A0">
        <w:rPr>
          <w:lang w:val="en-GB"/>
        </w:rPr>
        <w:t xml:space="preserve"> approach</w:t>
      </w:r>
      <w:r w:rsidR="00CD0291" w:rsidRPr="001F77A0">
        <w:rPr>
          <w:lang w:val="en-GB"/>
        </w:rPr>
        <w:t xml:space="preserve"> that </w:t>
      </w:r>
      <w:r w:rsidR="007B0186" w:rsidRPr="001F77A0">
        <w:rPr>
          <w:lang w:val="en-GB"/>
        </w:rPr>
        <w:t>contribut</w:t>
      </w:r>
      <w:r w:rsidRPr="001F77A0">
        <w:rPr>
          <w:lang w:val="en-GB"/>
        </w:rPr>
        <w:t xml:space="preserve">es </w:t>
      </w:r>
      <w:r w:rsidR="007B0186" w:rsidRPr="001F77A0">
        <w:rPr>
          <w:lang w:val="en-GB"/>
        </w:rPr>
        <w:t>to all six signature-solutions of the UNDP Strategic Plan</w:t>
      </w:r>
      <w:r w:rsidR="001D7C66">
        <w:rPr>
          <w:lang w:val="en-GB"/>
        </w:rPr>
        <w:t xml:space="preserve"> for</w:t>
      </w:r>
      <w:r w:rsidR="007B0186" w:rsidRPr="001F77A0">
        <w:rPr>
          <w:lang w:val="en-GB"/>
        </w:rPr>
        <w:t xml:space="preserve"> 202</w:t>
      </w:r>
      <w:r w:rsidR="00323528" w:rsidRPr="001F77A0">
        <w:rPr>
          <w:lang w:val="en-GB"/>
        </w:rPr>
        <w:t>2-</w:t>
      </w:r>
      <w:r w:rsidR="001D7C66">
        <w:rPr>
          <w:lang w:val="en-GB"/>
        </w:rPr>
        <w:t>20</w:t>
      </w:r>
      <w:r w:rsidR="00323528" w:rsidRPr="001F77A0">
        <w:rPr>
          <w:lang w:val="en-GB"/>
        </w:rPr>
        <w:t>25</w:t>
      </w:r>
      <w:r w:rsidRPr="001F77A0">
        <w:rPr>
          <w:lang w:val="en-GB"/>
        </w:rPr>
        <w:t xml:space="preserve"> </w:t>
      </w:r>
      <w:r w:rsidR="001D7C66">
        <w:rPr>
          <w:lang w:val="en-GB"/>
        </w:rPr>
        <w:t xml:space="preserve">and is aligned </w:t>
      </w:r>
      <w:r w:rsidR="007B0186" w:rsidRPr="001F77A0">
        <w:rPr>
          <w:lang w:val="en-GB"/>
        </w:rPr>
        <w:t xml:space="preserve">with three development settings: </w:t>
      </w:r>
      <w:r w:rsidR="00A672D8">
        <w:rPr>
          <w:lang w:val="en-GB"/>
        </w:rPr>
        <w:t>1</w:t>
      </w:r>
      <w:r w:rsidR="007B0186" w:rsidRPr="001F77A0">
        <w:rPr>
          <w:lang w:val="en-GB"/>
        </w:rPr>
        <w:t>) eradicate poverty in all forms and dimensions</w:t>
      </w:r>
      <w:r w:rsidR="001D7C66">
        <w:rPr>
          <w:lang w:val="en-GB"/>
        </w:rPr>
        <w:t>,</w:t>
      </w:r>
      <w:r w:rsidR="007B0186" w:rsidRPr="001F77A0">
        <w:rPr>
          <w:lang w:val="en-GB"/>
        </w:rPr>
        <w:t xml:space="preserve"> </w:t>
      </w:r>
      <w:r w:rsidR="00A672D8">
        <w:rPr>
          <w:lang w:val="en-GB"/>
        </w:rPr>
        <w:t>2</w:t>
      </w:r>
      <w:r w:rsidR="007B0186" w:rsidRPr="001F77A0">
        <w:rPr>
          <w:lang w:val="en-GB"/>
        </w:rPr>
        <w:t>) accelerate structural transformations for sustainable development</w:t>
      </w:r>
      <w:r w:rsidR="001D7C66">
        <w:rPr>
          <w:lang w:val="en-GB"/>
        </w:rPr>
        <w:t>,</w:t>
      </w:r>
      <w:r w:rsidR="007B0186" w:rsidRPr="001F77A0">
        <w:rPr>
          <w:lang w:val="en-GB"/>
        </w:rPr>
        <w:t xml:space="preserve"> and </w:t>
      </w:r>
      <w:r w:rsidR="00A672D8">
        <w:rPr>
          <w:lang w:val="en-GB"/>
        </w:rPr>
        <w:t>3</w:t>
      </w:r>
      <w:r w:rsidR="007B0186" w:rsidRPr="001F77A0">
        <w:rPr>
          <w:lang w:val="en-GB"/>
        </w:rPr>
        <w:t>) build resilience to shocks and crises</w:t>
      </w:r>
      <w:r w:rsidR="00323528" w:rsidRPr="001F77A0">
        <w:rPr>
          <w:lang w:val="en-GB"/>
        </w:rPr>
        <w:t xml:space="preserve">. Moreover, the </w:t>
      </w:r>
      <w:r w:rsidR="00896149" w:rsidRPr="001F77A0">
        <w:rPr>
          <w:lang w:val="en-GB"/>
        </w:rPr>
        <w:t xml:space="preserve">programme is structured by </w:t>
      </w:r>
      <w:r w:rsidR="001D7C66">
        <w:rPr>
          <w:lang w:val="en-GB"/>
        </w:rPr>
        <w:t xml:space="preserve">the </w:t>
      </w:r>
      <w:r w:rsidR="00896149" w:rsidRPr="001F77A0">
        <w:rPr>
          <w:lang w:val="en-GB"/>
        </w:rPr>
        <w:t xml:space="preserve">UNDP Gender Equality Strategy (2022-25) to ensure </w:t>
      </w:r>
      <w:r w:rsidR="00D82B1E">
        <w:rPr>
          <w:lang w:val="en-GB"/>
        </w:rPr>
        <w:t xml:space="preserve">that </w:t>
      </w:r>
      <w:r w:rsidR="00896149" w:rsidRPr="001F77A0">
        <w:rPr>
          <w:lang w:val="en-GB"/>
        </w:rPr>
        <w:t xml:space="preserve">women are central </w:t>
      </w:r>
      <w:r w:rsidR="001D7C66">
        <w:rPr>
          <w:lang w:val="en-GB"/>
        </w:rPr>
        <w:t>in</w:t>
      </w:r>
      <w:r w:rsidR="001D7C66" w:rsidRPr="001F77A0">
        <w:rPr>
          <w:lang w:val="en-GB"/>
        </w:rPr>
        <w:t xml:space="preserve"> </w:t>
      </w:r>
      <w:r w:rsidR="00896149" w:rsidRPr="001F77A0">
        <w:rPr>
          <w:lang w:val="en-GB"/>
        </w:rPr>
        <w:t>the transformation process</w:t>
      </w:r>
      <w:r w:rsidR="003C3CF6" w:rsidRPr="001F77A0">
        <w:rPr>
          <w:lang w:val="en-GB"/>
        </w:rPr>
        <w:t>.</w:t>
      </w:r>
    </w:p>
    <w:p w14:paraId="6C391D67" w14:textId="1940892A" w:rsidR="00BB11EC" w:rsidRDefault="00AC1CE4" w:rsidP="00B13D1B">
      <w:pPr>
        <w:pStyle w:val="ListParagraph"/>
        <w:numPr>
          <w:ilvl w:val="0"/>
          <w:numId w:val="6"/>
        </w:numPr>
        <w:tabs>
          <w:tab w:val="left" w:pos="1620"/>
        </w:tabs>
        <w:spacing w:after="120"/>
        <w:ind w:left="1260" w:right="1210" w:firstLine="0"/>
        <w:jc w:val="both"/>
        <w:rPr>
          <w:lang w:val="en-GB"/>
        </w:rPr>
      </w:pPr>
      <w:r w:rsidRPr="00BB11EC">
        <w:rPr>
          <w:lang w:val="en-GB"/>
        </w:rPr>
        <w:t>The CPD theory of change</w:t>
      </w:r>
      <w:r w:rsidR="009C2717" w:rsidRPr="00BB11EC">
        <w:rPr>
          <w:lang w:val="en-GB"/>
        </w:rPr>
        <w:t xml:space="preserve"> </w:t>
      </w:r>
      <w:r w:rsidRPr="00BB11EC">
        <w:rPr>
          <w:lang w:val="en-GB"/>
        </w:rPr>
        <w:t xml:space="preserve">is grounded </w:t>
      </w:r>
      <w:r w:rsidR="001F77A0" w:rsidRPr="00BB11EC">
        <w:rPr>
          <w:lang w:val="en-GB"/>
        </w:rPr>
        <w:t xml:space="preserve">the </w:t>
      </w:r>
      <w:r w:rsidRPr="00BB11EC">
        <w:rPr>
          <w:lang w:val="en-GB"/>
        </w:rPr>
        <w:t>UNSDCF</w:t>
      </w:r>
      <w:r w:rsidR="001F77A0" w:rsidRPr="00BB11EC">
        <w:rPr>
          <w:lang w:val="en-GB"/>
        </w:rPr>
        <w:t xml:space="preserve"> </w:t>
      </w:r>
      <w:r w:rsidRPr="00BB11EC">
        <w:rPr>
          <w:lang w:val="en-GB"/>
        </w:rPr>
        <w:t xml:space="preserve">goal of achieving sustainable, </w:t>
      </w:r>
      <w:r w:rsidR="007E2946" w:rsidRPr="00BB11EC">
        <w:rPr>
          <w:lang w:val="en-GB"/>
        </w:rPr>
        <w:t>resilient,</w:t>
      </w:r>
      <w:r w:rsidRPr="00BB11EC">
        <w:rPr>
          <w:lang w:val="en-GB"/>
        </w:rPr>
        <w:t xml:space="preserve"> and transformative change. </w:t>
      </w:r>
      <w:r w:rsidR="00E41165">
        <w:rPr>
          <w:lang w:val="en-GB"/>
        </w:rPr>
        <w:t xml:space="preserve">It </w:t>
      </w:r>
      <w:r w:rsidRPr="00BB11EC">
        <w:rPr>
          <w:lang w:val="en-GB"/>
        </w:rPr>
        <w:t>underscores UNDP comparative advantage</w:t>
      </w:r>
      <w:r w:rsidR="0047601F" w:rsidRPr="00BB11EC">
        <w:rPr>
          <w:lang w:val="en-GB"/>
        </w:rPr>
        <w:t>s</w:t>
      </w:r>
      <w:r w:rsidRPr="00BB11EC">
        <w:rPr>
          <w:lang w:val="en-GB"/>
        </w:rPr>
        <w:t xml:space="preserve"> and on-the-ground experience that </w:t>
      </w:r>
      <w:r w:rsidR="00672F4A" w:rsidRPr="00BB11EC">
        <w:rPr>
          <w:lang w:val="en-GB"/>
        </w:rPr>
        <w:t xml:space="preserve">enable it to make </w:t>
      </w:r>
      <w:r w:rsidRPr="00BB11EC">
        <w:rPr>
          <w:lang w:val="en-GB"/>
        </w:rPr>
        <w:t>integrated, multi-dimensional and focused contribution</w:t>
      </w:r>
      <w:r w:rsidR="001D7C66">
        <w:rPr>
          <w:lang w:val="en-GB"/>
        </w:rPr>
        <w:t>s</w:t>
      </w:r>
      <w:r w:rsidRPr="00BB11EC">
        <w:rPr>
          <w:lang w:val="en-GB"/>
        </w:rPr>
        <w:t xml:space="preserve"> to the </w:t>
      </w:r>
      <w:r w:rsidR="00672F4A" w:rsidRPr="00BB11EC">
        <w:rPr>
          <w:lang w:val="en-GB"/>
        </w:rPr>
        <w:t xml:space="preserve">UNSDCF. </w:t>
      </w:r>
      <w:r w:rsidR="001D7C66">
        <w:rPr>
          <w:lang w:val="en-GB"/>
        </w:rPr>
        <w:t xml:space="preserve">The new </w:t>
      </w:r>
      <w:r w:rsidRPr="00BB11EC">
        <w:rPr>
          <w:lang w:val="en-GB"/>
        </w:rPr>
        <w:t xml:space="preserve">UNDP value proposition will contribute to </w:t>
      </w:r>
      <w:r w:rsidR="001D7C66">
        <w:rPr>
          <w:lang w:val="en-GB"/>
        </w:rPr>
        <w:t>the</w:t>
      </w:r>
      <w:r w:rsidR="00672F4A" w:rsidRPr="00BB11EC">
        <w:rPr>
          <w:lang w:val="en-GB"/>
        </w:rPr>
        <w:t xml:space="preserve"> </w:t>
      </w:r>
      <w:r w:rsidRPr="00BB11EC">
        <w:rPr>
          <w:lang w:val="en-GB"/>
        </w:rPr>
        <w:t>national aspiration</w:t>
      </w:r>
      <w:r w:rsidR="00504C66" w:rsidRPr="00BB11EC">
        <w:rPr>
          <w:lang w:val="en-GB"/>
        </w:rPr>
        <w:t xml:space="preserve"> to transition to </w:t>
      </w:r>
      <w:r w:rsidR="00672F4A" w:rsidRPr="00BB11EC">
        <w:rPr>
          <w:lang w:val="en-GB"/>
        </w:rPr>
        <w:t>a modern,</w:t>
      </w:r>
      <w:r w:rsidRPr="00BB11EC">
        <w:rPr>
          <w:lang w:val="en-GB"/>
        </w:rPr>
        <w:t xml:space="preserve"> stable, </w:t>
      </w:r>
      <w:r w:rsidR="00672F4A" w:rsidRPr="00BB11EC">
        <w:rPr>
          <w:lang w:val="en-GB"/>
        </w:rPr>
        <w:t xml:space="preserve">and </w:t>
      </w:r>
      <w:r w:rsidRPr="00BB11EC">
        <w:rPr>
          <w:lang w:val="en-GB"/>
        </w:rPr>
        <w:t>democratic country</w:t>
      </w:r>
      <w:r w:rsidR="00672F4A" w:rsidRPr="00BB11EC">
        <w:rPr>
          <w:lang w:val="en-GB"/>
        </w:rPr>
        <w:t xml:space="preserve"> </w:t>
      </w:r>
      <w:r w:rsidRPr="00BB11EC">
        <w:rPr>
          <w:lang w:val="en-GB"/>
        </w:rPr>
        <w:t>capable of offering quality services at regional and global level</w:t>
      </w:r>
      <w:r w:rsidR="00D90835">
        <w:rPr>
          <w:lang w:val="en-GB"/>
        </w:rPr>
        <w:t>s</w:t>
      </w:r>
      <w:r w:rsidRPr="00BB11EC">
        <w:rPr>
          <w:lang w:val="en-GB"/>
        </w:rPr>
        <w:t xml:space="preserve">. The theory of change </w:t>
      </w:r>
      <w:r w:rsidR="00E36CCC" w:rsidRPr="00BB11EC">
        <w:rPr>
          <w:lang w:val="en-GB"/>
        </w:rPr>
        <w:t xml:space="preserve">suggests that </w:t>
      </w:r>
      <w:r w:rsidR="00D90835">
        <w:rPr>
          <w:b/>
          <w:bCs/>
          <w:lang w:val="en-GB"/>
        </w:rPr>
        <w:t>IF</w:t>
      </w:r>
      <w:r w:rsidR="00D90835" w:rsidRPr="00BB11EC">
        <w:rPr>
          <w:lang w:val="en-GB"/>
        </w:rPr>
        <w:t xml:space="preserve"> </w:t>
      </w:r>
      <w:r w:rsidR="00E36CCC" w:rsidRPr="00BB11EC">
        <w:rPr>
          <w:lang w:val="en-GB"/>
        </w:rPr>
        <w:t>UNDP empowers people, especially the most vulnerable</w:t>
      </w:r>
      <w:r w:rsidR="00D90835">
        <w:rPr>
          <w:lang w:val="en-GB"/>
        </w:rPr>
        <w:t>,</w:t>
      </w:r>
      <w:r w:rsidR="00E36CCC" w:rsidRPr="00BB11EC">
        <w:rPr>
          <w:lang w:val="en-GB"/>
        </w:rPr>
        <w:t xml:space="preserve"> to acc</w:t>
      </w:r>
      <w:r w:rsidRPr="00BB11EC">
        <w:rPr>
          <w:lang w:val="en-GB"/>
        </w:rPr>
        <w:t>ess and use equitable and quality social services</w:t>
      </w:r>
      <w:r w:rsidR="00E36CCC" w:rsidRPr="00BB11EC">
        <w:rPr>
          <w:lang w:val="en-GB"/>
        </w:rPr>
        <w:t>;  in</w:t>
      </w:r>
      <w:r w:rsidRPr="00BB11EC">
        <w:rPr>
          <w:lang w:val="en-GB"/>
        </w:rPr>
        <w:t>stitutions</w:t>
      </w:r>
      <w:r w:rsidR="004F4193">
        <w:rPr>
          <w:lang w:val="en-GB"/>
        </w:rPr>
        <w:t xml:space="preserve"> have </w:t>
      </w:r>
      <w:r w:rsidR="004F4193" w:rsidRPr="00BB11EC">
        <w:rPr>
          <w:lang w:val="en-GB"/>
        </w:rPr>
        <w:t>capacit</w:t>
      </w:r>
      <w:r w:rsidR="004F4193">
        <w:rPr>
          <w:lang w:val="en-GB"/>
        </w:rPr>
        <w:t>y</w:t>
      </w:r>
      <w:r w:rsidRPr="00BB11EC">
        <w:rPr>
          <w:lang w:val="en-GB"/>
        </w:rPr>
        <w:t xml:space="preserve"> </w:t>
      </w:r>
      <w:r w:rsidR="00E36CCC" w:rsidRPr="00BB11EC">
        <w:rPr>
          <w:lang w:val="en-GB"/>
        </w:rPr>
        <w:t xml:space="preserve">to </w:t>
      </w:r>
      <w:r w:rsidRPr="00BB11EC">
        <w:rPr>
          <w:lang w:val="en-GB"/>
        </w:rPr>
        <w:t>design and implement evidence-based policies and strategies</w:t>
      </w:r>
      <w:r w:rsidR="00E36CCC" w:rsidRPr="00BB11EC">
        <w:rPr>
          <w:lang w:val="en-GB"/>
        </w:rPr>
        <w:t xml:space="preserve"> </w:t>
      </w:r>
      <w:r w:rsidRPr="00BB11EC">
        <w:rPr>
          <w:lang w:val="en-GB"/>
        </w:rPr>
        <w:t xml:space="preserve">and </w:t>
      </w:r>
      <w:r w:rsidR="00E36CCC" w:rsidRPr="00BB11EC">
        <w:rPr>
          <w:lang w:val="en-GB"/>
        </w:rPr>
        <w:t xml:space="preserve">to </w:t>
      </w:r>
      <w:r w:rsidRPr="00BB11EC">
        <w:rPr>
          <w:lang w:val="en-GB"/>
        </w:rPr>
        <w:t>take advantage of digital technology and innovation</w:t>
      </w:r>
      <w:r w:rsidR="00E36CCC" w:rsidRPr="00BB11EC">
        <w:rPr>
          <w:lang w:val="en-GB"/>
        </w:rPr>
        <w:t>s</w:t>
      </w:r>
      <w:r w:rsidRPr="00BB11EC">
        <w:rPr>
          <w:lang w:val="en-GB"/>
        </w:rPr>
        <w:t xml:space="preserve"> </w:t>
      </w:r>
      <w:r w:rsidR="00E36CCC" w:rsidRPr="00BB11EC">
        <w:rPr>
          <w:lang w:val="en-GB"/>
        </w:rPr>
        <w:t xml:space="preserve">to create </w:t>
      </w:r>
      <w:r w:rsidRPr="00BB11EC">
        <w:rPr>
          <w:lang w:val="en-GB"/>
        </w:rPr>
        <w:t xml:space="preserve">decent jobs, </w:t>
      </w:r>
      <w:r w:rsidR="00E36CCC" w:rsidRPr="00BB11EC">
        <w:rPr>
          <w:lang w:val="en-GB"/>
        </w:rPr>
        <w:t xml:space="preserve">promote </w:t>
      </w:r>
      <w:r w:rsidRPr="00BB11EC">
        <w:rPr>
          <w:lang w:val="en-GB"/>
        </w:rPr>
        <w:t>the sustainable management of biodiversity and the green and blue economy, reduce climate vulnerability, and uphold justice and rule of law;</w:t>
      </w:r>
      <w:r w:rsidR="00E36CCC" w:rsidRPr="00BB11EC">
        <w:rPr>
          <w:lang w:val="en-GB"/>
        </w:rPr>
        <w:t xml:space="preserve"> and </w:t>
      </w:r>
      <w:r w:rsidR="00D90835">
        <w:rPr>
          <w:b/>
          <w:bCs/>
          <w:lang w:val="en-GB"/>
        </w:rPr>
        <w:t>IF</w:t>
      </w:r>
      <w:r w:rsidR="00D90835" w:rsidRPr="00BB11EC">
        <w:rPr>
          <w:lang w:val="en-GB"/>
        </w:rPr>
        <w:t xml:space="preserve"> </w:t>
      </w:r>
      <w:r w:rsidRPr="00BB11EC">
        <w:rPr>
          <w:lang w:val="en-GB"/>
        </w:rPr>
        <w:t xml:space="preserve">people, </w:t>
      </w:r>
      <w:r w:rsidR="00D90835">
        <w:rPr>
          <w:lang w:val="en-GB"/>
        </w:rPr>
        <w:t xml:space="preserve">the </w:t>
      </w:r>
      <w:r w:rsidRPr="00BB11EC">
        <w:rPr>
          <w:lang w:val="en-GB"/>
        </w:rPr>
        <w:t>diaspora, and civil society become more resilient, are better connected to information and knowledge networks, and</w:t>
      </w:r>
      <w:r w:rsidR="00F45E00" w:rsidRPr="00BB11EC">
        <w:rPr>
          <w:lang w:val="en-GB"/>
        </w:rPr>
        <w:t xml:space="preserve"> become</w:t>
      </w:r>
      <w:r w:rsidRPr="00BB11EC">
        <w:rPr>
          <w:lang w:val="en-GB"/>
        </w:rPr>
        <w:t xml:space="preserve"> more engaged in socio-economic development;</w:t>
      </w:r>
      <w:r w:rsidR="00E36CCC" w:rsidRPr="00BB11EC">
        <w:rPr>
          <w:lang w:val="en-GB"/>
        </w:rPr>
        <w:t xml:space="preserve">  and </w:t>
      </w:r>
      <w:r w:rsidRPr="00BB11EC">
        <w:rPr>
          <w:lang w:val="en-GB"/>
        </w:rPr>
        <w:t>resource mobili</w:t>
      </w:r>
      <w:r w:rsidR="00D90835">
        <w:rPr>
          <w:lang w:val="en-GB"/>
        </w:rPr>
        <w:t>z</w:t>
      </w:r>
      <w:r w:rsidRPr="00BB11EC">
        <w:rPr>
          <w:lang w:val="en-GB"/>
        </w:rPr>
        <w:t>ation is strengthened within a framework of sustainable finance for development and particularly for energy transition</w:t>
      </w:r>
      <w:r w:rsidR="00F45E00" w:rsidRPr="00BB11EC">
        <w:rPr>
          <w:lang w:val="en-GB"/>
        </w:rPr>
        <w:t>;</w:t>
      </w:r>
      <w:r w:rsidR="00E36CCC" w:rsidRPr="00BB11EC">
        <w:rPr>
          <w:lang w:val="en-GB"/>
        </w:rPr>
        <w:t xml:space="preserve"> </w:t>
      </w:r>
      <w:r w:rsidR="00D90835">
        <w:rPr>
          <w:b/>
          <w:bCs/>
          <w:lang w:val="en-GB"/>
        </w:rPr>
        <w:t>THEN</w:t>
      </w:r>
      <w:r w:rsidR="00D90835" w:rsidRPr="00BB11EC">
        <w:rPr>
          <w:lang w:val="en-GB"/>
        </w:rPr>
        <w:t xml:space="preserve"> </w:t>
      </w:r>
      <w:r w:rsidRPr="00BB11EC">
        <w:rPr>
          <w:lang w:val="en-GB"/>
        </w:rPr>
        <w:t>people will live decently in a stable and democratic Santomean society with inclusive governance, transparent and accountable institutions</w:t>
      </w:r>
      <w:r w:rsidR="00D90835">
        <w:rPr>
          <w:lang w:val="en-GB"/>
        </w:rPr>
        <w:t>,</w:t>
      </w:r>
      <w:r w:rsidRPr="00BB11EC">
        <w:rPr>
          <w:lang w:val="en-GB"/>
        </w:rPr>
        <w:t xml:space="preserve"> and a vibrant green and blue economy that creates decent jobs.</w:t>
      </w:r>
    </w:p>
    <w:p w14:paraId="2605876F" w14:textId="33BF3848" w:rsidR="00AC1CE4" w:rsidRPr="00BB11EC" w:rsidRDefault="00AC1CE4" w:rsidP="00B13D1B">
      <w:pPr>
        <w:pStyle w:val="ListParagraph"/>
        <w:numPr>
          <w:ilvl w:val="0"/>
          <w:numId w:val="6"/>
        </w:numPr>
        <w:tabs>
          <w:tab w:val="left" w:pos="1620"/>
        </w:tabs>
        <w:spacing w:after="120"/>
        <w:ind w:left="1260" w:right="1210" w:firstLine="0"/>
        <w:jc w:val="both"/>
        <w:rPr>
          <w:lang w:val="en-GB"/>
        </w:rPr>
      </w:pPr>
      <w:r w:rsidRPr="00BB11EC">
        <w:rPr>
          <w:lang w:val="en-GB"/>
        </w:rPr>
        <w:t>Drawing on comparative advantages</w:t>
      </w:r>
      <w:r w:rsidR="00D90835">
        <w:rPr>
          <w:lang w:val="en-GB"/>
        </w:rPr>
        <w:t xml:space="preserve">, </w:t>
      </w:r>
      <w:r w:rsidRPr="00BB11EC">
        <w:rPr>
          <w:lang w:val="en-GB"/>
        </w:rPr>
        <w:t xml:space="preserve">lessons and recommendations </w:t>
      </w:r>
      <w:r w:rsidR="00D90835">
        <w:rPr>
          <w:lang w:val="en-GB"/>
        </w:rPr>
        <w:t>in</w:t>
      </w:r>
      <w:r w:rsidR="00D90835" w:rsidRPr="00BB11EC">
        <w:rPr>
          <w:lang w:val="en-GB"/>
        </w:rPr>
        <w:t xml:space="preserve"> </w:t>
      </w:r>
      <w:r w:rsidRPr="00BB11EC">
        <w:rPr>
          <w:lang w:val="en-GB"/>
        </w:rPr>
        <w:t xml:space="preserve">the </w:t>
      </w:r>
      <w:r w:rsidR="004C0D46">
        <w:rPr>
          <w:lang w:val="en-GB"/>
        </w:rPr>
        <w:t>ICPE,</w:t>
      </w:r>
      <w:r w:rsidRPr="00BB11EC">
        <w:rPr>
          <w:lang w:val="en-GB"/>
        </w:rPr>
        <w:t xml:space="preserve"> and in the context of the </w:t>
      </w:r>
      <w:r w:rsidR="00D90835">
        <w:rPr>
          <w:lang w:val="en-GB"/>
        </w:rPr>
        <w:t>“</w:t>
      </w:r>
      <w:r w:rsidRPr="00BB11EC">
        <w:rPr>
          <w:lang w:val="en-GB"/>
        </w:rPr>
        <w:t>building-back-better</w:t>
      </w:r>
      <w:r w:rsidR="00D90835">
        <w:rPr>
          <w:lang w:val="en-GB"/>
        </w:rPr>
        <w:t>”</w:t>
      </w:r>
      <w:r w:rsidR="00672F4A" w:rsidRPr="00BB11EC">
        <w:rPr>
          <w:lang w:val="en-GB"/>
        </w:rPr>
        <w:t xml:space="preserve"> and </w:t>
      </w:r>
      <w:r w:rsidRPr="00BB11EC">
        <w:rPr>
          <w:lang w:val="en-GB"/>
        </w:rPr>
        <w:t>accelerat</w:t>
      </w:r>
      <w:r w:rsidR="004C0D46">
        <w:rPr>
          <w:lang w:val="en-GB"/>
        </w:rPr>
        <w:t xml:space="preserve">ing </w:t>
      </w:r>
      <w:r w:rsidRPr="00BB11EC">
        <w:rPr>
          <w:lang w:val="en-GB"/>
        </w:rPr>
        <w:t xml:space="preserve">SDG achievement, the programme represents a </w:t>
      </w:r>
      <w:r w:rsidR="00E41165">
        <w:rPr>
          <w:lang w:val="en-GB"/>
        </w:rPr>
        <w:t xml:space="preserve">strategic </w:t>
      </w:r>
      <w:r w:rsidRPr="00BB11EC">
        <w:rPr>
          <w:lang w:val="en-GB"/>
        </w:rPr>
        <w:t xml:space="preserve">shift of focus </w:t>
      </w:r>
      <w:r w:rsidR="00910EE6" w:rsidRPr="00BB11EC">
        <w:rPr>
          <w:lang w:val="en-GB"/>
        </w:rPr>
        <w:t xml:space="preserve">by </w:t>
      </w:r>
      <w:r w:rsidR="0009064C" w:rsidRPr="00BB11EC">
        <w:rPr>
          <w:lang w:val="en-GB"/>
        </w:rPr>
        <w:t>embrac</w:t>
      </w:r>
      <w:r w:rsidR="00910EE6" w:rsidRPr="00BB11EC">
        <w:rPr>
          <w:lang w:val="en-GB"/>
        </w:rPr>
        <w:t>ing</w:t>
      </w:r>
      <w:r w:rsidR="0009064C" w:rsidRPr="00BB11EC">
        <w:rPr>
          <w:lang w:val="en-GB"/>
        </w:rPr>
        <w:t xml:space="preserve"> </w:t>
      </w:r>
      <w:r w:rsidR="0047601F" w:rsidRPr="00BB11EC">
        <w:rPr>
          <w:lang w:val="en-GB"/>
        </w:rPr>
        <w:t xml:space="preserve">the following </w:t>
      </w:r>
      <w:r w:rsidR="00E41165">
        <w:rPr>
          <w:lang w:val="en-GB"/>
        </w:rPr>
        <w:t>priorities</w:t>
      </w:r>
      <w:r w:rsidR="00F45E00" w:rsidRPr="00BB11EC">
        <w:rPr>
          <w:lang w:val="en-GB"/>
        </w:rPr>
        <w:t>:</w:t>
      </w:r>
      <w:r w:rsidRPr="00BB11EC">
        <w:rPr>
          <w:lang w:val="en-GB"/>
        </w:rPr>
        <w:t xml:space="preserve"> </w:t>
      </w:r>
      <w:r w:rsidR="004D50F5">
        <w:rPr>
          <w:lang w:val="en-GB"/>
        </w:rPr>
        <w:t>S</w:t>
      </w:r>
      <w:r w:rsidRPr="00BB11EC">
        <w:rPr>
          <w:lang w:val="en-GB"/>
        </w:rPr>
        <w:t>trengthening capacities for resilience and recovery</w:t>
      </w:r>
      <w:r w:rsidR="0047601F" w:rsidRPr="00BB11EC">
        <w:rPr>
          <w:lang w:val="en-GB"/>
        </w:rPr>
        <w:t>;</w:t>
      </w:r>
      <w:r w:rsidRPr="00BB11EC">
        <w:rPr>
          <w:lang w:val="en-GB"/>
        </w:rPr>
        <w:t xml:space="preserve"> sustainably managing biodiversity </w:t>
      </w:r>
      <w:r w:rsidR="00910EE6" w:rsidRPr="00BB11EC">
        <w:rPr>
          <w:lang w:val="en-GB"/>
        </w:rPr>
        <w:t>and</w:t>
      </w:r>
      <w:r w:rsidRPr="00BB11EC">
        <w:rPr>
          <w:lang w:val="en-GB"/>
        </w:rPr>
        <w:t xml:space="preserve"> promoting sustainable blue/green growth</w:t>
      </w:r>
      <w:r w:rsidR="0047601F" w:rsidRPr="00BB11EC">
        <w:rPr>
          <w:lang w:val="en-GB"/>
        </w:rPr>
        <w:t>;</w:t>
      </w:r>
      <w:r w:rsidRPr="00BB11EC">
        <w:rPr>
          <w:lang w:val="en-GB"/>
        </w:rPr>
        <w:t xml:space="preserve"> supporting economic diversification and enhancing the skills, employability and entrepreneurship of women and youth</w:t>
      </w:r>
      <w:r w:rsidR="0047601F" w:rsidRPr="00BB11EC">
        <w:rPr>
          <w:lang w:val="en-GB"/>
        </w:rPr>
        <w:t>;</w:t>
      </w:r>
      <w:r w:rsidRPr="00BB11EC">
        <w:rPr>
          <w:lang w:val="en-GB"/>
        </w:rPr>
        <w:t xml:space="preserve"> supporting innovation</w:t>
      </w:r>
      <w:r w:rsidR="00910EE6" w:rsidRPr="00BB11EC">
        <w:rPr>
          <w:lang w:val="en-GB"/>
        </w:rPr>
        <w:t xml:space="preserve"> and </w:t>
      </w:r>
      <w:r w:rsidRPr="00BB11EC">
        <w:rPr>
          <w:lang w:val="en-GB"/>
        </w:rPr>
        <w:t>digitali</w:t>
      </w:r>
      <w:r w:rsidR="004D50F5">
        <w:rPr>
          <w:lang w:val="en-GB"/>
        </w:rPr>
        <w:t>z</w:t>
      </w:r>
      <w:r w:rsidRPr="00BB11EC">
        <w:rPr>
          <w:lang w:val="en-GB"/>
        </w:rPr>
        <w:t>ation to improve the delivery of basic services, particularly in the social sectors for the poorest and most vulnerable groups</w:t>
      </w:r>
      <w:r w:rsidR="004D50F5">
        <w:rPr>
          <w:lang w:val="en-GB"/>
        </w:rPr>
        <w:t>,</w:t>
      </w:r>
      <w:r w:rsidRPr="00BB11EC">
        <w:rPr>
          <w:lang w:val="en-GB"/>
        </w:rPr>
        <w:t xml:space="preserve"> and improving civic participation, transparency and accountability in governance</w:t>
      </w:r>
      <w:r w:rsidR="007E2946" w:rsidRPr="00BB11EC">
        <w:rPr>
          <w:lang w:val="en-GB"/>
        </w:rPr>
        <w:t>.</w:t>
      </w:r>
      <w:r w:rsidRPr="00BB11EC">
        <w:rPr>
          <w:lang w:val="en-GB"/>
        </w:rPr>
        <w:t xml:space="preserve"> </w:t>
      </w:r>
      <w:r w:rsidR="002C30C8" w:rsidRPr="00BB11EC">
        <w:rPr>
          <w:lang w:val="en-GB"/>
        </w:rPr>
        <w:t>Partnerships with the World Bank</w:t>
      </w:r>
      <w:r w:rsidR="001B5E3B" w:rsidRPr="00BB11EC">
        <w:rPr>
          <w:lang w:val="en-GB"/>
        </w:rPr>
        <w:t xml:space="preserve">, </w:t>
      </w:r>
      <w:r w:rsidR="002C30C8" w:rsidRPr="00BB11EC">
        <w:rPr>
          <w:lang w:val="en-GB"/>
        </w:rPr>
        <w:t>the E</w:t>
      </w:r>
      <w:r w:rsidR="004D50F5">
        <w:rPr>
          <w:lang w:val="en-GB"/>
        </w:rPr>
        <w:t xml:space="preserve">uropean </w:t>
      </w:r>
      <w:r w:rsidR="002C30C8" w:rsidRPr="00BB11EC">
        <w:rPr>
          <w:lang w:val="en-GB"/>
        </w:rPr>
        <w:t>U</w:t>
      </w:r>
      <w:r w:rsidR="004D50F5">
        <w:rPr>
          <w:lang w:val="en-GB"/>
        </w:rPr>
        <w:t>nion</w:t>
      </w:r>
      <w:r w:rsidR="002C30C8" w:rsidRPr="00BB11EC">
        <w:rPr>
          <w:lang w:val="en-GB"/>
        </w:rPr>
        <w:t xml:space="preserve"> and </w:t>
      </w:r>
      <w:r w:rsidR="001B5E3B" w:rsidRPr="00BB11EC">
        <w:rPr>
          <w:lang w:val="en-GB"/>
        </w:rPr>
        <w:t xml:space="preserve">the </w:t>
      </w:r>
      <w:r w:rsidR="004D50F5">
        <w:rPr>
          <w:lang w:val="en-GB"/>
        </w:rPr>
        <w:t>AfDB</w:t>
      </w:r>
      <w:r w:rsidR="001B5E3B" w:rsidRPr="00BB11EC">
        <w:rPr>
          <w:lang w:val="en-GB"/>
        </w:rPr>
        <w:t xml:space="preserve"> </w:t>
      </w:r>
      <w:r w:rsidR="00A07A31" w:rsidRPr="00BB11EC">
        <w:rPr>
          <w:lang w:val="en-GB"/>
        </w:rPr>
        <w:t xml:space="preserve">enhance </w:t>
      </w:r>
      <w:r w:rsidR="004D50F5">
        <w:rPr>
          <w:lang w:val="en-GB"/>
        </w:rPr>
        <w:t>the</w:t>
      </w:r>
      <w:r w:rsidR="004D50F5" w:rsidRPr="00BB11EC">
        <w:rPr>
          <w:lang w:val="en-GB"/>
        </w:rPr>
        <w:t xml:space="preserve"> </w:t>
      </w:r>
      <w:r w:rsidR="002C30C8" w:rsidRPr="00BB11EC">
        <w:rPr>
          <w:lang w:val="en-GB"/>
        </w:rPr>
        <w:t xml:space="preserve">focus on the economy-environment-climate change nexus </w:t>
      </w:r>
      <w:r w:rsidR="004D50F5">
        <w:rPr>
          <w:lang w:val="en-GB"/>
        </w:rPr>
        <w:t>for</w:t>
      </w:r>
      <w:r w:rsidR="004D50F5" w:rsidRPr="00BB11EC">
        <w:rPr>
          <w:lang w:val="en-GB"/>
        </w:rPr>
        <w:t xml:space="preserve"> </w:t>
      </w:r>
      <w:r w:rsidR="002C30C8" w:rsidRPr="00BB11EC">
        <w:rPr>
          <w:lang w:val="en-GB"/>
        </w:rPr>
        <w:t>addressing UNSDCF priority areas</w:t>
      </w:r>
      <w:r w:rsidR="001B5E3B" w:rsidRPr="00BB11EC">
        <w:rPr>
          <w:lang w:val="en-GB"/>
        </w:rPr>
        <w:t>.</w:t>
      </w:r>
      <w:r w:rsidR="001B5E3B" w:rsidRPr="001B5E3B">
        <w:t xml:space="preserve"> </w:t>
      </w:r>
      <w:r w:rsidR="001B5E3B" w:rsidRPr="00BB11EC">
        <w:rPr>
          <w:lang w:val="en-GB"/>
        </w:rPr>
        <w:t xml:space="preserve">Leveraging private sector investment will be </w:t>
      </w:r>
      <w:r w:rsidR="004D50F5">
        <w:rPr>
          <w:lang w:val="en-GB"/>
        </w:rPr>
        <w:t xml:space="preserve">central </w:t>
      </w:r>
      <w:r w:rsidR="001B5E3B" w:rsidRPr="00BB11EC">
        <w:rPr>
          <w:lang w:val="en-GB"/>
        </w:rPr>
        <w:t>to accelerat</w:t>
      </w:r>
      <w:r w:rsidR="004D50F5">
        <w:rPr>
          <w:lang w:val="en-GB"/>
        </w:rPr>
        <w:t>ing</w:t>
      </w:r>
      <w:r w:rsidR="001B5E3B" w:rsidRPr="00BB11EC">
        <w:rPr>
          <w:lang w:val="en-GB"/>
        </w:rPr>
        <w:t xml:space="preserve"> SDG financing</w:t>
      </w:r>
      <w:r w:rsidR="000D43B2">
        <w:rPr>
          <w:lang w:val="en-GB"/>
        </w:rPr>
        <w:t xml:space="preserve"> and </w:t>
      </w:r>
      <w:r w:rsidR="001B5E3B" w:rsidRPr="00BB11EC">
        <w:rPr>
          <w:lang w:val="en-GB"/>
        </w:rPr>
        <w:t>scal</w:t>
      </w:r>
      <w:r w:rsidR="004D50F5">
        <w:rPr>
          <w:lang w:val="en-GB"/>
        </w:rPr>
        <w:t>ing</w:t>
      </w:r>
      <w:r w:rsidR="001B5E3B" w:rsidRPr="00BB11EC">
        <w:rPr>
          <w:lang w:val="en-GB"/>
        </w:rPr>
        <w:t xml:space="preserve">-up </w:t>
      </w:r>
      <w:r w:rsidR="004D50F5">
        <w:rPr>
          <w:lang w:val="en-GB"/>
        </w:rPr>
        <w:t>g</w:t>
      </w:r>
      <w:r w:rsidR="001B5E3B" w:rsidRPr="00BB11EC">
        <w:rPr>
          <w:lang w:val="en-GB"/>
        </w:rPr>
        <w:t>overnment cost-sharing</w:t>
      </w:r>
      <w:r w:rsidR="004D50F5">
        <w:rPr>
          <w:lang w:val="en-GB"/>
        </w:rPr>
        <w:t xml:space="preserve"> and</w:t>
      </w:r>
      <w:r w:rsidR="001B5E3B" w:rsidRPr="00BB11EC">
        <w:rPr>
          <w:lang w:val="en-GB"/>
        </w:rPr>
        <w:t xml:space="preserve"> building on positive </w:t>
      </w:r>
      <w:r w:rsidR="000D43B2">
        <w:rPr>
          <w:lang w:val="en-GB"/>
        </w:rPr>
        <w:t xml:space="preserve">lessons </w:t>
      </w:r>
      <w:r w:rsidR="004D50F5">
        <w:rPr>
          <w:lang w:val="en-GB"/>
        </w:rPr>
        <w:t xml:space="preserve">seen </w:t>
      </w:r>
      <w:r w:rsidR="000D43B2">
        <w:rPr>
          <w:lang w:val="en-GB"/>
        </w:rPr>
        <w:t xml:space="preserve">in </w:t>
      </w:r>
      <w:r w:rsidR="001B5E3B" w:rsidRPr="00BB11EC">
        <w:rPr>
          <w:lang w:val="en-GB"/>
        </w:rPr>
        <w:t xml:space="preserve">health and justice </w:t>
      </w:r>
      <w:r w:rsidR="000D43B2">
        <w:rPr>
          <w:lang w:val="en-GB"/>
        </w:rPr>
        <w:t xml:space="preserve">sector </w:t>
      </w:r>
      <w:r w:rsidR="001B5E3B" w:rsidRPr="00BB11EC">
        <w:rPr>
          <w:lang w:val="en-GB"/>
        </w:rPr>
        <w:t>reforms.</w:t>
      </w:r>
    </w:p>
    <w:p w14:paraId="77E6E3C0" w14:textId="2EC16E2F" w:rsidR="00F844DB" w:rsidRPr="007B3A3F" w:rsidRDefault="005F0F49" w:rsidP="00B13D1B">
      <w:pPr>
        <w:pStyle w:val="ListParagraph"/>
        <w:numPr>
          <w:ilvl w:val="0"/>
          <w:numId w:val="6"/>
        </w:numPr>
        <w:tabs>
          <w:tab w:val="left" w:pos="1620"/>
        </w:tabs>
        <w:spacing w:after="120"/>
        <w:ind w:left="1260" w:right="1210" w:firstLine="0"/>
        <w:jc w:val="both"/>
        <w:rPr>
          <w:lang w:val="en-GB"/>
        </w:rPr>
      </w:pPr>
      <w:r w:rsidRPr="007B3A3F">
        <w:rPr>
          <w:lang w:val="en-GB"/>
        </w:rPr>
        <w:t>Given its unique mandate, UNDP views UNSDCF</w:t>
      </w:r>
      <w:r w:rsidR="001B5E3B" w:rsidRPr="007B3A3F">
        <w:rPr>
          <w:lang w:val="en-GB"/>
        </w:rPr>
        <w:t xml:space="preserve"> four </w:t>
      </w:r>
      <w:r w:rsidRPr="007B3A3F">
        <w:rPr>
          <w:lang w:val="en-GB"/>
        </w:rPr>
        <w:t>priorit</w:t>
      </w:r>
      <w:r w:rsidR="001B5E3B" w:rsidRPr="007B3A3F">
        <w:rPr>
          <w:lang w:val="en-GB"/>
        </w:rPr>
        <w:t xml:space="preserve">y areas </w:t>
      </w:r>
      <w:r w:rsidRPr="007B3A3F">
        <w:rPr>
          <w:lang w:val="en-GB"/>
        </w:rPr>
        <w:t>as interrelated, especially those that address economic growth</w:t>
      </w:r>
      <w:r w:rsidR="00910EE6" w:rsidRPr="007B3A3F">
        <w:rPr>
          <w:lang w:val="en-GB"/>
        </w:rPr>
        <w:t>, biodiversity</w:t>
      </w:r>
      <w:r w:rsidR="00A07A31" w:rsidRPr="007B3A3F">
        <w:rPr>
          <w:lang w:val="en-GB"/>
        </w:rPr>
        <w:t xml:space="preserve">, </w:t>
      </w:r>
      <w:r w:rsidRPr="007B3A3F">
        <w:rPr>
          <w:lang w:val="en-GB"/>
        </w:rPr>
        <w:t>climate change</w:t>
      </w:r>
      <w:r w:rsidR="00A07A31" w:rsidRPr="007B3A3F">
        <w:rPr>
          <w:lang w:val="en-GB"/>
        </w:rPr>
        <w:t xml:space="preserve"> and institutional accountability and transparency</w:t>
      </w:r>
      <w:r w:rsidRPr="007B3A3F">
        <w:rPr>
          <w:lang w:val="en-GB"/>
        </w:rPr>
        <w:t>.</w:t>
      </w:r>
      <w:r w:rsidR="00910EE6" w:rsidRPr="007B3A3F">
        <w:rPr>
          <w:lang w:val="en-GB"/>
        </w:rPr>
        <w:t xml:space="preserve"> T</w:t>
      </w:r>
      <w:r w:rsidR="00CB0574" w:rsidRPr="007B3A3F">
        <w:rPr>
          <w:lang w:val="en-GB"/>
        </w:rPr>
        <w:t xml:space="preserve">he programme takes </w:t>
      </w:r>
      <w:r w:rsidRPr="007B3A3F">
        <w:rPr>
          <w:lang w:val="en-GB"/>
        </w:rPr>
        <w:t>a holistic</w:t>
      </w:r>
      <w:r w:rsidR="00910EE6" w:rsidRPr="007B3A3F">
        <w:rPr>
          <w:lang w:val="en-GB"/>
        </w:rPr>
        <w:t xml:space="preserve"> </w:t>
      </w:r>
      <w:r w:rsidRPr="007B3A3F">
        <w:rPr>
          <w:lang w:val="en-GB"/>
        </w:rPr>
        <w:t xml:space="preserve">approach </w:t>
      </w:r>
      <w:r w:rsidR="004D50F5">
        <w:rPr>
          <w:lang w:val="en-GB"/>
        </w:rPr>
        <w:t xml:space="preserve">in </w:t>
      </w:r>
      <w:r w:rsidR="00CB0574" w:rsidRPr="007B3A3F">
        <w:rPr>
          <w:lang w:val="en-GB"/>
        </w:rPr>
        <w:t xml:space="preserve">leveraging </w:t>
      </w:r>
      <w:r w:rsidR="00910EE6" w:rsidRPr="007B3A3F">
        <w:rPr>
          <w:lang w:val="en-GB"/>
        </w:rPr>
        <w:t>its integrator</w:t>
      </w:r>
      <w:r w:rsidRPr="007B3A3F">
        <w:rPr>
          <w:lang w:val="en-GB"/>
        </w:rPr>
        <w:t xml:space="preserve"> role, comparative</w:t>
      </w:r>
      <w:r w:rsidR="00FF496F" w:rsidRPr="007B3A3F">
        <w:rPr>
          <w:lang w:val="en-GB"/>
        </w:rPr>
        <w:t xml:space="preserve"> </w:t>
      </w:r>
      <w:r w:rsidRPr="007B3A3F">
        <w:rPr>
          <w:lang w:val="en-GB"/>
        </w:rPr>
        <w:t>advantage</w:t>
      </w:r>
      <w:r w:rsidR="00910EE6" w:rsidRPr="007B3A3F">
        <w:rPr>
          <w:lang w:val="en-GB"/>
        </w:rPr>
        <w:t>s</w:t>
      </w:r>
      <w:r w:rsidRPr="007B3A3F">
        <w:rPr>
          <w:lang w:val="en-GB"/>
        </w:rPr>
        <w:t xml:space="preserve">, and </w:t>
      </w:r>
      <w:r w:rsidR="00910EE6" w:rsidRPr="007B3A3F">
        <w:rPr>
          <w:lang w:val="en-GB"/>
        </w:rPr>
        <w:t>proven</w:t>
      </w:r>
      <w:r w:rsidRPr="007B3A3F">
        <w:rPr>
          <w:lang w:val="en-GB"/>
        </w:rPr>
        <w:t xml:space="preserve"> track record, </w:t>
      </w:r>
      <w:r w:rsidR="00FF496F" w:rsidRPr="007B3A3F">
        <w:rPr>
          <w:lang w:val="en-GB"/>
        </w:rPr>
        <w:t>to make</w:t>
      </w:r>
      <w:r w:rsidR="00AC1CE4" w:rsidRPr="007B3A3F">
        <w:rPr>
          <w:lang w:val="en-GB"/>
        </w:rPr>
        <w:t xml:space="preserve"> stronger and more coherent </w:t>
      </w:r>
      <w:r w:rsidR="0009064C" w:rsidRPr="007B3A3F">
        <w:rPr>
          <w:lang w:val="en-GB"/>
        </w:rPr>
        <w:t>contribution</w:t>
      </w:r>
      <w:r w:rsidR="004D50F5">
        <w:rPr>
          <w:lang w:val="en-GB"/>
        </w:rPr>
        <w:t>s</w:t>
      </w:r>
      <w:r w:rsidR="00AC1CE4" w:rsidRPr="007B3A3F">
        <w:rPr>
          <w:lang w:val="en-GB"/>
        </w:rPr>
        <w:t xml:space="preserve"> to national priorities. </w:t>
      </w:r>
      <w:r w:rsidR="00F844DB" w:rsidRPr="007B3A3F">
        <w:rPr>
          <w:lang w:val="en-GB"/>
        </w:rPr>
        <w:t xml:space="preserve">The programme targets the poor and extremely poor, </w:t>
      </w:r>
      <w:r w:rsidR="00A672D8" w:rsidRPr="007B3A3F">
        <w:rPr>
          <w:lang w:val="en-GB"/>
        </w:rPr>
        <w:t>socially,</w:t>
      </w:r>
      <w:r w:rsidR="00F844DB" w:rsidRPr="007B3A3F">
        <w:rPr>
          <w:lang w:val="en-GB"/>
        </w:rPr>
        <w:t xml:space="preserve"> and economically vulnerable women, </w:t>
      </w:r>
      <w:r w:rsidR="004D50F5">
        <w:rPr>
          <w:lang w:val="en-GB"/>
        </w:rPr>
        <w:t xml:space="preserve">unemployed </w:t>
      </w:r>
      <w:r w:rsidR="00F844DB" w:rsidRPr="007B3A3F">
        <w:rPr>
          <w:lang w:val="en-GB"/>
        </w:rPr>
        <w:t xml:space="preserve">young </w:t>
      </w:r>
      <w:r w:rsidR="00A07A31" w:rsidRPr="007B3A3F">
        <w:rPr>
          <w:lang w:val="en-GB"/>
        </w:rPr>
        <w:t xml:space="preserve">people </w:t>
      </w:r>
      <w:r w:rsidR="004D50F5">
        <w:rPr>
          <w:lang w:val="en-GB"/>
        </w:rPr>
        <w:t xml:space="preserve">and those </w:t>
      </w:r>
      <w:r w:rsidR="004D50F5">
        <w:rPr>
          <w:lang w:val="en-GB"/>
        </w:rPr>
        <w:lastRenderedPageBreak/>
        <w:t>without</w:t>
      </w:r>
      <w:r w:rsidR="00A07A31" w:rsidRPr="007B3A3F">
        <w:rPr>
          <w:lang w:val="en-GB"/>
        </w:rPr>
        <w:t xml:space="preserve"> education </w:t>
      </w:r>
      <w:r w:rsidR="004D50F5">
        <w:rPr>
          <w:lang w:val="en-GB"/>
        </w:rPr>
        <w:t>or</w:t>
      </w:r>
      <w:r w:rsidR="004D50F5" w:rsidRPr="007B3A3F">
        <w:rPr>
          <w:lang w:val="en-GB"/>
        </w:rPr>
        <w:t xml:space="preserve"> </w:t>
      </w:r>
      <w:r w:rsidR="00A07A31" w:rsidRPr="007B3A3F">
        <w:rPr>
          <w:lang w:val="en-GB"/>
        </w:rPr>
        <w:t>training</w:t>
      </w:r>
      <w:r w:rsidR="00F844DB" w:rsidRPr="007B3A3F">
        <w:rPr>
          <w:lang w:val="en-GB"/>
        </w:rPr>
        <w:t xml:space="preserve">, elderly people living in poverty, and children and youth </w:t>
      </w:r>
      <w:r w:rsidR="004D50F5">
        <w:rPr>
          <w:lang w:val="en-GB"/>
        </w:rPr>
        <w:t xml:space="preserve">living </w:t>
      </w:r>
      <w:r w:rsidR="00F844DB" w:rsidRPr="007B3A3F">
        <w:rPr>
          <w:lang w:val="en-GB"/>
        </w:rPr>
        <w:t>with disabilities</w:t>
      </w:r>
      <w:r w:rsidR="004D50F5">
        <w:rPr>
          <w:lang w:val="en-GB"/>
        </w:rPr>
        <w:t>,</w:t>
      </w:r>
      <w:r w:rsidR="00F844DB" w:rsidRPr="007B3A3F">
        <w:rPr>
          <w:lang w:val="en-GB"/>
        </w:rPr>
        <w:t xml:space="preserve"> and will </w:t>
      </w:r>
      <w:r w:rsidR="000A2B7A" w:rsidRPr="007B3A3F">
        <w:rPr>
          <w:lang w:val="en-GB"/>
        </w:rPr>
        <w:t xml:space="preserve">engage them in </w:t>
      </w:r>
      <w:r w:rsidR="00BC1750" w:rsidRPr="007B3A3F">
        <w:rPr>
          <w:lang w:val="en-GB"/>
        </w:rPr>
        <w:t>planning, monitoring</w:t>
      </w:r>
      <w:r w:rsidR="00917B2F" w:rsidRPr="007B3A3F">
        <w:rPr>
          <w:lang w:val="en-GB"/>
        </w:rPr>
        <w:t xml:space="preserve">, </w:t>
      </w:r>
      <w:r w:rsidR="00BC1750" w:rsidRPr="007B3A3F">
        <w:rPr>
          <w:lang w:val="en-GB"/>
        </w:rPr>
        <w:t>evaluation</w:t>
      </w:r>
      <w:r w:rsidR="000A2C44" w:rsidRPr="007B3A3F">
        <w:rPr>
          <w:lang w:val="en-GB"/>
        </w:rPr>
        <w:t>,</w:t>
      </w:r>
      <w:r w:rsidR="00BC1750" w:rsidRPr="007B3A3F">
        <w:rPr>
          <w:lang w:val="en-GB"/>
        </w:rPr>
        <w:t xml:space="preserve"> </w:t>
      </w:r>
      <w:r w:rsidR="000A2B7A" w:rsidRPr="007B3A3F">
        <w:rPr>
          <w:lang w:val="en-GB"/>
        </w:rPr>
        <w:t xml:space="preserve">knowledge </w:t>
      </w:r>
      <w:r w:rsidR="000A2C44" w:rsidRPr="007B3A3F">
        <w:rPr>
          <w:lang w:val="en-GB"/>
        </w:rPr>
        <w:t xml:space="preserve">management </w:t>
      </w:r>
      <w:r w:rsidR="000A2B7A" w:rsidRPr="007B3A3F">
        <w:rPr>
          <w:lang w:val="en-GB"/>
        </w:rPr>
        <w:t xml:space="preserve">and learning </w:t>
      </w:r>
      <w:r w:rsidR="00BC1750" w:rsidRPr="007B3A3F">
        <w:rPr>
          <w:lang w:val="en-GB"/>
        </w:rPr>
        <w:t>processes</w:t>
      </w:r>
      <w:r w:rsidR="00910EE6" w:rsidRPr="00910EE6">
        <w:t xml:space="preserve"> </w:t>
      </w:r>
      <w:r w:rsidR="001600E2">
        <w:t>by</w:t>
      </w:r>
      <w:r w:rsidR="000A2C44">
        <w:t xml:space="preserve"> </w:t>
      </w:r>
      <w:r w:rsidR="00917B2F">
        <w:t>support</w:t>
      </w:r>
      <w:r w:rsidR="001600E2">
        <w:t>ing</w:t>
      </w:r>
      <w:r w:rsidR="00917B2F" w:rsidRPr="007B3A3F">
        <w:rPr>
          <w:lang w:val="en-GB"/>
        </w:rPr>
        <w:t xml:space="preserve"> </w:t>
      </w:r>
      <w:r w:rsidR="001600E2" w:rsidRPr="007B3A3F">
        <w:rPr>
          <w:lang w:val="en-GB"/>
        </w:rPr>
        <w:t xml:space="preserve">them </w:t>
      </w:r>
      <w:r w:rsidR="00910EE6" w:rsidRPr="007B3A3F">
        <w:rPr>
          <w:lang w:val="en-GB"/>
        </w:rPr>
        <w:t>to find sustainable development solutions</w:t>
      </w:r>
      <w:r w:rsidR="000A2B7A" w:rsidRPr="007B3A3F">
        <w:rPr>
          <w:lang w:val="en-GB"/>
        </w:rPr>
        <w:t>.</w:t>
      </w:r>
      <w:r w:rsidR="000734C7" w:rsidRPr="007B3A3F">
        <w:rPr>
          <w:lang w:val="en-GB"/>
        </w:rPr>
        <w:t xml:space="preserve"> Building cross-programme synergies with the UNSDCF and other U</w:t>
      </w:r>
      <w:r w:rsidR="004D50F5">
        <w:rPr>
          <w:lang w:val="en-GB"/>
        </w:rPr>
        <w:t xml:space="preserve">nited </w:t>
      </w:r>
      <w:r w:rsidR="000734C7" w:rsidRPr="007B3A3F">
        <w:rPr>
          <w:lang w:val="en-GB"/>
        </w:rPr>
        <w:t>N</w:t>
      </w:r>
      <w:r w:rsidR="004D50F5">
        <w:rPr>
          <w:lang w:val="en-GB"/>
        </w:rPr>
        <w:t>ations development system (UNDS)</w:t>
      </w:r>
      <w:r w:rsidR="000734C7" w:rsidRPr="007B3A3F">
        <w:rPr>
          <w:lang w:val="en-GB"/>
        </w:rPr>
        <w:t xml:space="preserve"> </w:t>
      </w:r>
      <w:r w:rsidR="004D50F5">
        <w:rPr>
          <w:lang w:val="en-GB"/>
        </w:rPr>
        <w:t>partners</w:t>
      </w:r>
      <w:r w:rsidR="004D50F5" w:rsidRPr="007B3A3F">
        <w:rPr>
          <w:lang w:val="en-GB"/>
        </w:rPr>
        <w:t xml:space="preserve"> </w:t>
      </w:r>
      <w:r w:rsidR="000734C7" w:rsidRPr="007B3A3F">
        <w:rPr>
          <w:lang w:val="en-GB"/>
        </w:rPr>
        <w:t xml:space="preserve">will ensure a human rights-based approach that emphasizes the principles of Leave No One Behind to ensure economic, </w:t>
      </w:r>
      <w:r w:rsidR="00A672D8" w:rsidRPr="007B3A3F">
        <w:rPr>
          <w:lang w:val="en-GB"/>
        </w:rPr>
        <w:t>social,</w:t>
      </w:r>
      <w:r w:rsidR="000734C7" w:rsidRPr="007B3A3F">
        <w:rPr>
          <w:lang w:val="en-GB"/>
        </w:rPr>
        <w:t xml:space="preserve"> and environmental transformation is inclusive </w:t>
      </w:r>
      <w:r w:rsidR="004D50F5">
        <w:rPr>
          <w:lang w:val="en-GB"/>
        </w:rPr>
        <w:t>for</w:t>
      </w:r>
      <w:r w:rsidR="004D50F5" w:rsidRPr="007B3A3F">
        <w:rPr>
          <w:lang w:val="en-GB"/>
        </w:rPr>
        <w:t xml:space="preserve"> </w:t>
      </w:r>
      <w:r w:rsidR="001600E2" w:rsidRPr="007B3A3F">
        <w:rPr>
          <w:lang w:val="en-GB"/>
        </w:rPr>
        <w:t>al</w:t>
      </w:r>
      <w:r w:rsidR="000A2C44" w:rsidRPr="007B3A3F">
        <w:rPr>
          <w:lang w:val="en-GB"/>
        </w:rPr>
        <w:t>l</w:t>
      </w:r>
      <w:r w:rsidR="001600E2" w:rsidRPr="007B3A3F">
        <w:rPr>
          <w:lang w:val="en-GB"/>
        </w:rPr>
        <w:t xml:space="preserve"> </w:t>
      </w:r>
      <w:r w:rsidR="000734C7" w:rsidRPr="007B3A3F">
        <w:rPr>
          <w:lang w:val="en-GB"/>
        </w:rPr>
        <w:t>vulnerable</w:t>
      </w:r>
      <w:r w:rsidR="001600E2" w:rsidRPr="007B3A3F">
        <w:rPr>
          <w:lang w:val="en-GB"/>
        </w:rPr>
        <w:t xml:space="preserve"> groups</w:t>
      </w:r>
      <w:r w:rsidR="000734C7" w:rsidRPr="007B3A3F">
        <w:rPr>
          <w:lang w:val="en-GB"/>
        </w:rPr>
        <w:t xml:space="preserve">, </w:t>
      </w:r>
      <w:r w:rsidR="001600E2" w:rsidRPr="007B3A3F">
        <w:rPr>
          <w:lang w:val="en-GB"/>
        </w:rPr>
        <w:t>especially</w:t>
      </w:r>
      <w:r w:rsidR="000734C7" w:rsidRPr="007B3A3F">
        <w:rPr>
          <w:lang w:val="en-GB"/>
        </w:rPr>
        <w:t xml:space="preserve"> youth, </w:t>
      </w:r>
      <w:r w:rsidR="00A672D8" w:rsidRPr="007B3A3F">
        <w:rPr>
          <w:lang w:val="en-GB"/>
        </w:rPr>
        <w:t>women,</w:t>
      </w:r>
      <w:r w:rsidR="000734C7" w:rsidRPr="007B3A3F">
        <w:rPr>
          <w:lang w:val="en-GB"/>
        </w:rPr>
        <w:t xml:space="preserve"> and marginalized communities.</w:t>
      </w:r>
    </w:p>
    <w:p w14:paraId="3D29745B" w14:textId="41E2948B" w:rsidR="00AC1CE4" w:rsidRPr="007B3A3F" w:rsidRDefault="006C5523" w:rsidP="003F4315">
      <w:pPr>
        <w:pStyle w:val="ListParagraph"/>
        <w:numPr>
          <w:ilvl w:val="0"/>
          <w:numId w:val="6"/>
        </w:numPr>
        <w:tabs>
          <w:tab w:val="left" w:pos="1620"/>
        </w:tabs>
        <w:spacing w:after="120"/>
        <w:ind w:left="1260" w:right="1210" w:firstLine="0"/>
        <w:jc w:val="both"/>
        <w:rPr>
          <w:lang w:val="en-GB"/>
        </w:rPr>
      </w:pPr>
      <w:r w:rsidRPr="007B3A3F">
        <w:rPr>
          <w:lang w:val="en-GB"/>
        </w:rPr>
        <w:t>T</w:t>
      </w:r>
      <w:r w:rsidR="00F844DB" w:rsidRPr="007B3A3F">
        <w:rPr>
          <w:lang w:val="en-GB"/>
        </w:rPr>
        <w:t>o sustain impact</w:t>
      </w:r>
      <w:r w:rsidR="001600E2" w:rsidRPr="007B3A3F">
        <w:rPr>
          <w:lang w:val="en-GB"/>
        </w:rPr>
        <w:t>,</w:t>
      </w:r>
      <w:r w:rsidR="00F844DB" w:rsidRPr="007B3A3F">
        <w:rPr>
          <w:lang w:val="en-GB"/>
        </w:rPr>
        <w:t xml:space="preserve"> t</w:t>
      </w:r>
      <w:r w:rsidRPr="007B3A3F">
        <w:rPr>
          <w:lang w:val="en-GB"/>
        </w:rPr>
        <w:t>he programme strategy is to provide high quality u</w:t>
      </w:r>
      <w:r w:rsidR="00AC1CE4" w:rsidRPr="007B3A3F">
        <w:rPr>
          <w:lang w:val="en-GB"/>
        </w:rPr>
        <w:t xml:space="preserve">pstream technical advice </w:t>
      </w:r>
      <w:r w:rsidRPr="007B3A3F">
        <w:rPr>
          <w:lang w:val="en-GB"/>
        </w:rPr>
        <w:t xml:space="preserve">to </w:t>
      </w:r>
      <w:r w:rsidR="00AC1CE4" w:rsidRPr="007B3A3F">
        <w:rPr>
          <w:lang w:val="en-GB"/>
        </w:rPr>
        <w:t xml:space="preserve">strengthen national </w:t>
      </w:r>
      <w:r w:rsidR="008143DB" w:rsidRPr="007B3A3F">
        <w:rPr>
          <w:lang w:val="en-GB"/>
        </w:rPr>
        <w:t>capacit</w:t>
      </w:r>
      <w:r w:rsidR="004D50F5">
        <w:rPr>
          <w:lang w:val="en-GB"/>
        </w:rPr>
        <w:t>ies</w:t>
      </w:r>
      <w:r w:rsidR="008143DB" w:rsidRPr="007B3A3F">
        <w:rPr>
          <w:lang w:val="en-GB"/>
        </w:rPr>
        <w:t xml:space="preserve"> for evidence</w:t>
      </w:r>
      <w:r w:rsidR="00F844DB" w:rsidRPr="007B3A3F">
        <w:rPr>
          <w:lang w:val="en-GB"/>
        </w:rPr>
        <w:t>-</w:t>
      </w:r>
      <w:r w:rsidR="008143DB" w:rsidRPr="007B3A3F">
        <w:rPr>
          <w:lang w:val="en-GB"/>
        </w:rPr>
        <w:t>base</w:t>
      </w:r>
      <w:r w:rsidR="00F844DB" w:rsidRPr="007B3A3F">
        <w:rPr>
          <w:lang w:val="en-GB"/>
        </w:rPr>
        <w:t>d</w:t>
      </w:r>
      <w:r w:rsidR="008143DB" w:rsidRPr="007B3A3F">
        <w:rPr>
          <w:lang w:val="en-GB"/>
        </w:rPr>
        <w:t xml:space="preserve"> </w:t>
      </w:r>
      <w:r w:rsidR="00AC1CE4" w:rsidRPr="007B3A3F">
        <w:rPr>
          <w:lang w:val="en-GB"/>
        </w:rPr>
        <w:t xml:space="preserve">policies and strategies for post-pandemic recovery </w:t>
      </w:r>
      <w:r w:rsidR="008143DB" w:rsidRPr="007B3A3F">
        <w:rPr>
          <w:lang w:val="en-GB"/>
        </w:rPr>
        <w:t xml:space="preserve">that </w:t>
      </w:r>
      <w:r w:rsidR="00AC1CE4" w:rsidRPr="007B3A3F">
        <w:rPr>
          <w:lang w:val="en-GB"/>
        </w:rPr>
        <w:t>focus</w:t>
      </w:r>
      <w:r w:rsidR="008143DB" w:rsidRPr="007B3A3F">
        <w:rPr>
          <w:lang w:val="en-GB"/>
        </w:rPr>
        <w:t xml:space="preserve"> </w:t>
      </w:r>
      <w:r w:rsidR="00AC1CE4" w:rsidRPr="007B3A3F">
        <w:rPr>
          <w:lang w:val="en-GB"/>
        </w:rPr>
        <w:t xml:space="preserve">on building resilience and </w:t>
      </w:r>
      <w:r w:rsidR="00430E32" w:rsidRPr="007B3A3F">
        <w:rPr>
          <w:lang w:val="en-GB"/>
        </w:rPr>
        <w:t>sustainability</w:t>
      </w:r>
      <w:r w:rsidR="00430E32">
        <w:rPr>
          <w:lang w:val="en-GB"/>
        </w:rPr>
        <w:t xml:space="preserve"> and</w:t>
      </w:r>
      <w:r w:rsidR="00AC1CE4" w:rsidRPr="007B3A3F">
        <w:rPr>
          <w:lang w:val="en-GB"/>
        </w:rPr>
        <w:t xml:space="preserve"> reaching the most disadvantaged first</w:t>
      </w:r>
      <w:r w:rsidR="000A2B7A" w:rsidRPr="007B3A3F">
        <w:rPr>
          <w:lang w:val="en-GB"/>
        </w:rPr>
        <w:t xml:space="preserve"> </w:t>
      </w:r>
      <w:r w:rsidR="004D50F5">
        <w:rPr>
          <w:lang w:val="en-GB"/>
        </w:rPr>
        <w:t>while</w:t>
      </w:r>
      <w:r w:rsidR="004D50F5" w:rsidRPr="007B3A3F">
        <w:rPr>
          <w:lang w:val="en-GB"/>
        </w:rPr>
        <w:t xml:space="preserve"> </w:t>
      </w:r>
      <w:r w:rsidR="000A2B7A" w:rsidRPr="007B3A3F">
        <w:rPr>
          <w:lang w:val="en-GB"/>
        </w:rPr>
        <w:t>s</w:t>
      </w:r>
      <w:r w:rsidR="00536528" w:rsidRPr="007B3A3F">
        <w:rPr>
          <w:lang w:val="en-GB"/>
        </w:rPr>
        <w:t>imultaneously engag</w:t>
      </w:r>
      <w:r w:rsidR="000A2B7A" w:rsidRPr="007B3A3F">
        <w:rPr>
          <w:lang w:val="en-GB"/>
        </w:rPr>
        <w:t>ing</w:t>
      </w:r>
      <w:r w:rsidR="00536528" w:rsidRPr="007B3A3F">
        <w:rPr>
          <w:lang w:val="en-GB"/>
        </w:rPr>
        <w:t xml:space="preserve"> </w:t>
      </w:r>
      <w:r w:rsidR="004D50F5">
        <w:rPr>
          <w:lang w:val="en-GB"/>
        </w:rPr>
        <w:t>civil society organizations (</w:t>
      </w:r>
      <w:r w:rsidR="00536528" w:rsidRPr="007B3A3F">
        <w:rPr>
          <w:lang w:val="en-GB"/>
        </w:rPr>
        <w:t>CSOs</w:t>
      </w:r>
      <w:r w:rsidR="004D50F5">
        <w:rPr>
          <w:lang w:val="en-GB"/>
        </w:rPr>
        <w:t>)</w:t>
      </w:r>
      <w:r w:rsidR="00536528" w:rsidRPr="007B3A3F">
        <w:rPr>
          <w:lang w:val="en-GB"/>
        </w:rPr>
        <w:t>, communit</w:t>
      </w:r>
      <w:r w:rsidR="004D50F5">
        <w:rPr>
          <w:lang w:val="en-GB"/>
        </w:rPr>
        <w:t>y</w:t>
      </w:r>
      <w:r w:rsidR="00536528" w:rsidRPr="007B3A3F">
        <w:rPr>
          <w:lang w:val="en-GB"/>
        </w:rPr>
        <w:t xml:space="preserve"> and private sector organi</w:t>
      </w:r>
      <w:r w:rsidR="004D50F5">
        <w:rPr>
          <w:lang w:val="en-GB"/>
        </w:rPr>
        <w:t>z</w:t>
      </w:r>
      <w:r w:rsidR="00536528" w:rsidRPr="007B3A3F">
        <w:rPr>
          <w:lang w:val="en-GB"/>
        </w:rPr>
        <w:t>ations</w:t>
      </w:r>
      <w:r w:rsidR="004D50F5">
        <w:rPr>
          <w:lang w:val="en-GB"/>
        </w:rPr>
        <w:t>,</w:t>
      </w:r>
      <w:r w:rsidR="00536528" w:rsidRPr="007B3A3F">
        <w:rPr>
          <w:lang w:val="en-GB"/>
        </w:rPr>
        <w:t xml:space="preserve"> and </w:t>
      </w:r>
      <w:r w:rsidR="004D50F5">
        <w:rPr>
          <w:lang w:val="en-GB"/>
        </w:rPr>
        <w:t xml:space="preserve">local </w:t>
      </w:r>
      <w:r w:rsidR="00536528" w:rsidRPr="007B3A3F">
        <w:rPr>
          <w:lang w:val="en-GB"/>
        </w:rPr>
        <w:t>business</w:t>
      </w:r>
      <w:r w:rsidR="00F844DB" w:rsidRPr="007B3A3F">
        <w:rPr>
          <w:lang w:val="en-GB"/>
        </w:rPr>
        <w:t>es</w:t>
      </w:r>
      <w:r w:rsidR="000A2B7A" w:rsidRPr="007B3A3F">
        <w:rPr>
          <w:lang w:val="en-GB"/>
        </w:rPr>
        <w:t xml:space="preserve"> in dialogue</w:t>
      </w:r>
      <w:r w:rsidR="000A2C44" w:rsidRPr="007B3A3F">
        <w:rPr>
          <w:lang w:val="en-GB"/>
        </w:rPr>
        <w:t xml:space="preserve">, </w:t>
      </w:r>
      <w:r w:rsidR="000A2B7A" w:rsidRPr="007B3A3F">
        <w:rPr>
          <w:lang w:val="en-GB"/>
        </w:rPr>
        <w:t xml:space="preserve">programme </w:t>
      </w:r>
      <w:r w:rsidR="000A2C44" w:rsidRPr="007B3A3F">
        <w:rPr>
          <w:lang w:val="en-GB"/>
        </w:rPr>
        <w:t>design</w:t>
      </w:r>
      <w:r w:rsidR="004D50F5">
        <w:rPr>
          <w:lang w:val="en-GB"/>
        </w:rPr>
        <w:t>,</w:t>
      </w:r>
      <w:r w:rsidR="000A2C44" w:rsidRPr="007B3A3F">
        <w:rPr>
          <w:lang w:val="en-GB"/>
        </w:rPr>
        <w:t xml:space="preserve"> and </w:t>
      </w:r>
      <w:r w:rsidR="000A2B7A" w:rsidRPr="007B3A3F">
        <w:rPr>
          <w:lang w:val="en-GB"/>
        </w:rPr>
        <w:t>implementation.</w:t>
      </w:r>
      <w:r w:rsidR="00AC1CE4" w:rsidRPr="007B3A3F">
        <w:rPr>
          <w:lang w:val="en-GB"/>
        </w:rPr>
        <w:t xml:space="preserve"> </w:t>
      </w:r>
      <w:r w:rsidR="000A2B7A" w:rsidRPr="007B3A3F">
        <w:rPr>
          <w:lang w:val="en-GB"/>
        </w:rPr>
        <w:t>T</w:t>
      </w:r>
      <w:r w:rsidR="00F844DB" w:rsidRPr="007B3A3F">
        <w:rPr>
          <w:lang w:val="en-GB"/>
        </w:rPr>
        <w:t>he programme leverage</w:t>
      </w:r>
      <w:r w:rsidR="000A2C44" w:rsidRPr="007B3A3F">
        <w:rPr>
          <w:lang w:val="en-GB"/>
        </w:rPr>
        <w:t>s</w:t>
      </w:r>
      <w:r w:rsidR="00F844DB" w:rsidRPr="007B3A3F">
        <w:rPr>
          <w:lang w:val="en-GB"/>
        </w:rPr>
        <w:t xml:space="preserve"> private sector </w:t>
      </w:r>
      <w:r w:rsidR="00AF1E63" w:rsidRPr="007B3A3F">
        <w:rPr>
          <w:lang w:val="en-GB"/>
        </w:rPr>
        <w:t xml:space="preserve">knowledge </w:t>
      </w:r>
      <w:r w:rsidR="00F844DB" w:rsidRPr="007B3A3F">
        <w:rPr>
          <w:lang w:val="en-GB"/>
        </w:rPr>
        <w:t xml:space="preserve">and </w:t>
      </w:r>
      <w:r w:rsidR="004D50F5">
        <w:rPr>
          <w:lang w:val="en-GB"/>
        </w:rPr>
        <w:t>expertise</w:t>
      </w:r>
      <w:r w:rsidR="004D50F5" w:rsidRPr="007B3A3F">
        <w:rPr>
          <w:lang w:val="en-GB"/>
        </w:rPr>
        <w:t xml:space="preserve"> </w:t>
      </w:r>
      <w:r w:rsidR="00F844DB" w:rsidRPr="007B3A3F">
        <w:rPr>
          <w:lang w:val="en-GB"/>
        </w:rPr>
        <w:t xml:space="preserve">in business </w:t>
      </w:r>
      <w:r w:rsidR="00AF1E63" w:rsidRPr="007B3A3F">
        <w:rPr>
          <w:lang w:val="en-GB"/>
        </w:rPr>
        <w:t>development services and incubators</w:t>
      </w:r>
      <w:r w:rsidR="00F844DB" w:rsidRPr="007B3A3F">
        <w:rPr>
          <w:lang w:val="en-GB"/>
        </w:rPr>
        <w:t>, start-ups</w:t>
      </w:r>
      <w:r w:rsidR="00AF1E63" w:rsidRPr="007B3A3F">
        <w:rPr>
          <w:lang w:val="en-GB"/>
        </w:rPr>
        <w:t>,</w:t>
      </w:r>
      <w:r w:rsidR="00F844DB" w:rsidRPr="007B3A3F">
        <w:rPr>
          <w:lang w:val="en-GB"/>
        </w:rPr>
        <w:t xml:space="preserve"> the energy transition</w:t>
      </w:r>
      <w:r w:rsidR="00AF1E63" w:rsidRPr="007B3A3F">
        <w:rPr>
          <w:lang w:val="en-GB"/>
        </w:rPr>
        <w:t>,</w:t>
      </w:r>
      <w:r w:rsidR="00F844DB" w:rsidRPr="007B3A3F">
        <w:rPr>
          <w:lang w:val="en-GB"/>
        </w:rPr>
        <w:t xml:space="preserve"> and in supporting blue/green growth</w:t>
      </w:r>
      <w:r w:rsidR="00AF1E63" w:rsidRPr="007B3A3F">
        <w:rPr>
          <w:lang w:val="en-GB"/>
        </w:rPr>
        <w:t xml:space="preserve"> </w:t>
      </w:r>
      <w:r w:rsidR="001600E2" w:rsidRPr="007B3A3F">
        <w:rPr>
          <w:lang w:val="en-GB"/>
        </w:rPr>
        <w:t xml:space="preserve">with a </w:t>
      </w:r>
      <w:r w:rsidR="00AF1E63" w:rsidRPr="007B3A3F">
        <w:rPr>
          <w:lang w:val="en-GB"/>
        </w:rPr>
        <w:t>focus on women and youth.</w:t>
      </w:r>
      <w:r w:rsidR="00F844DB" w:rsidRPr="007B3A3F">
        <w:rPr>
          <w:lang w:val="en-GB"/>
        </w:rPr>
        <w:t xml:space="preserve"> </w:t>
      </w:r>
      <w:r w:rsidR="00AF1E63" w:rsidRPr="007B3A3F">
        <w:rPr>
          <w:lang w:val="en-GB"/>
        </w:rPr>
        <w:t>I</w:t>
      </w:r>
      <w:r w:rsidR="00AC1CE4" w:rsidRPr="007B3A3F">
        <w:rPr>
          <w:lang w:val="en-GB"/>
        </w:rPr>
        <w:t>nstitutional capacit</w:t>
      </w:r>
      <w:r w:rsidR="004D50F5">
        <w:rPr>
          <w:lang w:val="en-GB"/>
        </w:rPr>
        <w:t>ies</w:t>
      </w:r>
      <w:r w:rsidR="00AC1CE4" w:rsidRPr="007B3A3F">
        <w:rPr>
          <w:lang w:val="en-GB"/>
        </w:rPr>
        <w:t>, accountabilit</w:t>
      </w:r>
      <w:r w:rsidR="004D50F5">
        <w:rPr>
          <w:lang w:val="en-GB"/>
        </w:rPr>
        <w:t>ies</w:t>
      </w:r>
      <w:r w:rsidR="00AC1CE4" w:rsidRPr="007B3A3F">
        <w:rPr>
          <w:lang w:val="en-GB"/>
        </w:rPr>
        <w:t xml:space="preserve">, and transparency </w:t>
      </w:r>
      <w:r w:rsidR="00AF1E63" w:rsidRPr="007B3A3F">
        <w:rPr>
          <w:lang w:val="en-GB"/>
        </w:rPr>
        <w:t xml:space="preserve">will be enhanced </w:t>
      </w:r>
      <w:r w:rsidR="00AC1CE4" w:rsidRPr="007B3A3F">
        <w:rPr>
          <w:lang w:val="en-GB"/>
        </w:rPr>
        <w:t xml:space="preserve">through </w:t>
      </w:r>
      <w:r w:rsidR="0009064C" w:rsidRPr="007B3A3F">
        <w:rPr>
          <w:lang w:val="en-GB"/>
        </w:rPr>
        <w:t xml:space="preserve">the use of digital technology and </w:t>
      </w:r>
      <w:r w:rsidR="00AC1CE4" w:rsidRPr="007B3A3F">
        <w:rPr>
          <w:lang w:val="en-GB"/>
        </w:rPr>
        <w:t>greater involvement of communities, CSOs, the private sector and academia</w:t>
      </w:r>
      <w:r w:rsidR="002C30C8" w:rsidRPr="007B3A3F">
        <w:rPr>
          <w:lang w:val="en-GB"/>
        </w:rPr>
        <w:t xml:space="preserve">, </w:t>
      </w:r>
      <w:r w:rsidR="004D50F5">
        <w:rPr>
          <w:lang w:val="en-GB"/>
        </w:rPr>
        <w:t xml:space="preserve">and their participation in </w:t>
      </w:r>
      <w:r w:rsidR="000A2C44" w:rsidRPr="007B3A3F">
        <w:rPr>
          <w:lang w:val="en-GB"/>
        </w:rPr>
        <w:t xml:space="preserve">social </w:t>
      </w:r>
      <w:r w:rsidR="002C30C8" w:rsidRPr="007B3A3F">
        <w:rPr>
          <w:lang w:val="en-GB"/>
        </w:rPr>
        <w:t>monitoring</w:t>
      </w:r>
      <w:r w:rsidR="001600E2" w:rsidRPr="007B3A3F">
        <w:rPr>
          <w:lang w:val="en-GB"/>
        </w:rPr>
        <w:t xml:space="preserve">. </w:t>
      </w:r>
      <w:r w:rsidR="00AC1CE4" w:rsidRPr="007B3A3F">
        <w:rPr>
          <w:lang w:val="en-GB"/>
        </w:rPr>
        <w:t xml:space="preserve">In partnership with the </w:t>
      </w:r>
      <w:r w:rsidR="00536528" w:rsidRPr="007B3A3F">
        <w:rPr>
          <w:lang w:val="en-GB"/>
        </w:rPr>
        <w:t xml:space="preserve">National </w:t>
      </w:r>
      <w:r w:rsidR="00AC1CE4" w:rsidRPr="007B3A3F">
        <w:rPr>
          <w:lang w:val="en-GB"/>
        </w:rPr>
        <w:t>Institute for Gender Equality</w:t>
      </w:r>
      <w:r w:rsidR="002C30C8" w:rsidRPr="007B3A3F">
        <w:rPr>
          <w:lang w:val="en-GB"/>
        </w:rPr>
        <w:t>,</w:t>
      </w:r>
      <w:r w:rsidR="00AC1CE4" w:rsidRPr="007B3A3F">
        <w:rPr>
          <w:lang w:val="en-GB"/>
        </w:rPr>
        <w:t xml:space="preserve"> </w:t>
      </w:r>
      <w:r w:rsidR="00611168">
        <w:rPr>
          <w:lang w:val="en-GB"/>
        </w:rPr>
        <w:t>UNDP</w:t>
      </w:r>
      <w:r w:rsidR="00AC1CE4" w:rsidRPr="007B3A3F">
        <w:rPr>
          <w:lang w:val="en-GB"/>
        </w:rPr>
        <w:t xml:space="preserve"> </w:t>
      </w:r>
      <w:r w:rsidR="000A2C44" w:rsidRPr="007B3A3F">
        <w:rPr>
          <w:lang w:val="en-GB"/>
        </w:rPr>
        <w:t xml:space="preserve">will </w:t>
      </w:r>
      <w:r w:rsidR="00AC1CE4" w:rsidRPr="007B3A3F">
        <w:rPr>
          <w:lang w:val="en-GB"/>
        </w:rPr>
        <w:t>proactively seek entry points for scaling-up gender equality across all programm</w:t>
      </w:r>
      <w:r w:rsidR="00611168">
        <w:rPr>
          <w:lang w:val="en-GB"/>
        </w:rPr>
        <w:t>e</w:t>
      </w:r>
      <w:r w:rsidR="00AC1CE4" w:rsidRPr="007B3A3F">
        <w:rPr>
          <w:lang w:val="en-GB"/>
        </w:rPr>
        <w:t xml:space="preserve"> areas and in the design, implementation</w:t>
      </w:r>
      <w:r w:rsidR="004D50F5">
        <w:rPr>
          <w:lang w:val="en-GB"/>
        </w:rPr>
        <w:t>,</w:t>
      </w:r>
      <w:r w:rsidR="00AC1CE4" w:rsidRPr="007B3A3F">
        <w:rPr>
          <w:lang w:val="en-GB"/>
        </w:rPr>
        <w:t xml:space="preserve"> and monitoring of solutions.</w:t>
      </w:r>
      <w:r w:rsidR="005627D9" w:rsidRPr="007B3A3F">
        <w:rPr>
          <w:lang w:val="en-GB"/>
        </w:rPr>
        <w:t xml:space="preserve"> </w:t>
      </w:r>
    </w:p>
    <w:p w14:paraId="178570AE" w14:textId="26998BA8" w:rsidR="001F04AC" w:rsidRPr="00074431" w:rsidRDefault="00710513" w:rsidP="003F4315">
      <w:pPr>
        <w:tabs>
          <w:tab w:val="left" w:pos="1620"/>
        </w:tabs>
        <w:spacing w:after="120" w:line="259" w:lineRule="auto"/>
        <w:ind w:left="1260" w:right="1210"/>
        <w:jc w:val="both"/>
        <w:rPr>
          <w:rFonts w:ascii="Times New Roman Bold" w:hAnsi="Times New Roman Bold" w:cs="Times New Roman Bold"/>
          <w:b/>
          <w:bCs/>
        </w:rPr>
      </w:pPr>
      <w:r w:rsidRPr="00074431">
        <w:rPr>
          <w:rFonts w:ascii="Times New Roman Bold" w:hAnsi="Times New Roman Bold" w:cs="Times New Roman Bold"/>
          <w:b/>
          <w:bCs/>
        </w:rPr>
        <w:t xml:space="preserve">Priority 1: </w:t>
      </w:r>
      <w:r w:rsidR="009E6E0A" w:rsidRPr="00074431">
        <w:rPr>
          <w:rFonts w:ascii="Times New Roman Bold" w:hAnsi="Times New Roman Bold" w:cs="Times New Roman Bold"/>
          <w:b/>
          <w:bCs/>
        </w:rPr>
        <w:t xml:space="preserve">Inclusive social systems </w:t>
      </w:r>
    </w:p>
    <w:p w14:paraId="15D86B68" w14:textId="69260B54" w:rsidR="00710513" w:rsidRPr="00FB168A" w:rsidRDefault="00313A06" w:rsidP="00B13D1B">
      <w:pPr>
        <w:pStyle w:val="ListParagraph"/>
        <w:numPr>
          <w:ilvl w:val="0"/>
          <w:numId w:val="6"/>
        </w:numPr>
        <w:tabs>
          <w:tab w:val="left" w:pos="1620"/>
        </w:tabs>
        <w:spacing w:after="120"/>
        <w:ind w:left="1260" w:right="1210" w:firstLine="0"/>
        <w:jc w:val="both"/>
        <w:rPr>
          <w:lang w:val="en-GB"/>
        </w:rPr>
      </w:pPr>
      <w:r>
        <w:rPr>
          <w:lang w:val="en-GB"/>
        </w:rPr>
        <w:t xml:space="preserve">Adopting a human </w:t>
      </w:r>
      <w:r w:rsidR="00465882">
        <w:rPr>
          <w:lang w:val="en-GB"/>
        </w:rPr>
        <w:t>rights-based</w:t>
      </w:r>
      <w:r>
        <w:rPr>
          <w:lang w:val="en-GB"/>
        </w:rPr>
        <w:t xml:space="preserve"> approach</w:t>
      </w:r>
      <w:r w:rsidR="00611168">
        <w:rPr>
          <w:lang w:val="en-GB"/>
        </w:rPr>
        <w:t>,</w:t>
      </w:r>
      <w:r>
        <w:rPr>
          <w:lang w:val="en-GB"/>
        </w:rPr>
        <w:t xml:space="preserve"> </w:t>
      </w:r>
      <w:r w:rsidR="009E6E0A" w:rsidRPr="00FB168A">
        <w:rPr>
          <w:lang w:val="en-GB"/>
        </w:rPr>
        <w:t>UNDP will prioriti</w:t>
      </w:r>
      <w:r w:rsidR="00611168">
        <w:rPr>
          <w:lang w:val="en-GB"/>
        </w:rPr>
        <w:t>z</w:t>
      </w:r>
      <w:r w:rsidR="009E6E0A" w:rsidRPr="00FB168A">
        <w:rPr>
          <w:lang w:val="en-GB"/>
        </w:rPr>
        <w:t xml:space="preserve">e strengthening institutional and human capacities to support the delivery and monitoring of more equitable and </w:t>
      </w:r>
      <w:r w:rsidR="00BE3467" w:rsidRPr="00FB168A">
        <w:rPr>
          <w:lang w:val="en-GB"/>
        </w:rPr>
        <w:t xml:space="preserve">inclusive </w:t>
      </w:r>
      <w:r>
        <w:rPr>
          <w:lang w:val="en-GB"/>
        </w:rPr>
        <w:t xml:space="preserve">health and </w:t>
      </w:r>
      <w:r w:rsidR="00BE3467" w:rsidRPr="00FB168A">
        <w:rPr>
          <w:lang w:val="en-GB"/>
        </w:rPr>
        <w:t>social</w:t>
      </w:r>
      <w:r w:rsidR="009E6E0A" w:rsidRPr="00FB168A">
        <w:rPr>
          <w:lang w:val="en-GB"/>
        </w:rPr>
        <w:t xml:space="preserve"> protection services. </w:t>
      </w:r>
      <w:r w:rsidR="00611168">
        <w:rPr>
          <w:lang w:val="en-GB"/>
        </w:rPr>
        <w:t>This includes</w:t>
      </w:r>
      <w:r w:rsidR="009E6E0A" w:rsidRPr="00FB168A">
        <w:rPr>
          <w:lang w:val="en-GB"/>
        </w:rPr>
        <w:t xml:space="preserve"> the </w:t>
      </w:r>
      <w:r w:rsidR="00D82B1E">
        <w:rPr>
          <w:lang w:val="en-GB"/>
        </w:rPr>
        <w:t>rollout</w:t>
      </w:r>
      <w:r w:rsidR="009E6E0A" w:rsidRPr="00FB168A">
        <w:rPr>
          <w:lang w:val="en-GB"/>
        </w:rPr>
        <w:t xml:space="preserve"> of the Digital Health Information System (DHISII</w:t>
      </w:r>
      <w:r w:rsidR="00BE3467" w:rsidRPr="00FB168A">
        <w:rPr>
          <w:lang w:val="en-GB"/>
        </w:rPr>
        <w:t>)</w:t>
      </w:r>
      <w:r w:rsidR="009E6E0A" w:rsidRPr="00FB168A">
        <w:rPr>
          <w:lang w:val="en-GB"/>
        </w:rPr>
        <w:t xml:space="preserve"> </w:t>
      </w:r>
      <w:r w:rsidR="00611168">
        <w:rPr>
          <w:lang w:val="en-GB"/>
        </w:rPr>
        <w:t>for</w:t>
      </w:r>
      <w:r w:rsidR="0019173E" w:rsidRPr="00FB168A">
        <w:rPr>
          <w:lang w:val="en-GB"/>
        </w:rPr>
        <w:t xml:space="preserve"> </w:t>
      </w:r>
      <w:r w:rsidR="009E6E0A" w:rsidRPr="00FB168A">
        <w:rPr>
          <w:lang w:val="en-GB"/>
        </w:rPr>
        <w:t>the Ministry of Health</w:t>
      </w:r>
      <w:r w:rsidR="0019173E" w:rsidRPr="00FB168A">
        <w:rPr>
          <w:lang w:val="en-GB"/>
        </w:rPr>
        <w:t xml:space="preserve"> (M</w:t>
      </w:r>
      <w:r w:rsidR="00611168">
        <w:rPr>
          <w:lang w:val="en-GB"/>
        </w:rPr>
        <w:t>o</w:t>
      </w:r>
      <w:r w:rsidR="0019173E" w:rsidRPr="00FB168A">
        <w:rPr>
          <w:lang w:val="en-GB"/>
        </w:rPr>
        <w:t>H)</w:t>
      </w:r>
      <w:r w:rsidR="009E6E0A" w:rsidRPr="00FB168A">
        <w:rPr>
          <w:lang w:val="en-GB"/>
        </w:rPr>
        <w:t xml:space="preserve"> t</w:t>
      </w:r>
      <w:r w:rsidR="0019173E" w:rsidRPr="00FB168A">
        <w:rPr>
          <w:lang w:val="en-GB"/>
        </w:rPr>
        <w:t>o</w:t>
      </w:r>
      <w:r w:rsidR="009E6E0A" w:rsidRPr="00FB168A">
        <w:rPr>
          <w:lang w:val="en-GB"/>
        </w:rPr>
        <w:t xml:space="preserve"> improve data and stock management.</w:t>
      </w:r>
      <w:r w:rsidR="0019173E" w:rsidRPr="00FB168A">
        <w:rPr>
          <w:lang w:val="en-GB"/>
        </w:rPr>
        <w:t xml:space="preserve"> </w:t>
      </w:r>
      <w:r w:rsidR="00611168">
        <w:rPr>
          <w:lang w:val="en-GB"/>
        </w:rPr>
        <w:t>In collaboration</w:t>
      </w:r>
      <w:r w:rsidR="00611168" w:rsidRPr="00FB168A">
        <w:rPr>
          <w:lang w:val="en-GB"/>
        </w:rPr>
        <w:t xml:space="preserve"> </w:t>
      </w:r>
      <w:r w:rsidR="0019173E" w:rsidRPr="00FB168A">
        <w:rPr>
          <w:lang w:val="en-GB"/>
        </w:rPr>
        <w:t xml:space="preserve">with the </w:t>
      </w:r>
      <w:r w:rsidR="00710513" w:rsidRPr="00FB168A">
        <w:rPr>
          <w:lang w:val="en-GB"/>
        </w:rPr>
        <w:t>Global Fund</w:t>
      </w:r>
      <w:r w:rsidR="00BE1C8A" w:rsidRPr="00FB168A">
        <w:rPr>
          <w:lang w:val="en-GB"/>
        </w:rPr>
        <w:t xml:space="preserve"> for Health</w:t>
      </w:r>
      <w:r w:rsidR="0019173E" w:rsidRPr="00FB168A">
        <w:rPr>
          <w:lang w:val="en-GB"/>
        </w:rPr>
        <w:t xml:space="preserve">, UNDP will support the </w:t>
      </w:r>
      <w:r w:rsidR="00710513" w:rsidRPr="00FB168A">
        <w:rPr>
          <w:lang w:val="en-GB"/>
        </w:rPr>
        <w:t>MoH</w:t>
      </w:r>
      <w:r w:rsidR="002F2680" w:rsidRPr="00FB168A">
        <w:rPr>
          <w:lang w:val="en-GB"/>
        </w:rPr>
        <w:t xml:space="preserve"> </w:t>
      </w:r>
      <w:r w:rsidR="0019173E" w:rsidRPr="00FB168A">
        <w:rPr>
          <w:lang w:val="en-GB"/>
        </w:rPr>
        <w:t xml:space="preserve">transition </w:t>
      </w:r>
      <w:r w:rsidR="00611168">
        <w:rPr>
          <w:lang w:val="en-GB"/>
        </w:rPr>
        <w:t xml:space="preserve">of </w:t>
      </w:r>
      <w:r w:rsidR="0019173E" w:rsidRPr="00FB168A">
        <w:rPr>
          <w:lang w:val="en-GB"/>
        </w:rPr>
        <w:t>the</w:t>
      </w:r>
      <w:r w:rsidR="00611168">
        <w:rPr>
          <w:lang w:val="en-GB"/>
        </w:rPr>
        <w:t xml:space="preserve"> </w:t>
      </w:r>
      <w:r w:rsidR="00611168" w:rsidRPr="00611168">
        <w:rPr>
          <w:lang w:val="en-GB"/>
        </w:rPr>
        <w:t>human immunodeficiency virus</w:t>
      </w:r>
      <w:r w:rsidR="0019173E" w:rsidRPr="00FB168A">
        <w:rPr>
          <w:lang w:val="en-GB"/>
        </w:rPr>
        <w:t xml:space="preserve"> </w:t>
      </w:r>
      <w:r w:rsidR="00611168">
        <w:rPr>
          <w:lang w:val="en-GB"/>
        </w:rPr>
        <w:t>(</w:t>
      </w:r>
      <w:r w:rsidR="00710513" w:rsidRPr="00FB168A">
        <w:rPr>
          <w:lang w:val="en-GB"/>
        </w:rPr>
        <w:t>HIV</w:t>
      </w:r>
      <w:r w:rsidR="00611168">
        <w:rPr>
          <w:lang w:val="en-GB"/>
        </w:rPr>
        <w:t>)</w:t>
      </w:r>
      <w:r w:rsidR="00710513" w:rsidRPr="00FB168A">
        <w:rPr>
          <w:lang w:val="en-GB"/>
        </w:rPr>
        <w:t>/</w:t>
      </w:r>
      <w:r w:rsidR="00611168">
        <w:rPr>
          <w:lang w:val="en-GB"/>
        </w:rPr>
        <w:t>tuberculosis</w:t>
      </w:r>
      <w:r w:rsidR="00611168" w:rsidRPr="00FB168A">
        <w:rPr>
          <w:lang w:val="en-GB"/>
        </w:rPr>
        <w:t xml:space="preserve"> </w:t>
      </w:r>
      <w:r w:rsidR="00710513" w:rsidRPr="00FB168A">
        <w:rPr>
          <w:lang w:val="en-GB"/>
        </w:rPr>
        <w:t>program</w:t>
      </w:r>
      <w:r w:rsidR="0019173E" w:rsidRPr="00FB168A">
        <w:rPr>
          <w:lang w:val="en-GB"/>
        </w:rPr>
        <w:t>me</w:t>
      </w:r>
      <w:r w:rsidR="00611168">
        <w:rPr>
          <w:lang w:val="en-GB"/>
        </w:rPr>
        <w:t xml:space="preserve"> over </w:t>
      </w:r>
      <w:r w:rsidR="00710513" w:rsidRPr="00FB168A">
        <w:rPr>
          <w:lang w:val="en-GB"/>
        </w:rPr>
        <w:t xml:space="preserve">to the 95-95-95 Strategy. </w:t>
      </w:r>
      <w:r w:rsidR="00611168">
        <w:rPr>
          <w:lang w:val="en-GB"/>
        </w:rPr>
        <w:t>Alongside the</w:t>
      </w:r>
      <w:r w:rsidR="0019173E" w:rsidRPr="00FB168A">
        <w:rPr>
          <w:lang w:val="en-GB"/>
        </w:rPr>
        <w:t xml:space="preserve"> </w:t>
      </w:r>
      <w:r w:rsidR="00611168">
        <w:rPr>
          <w:lang w:val="en-GB"/>
        </w:rPr>
        <w:t>World Health Organization (</w:t>
      </w:r>
      <w:r w:rsidR="00710513" w:rsidRPr="00FB168A">
        <w:rPr>
          <w:lang w:val="en-GB"/>
        </w:rPr>
        <w:t>WHO</w:t>
      </w:r>
      <w:r w:rsidR="00611168">
        <w:rPr>
          <w:lang w:val="en-GB"/>
        </w:rPr>
        <w:t>)</w:t>
      </w:r>
      <w:r w:rsidR="00710513" w:rsidRPr="00FB168A">
        <w:rPr>
          <w:lang w:val="en-GB"/>
        </w:rPr>
        <w:t xml:space="preserve"> and </w:t>
      </w:r>
      <w:r w:rsidR="00611168">
        <w:rPr>
          <w:lang w:val="en-GB"/>
        </w:rPr>
        <w:t>United Nations Children’s Fund (</w:t>
      </w:r>
      <w:r w:rsidR="00710513" w:rsidRPr="00FB168A">
        <w:rPr>
          <w:lang w:val="en-GB"/>
        </w:rPr>
        <w:t>UNICEF</w:t>
      </w:r>
      <w:r w:rsidR="00611168">
        <w:rPr>
          <w:lang w:val="en-GB"/>
        </w:rPr>
        <w:t xml:space="preserve">), UNDP will help implement an </w:t>
      </w:r>
      <w:r w:rsidR="00710513" w:rsidRPr="00FB168A">
        <w:rPr>
          <w:lang w:val="en-GB"/>
        </w:rPr>
        <w:t>innovative</w:t>
      </w:r>
      <w:r w:rsidR="00BF5E57" w:rsidRPr="00FB168A">
        <w:rPr>
          <w:lang w:val="en-GB"/>
        </w:rPr>
        <w:t>,</w:t>
      </w:r>
      <w:r w:rsidR="0019173E" w:rsidRPr="00FB168A">
        <w:rPr>
          <w:lang w:val="en-GB"/>
        </w:rPr>
        <w:t xml:space="preserve"> community</w:t>
      </w:r>
      <w:r w:rsidR="006B2C90" w:rsidRPr="00FB168A">
        <w:rPr>
          <w:lang w:val="en-GB"/>
        </w:rPr>
        <w:t>-</w:t>
      </w:r>
      <w:r w:rsidR="0019173E" w:rsidRPr="00FB168A">
        <w:rPr>
          <w:lang w:val="en-GB"/>
        </w:rPr>
        <w:t xml:space="preserve">based </w:t>
      </w:r>
      <w:r w:rsidR="002F2680" w:rsidRPr="00FB168A">
        <w:rPr>
          <w:lang w:val="en-GB"/>
        </w:rPr>
        <w:t xml:space="preserve">malaria </w:t>
      </w:r>
      <w:r w:rsidR="00710513" w:rsidRPr="00FB168A">
        <w:rPr>
          <w:lang w:val="en-GB"/>
        </w:rPr>
        <w:t>elimination pro</w:t>
      </w:r>
      <w:r w:rsidR="0019173E" w:rsidRPr="00FB168A">
        <w:rPr>
          <w:lang w:val="en-GB"/>
        </w:rPr>
        <w:t xml:space="preserve">gramme </w:t>
      </w:r>
      <w:r w:rsidR="00611168">
        <w:rPr>
          <w:lang w:val="en-GB"/>
        </w:rPr>
        <w:t xml:space="preserve">that involves </w:t>
      </w:r>
      <w:r w:rsidR="00BE1C8A" w:rsidRPr="00FB168A">
        <w:rPr>
          <w:lang w:val="en-GB"/>
        </w:rPr>
        <w:t xml:space="preserve">community </w:t>
      </w:r>
      <w:r w:rsidR="00710513" w:rsidRPr="00FB168A">
        <w:rPr>
          <w:lang w:val="en-GB"/>
        </w:rPr>
        <w:t>leaders</w:t>
      </w:r>
      <w:r w:rsidR="0019173E" w:rsidRPr="00FB168A">
        <w:rPr>
          <w:lang w:val="en-GB"/>
        </w:rPr>
        <w:t xml:space="preserve"> rais</w:t>
      </w:r>
      <w:r>
        <w:rPr>
          <w:lang w:val="en-GB"/>
        </w:rPr>
        <w:t xml:space="preserve">ing </w:t>
      </w:r>
      <w:r w:rsidR="0019173E" w:rsidRPr="00FB168A">
        <w:rPr>
          <w:lang w:val="en-GB"/>
        </w:rPr>
        <w:t xml:space="preserve">awareness </w:t>
      </w:r>
      <w:r w:rsidR="00611168">
        <w:rPr>
          <w:lang w:val="en-GB"/>
        </w:rPr>
        <w:t>about malaria</w:t>
      </w:r>
      <w:r w:rsidR="00611168" w:rsidRPr="00FB168A">
        <w:rPr>
          <w:lang w:val="en-GB"/>
        </w:rPr>
        <w:t xml:space="preserve"> </w:t>
      </w:r>
      <w:r w:rsidR="00710513" w:rsidRPr="00FB168A">
        <w:rPr>
          <w:lang w:val="en-GB"/>
        </w:rPr>
        <w:t xml:space="preserve">prevention </w:t>
      </w:r>
      <w:r w:rsidR="0019173E" w:rsidRPr="00FB168A">
        <w:rPr>
          <w:lang w:val="en-GB"/>
        </w:rPr>
        <w:t>techniques</w:t>
      </w:r>
      <w:r>
        <w:rPr>
          <w:lang w:val="en-GB"/>
        </w:rPr>
        <w:t xml:space="preserve">. </w:t>
      </w:r>
      <w:r w:rsidR="00710513" w:rsidRPr="00FB168A">
        <w:rPr>
          <w:lang w:val="en-GB"/>
        </w:rPr>
        <w:t xml:space="preserve"> </w:t>
      </w:r>
    </w:p>
    <w:p w14:paraId="4C176A94" w14:textId="03C1F2DE" w:rsidR="00AE38BD" w:rsidRPr="00FB168A" w:rsidRDefault="0011615C" w:rsidP="00B13D1B">
      <w:pPr>
        <w:pStyle w:val="ListParagraph"/>
        <w:numPr>
          <w:ilvl w:val="0"/>
          <w:numId w:val="6"/>
        </w:numPr>
        <w:tabs>
          <w:tab w:val="left" w:pos="1620"/>
        </w:tabs>
        <w:spacing w:after="120"/>
        <w:ind w:left="1260" w:right="1210" w:firstLine="0"/>
        <w:jc w:val="both"/>
        <w:rPr>
          <w:lang w:val="en-GB"/>
        </w:rPr>
      </w:pPr>
      <w:r>
        <w:rPr>
          <w:lang w:val="en-GB"/>
        </w:rPr>
        <w:t>As n</w:t>
      </w:r>
      <w:r w:rsidR="00710513" w:rsidRPr="00FB168A">
        <w:rPr>
          <w:lang w:val="en-GB"/>
        </w:rPr>
        <w:t>on-communicable diseases</w:t>
      </w:r>
      <w:r w:rsidR="006B2C90" w:rsidRPr="00FB168A">
        <w:rPr>
          <w:lang w:val="en-GB"/>
        </w:rPr>
        <w:t xml:space="preserve"> </w:t>
      </w:r>
      <w:r>
        <w:rPr>
          <w:lang w:val="en-GB"/>
        </w:rPr>
        <w:t>(NCDs) are a national health priority, UNDP will</w:t>
      </w:r>
      <w:r w:rsidR="006B2C90" w:rsidRPr="00FB168A">
        <w:rPr>
          <w:lang w:val="en-GB"/>
        </w:rPr>
        <w:t xml:space="preserve"> </w:t>
      </w:r>
      <w:r w:rsidR="00E11AA3" w:rsidRPr="00FB168A">
        <w:rPr>
          <w:lang w:val="en-GB"/>
        </w:rPr>
        <w:t>use</w:t>
      </w:r>
      <w:r w:rsidR="006B2C90" w:rsidRPr="00FB168A">
        <w:rPr>
          <w:lang w:val="en-GB"/>
        </w:rPr>
        <w:t xml:space="preserve"> DHISII </w:t>
      </w:r>
      <w:r>
        <w:rPr>
          <w:lang w:val="en-GB"/>
        </w:rPr>
        <w:t>to elevate</w:t>
      </w:r>
      <w:r w:rsidR="006B2C90" w:rsidRPr="00FB168A">
        <w:rPr>
          <w:lang w:val="en-GB"/>
        </w:rPr>
        <w:t xml:space="preserve"> </w:t>
      </w:r>
      <w:r w:rsidR="00710513" w:rsidRPr="00FB168A">
        <w:rPr>
          <w:lang w:val="en-GB"/>
        </w:rPr>
        <w:t xml:space="preserve">medical </w:t>
      </w:r>
      <w:r w:rsidR="00430E32" w:rsidRPr="00FB168A">
        <w:rPr>
          <w:lang w:val="en-GB"/>
        </w:rPr>
        <w:t>consultations,</w:t>
      </w:r>
      <w:r w:rsidR="00710513" w:rsidRPr="00FB168A">
        <w:rPr>
          <w:lang w:val="en-GB"/>
        </w:rPr>
        <w:t xml:space="preserve"> </w:t>
      </w:r>
      <w:r>
        <w:rPr>
          <w:lang w:val="en-GB"/>
        </w:rPr>
        <w:t>so they meet</w:t>
      </w:r>
      <w:r w:rsidRPr="00FB168A">
        <w:rPr>
          <w:lang w:val="en-GB"/>
        </w:rPr>
        <w:t xml:space="preserve"> </w:t>
      </w:r>
      <w:r w:rsidR="00710513" w:rsidRPr="00FB168A">
        <w:rPr>
          <w:lang w:val="en-GB"/>
        </w:rPr>
        <w:t>industry standards</w:t>
      </w:r>
      <w:r w:rsidR="006B2C90" w:rsidRPr="00FB168A">
        <w:rPr>
          <w:lang w:val="en-GB"/>
        </w:rPr>
        <w:t xml:space="preserve">. </w:t>
      </w:r>
      <w:r>
        <w:rPr>
          <w:lang w:val="en-GB"/>
        </w:rPr>
        <w:t>This includes</w:t>
      </w:r>
      <w:r w:rsidR="006B2C90" w:rsidRPr="00FB168A">
        <w:rPr>
          <w:lang w:val="en-GB"/>
        </w:rPr>
        <w:t xml:space="preserve"> </w:t>
      </w:r>
      <w:r>
        <w:rPr>
          <w:lang w:val="en-GB"/>
        </w:rPr>
        <w:t>building and strengthening</w:t>
      </w:r>
      <w:r w:rsidR="007831DE" w:rsidRPr="00FB168A">
        <w:rPr>
          <w:lang w:val="en-GB"/>
        </w:rPr>
        <w:t xml:space="preserve"> </w:t>
      </w:r>
      <w:r w:rsidR="00710513" w:rsidRPr="00FB168A">
        <w:rPr>
          <w:lang w:val="en-GB"/>
        </w:rPr>
        <w:t>health infrastructure</w:t>
      </w:r>
      <w:r w:rsidR="00E11AA3" w:rsidRPr="00FB168A">
        <w:rPr>
          <w:lang w:val="en-GB"/>
        </w:rPr>
        <w:t xml:space="preserve">, </w:t>
      </w:r>
      <w:r w:rsidR="00710513" w:rsidRPr="00FB168A">
        <w:rPr>
          <w:lang w:val="en-GB"/>
        </w:rPr>
        <w:t>expan</w:t>
      </w:r>
      <w:r>
        <w:rPr>
          <w:lang w:val="en-GB"/>
        </w:rPr>
        <w:t>ding</w:t>
      </w:r>
      <w:r w:rsidR="006B2C90" w:rsidRPr="00FB168A">
        <w:rPr>
          <w:lang w:val="en-GB"/>
        </w:rPr>
        <w:t xml:space="preserve"> </w:t>
      </w:r>
      <w:r w:rsidR="00710513" w:rsidRPr="00FB168A">
        <w:rPr>
          <w:lang w:val="en-GB"/>
        </w:rPr>
        <w:t>laboratory capacit</w:t>
      </w:r>
      <w:r>
        <w:rPr>
          <w:lang w:val="en-GB"/>
        </w:rPr>
        <w:t>ies</w:t>
      </w:r>
      <w:r w:rsidR="00BE3467" w:rsidRPr="00FB168A">
        <w:rPr>
          <w:lang w:val="en-GB"/>
        </w:rPr>
        <w:t>,</w:t>
      </w:r>
      <w:r w:rsidR="00710513" w:rsidRPr="00FB168A">
        <w:rPr>
          <w:lang w:val="en-GB"/>
        </w:rPr>
        <w:t xml:space="preserve"> </w:t>
      </w:r>
      <w:r w:rsidR="006B2C90" w:rsidRPr="00FB168A">
        <w:rPr>
          <w:lang w:val="en-GB"/>
        </w:rPr>
        <w:t xml:space="preserve">and </w:t>
      </w:r>
      <w:r>
        <w:rPr>
          <w:lang w:val="en-GB"/>
        </w:rPr>
        <w:t>providing</w:t>
      </w:r>
      <w:r w:rsidR="006B2C90" w:rsidRPr="00FB168A">
        <w:rPr>
          <w:lang w:val="en-GB"/>
        </w:rPr>
        <w:t xml:space="preserve"> essential equipment </w:t>
      </w:r>
      <w:r>
        <w:rPr>
          <w:lang w:val="en-GB"/>
        </w:rPr>
        <w:t xml:space="preserve">that </w:t>
      </w:r>
      <w:r w:rsidR="00E11AA3" w:rsidRPr="00FB168A">
        <w:rPr>
          <w:lang w:val="en-GB"/>
        </w:rPr>
        <w:t>contribute</w:t>
      </w:r>
      <w:r>
        <w:rPr>
          <w:lang w:val="en-GB"/>
        </w:rPr>
        <w:t>s</w:t>
      </w:r>
      <w:r w:rsidR="00E11AA3" w:rsidRPr="00FB168A">
        <w:rPr>
          <w:lang w:val="en-GB"/>
        </w:rPr>
        <w:t xml:space="preserve"> to </w:t>
      </w:r>
      <w:r w:rsidR="006B2C90" w:rsidRPr="00FB168A">
        <w:rPr>
          <w:lang w:val="en-GB"/>
        </w:rPr>
        <w:t>build</w:t>
      </w:r>
      <w:r w:rsidR="00E11AA3" w:rsidRPr="00FB168A">
        <w:rPr>
          <w:lang w:val="en-GB"/>
        </w:rPr>
        <w:t>ing</w:t>
      </w:r>
      <w:r w:rsidR="006B2C90" w:rsidRPr="00FB168A">
        <w:rPr>
          <w:lang w:val="en-GB"/>
        </w:rPr>
        <w:t>-back-better</w:t>
      </w:r>
      <w:r w:rsidR="00710513" w:rsidRPr="00FB168A">
        <w:rPr>
          <w:lang w:val="en-GB"/>
        </w:rPr>
        <w:t xml:space="preserve">. </w:t>
      </w:r>
      <w:r w:rsidR="00E11AA3" w:rsidRPr="00FB168A">
        <w:rPr>
          <w:lang w:val="en-GB"/>
        </w:rPr>
        <w:t xml:space="preserve">Technical assistance </w:t>
      </w:r>
      <w:r>
        <w:rPr>
          <w:lang w:val="en-GB"/>
        </w:rPr>
        <w:t>on</w:t>
      </w:r>
      <w:r w:rsidR="00710513" w:rsidRPr="00FB168A">
        <w:rPr>
          <w:lang w:val="en-GB"/>
        </w:rPr>
        <w:t xml:space="preserve"> full</w:t>
      </w:r>
      <w:r>
        <w:rPr>
          <w:lang w:val="en-GB"/>
        </w:rPr>
        <w:t>y</w:t>
      </w:r>
      <w:r w:rsidR="00710513" w:rsidRPr="00FB168A">
        <w:rPr>
          <w:lang w:val="en-GB"/>
        </w:rPr>
        <w:t xml:space="preserve"> digitiz</w:t>
      </w:r>
      <w:r>
        <w:rPr>
          <w:lang w:val="en-GB"/>
        </w:rPr>
        <w:t>ing</w:t>
      </w:r>
      <w:r w:rsidR="00710513" w:rsidRPr="00FB168A">
        <w:rPr>
          <w:lang w:val="en-GB"/>
        </w:rPr>
        <w:t xml:space="preserve"> the</w:t>
      </w:r>
      <w:r w:rsidR="00EC2C42" w:rsidRPr="00FB168A">
        <w:rPr>
          <w:lang w:val="en-GB"/>
        </w:rPr>
        <w:t xml:space="preserve"> </w:t>
      </w:r>
      <w:r w:rsidR="00710513" w:rsidRPr="00FB168A">
        <w:rPr>
          <w:lang w:val="en-GB"/>
        </w:rPr>
        <w:t xml:space="preserve">health information system will </w:t>
      </w:r>
      <w:r w:rsidR="00EC2C42" w:rsidRPr="00FB168A">
        <w:rPr>
          <w:lang w:val="en-GB"/>
        </w:rPr>
        <w:t xml:space="preserve">reduce </w:t>
      </w:r>
      <w:r>
        <w:rPr>
          <w:lang w:val="en-GB"/>
        </w:rPr>
        <w:t>MoH</w:t>
      </w:r>
      <w:r w:rsidR="00B868B0">
        <w:rPr>
          <w:lang w:val="en-GB"/>
        </w:rPr>
        <w:t xml:space="preserve"> </w:t>
      </w:r>
      <w:r w:rsidR="00EC2C42" w:rsidRPr="00FB168A">
        <w:rPr>
          <w:lang w:val="en-GB"/>
        </w:rPr>
        <w:t xml:space="preserve">reliance on </w:t>
      </w:r>
      <w:r w:rsidR="005E29A4" w:rsidRPr="00FB168A">
        <w:rPr>
          <w:lang w:val="en-GB"/>
        </w:rPr>
        <w:t>external support</w:t>
      </w:r>
      <w:r w:rsidR="00710513" w:rsidRPr="00FB168A">
        <w:rPr>
          <w:lang w:val="en-GB"/>
        </w:rPr>
        <w:t xml:space="preserve">. </w:t>
      </w:r>
      <w:r w:rsidR="00CA1933" w:rsidRPr="00FB168A">
        <w:rPr>
          <w:lang w:val="en-GB"/>
        </w:rPr>
        <w:t xml:space="preserve">Similarly, </w:t>
      </w:r>
      <w:r w:rsidR="003F56BD">
        <w:rPr>
          <w:lang w:val="en-GB"/>
        </w:rPr>
        <w:t xml:space="preserve">collaborating with the private sector on </w:t>
      </w:r>
      <w:r w:rsidR="00710513" w:rsidRPr="00FB168A">
        <w:rPr>
          <w:lang w:val="en-GB"/>
        </w:rPr>
        <w:t>roll</w:t>
      </w:r>
      <w:r>
        <w:rPr>
          <w:lang w:val="en-GB"/>
        </w:rPr>
        <w:t xml:space="preserve">ing </w:t>
      </w:r>
      <w:r w:rsidR="00710513" w:rsidRPr="00FB168A">
        <w:rPr>
          <w:lang w:val="en-GB"/>
        </w:rPr>
        <w:t xml:space="preserve">out the open-source platform (M-Supply) </w:t>
      </w:r>
      <w:r w:rsidR="00EC2C42" w:rsidRPr="00FB168A">
        <w:rPr>
          <w:lang w:val="en-GB"/>
        </w:rPr>
        <w:t xml:space="preserve">will strengthen </w:t>
      </w:r>
      <w:r w:rsidR="00710513" w:rsidRPr="00FB168A">
        <w:rPr>
          <w:lang w:val="en-GB"/>
        </w:rPr>
        <w:t>drug procurement</w:t>
      </w:r>
      <w:r>
        <w:rPr>
          <w:lang w:val="en-GB"/>
        </w:rPr>
        <w:t xml:space="preserve"> and management</w:t>
      </w:r>
      <w:r w:rsidR="00BE3467" w:rsidRPr="00FB168A">
        <w:rPr>
          <w:lang w:val="en-GB"/>
        </w:rPr>
        <w:t>,</w:t>
      </w:r>
      <w:r w:rsidR="00EC2C42" w:rsidRPr="00FB168A">
        <w:rPr>
          <w:lang w:val="en-GB"/>
        </w:rPr>
        <w:t xml:space="preserve"> </w:t>
      </w:r>
      <w:r w:rsidR="003F56BD">
        <w:rPr>
          <w:lang w:val="en-GB"/>
        </w:rPr>
        <w:t xml:space="preserve">as well as </w:t>
      </w:r>
      <w:r w:rsidR="00C66EBD" w:rsidRPr="00FB168A">
        <w:rPr>
          <w:lang w:val="en-GB"/>
        </w:rPr>
        <w:t xml:space="preserve">improve </w:t>
      </w:r>
      <w:r w:rsidR="00710513" w:rsidRPr="00FB168A">
        <w:rPr>
          <w:lang w:val="en-GB"/>
        </w:rPr>
        <w:t>access to quality drugs and supplies.</w:t>
      </w:r>
    </w:p>
    <w:p w14:paraId="3EE80C93" w14:textId="03DC7D07" w:rsidR="00B868B0" w:rsidRPr="004F0BA9" w:rsidRDefault="003F56BD" w:rsidP="00007DD8">
      <w:pPr>
        <w:pStyle w:val="ListParagraph"/>
        <w:numPr>
          <w:ilvl w:val="0"/>
          <w:numId w:val="6"/>
        </w:numPr>
        <w:tabs>
          <w:tab w:val="left" w:pos="1620"/>
        </w:tabs>
        <w:spacing w:after="120"/>
        <w:ind w:left="1260" w:right="1210" w:firstLine="0"/>
        <w:jc w:val="both"/>
        <w:rPr>
          <w:lang w:val="en-GB"/>
        </w:rPr>
      </w:pPr>
      <w:r>
        <w:rPr>
          <w:lang w:val="en-GB"/>
        </w:rPr>
        <w:t>UNDP t</w:t>
      </w:r>
      <w:r w:rsidR="00CA1933" w:rsidRPr="00FB168A">
        <w:rPr>
          <w:lang w:val="en-GB"/>
        </w:rPr>
        <w:t>echnical assistance w</w:t>
      </w:r>
      <w:r w:rsidR="00AE38BD" w:rsidRPr="00FB168A">
        <w:rPr>
          <w:lang w:val="en-GB"/>
        </w:rPr>
        <w:t xml:space="preserve">ill </w:t>
      </w:r>
      <w:r w:rsidR="00470A1D" w:rsidRPr="00FB168A">
        <w:rPr>
          <w:lang w:val="en-GB"/>
        </w:rPr>
        <w:t>enhance</w:t>
      </w:r>
      <w:r w:rsidR="00AE38BD" w:rsidRPr="00FB168A">
        <w:rPr>
          <w:lang w:val="en-GB"/>
        </w:rPr>
        <w:t xml:space="preserve"> the interoperability of </w:t>
      </w:r>
      <w:r>
        <w:rPr>
          <w:lang w:val="en-GB"/>
        </w:rPr>
        <w:t>the national S</w:t>
      </w:r>
      <w:r w:rsidR="00AE38BD" w:rsidRPr="00FB168A">
        <w:rPr>
          <w:lang w:val="en-GB"/>
        </w:rPr>
        <w:t xml:space="preserve">ocial Protection System by linking it </w:t>
      </w:r>
      <w:r>
        <w:rPr>
          <w:lang w:val="en-GB"/>
        </w:rPr>
        <w:t>with</w:t>
      </w:r>
      <w:r w:rsidRPr="00FB168A">
        <w:rPr>
          <w:lang w:val="en-GB"/>
        </w:rPr>
        <w:t xml:space="preserve"> </w:t>
      </w:r>
      <w:r w:rsidR="00AE38BD" w:rsidRPr="00FB168A">
        <w:rPr>
          <w:lang w:val="en-GB"/>
        </w:rPr>
        <w:t xml:space="preserve">DHISII </w:t>
      </w:r>
      <w:r>
        <w:rPr>
          <w:lang w:val="en-GB"/>
        </w:rPr>
        <w:t>so</w:t>
      </w:r>
      <w:r w:rsidR="00BE3467" w:rsidRPr="00FB168A">
        <w:rPr>
          <w:lang w:val="en-GB"/>
        </w:rPr>
        <w:t xml:space="preserve"> </w:t>
      </w:r>
      <w:r w:rsidR="00AE38BD" w:rsidRPr="00FB168A">
        <w:rPr>
          <w:lang w:val="en-GB"/>
        </w:rPr>
        <w:t xml:space="preserve">poor and vulnerable groups </w:t>
      </w:r>
      <w:r>
        <w:rPr>
          <w:lang w:val="en-GB"/>
        </w:rPr>
        <w:t>can be targeted more</w:t>
      </w:r>
      <w:r w:rsidRPr="00FB168A">
        <w:rPr>
          <w:lang w:val="en-GB"/>
        </w:rPr>
        <w:t xml:space="preserve"> </w:t>
      </w:r>
      <w:r w:rsidR="00AE38BD" w:rsidRPr="00FB168A">
        <w:rPr>
          <w:lang w:val="en-GB"/>
        </w:rPr>
        <w:t xml:space="preserve">effectively </w:t>
      </w:r>
      <w:r w:rsidR="00BE3467" w:rsidRPr="00FB168A">
        <w:rPr>
          <w:lang w:val="en-GB"/>
        </w:rPr>
        <w:t>and</w:t>
      </w:r>
      <w:r w:rsidR="00CA1933" w:rsidRPr="00FB168A">
        <w:rPr>
          <w:lang w:val="en-GB"/>
        </w:rPr>
        <w:t xml:space="preserve"> </w:t>
      </w:r>
      <w:r w:rsidR="00AE38BD" w:rsidRPr="00FB168A">
        <w:rPr>
          <w:lang w:val="en-GB"/>
        </w:rPr>
        <w:t xml:space="preserve">system </w:t>
      </w:r>
      <w:r w:rsidR="005E29A4" w:rsidRPr="00FB168A">
        <w:rPr>
          <w:lang w:val="en-GB"/>
        </w:rPr>
        <w:t>resilience</w:t>
      </w:r>
      <w:r>
        <w:rPr>
          <w:lang w:val="en-GB"/>
        </w:rPr>
        <w:t xml:space="preserve"> is increased</w:t>
      </w:r>
      <w:r w:rsidR="00AE38BD" w:rsidRPr="00FB168A">
        <w:rPr>
          <w:lang w:val="en-GB"/>
        </w:rPr>
        <w:t>. Th</w:t>
      </w:r>
      <w:r w:rsidR="00B868B0">
        <w:rPr>
          <w:lang w:val="en-GB"/>
        </w:rPr>
        <w:t xml:space="preserve">is </w:t>
      </w:r>
      <w:r w:rsidR="00CA1933" w:rsidRPr="00FB168A">
        <w:rPr>
          <w:lang w:val="en-GB"/>
        </w:rPr>
        <w:t xml:space="preserve">will enable </w:t>
      </w:r>
      <w:r w:rsidR="00AE38BD" w:rsidRPr="00FB168A">
        <w:rPr>
          <w:lang w:val="en-GB"/>
        </w:rPr>
        <w:t>more effective monitor</w:t>
      </w:r>
      <w:r w:rsidR="00470A1D" w:rsidRPr="00FB168A">
        <w:rPr>
          <w:lang w:val="en-GB"/>
        </w:rPr>
        <w:t>ing of</w:t>
      </w:r>
      <w:r w:rsidR="00B868B0">
        <w:rPr>
          <w:lang w:val="en-GB"/>
        </w:rPr>
        <w:t xml:space="preserve"> </w:t>
      </w:r>
      <w:r w:rsidR="00AE38BD" w:rsidRPr="00FB168A">
        <w:rPr>
          <w:lang w:val="en-GB"/>
        </w:rPr>
        <w:t>social protection</w:t>
      </w:r>
      <w:r w:rsidR="00CA1933" w:rsidRPr="00FB168A">
        <w:rPr>
          <w:lang w:val="en-GB"/>
        </w:rPr>
        <w:t xml:space="preserve"> programmes </w:t>
      </w:r>
      <w:r w:rsidR="00470A1D" w:rsidRPr="00FB168A">
        <w:rPr>
          <w:lang w:val="en-GB"/>
        </w:rPr>
        <w:t>by</w:t>
      </w:r>
      <w:r w:rsidR="00CA1933" w:rsidRPr="00FB168A">
        <w:rPr>
          <w:lang w:val="en-GB"/>
        </w:rPr>
        <w:t xml:space="preserve"> </w:t>
      </w:r>
      <w:r w:rsidR="00AE38BD" w:rsidRPr="00FB168A">
        <w:rPr>
          <w:lang w:val="en-GB"/>
        </w:rPr>
        <w:t>provid</w:t>
      </w:r>
      <w:r w:rsidR="005E29A4" w:rsidRPr="00FB168A">
        <w:rPr>
          <w:lang w:val="en-GB"/>
        </w:rPr>
        <w:t xml:space="preserve">ing </w:t>
      </w:r>
      <w:r w:rsidR="00AE38BD" w:rsidRPr="00FB168A">
        <w:rPr>
          <w:lang w:val="en-GB"/>
        </w:rPr>
        <w:t xml:space="preserve">disaggregated data on beneficiaries </w:t>
      </w:r>
      <w:r w:rsidR="005E29A4" w:rsidRPr="00FB168A">
        <w:rPr>
          <w:lang w:val="en-GB"/>
        </w:rPr>
        <w:t xml:space="preserve">and ensuring that </w:t>
      </w:r>
      <w:r w:rsidR="00851D37" w:rsidRPr="00FB168A">
        <w:rPr>
          <w:lang w:val="en-GB"/>
        </w:rPr>
        <w:t>rights holders</w:t>
      </w:r>
      <w:r w:rsidR="00B868B0">
        <w:rPr>
          <w:lang w:val="en-GB"/>
        </w:rPr>
        <w:t>,</w:t>
      </w:r>
      <w:r w:rsidR="00851D37" w:rsidRPr="00FB168A">
        <w:rPr>
          <w:lang w:val="en-GB"/>
        </w:rPr>
        <w:t xml:space="preserve"> especially </w:t>
      </w:r>
      <w:r w:rsidR="00AE38BD" w:rsidRPr="00FB168A">
        <w:rPr>
          <w:lang w:val="en-GB"/>
        </w:rPr>
        <w:t>large families, female</w:t>
      </w:r>
      <w:r w:rsidR="005E29A4" w:rsidRPr="00FB168A">
        <w:rPr>
          <w:lang w:val="en-GB"/>
        </w:rPr>
        <w:t>-</w:t>
      </w:r>
      <w:r w:rsidR="00AE38BD" w:rsidRPr="00FB168A">
        <w:rPr>
          <w:lang w:val="en-GB"/>
        </w:rPr>
        <w:t>headed households, children, pregnant</w:t>
      </w:r>
      <w:r w:rsidR="005069B0">
        <w:rPr>
          <w:lang w:val="en-GB"/>
        </w:rPr>
        <w:t xml:space="preserve"> </w:t>
      </w:r>
      <w:r w:rsidR="00AE38BD" w:rsidRPr="00FB168A">
        <w:rPr>
          <w:lang w:val="en-GB"/>
        </w:rPr>
        <w:t xml:space="preserve">women, the elderly, and people </w:t>
      </w:r>
      <w:r w:rsidR="005069B0">
        <w:rPr>
          <w:lang w:val="en-GB"/>
        </w:rPr>
        <w:t xml:space="preserve">living </w:t>
      </w:r>
      <w:r w:rsidR="00AE38BD" w:rsidRPr="00FB168A">
        <w:rPr>
          <w:lang w:val="en-GB"/>
        </w:rPr>
        <w:t xml:space="preserve">with disabilities </w:t>
      </w:r>
      <w:r w:rsidR="005E29A4" w:rsidRPr="00FB168A">
        <w:rPr>
          <w:lang w:val="en-GB"/>
        </w:rPr>
        <w:t>are effectively</w:t>
      </w:r>
      <w:r w:rsidR="00AE38BD" w:rsidRPr="00FB168A">
        <w:rPr>
          <w:lang w:val="en-GB"/>
        </w:rPr>
        <w:t xml:space="preserve"> targeted.</w:t>
      </w:r>
    </w:p>
    <w:p w14:paraId="12A1DFAD" w14:textId="3CB51BFB" w:rsidR="001F04AC" w:rsidRPr="00074431" w:rsidRDefault="001F04AC" w:rsidP="00007DD8">
      <w:pPr>
        <w:tabs>
          <w:tab w:val="left" w:pos="1620"/>
        </w:tabs>
        <w:spacing w:after="120" w:line="259" w:lineRule="auto"/>
        <w:ind w:left="1260" w:right="1210"/>
        <w:jc w:val="both"/>
        <w:rPr>
          <w:rFonts w:ascii="Times New Roman Bold" w:hAnsi="Times New Roman Bold" w:cs="Times New Roman Bold"/>
          <w:b/>
          <w:bCs/>
        </w:rPr>
      </w:pPr>
      <w:r w:rsidRPr="00074431">
        <w:rPr>
          <w:rFonts w:ascii="Times New Roman Bold" w:hAnsi="Times New Roman Bold" w:cs="Times New Roman Bold"/>
          <w:b/>
          <w:bCs/>
        </w:rPr>
        <w:t xml:space="preserve">Priority 2: Climate </w:t>
      </w:r>
      <w:r w:rsidR="005069B0" w:rsidRPr="00074431">
        <w:rPr>
          <w:rFonts w:ascii="Times New Roman Bold" w:hAnsi="Times New Roman Bold" w:cs="Times New Roman Bold"/>
          <w:b/>
          <w:bCs/>
        </w:rPr>
        <w:t>a</w:t>
      </w:r>
      <w:r w:rsidRPr="00074431">
        <w:rPr>
          <w:rFonts w:ascii="Times New Roman Bold" w:hAnsi="Times New Roman Bold" w:cs="Times New Roman Bold"/>
          <w:b/>
          <w:bCs/>
        </w:rPr>
        <w:t>ction, natural resource management</w:t>
      </w:r>
      <w:r w:rsidR="005069B0">
        <w:rPr>
          <w:rFonts w:ascii="Times New Roman Bold" w:hAnsi="Times New Roman Bold" w:cs="Times New Roman Bold"/>
          <w:b/>
          <w:bCs/>
        </w:rPr>
        <w:t>,</w:t>
      </w:r>
      <w:r w:rsidR="00D375AF" w:rsidRPr="00074431">
        <w:rPr>
          <w:rFonts w:ascii="Times New Roman Bold" w:hAnsi="Times New Roman Bold" w:cs="Times New Roman Bold"/>
          <w:b/>
          <w:bCs/>
        </w:rPr>
        <w:t xml:space="preserve"> and energy</w:t>
      </w:r>
      <w:r w:rsidRPr="00074431">
        <w:rPr>
          <w:rFonts w:ascii="Times New Roman Bold" w:hAnsi="Times New Roman Bold" w:cs="Times New Roman Bold"/>
          <w:b/>
          <w:bCs/>
        </w:rPr>
        <w:t xml:space="preserve"> </w:t>
      </w:r>
    </w:p>
    <w:p w14:paraId="670EBCDF" w14:textId="0349E490" w:rsidR="001F04AC" w:rsidRPr="00FB168A" w:rsidRDefault="00E65C2D" w:rsidP="00B13D1B">
      <w:pPr>
        <w:pStyle w:val="ListParagraph"/>
        <w:numPr>
          <w:ilvl w:val="0"/>
          <w:numId w:val="6"/>
        </w:numPr>
        <w:tabs>
          <w:tab w:val="left" w:pos="1620"/>
        </w:tabs>
        <w:spacing w:after="120"/>
        <w:ind w:left="1260" w:right="1210" w:firstLine="0"/>
        <w:jc w:val="both"/>
        <w:rPr>
          <w:lang w:val="en-GB" w:eastAsia="en-GB"/>
        </w:rPr>
      </w:pPr>
      <w:r w:rsidRPr="00FB168A">
        <w:rPr>
          <w:lang w:val="en-GB"/>
        </w:rPr>
        <w:t>G</w:t>
      </w:r>
      <w:r w:rsidR="00B87ADA">
        <w:rPr>
          <w:lang w:val="en-GB"/>
        </w:rPr>
        <w:t xml:space="preserve">lobal </w:t>
      </w:r>
      <w:r w:rsidRPr="00FB168A">
        <w:rPr>
          <w:lang w:val="en-GB"/>
        </w:rPr>
        <w:t>E</w:t>
      </w:r>
      <w:r w:rsidR="00B87ADA">
        <w:rPr>
          <w:lang w:val="en-GB"/>
        </w:rPr>
        <w:t>nvironmental Facility</w:t>
      </w:r>
      <w:r w:rsidR="004F4193">
        <w:rPr>
          <w:lang w:val="en-GB"/>
        </w:rPr>
        <w:t xml:space="preserve"> (GEF)</w:t>
      </w:r>
      <w:r w:rsidR="005069B0">
        <w:rPr>
          <w:lang w:val="en-GB"/>
        </w:rPr>
        <w:t>,</w:t>
      </w:r>
      <w:r w:rsidRPr="00FB168A">
        <w:rPr>
          <w:lang w:val="en-GB"/>
        </w:rPr>
        <w:t xml:space="preserve"> Green Climate Fund, </w:t>
      </w:r>
      <w:r w:rsidR="005069B0">
        <w:rPr>
          <w:lang w:val="en-GB"/>
        </w:rPr>
        <w:t xml:space="preserve">and </w:t>
      </w:r>
      <w:r w:rsidR="007831DE" w:rsidRPr="00FB168A">
        <w:rPr>
          <w:lang w:val="en-GB"/>
        </w:rPr>
        <w:t>UNDP</w:t>
      </w:r>
      <w:r w:rsidR="001F04AC" w:rsidRPr="00FB168A">
        <w:rPr>
          <w:lang w:val="en-GB"/>
        </w:rPr>
        <w:t xml:space="preserve"> integrated solutions will support equitable</w:t>
      </w:r>
      <w:r w:rsidR="00D64ADC" w:rsidRPr="00FB168A">
        <w:rPr>
          <w:lang w:val="en-GB"/>
        </w:rPr>
        <w:t>, rights-</w:t>
      </w:r>
      <w:r w:rsidR="00A672D8" w:rsidRPr="00FB168A">
        <w:rPr>
          <w:lang w:val="en-GB"/>
        </w:rPr>
        <w:t>based,</w:t>
      </w:r>
      <w:r w:rsidR="00B868B0" w:rsidRPr="00FB168A">
        <w:rPr>
          <w:lang w:val="en-GB"/>
        </w:rPr>
        <w:t xml:space="preserve"> and</w:t>
      </w:r>
      <w:r w:rsidR="001F04AC" w:rsidRPr="00FB168A">
        <w:rPr>
          <w:lang w:val="en-GB"/>
        </w:rPr>
        <w:t xml:space="preserve"> sustainable natural resource management</w:t>
      </w:r>
      <w:r w:rsidR="00B868B0">
        <w:rPr>
          <w:lang w:val="en-GB"/>
        </w:rPr>
        <w:t xml:space="preserve"> for </w:t>
      </w:r>
      <w:r w:rsidR="001F04AC" w:rsidRPr="00FB168A">
        <w:rPr>
          <w:lang w:val="en-GB"/>
        </w:rPr>
        <w:t>livelihood prosperity by addressin</w:t>
      </w:r>
      <w:r w:rsidR="00B868B0">
        <w:rPr>
          <w:lang w:val="en-GB"/>
        </w:rPr>
        <w:t xml:space="preserve">g </w:t>
      </w:r>
      <w:r w:rsidR="001F04AC" w:rsidRPr="00FB168A">
        <w:rPr>
          <w:lang w:val="en-GB"/>
        </w:rPr>
        <w:t xml:space="preserve">the </w:t>
      </w:r>
      <w:r w:rsidR="005069B0">
        <w:rPr>
          <w:lang w:val="en-GB"/>
        </w:rPr>
        <w:t>core</w:t>
      </w:r>
      <w:r w:rsidR="005069B0" w:rsidRPr="00FB168A">
        <w:rPr>
          <w:lang w:val="en-GB"/>
        </w:rPr>
        <w:t xml:space="preserve"> </w:t>
      </w:r>
      <w:r w:rsidR="001F04AC" w:rsidRPr="00FB168A">
        <w:rPr>
          <w:lang w:val="en-GB"/>
        </w:rPr>
        <w:t xml:space="preserve">causes of environmental degradation and </w:t>
      </w:r>
      <w:r w:rsidR="006B2C90" w:rsidRPr="00FB168A">
        <w:rPr>
          <w:lang w:val="en-GB"/>
        </w:rPr>
        <w:t>raising</w:t>
      </w:r>
      <w:r w:rsidR="001F04AC" w:rsidRPr="00FB168A">
        <w:rPr>
          <w:lang w:val="en-GB"/>
        </w:rPr>
        <w:t xml:space="preserve"> awareness </w:t>
      </w:r>
      <w:r w:rsidR="005069B0">
        <w:rPr>
          <w:lang w:val="en-GB"/>
        </w:rPr>
        <w:t>about</w:t>
      </w:r>
      <w:r w:rsidR="005069B0" w:rsidRPr="00FB168A">
        <w:rPr>
          <w:lang w:val="en-GB"/>
        </w:rPr>
        <w:t xml:space="preserve"> </w:t>
      </w:r>
      <w:r w:rsidR="001F04AC" w:rsidRPr="00FB168A">
        <w:rPr>
          <w:lang w:val="en-GB"/>
        </w:rPr>
        <w:t xml:space="preserve">the </w:t>
      </w:r>
      <w:r w:rsidR="005069B0">
        <w:rPr>
          <w:lang w:val="en-GB"/>
        </w:rPr>
        <w:t>drawbacks</w:t>
      </w:r>
      <w:r w:rsidR="005069B0" w:rsidRPr="00FB168A">
        <w:rPr>
          <w:lang w:val="en-GB"/>
        </w:rPr>
        <w:t xml:space="preserve"> </w:t>
      </w:r>
      <w:r w:rsidR="001F04AC" w:rsidRPr="00FB168A">
        <w:rPr>
          <w:lang w:val="en-GB"/>
        </w:rPr>
        <w:t xml:space="preserve">and benefits of biodiversity ecosystem services. </w:t>
      </w:r>
      <w:r w:rsidR="005069B0">
        <w:rPr>
          <w:lang w:val="en-GB"/>
        </w:rPr>
        <w:lastRenderedPageBreak/>
        <w:t>Target populations include</w:t>
      </w:r>
      <w:r w:rsidR="005069B0" w:rsidRPr="00FB168A">
        <w:rPr>
          <w:lang w:val="en-GB"/>
        </w:rPr>
        <w:t xml:space="preserve"> </w:t>
      </w:r>
      <w:r w:rsidR="001F04AC" w:rsidRPr="00FB168A">
        <w:rPr>
          <w:lang w:val="en-GB"/>
        </w:rPr>
        <w:t xml:space="preserve">poor and vulnerable </w:t>
      </w:r>
      <w:r w:rsidR="005069B0">
        <w:rPr>
          <w:lang w:val="en-GB"/>
        </w:rPr>
        <w:t>people</w:t>
      </w:r>
      <w:r w:rsidR="005069B0" w:rsidRPr="00FB168A">
        <w:rPr>
          <w:lang w:val="en-GB"/>
        </w:rPr>
        <w:t xml:space="preserve"> </w:t>
      </w:r>
      <w:r w:rsidR="001F04AC" w:rsidRPr="00FB168A">
        <w:rPr>
          <w:lang w:val="en-GB"/>
        </w:rPr>
        <w:t xml:space="preserve">living </w:t>
      </w:r>
      <w:r w:rsidR="005069B0">
        <w:rPr>
          <w:lang w:val="en-GB"/>
        </w:rPr>
        <w:t xml:space="preserve">in </w:t>
      </w:r>
      <w:r w:rsidR="001F04AC" w:rsidRPr="00FB168A">
        <w:rPr>
          <w:lang w:val="en-GB"/>
        </w:rPr>
        <w:t>buffer zones</w:t>
      </w:r>
      <w:r w:rsidR="005069B0">
        <w:rPr>
          <w:lang w:val="en-GB"/>
        </w:rPr>
        <w:t>,</w:t>
      </w:r>
      <w:r w:rsidR="001F04AC" w:rsidRPr="00FB168A">
        <w:rPr>
          <w:lang w:val="en-GB"/>
        </w:rPr>
        <w:t xml:space="preserve"> farming and fishing communities with a specific focus on women, </w:t>
      </w:r>
      <w:r w:rsidR="00C521EE" w:rsidRPr="00FB168A">
        <w:rPr>
          <w:lang w:val="en-GB"/>
        </w:rPr>
        <w:t xml:space="preserve">youth, </w:t>
      </w:r>
      <w:r w:rsidR="001F04AC" w:rsidRPr="00FB168A">
        <w:rPr>
          <w:lang w:val="en-GB"/>
        </w:rPr>
        <w:t xml:space="preserve">and </w:t>
      </w:r>
      <w:r w:rsidR="0017724C">
        <w:rPr>
          <w:lang w:val="en-GB"/>
        </w:rPr>
        <w:t xml:space="preserve">small </w:t>
      </w:r>
      <w:r w:rsidR="009052FD" w:rsidRPr="00FB168A">
        <w:rPr>
          <w:lang w:val="en-GB"/>
        </w:rPr>
        <w:t>business</w:t>
      </w:r>
      <w:r w:rsidR="005069B0">
        <w:rPr>
          <w:lang w:val="en-GB"/>
        </w:rPr>
        <w:t xml:space="preserve"> operators.</w:t>
      </w:r>
      <w:r w:rsidR="001F04AC" w:rsidRPr="00FB168A">
        <w:rPr>
          <w:lang w:val="en-GB"/>
        </w:rPr>
        <w:t xml:space="preserve"> </w:t>
      </w:r>
      <w:r w:rsidR="005069B0">
        <w:rPr>
          <w:lang w:val="en-GB"/>
        </w:rPr>
        <w:t>T</w:t>
      </w:r>
      <w:r w:rsidR="007831DE" w:rsidRPr="00FB168A">
        <w:rPr>
          <w:lang w:val="en-GB"/>
        </w:rPr>
        <w:t xml:space="preserve">he </w:t>
      </w:r>
      <w:r w:rsidR="001F04AC" w:rsidRPr="00FB168A">
        <w:rPr>
          <w:lang w:val="en-GB"/>
        </w:rPr>
        <w:t>programme will</w:t>
      </w:r>
      <w:r w:rsidR="009C5264">
        <w:rPr>
          <w:lang w:val="en-GB"/>
        </w:rPr>
        <w:t>,</w:t>
      </w:r>
      <w:r w:rsidR="001F04AC" w:rsidRPr="00FB168A">
        <w:rPr>
          <w:lang w:val="en-GB"/>
        </w:rPr>
        <w:t xml:space="preserve"> </w:t>
      </w:r>
      <w:r w:rsidR="00E82D9E">
        <w:rPr>
          <w:lang w:val="en-GB"/>
        </w:rPr>
        <w:t>(</w:t>
      </w:r>
      <w:r w:rsidR="001F04AC" w:rsidRPr="00FB168A">
        <w:rPr>
          <w:lang w:val="en-GB"/>
        </w:rPr>
        <w:t xml:space="preserve">i) improve </w:t>
      </w:r>
      <w:r w:rsidR="001F04AC" w:rsidRPr="00FB168A">
        <w:rPr>
          <w:lang w:val="en-GB" w:eastAsia="en-GB"/>
        </w:rPr>
        <w:t>institutional capacit</w:t>
      </w:r>
      <w:r w:rsidR="005069B0">
        <w:rPr>
          <w:lang w:val="en-GB" w:eastAsia="en-GB"/>
        </w:rPr>
        <w:t>ies</w:t>
      </w:r>
      <w:r w:rsidR="001F04AC" w:rsidRPr="00FB168A">
        <w:rPr>
          <w:lang w:val="en-GB" w:eastAsia="en-GB"/>
        </w:rPr>
        <w:t xml:space="preserve"> for collecting, analy</w:t>
      </w:r>
      <w:r w:rsidR="005069B0">
        <w:rPr>
          <w:lang w:val="en-GB" w:eastAsia="en-GB"/>
        </w:rPr>
        <w:t>z</w:t>
      </w:r>
      <w:r w:rsidR="001F04AC" w:rsidRPr="00FB168A">
        <w:rPr>
          <w:lang w:val="en-GB" w:eastAsia="en-GB"/>
        </w:rPr>
        <w:t>ing and integrating evidenced-based climate change, disaster risk management</w:t>
      </w:r>
      <w:r w:rsidR="005069B0">
        <w:rPr>
          <w:lang w:val="en-GB" w:eastAsia="en-GB"/>
        </w:rPr>
        <w:t>,</w:t>
      </w:r>
      <w:r w:rsidR="001F04AC" w:rsidRPr="00FB168A">
        <w:rPr>
          <w:lang w:val="en-GB" w:eastAsia="en-GB"/>
        </w:rPr>
        <w:t xml:space="preserve"> and low carbon policies into development programmes and budgets</w:t>
      </w:r>
      <w:r w:rsidR="001F04AC" w:rsidRPr="00FB168A">
        <w:rPr>
          <w:lang w:val="en-GB"/>
        </w:rPr>
        <w:t xml:space="preserve">; </w:t>
      </w:r>
      <w:r w:rsidR="00E82D9E">
        <w:rPr>
          <w:lang w:val="en-GB"/>
        </w:rPr>
        <w:t>(</w:t>
      </w:r>
      <w:r w:rsidR="001F04AC" w:rsidRPr="00FB168A">
        <w:rPr>
          <w:lang w:val="en-GB"/>
        </w:rPr>
        <w:t>ii) strengthen the capacity of institutions, small businesses, civil society and communities to protect, manage</w:t>
      </w:r>
      <w:r w:rsidR="005069B0">
        <w:rPr>
          <w:lang w:val="en-GB"/>
        </w:rPr>
        <w:t>,</w:t>
      </w:r>
      <w:r w:rsidR="001F04AC" w:rsidRPr="00FB168A">
        <w:rPr>
          <w:lang w:val="en-GB"/>
        </w:rPr>
        <w:t xml:space="preserve"> and fund land and marine biodiversity</w:t>
      </w:r>
      <w:r w:rsidR="005069B0">
        <w:rPr>
          <w:lang w:val="en-GB"/>
        </w:rPr>
        <w:t>,</w:t>
      </w:r>
      <w:r w:rsidR="001F04AC" w:rsidRPr="00FB168A">
        <w:rPr>
          <w:lang w:val="en-GB"/>
        </w:rPr>
        <w:t xml:space="preserve"> </w:t>
      </w:r>
      <w:r w:rsidR="005069B0">
        <w:rPr>
          <w:lang w:val="en-GB"/>
        </w:rPr>
        <w:t>as well as</w:t>
      </w:r>
      <w:r w:rsidR="005069B0" w:rsidRPr="00FB168A">
        <w:rPr>
          <w:lang w:val="en-GB"/>
        </w:rPr>
        <w:t xml:space="preserve"> </w:t>
      </w:r>
      <w:r w:rsidR="001F04AC" w:rsidRPr="00FB168A">
        <w:rPr>
          <w:lang w:val="en-GB"/>
        </w:rPr>
        <w:t>design and implement climate change adaptation, mitigation and disaster risk reduction strategies</w:t>
      </w:r>
      <w:r w:rsidR="005069B0">
        <w:rPr>
          <w:lang w:val="en-GB"/>
        </w:rPr>
        <w:t>,</w:t>
      </w:r>
      <w:r w:rsidR="001F04AC" w:rsidRPr="00FB168A">
        <w:rPr>
          <w:lang w:val="en-GB"/>
        </w:rPr>
        <w:t xml:space="preserve"> and </w:t>
      </w:r>
      <w:r w:rsidR="00E82D9E">
        <w:rPr>
          <w:lang w:val="en-GB"/>
        </w:rPr>
        <w:t>(</w:t>
      </w:r>
      <w:r w:rsidR="001F04AC" w:rsidRPr="00FB168A">
        <w:rPr>
          <w:lang w:val="en-GB"/>
        </w:rPr>
        <w:t xml:space="preserve">iii) strengthen </w:t>
      </w:r>
      <w:r w:rsidR="001F04AC" w:rsidRPr="00FB168A">
        <w:rPr>
          <w:lang w:val="en-GB" w:eastAsia="en-GB"/>
        </w:rPr>
        <w:t>national capacit</w:t>
      </w:r>
      <w:r w:rsidR="005069B0">
        <w:rPr>
          <w:lang w:val="en-GB" w:eastAsia="en-GB"/>
        </w:rPr>
        <w:t>ies</w:t>
      </w:r>
      <w:r w:rsidR="001F04AC" w:rsidRPr="00FB168A">
        <w:rPr>
          <w:lang w:val="en-GB" w:eastAsia="en-GB"/>
        </w:rPr>
        <w:t xml:space="preserve"> to manage the energy transition </w:t>
      </w:r>
      <w:r w:rsidR="005069B0">
        <w:rPr>
          <w:lang w:val="en-GB" w:eastAsia="en-GB"/>
        </w:rPr>
        <w:t>by</w:t>
      </w:r>
      <w:r w:rsidR="005069B0" w:rsidRPr="00FB168A">
        <w:rPr>
          <w:lang w:val="en-GB" w:eastAsia="en-GB"/>
        </w:rPr>
        <w:t xml:space="preserve"> </w:t>
      </w:r>
      <w:r w:rsidR="001F04AC" w:rsidRPr="00FB168A">
        <w:rPr>
          <w:lang w:val="en-GB" w:eastAsia="en-GB"/>
        </w:rPr>
        <w:t xml:space="preserve">de-risking </w:t>
      </w:r>
      <w:r w:rsidR="00C521EE" w:rsidRPr="00FB168A">
        <w:rPr>
          <w:lang w:val="en-GB" w:eastAsia="en-GB"/>
        </w:rPr>
        <w:t xml:space="preserve">private sector </w:t>
      </w:r>
      <w:r w:rsidR="001F04AC" w:rsidRPr="00FB168A">
        <w:rPr>
          <w:lang w:val="en-GB" w:eastAsia="en-GB"/>
        </w:rPr>
        <w:t>investment</w:t>
      </w:r>
      <w:r w:rsidR="005069B0">
        <w:rPr>
          <w:lang w:val="en-GB" w:eastAsia="en-GB"/>
        </w:rPr>
        <w:t>s</w:t>
      </w:r>
      <w:r w:rsidR="001F04AC" w:rsidRPr="00FB168A">
        <w:rPr>
          <w:lang w:val="en-GB" w:eastAsia="en-GB"/>
        </w:rPr>
        <w:t xml:space="preserve"> in renewable</w:t>
      </w:r>
      <w:r w:rsidR="009052FD" w:rsidRPr="00FB168A">
        <w:rPr>
          <w:lang w:val="en-GB" w:eastAsia="en-GB"/>
        </w:rPr>
        <w:t xml:space="preserve">s </w:t>
      </w:r>
      <w:r w:rsidR="001F04AC" w:rsidRPr="00FB168A">
        <w:rPr>
          <w:lang w:val="en-GB" w:eastAsia="en-GB"/>
        </w:rPr>
        <w:t xml:space="preserve">and increasing access to clean energy, particularly for groups at risk of being left behind. </w:t>
      </w:r>
    </w:p>
    <w:p w14:paraId="0C040BCA" w14:textId="15AFB814" w:rsidR="006069C4" w:rsidRPr="00FB168A" w:rsidRDefault="001F04AC" w:rsidP="00B13D1B">
      <w:pPr>
        <w:pStyle w:val="ListParagraph"/>
        <w:numPr>
          <w:ilvl w:val="0"/>
          <w:numId w:val="6"/>
        </w:numPr>
        <w:tabs>
          <w:tab w:val="left" w:pos="1620"/>
        </w:tabs>
        <w:spacing w:after="120"/>
        <w:ind w:left="1260" w:right="1210" w:firstLine="0"/>
        <w:jc w:val="both"/>
        <w:rPr>
          <w:lang w:val="en-GB" w:eastAsia="en-GB"/>
        </w:rPr>
      </w:pPr>
      <w:r w:rsidRPr="00FB168A">
        <w:rPr>
          <w:lang w:val="en-GB" w:eastAsia="en-GB"/>
        </w:rPr>
        <w:t>Innovative communication techniques will</w:t>
      </w:r>
      <w:r w:rsidR="005069B0">
        <w:rPr>
          <w:lang w:val="en-GB" w:eastAsia="en-GB"/>
        </w:rPr>
        <w:t xml:space="preserve"> be used to</w:t>
      </w:r>
      <w:r w:rsidRPr="00FB168A">
        <w:rPr>
          <w:lang w:val="en-GB" w:eastAsia="en-GB"/>
        </w:rPr>
        <w:t xml:space="preserve"> raise awareness and knowledge of communities</w:t>
      </w:r>
      <w:r w:rsidR="009052FD" w:rsidRPr="00FB168A">
        <w:rPr>
          <w:lang w:val="en-GB" w:eastAsia="en-GB"/>
        </w:rPr>
        <w:t xml:space="preserve"> and businesses regarding</w:t>
      </w:r>
      <w:r w:rsidR="00645950">
        <w:rPr>
          <w:lang w:val="en-GB" w:eastAsia="en-GB"/>
        </w:rPr>
        <w:t xml:space="preserve"> </w:t>
      </w:r>
      <w:r w:rsidRPr="00FB168A">
        <w:rPr>
          <w:lang w:val="en-GB" w:eastAsia="en-GB"/>
        </w:rPr>
        <w:t xml:space="preserve">conservation and biodiversity </w:t>
      </w:r>
      <w:r w:rsidR="006C0B8D" w:rsidRPr="00FB168A">
        <w:rPr>
          <w:lang w:val="en-GB" w:eastAsia="en-GB"/>
        </w:rPr>
        <w:t>management</w:t>
      </w:r>
      <w:r w:rsidR="005069B0">
        <w:rPr>
          <w:lang w:val="en-GB" w:eastAsia="en-GB"/>
        </w:rPr>
        <w:t>,</w:t>
      </w:r>
      <w:r w:rsidR="006C0B8D" w:rsidRPr="00FB168A">
        <w:rPr>
          <w:lang w:val="en-GB" w:eastAsia="en-GB"/>
        </w:rPr>
        <w:t xml:space="preserve"> and</w:t>
      </w:r>
      <w:r w:rsidRPr="00FB168A">
        <w:rPr>
          <w:lang w:val="en-GB" w:eastAsia="en-GB"/>
        </w:rPr>
        <w:t xml:space="preserve"> </w:t>
      </w:r>
      <w:r w:rsidR="005069B0">
        <w:rPr>
          <w:lang w:val="en-GB" w:eastAsia="en-GB"/>
        </w:rPr>
        <w:t xml:space="preserve">to </w:t>
      </w:r>
      <w:r w:rsidRPr="00FB168A">
        <w:rPr>
          <w:lang w:val="en-GB" w:eastAsia="en-GB"/>
        </w:rPr>
        <w:t xml:space="preserve">facilitate their active involvement in the implementation of national park management plans. </w:t>
      </w:r>
      <w:r w:rsidR="005069B0">
        <w:rPr>
          <w:lang w:val="en-GB" w:eastAsia="en-GB"/>
        </w:rPr>
        <w:t>UNDP and</w:t>
      </w:r>
      <w:r w:rsidR="006C0B8D" w:rsidRPr="00FB168A">
        <w:rPr>
          <w:lang w:val="en-GB" w:eastAsia="en-GB"/>
        </w:rPr>
        <w:t xml:space="preserve"> </w:t>
      </w:r>
      <w:r w:rsidR="005069B0">
        <w:rPr>
          <w:lang w:val="en-GB" w:eastAsia="en-GB"/>
        </w:rPr>
        <w:t>the Food and Agriculture Organization (</w:t>
      </w:r>
      <w:r w:rsidR="006C0B8D" w:rsidRPr="00FB168A">
        <w:rPr>
          <w:lang w:val="en-GB" w:eastAsia="en-GB"/>
        </w:rPr>
        <w:t>FAO</w:t>
      </w:r>
      <w:r w:rsidR="005069B0">
        <w:rPr>
          <w:lang w:val="en-GB" w:eastAsia="en-GB"/>
        </w:rPr>
        <w:t xml:space="preserve">) </w:t>
      </w:r>
      <w:r w:rsidR="006C0B8D" w:rsidRPr="00FB168A">
        <w:rPr>
          <w:lang w:val="en-GB" w:eastAsia="en-GB"/>
        </w:rPr>
        <w:t xml:space="preserve">will enhance national </w:t>
      </w:r>
      <w:r w:rsidR="009052FD" w:rsidRPr="00FB168A">
        <w:rPr>
          <w:lang w:val="en-GB" w:eastAsia="en-GB"/>
        </w:rPr>
        <w:t xml:space="preserve">climate </w:t>
      </w:r>
      <w:r w:rsidR="006C0B8D" w:rsidRPr="00FB168A">
        <w:rPr>
          <w:lang w:val="en-GB" w:eastAsia="en-GB"/>
        </w:rPr>
        <w:t xml:space="preserve">adaptation capacities </w:t>
      </w:r>
      <w:r w:rsidR="005069B0">
        <w:rPr>
          <w:lang w:val="en-GB" w:eastAsia="en-GB"/>
        </w:rPr>
        <w:t>in</w:t>
      </w:r>
      <w:r w:rsidR="005069B0" w:rsidRPr="00FB168A">
        <w:rPr>
          <w:lang w:val="en-GB" w:eastAsia="en-GB"/>
        </w:rPr>
        <w:t xml:space="preserve"> </w:t>
      </w:r>
      <w:r w:rsidR="009052FD" w:rsidRPr="00FB168A">
        <w:rPr>
          <w:lang w:val="en-GB" w:eastAsia="en-GB"/>
        </w:rPr>
        <w:t>support</w:t>
      </w:r>
      <w:r w:rsidR="006C0B8D" w:rsidRPr="00FB168A">
        <w:rPr>
          <w:lang w:val="en-GB" w:eastAsia="en-GB"/>
        </w:rPr>
        <w:t xml:space="preserve"> </w:t>
      </w:r>
      <w:r w:rsidR="005069B0">
        <w:rPr>
          <w:lang w:val="en-GB" w:eastAsia="en-GB"/>
        </w:rPr>
        <w:t xml:space="preserve">of </w:t>
      </w:r>
      <w:r w:rsidR="006C0B8D" w:rsidRPr="00FB168A">
        <w:rPr>
          <w:lang w:val="en-GB" w:eastAsia="en-GB"/>
        </w:rPr>
        <w:t>climate resilient water management systems</w:t>
      </w:r>
      <w:r w:rsidR="005069B0">
        <w:rPr>
          <w:lang w:val="en-GB" w:eastAsia="en-GB"/>
        </w:rPr>
        <w:t xml:space="preserve"> in </w:t>
      </w:r>
      <w:r w:rsidRPr="00FB168A">
        <w:rPr>
          <w:lang w:val="en-GB" w:eastAsia="en-GB"/>
        </w:rPr>
        <w:t xml:space="preserve">areas with high </w:t>
      </w:r>
      <w:r w:rsidR="00470A1D" w:rsidRPr="00FB168A">
        <w:rPr>
          <w:lang w:val="en-GB" w:eastAsia="en-GB"/>
        </w:rPr>
        <w:t xml:space="preserve">food and export </w:t>
      </w:r>
      <w:r w:rsidRPr="00FB168A">
        <w:rPr>
          <w:lang w:val="en-GB" w:eastAsia="en-GB"/>
        </w:rPr>
        <w:t xml:space="preserve">production potential. </w:t>
      </w:r>
      <w:r w:rsidR="00645950">
        <w:rPr>
          <w:lang w:val="en-GB" w:eastAsia="en-GB"/>
        </w:rPr>
        <w:t>T</w:t>
      </w:r>
      <w:r w:rsidR="009052FD" w:rsidRPr="00FB168A">
        <w:rPr>
          <w:lang w:val="en-GB" w:eastAsia="en-GB"/>
        </w:rPr>
        <w:t xml:space="preserve">echnical assistance will support </w:t>
      </w:r>
      <w:r w:rsidR="005069B0">
        <w:rPr>
          <w:lang w:val="en-GB" w:eastAsia="en-GB"/>
        </w:rPr>
        <w:t>the g</w:t>
      </w:r>
      <w:r w:rsidR="009052FD" w:rsidRPr="00FB168A">
        <w:rPr>
          <w:lang w:val="en-GB" w:eastAsia="en-GB"/>
        </w:rPr>
        <w:t xml:space="preserve">overnment </w:t>
      </w:r>
      <w:r w:rsidR="005069B0">
        <w:rPr>
          <w:lang w:val="en-GB" w:eastAsia="en-GB"/>
        </w:rPr>
        <w:t>in</w:t>
      </w:r>
      <w:r w:rsidR="005069B0" w:rsidRPr="00FB168A">
        <w:rPr>
          <w:lang w:val="en-GB" w:eastAsia="en-GB"/>
        </w:rPr>
        <w:t xml:space="preserve"> </w:t>
      </w:r>
      <w:r w:rsidR="009052FD" w:rsidRPr="00FB168A">
        <w:rPr>
          <w:lang w:val="en-GB" w:eastAsia="en-GB"/>
        </w:rPr>
        <w:t>access</w:t>
      </w:r>
      <w:r w:rsidR="005069B0">
        <w:rPr>
          <w:lang w:val="en-GB" w:eastAsia="en-GB"/>
        </w:rPr>
        <w:t>ing</w:t>
      </w:r>
      <w:r w:rsidR="009052FD" w:rsidRPr="00FB168A">
        <w:rPr>
          <w:lang w:val="en-GB" w:eastAsia="en-GB"/>
        </w:rPr>
        <w:t xml:space="preserve"> </w:t>
      </w:r>
      <w:r w:rsidRPr="00FB168A">
        <w:rPr>
          <w:lang w:val="en-GB" w:eastAsia="en-GB"/>
        </w:rPr>
        <w:t>green finance for</w:t>
      </w:r>
      <w:r w:rsidR="00277E97" w:rsidRPr="00FB168A">
        <w:rPr>
          <w:lang w:val="en-GB" w:eastAsia="en-GB"/>
        </w:rPr>
        <w:t xml:space="preserve"> the implementation </w:t>
      </w:r>
      <w:r w:rsidR="009C5264">
        <w:rPr>
          <w:lang w:val="en-GB" w:eastAsia="en-GB"/>
        </w:rPr>
        <w:t>nationally determined contributions</w:t>
      </w:r>
      <w:r w:rsidR="00277E97" w:rsidRPr="00FB168A">
        <w:rPr>
          <w:lang w:val="en-GB" w:eastAsia="en-GB"/>
        </w:rPr>
        <w:t>,</w:t>
      </w:r>
      <w:r w:rsidR="006F5BF2" w:rsidRPr="00FB168A">
        <w:rPr>
          <w:lang w:val="en-GB" w:eastAsia="en-GB"/>
        </w:rPr>
        <w:t xml:space="preserve"> focusing on </w:t>
      </w:r>
      <w:r w:rsidRPr="00FB168A">
        <w:rPr>
          <w:lang w:val="en-GB" w:eastAsia="en-GB"/>
        </w:rPr>
        <w:t>energy transition</w:t>
      </w:r>
      <w:r w:rsidR="00277E97" w:rsidRPr="00FB168A">
        <w:rPr>
          <w:lang w:val="en-GB" w:eastAsia="en-GB"/>
        </w:rPr>
        <w:t xml:space="preserve"> and</w:t>
      </w:r>
      <w:r w:rsidRPr="00FB168A">
        <w:rPr>
          <w:lang w:val="en-GB" w:eastAsia="en-GB"/>
        </w:rPr>
        <w:t xml:space="preserve"> waste management,</w:t>
      </w:r>
      <w:r w:rsidR="00F37C52" w:rsidRPr="00FB168A">
        <w:rPr>
          <w:lang w:val="en-GB" w:eastAsia="en-GB"/>
        </w:rPr>
        <w:t xml:space="preserve"> </w:t>
      </w:r>
      <w:r w:rsidRPr="00FB168A">
        <w:rPr>
          <w:lang w:val="en-GB" w:eastAsia="en-GB"/>
        </w:rPr>
        <w:t xml:space="preserve">sustainable land </w:t>
      </w:r>
      <w:r w:rsidR="002A355D" w:rsidRPr="00FB168A">
        <w:rPr>
          <w:lang w:val="en-GB" w:eastAsia="en-GB"/>
        </w:rPr>
        <w:t xml:space="preserve">and forest </w:t>
      </w:r>
      <w:r w:rsidRPr="00FB168A">
        <w:rPr>
          <w:lang w:val="en-GB" w:eastAsia="en-GB"/>
        </w:rPr>
        <w:t>management</w:t>
      </w:r>
      <w:r w:rsidR="00F37C52" w:rsidRPr="00FB168A">
        <w:rPr>
          <w:lang w:val="en-GB" w:eastAsia="en-GB"/>
        </w:rPr>
        <w:t xml:space="preserve">, and </w:t>
      </w:r>
      <w:r w:rsidR="005069B0">
        <w:rPr>
          <w:lang w:val="en-GB" w:eastAsia="en-GB"/>
        </w:rPr>
        <w:t>identifying</w:t>
      </w:r>
      <w:r w:rsidRPr="00FB168A">
        <w:rPr>
          <w:lang w:val="en-GB" w:eastAsia="en-GB"/>
        </w:rPr>
        <w:t xml:space="preserve"> international and local investors </w:t>
      </w:r>
      <w:r w:rsidR="005069B0">
        <w:rPr>
          <w:lang w:val="en-GB" w:eastAsia="en-GB"/>
        </w:rPr>
        <w:t>for</w:t>
      </w:r>
      <w:r w:rsidR="005069B0" w:rsidRPr="00FB168A">
        <w:rPr>
          <w:lang w:val="en-GB" w:eastAsia="en-GB"/>
        </w:rPr>
        <w:t xml:space="preserve"> </w:t>
      </w:r>
      <w:r w:rsidR="005069B0">
        <w:rPr>
          <w:lang w:val="en-GB" w:eastAsia="en-GB"/>
        </w:rPr>
        <w:t>the</w:t>
      </w:r>
      <w:r w:rsidR="005069B0" w:rsidRPr="00FB168A">
        <w:rPr>
          <w:lang w:val="en-GB" w:eastAsia="en-GB"/>
        </w:rPr>
        <w:t xml:space="preserve"> </w:t>
      </w:r>
      <w:r w:rsidRPr="00FB168A">
        <w:rPr>
          <w:lang w:val="en-GB" w:eastAsia="en-GB"/>
        </w:rPr>
        <w:t xml:space="preserve">Conservation Trust Fund. </w:t>
      </w:r>
    </w:p>
    <w:p w14:paraId="0BE50B63" w14:textId="4D766446" w:rsidR="00AC1CE4" w:rsidRPr="00FB168A" w:rsidRDefault="001F04AC" w:rsidP="003F4315">
      <w:pPr>
        <w:pStyle w:val="ListParagraph"/>
        <w:numPr>
          <w:ilvl w:val="0"/>
          <w:numId w:val="6"/>
        </w:numPr>
        <w:tabs>
          <w:tab w:val="left" w:pos="1620"/>
        </w:tabs>
        <w:spacing w:after="120"/>
        <w:ind w:left="1260" w:right="1210" w:firstLine="0"/>
        <w:jc w:val="both"/>
        <w:rPr>
          <w:lang w:val="en-GB" w:eastAsia="en-GB"/>
        </w:rPr>
      </w:pPr>
      <w:r w:rsidRPr="00FB168A">
        <w:rPr>
          <w:lang w:val="en-GB" w:eastAsia="en-GB"/>
        </w:rPr>
        <w:t>Strengthening data and information systems</w:t>
      </w:r>
      <w:r w:rsidR="005069B0">
        <w:rPr>
          <w:lang w:val="en-GB" w:eastAsia="en-GB"/>
        </w:rPr>
        <w:t>—like</w:t>
      </w:r>
      <w:r w:rsidR="002A355D" w:rsidRPr="00FB168A">
        <w:rPr>
          <w:lang w:val="en-GB" w:eastAsia="en-GB"/>
        </w:rPr>
        <w:t xml:space="preserve"> the </w:t>
      </w:r>
      <w:r w:rsidR="002A355D" w:rsidRPr="00FB168A">
        <w:rPr>
          <w:rFonts w:eastAsia="Calibri"/>
        </w:rPr>
        <w:t>Monitoring</w:t>
      </w:r>
      <w:r w:rsidRPr="00FB168A">
        <w:rPr>
          <w:lang w:val="en-GB" w:eastAsia="en-GB"/>
        </w:rPr>
        <w:t>, Reporting and Verification system for climate change</w:t>
      </w:r>
      <w:r w:rsidR="005069B0">
        <w:rPr>
          <w:lang w:val="en-GB" w:eastAsia="en-GB"/>
        </w:rPr>
        <w:t>—</w:t>
      </w:r>
      <w:r w:rsidR="002A355D" w:rsidRPr="00FB168A">
        <w:rPr>
          <w:lang w:val="en-GB" w:eastAsia="en-GB"/>
        </w:rPr>
        <w:t xml:space="preserve">will fill gaps </w:t>
      </w:r>
      <w:r w:rsidRPr="00FB168A">
        <w:rPr>
          <w:lang w:val="en-GB" w:eastAsia="en-GB"/>
        </w:rPr>
        <w:t xml:space="preserve">and enhance evidence-based decision making for </w:t>
      </w:r>
      <w:r w:rsidR="00645950" w:rsidRPr="00645950">
        <w:rPr>
          <w:lang w:val="en-GB" w:eastAsia="en-GB"/>
        </w:rPr>
        <w:t xml:space="preserve">biodiversity, </w:t>
      </w:r>
      <w:r w:rsidR="002A355D" w:rsidRPr="00FB168A">
        <w:rPr>
          <w:lang w:val="en-GB" w:eastAsia="en-GB"/>
        </w:rPr>
        <w:t xml:space="preserve">disaster </w:t>
      </w:r>
      <w:r w:rsidRPr="00FB168A">
        <w:rPr>
          <w:lang w:val="en-GB" w:eastAsia="en-GB"/>
        </w:rPr>
        <w:t xml:space="preserve">risk reduction, climate change mitigation and </w:t>
      </w:r>
      <w:r w:rsidR="00AE094A" w:rsidRPr="00FB168A">
        <w:rPr>
          <w:lang w:val="en-GB" w:eastAsia="en-GB"/>
        </w:rPr>
        <w:t>adaptation</w:t>
      </w:r>
      <w:r w:rsidR="005069B0">
        <w:rPr>
          <w:lang w:val="en-GB" w:eastAsia="en-GB"/>
        </w:rPr>
        <w:t>,</w:t>
      </w:r>
      <w:r w:rsidRPr="00FB168A">
        <w:rPr>
          <w:lang w:val="en-GB" w:eastAsia="en-GB"/>
        </w:rPr>
        <w:t xml:space="preserve"> and mainstream</w:t>
      </w:r>
      <w:r w:rsidR="00FF2A22" w:rsidRPr="00FB168A">
        <w:rPr>
          <w:lang w:val="en-GB" w:eastAsia="en-GB"/>
        </w:rPr>
        <w:t>ing</w:t>
      </w:r>
      <w:r w:rsidRPr="00FB168A">
        <w:rPr>
          <w:lang w:val="en-GB" w:eastAsia="en-GB"/>
        </w:rPr>
        <w:t xml:space="preserve"> gender-sensitive climate and disaster risk information across sectors. Building on the success of community</w:t>
      </w:r>
      <w:r w:rsidR="00FF2A22" w:rsidRPr="00FB168A">
        <w:rPr>
          <w:lang w:val="en-GB" w:eastAsia="en-GB"/>
        </w:rPr>
        <w:t>-based</w:t>
      </w:r>
      <w:r w:rsidRPr="00FB168A">
        <w:rPr>
          <w:lang w:val="en-GB" w:eastAsia="en-GB"/>
        </w:rPr>
        <w:t xml:space="preserve"> climate change </w:t>
      </w:r>
      <w:r w:rsidR="002A355D" w:rsidRPr="00FB168A">
        <w:rPr>
          <w:lang w:val="en-GB" w:eastAsia="en-GB"/>
        </w:rPr>
        <w:t xml:space="preserve">and disaster risk reduction </w:t>
      </w:r>
      <w:r w:rsidRPr="00FB168A">
        <w:rPr>
          <w:lang w:val="en-GB" w:eastAsia="en-GB"/>
        </w:rPr>
        <w:t xml:space="preserve">committees, the programme will support </w:t>
      </w:r>
      <w:r w:rsidR="005069B0">
        <w:rPr>
          <w:lang w:val="en-GB" w:eastAsia="en-GB"/>
        </w:rPr>
        <w:t>the design of</w:t>
      </w:r>
      <w:r w:rsidRPr="00FB168A">
        <w:rPr>
          <w:lang w:val="en-GB" w:eastAsia="en-GB"/>
        </w:rPr>
        <w:t xml:space="preserve"> digital and other innovative solutions </w:t>
      </w:r>
      <w:r w:rsidR="005069B0">
        <w:rPr>
          <w:lang w:val="en-GB" w:eastAsia="en-GB"/>
        </w:rPr>
        <w:t>that</w:t>
      </w:r>
      <w:r w:rsidR="005069B0" w:rsidRPr="00FB168A">
        <w:rPr>
          <w:lang w:val="en-GB" w:eastAsia="en-GB"/>
        </w:rPr>
        <w:t xml:space="preserve"> </w:t>
      </w:r>
      <w:r w:rsidRPr="00FB168A">
        <w:rPr>
          <w:lang w:val="en-GB" w:eastAsia="en-GB"/>
        </w:rPr>
        <w:t xml:space="preserve">engage local institutions and communities, </w:t>
      </w:r>
      <w:r w:rsidR="00B851EA">
        <w:rPr>
          <w:lang w:val="en-GB" w:eastAsia="en-GB"/>
        </w:rPr>
        <w:t xml:space="preserve">the </w:t>
      </w:r>
      <w:r w:rsidRPr="00FB168A">
        <w:rPr>
          <w:lang w:val="en-GB" w:eastAsia="en-GB"/>
        </w:rPr>
        <w:t xml:space="preserve">private sector, academia, and other relevant stakeholders in </w:t>
      </w:r>
      <w:r w:rsidR="005069B0">
        <w:rPr>
          <w:lang w:val="en-GB" w:eastAsia="en-GB"/>
        </w:rPr>
        <w:t>improved</w:t>
      </w:r>
      <w:r w:rsidR="005069B0" w:rsidRPr="00FB168A">
        <w:rPr>
          <w:lang w:val="en-GB" w:eastAsia="en-GB"/>
        </w:rPr>
        <w:t xml:space="preserve"> </w:t>
      </w:r>
      <w:r w:rsidRPr="00FB168A">
        <w:rPr>
          <w:lang w:val="en-GB" w:eastAsia="en-GB"/>
        </w:rPr>
        <w:t xml:space="preserve">management, conservation, and sustainable use of </w:t>
      </w:r>
      <w:r w:rsidR="00AE094A" w:rsidRPr="00FB168A">
        <w:rPr>
          <w:lang w:val="en-GB" w:eastAsia="en-GB"/>
        </w:rPr>
        <w:t xml:space="preserve">terrestrial and marine </w:t>
      </w:r>
      <w:r w:rsidRPr="00FB168A">
        <w:rPr>
          <w:lang w:val="en-GB" w:eastAsia="en-GB"/>
        </w:rPr>
        <w:t>biodiversity</w:t>
      </w:r>
      <w:r w:rsidR="006C0B8D" w:rsidRPr="00FB168A">
        <w:rPr>
          <w:lang w:val="en-GB" w:eastAsia="en-GB"/>
        </w:rPr>
        <w:t>.</w:t>
      </w:r>
    </w:p>
    <w:p w14:paraId="1F8E5FC6" w14:textId="02E5F0AC" w:rsidR="00210269" w:rsidRPr="00074431" w:rsidRDefault="00210269" w:rsidP="003F4315">
      <w:pPr>
        <w:tabs>
          <w:tab w:val="left" w:pos="1620"/>
        </w:tabs>
        <w:spacing w:after="120" w:line="259" w:lineRule="auto"/>
        <w:ind w:left="1260" w:right="1210"/>
        <w:jc w:val="both"/>
        <w:rPr>
          <w:b/>
          <w:bCs/>
          <w:lang w:val="en-GB"/>
        </w:rPr>
      </w:pPr>
      <w:r w:rsidRPr="00074431">
        <w:rPr>
          <w:b/>
          <w:bCs/>
          <w:lang w:val="en-GB"/>
        </w:rPr>
        <w:t>Priority 3: Green and blue growth</w:t>
      </w:r>
    </w:p>
    <w:p w14:paraId="79E47C3D" w14:textId="3B513456" w:rsidR="00BB5745" w:rsidRPr="00BB5745" w:rsidRDefault="005069B0" w:rsidP="00B13D1B">
      <w:pPr>
        <w:pStyle w:val="ListParagraph"/>
        <w:numPr>
          <w:ilvl w:val="0"/>
          <w:numId w:val="6"/>
        </w:numPr>
        <w:tabs>
          <w:tab w:val="left" w:pos="1620"/>
        </w:tabs>
        <w:spacing w:after="120"/>
        <w:ind w:left="1260" w:right="1210" w:firstLine="0"/>
        <w:jc w:val="both"/>
        <w:rPr>
          <w:lang w:val="en-GB"/>
        </w:rPr>
      </w:pPr>
      <w:r>
        <w:rPr>
          <w:lang w:val="en-GB"/>
        </w:rPr>
        <w:t>Adopting</w:t>
      </w:r>
      <w:r w:rsidR="00BB5745" w:rsidRPr="00BB5745">
        <w:rPr>
          <w:lang w:val="en-GB"/>
        </w:rPr>
        <w:t xml:space="preserve"> </w:t>
      </w:r>
      <w:r w:rsidRPr="00BB5745">
        <w:rPr>
          <w:lang w:val="en-GB"/>
        </w:rPr>
        <w:t>a human rights-based approach</w:t>
      </w:r>
      <w:r>
        <w:rPr>
          <w:lang w:val="en-GB"/>
        </w:rPr>
        <w:t xml:space="preserve"> together with the </w:t>
      </w:r>
      <w:r w:rsidR="00BB5745" w:rsidRPr="00BB5745">
        <w:rPr>
          <w:lang w:val="en-GB"/>
        </w:rPr>
        <w:t xml:space="preserve">Ministry for Youth, Sport, and Entrepreneurship, </w:t>
      </w:r>
      <w:r>
        <w:rPr>
          <w:lang w:val="en-GB"/>
        </w:rPr>
        <w:t>UNDP will provide</w:t>
      </w:r>
      <w:r w:rsidR="00BB5745" w:rsidRPr="00BB5745">
        <w:rPr>
          <w:lang w:val="en-GB"/>
        </w:rPr>
        <w:t xml:space="preserve"> technical assistance </w:t>
      </w:r>
      <w:r>
        <w:rPr>
          <w:lang w:val="en-GB"/>
        </w:rPr>
        <w:t>that</w:t>
      </w:r>
      <w:r w:rsidRPr="00BB5745">
        <w:rPr>
          <w:lang w:val="en-GB"/>
        </w:rPr>
        <w:t xml:space="preserve"> </w:t>
      </w:r>
      <w:r w:rsidR="00BB5745" w:rsidRPr="00BB5745">
        <w:rPr>
          <w:lang w:val="en-GB"/>
        </w:rPr>
        <w:t>enhance</w:t>
      </w:r>
      <w:r>
        <w:rPr>
          <w:lang w:val="en-GB"/>
        </w:rPr>
        <w:t>s</w:t>
      </w:r>
      <w:r w:rsidR="00BB5745" w:rsidRPr="00BB5745">
        <w:rPr>
          <w:lang w:val="en-GB"/>
        </w:rPr>
        <w:t xml:space="preserve"> the entrepreneurial ecosystem through business development services </w:t>
      </w:r>
      <w:r w:rsidR="0034643A">
        <w:rPr>
          <w:lang w:val="en-GB"/>
        </w:rPr>
        <w:t>that</w:t>
      </w:r>
      <w:r w:rsidR="00BB5745" w:rsidRPr="00BB5745">
        <w:rPr>
          <w:lang w:val="en-GB"/>
        </w:rPr>
        <w:t xml:space="preserve"> formali</w:t>
      </w:r>
      <w:r w:rsidR="0034643A">
        <w:rPr>
          <w:lang w:val="en-GB"/>
        </w:rPr>
        <w:t>ze</w:t>
      </w:r>
      <w:r w:rsidR="00BB5745" w:rsidRPr="00BB5745">
        <w:rPr>
          <w:lang w:val="en-GB"/>
        </w:rPr>
        <w:t xml:space="preserve"> </w:t>
      </w:r>
      <w:r w:rsidR="0034643A">
        <w:rPr>
          <w:lang w:val="en-GB"/>
        </w:rPr>
        <w:t>businesses owned by young people</w:t>
      </w:r>
      <w:r w:rsidR="0034643A" w:rsidRPr="00BB5745">
        <w:rPr>
          <w:lang w:val="en-GB"/>
        </w:rPr>
        <w:t xml:space="preserve"> </w:t>
      </w:r>
      <w:r w:rsidR="00BB5745" w:rsidRPr="00BB5745">
        <w:rPr>
          <w:lang w:val="en-GB"/>
        </w:rPr>
        <w:t xml:space="preserve">and women, </w:t>
      </w:r>
      <w:r w:rsidR="0034643A">
        <w:rPr>
          <w:lang w:val="en-GB"/>
        </w:rPr>
        <w:t>and emphasize</w:t>
      </w:r>
      <w:r w:rsidR="0034643A" w:rsidRPr="00BB5745">
        <w:rPr>
          <w:lang w:val="en-GB"/>
        </w:rPr>
        <w:t xml:space="preserve"> </w:t>
      </w:r>
      <w:r w:rsidR="00BB5745" w:rsidRPr="00BB5745">
        <w:rPr>
          <w:lang w:val="en-GB"/>
        </w:rPr>
        <w:t xml:space="preserve">gender-sensitive, financial inclusion. </w:t>
      </w:r>
      <w:r w:rsidR="0034643A">
        <w:rPr>
          <w:lang w:val="en-GB"/>
        </w:rPr>
        <w:t>S</w:t>
      </w:r>
      <w:r w:rsidR="00BB5745" w:rsidRPr="00BB5745">
        <w:rPr>
          <w:lang w:val="en-GB"/>
        </w:rPr>
        <w:t>ervices will prioriti</w:t>
      </w:r>
      <w:r w:rsidR="0034643A">
        <w:rPr>
          <w:lang w:val="en-GB"/>
        </w:rPr>
        <w:t>z</w:t>
      </w:r>
      <w:r w:rsidR="00BB5745" w:rsidRPr="00BB5745">
        <w:rPr>
          <w:lang w:val="en-GB"/>
        </w:rPr>
        <w:t>e economic diversification</w:t>
      </w:r>
      <w:r w:rsidR="0034643A">
        <w:rPr>
          <w:lang w:val="en-GB"/>
        </w:rPr>
        <w:t xml:space="preserve"> and leverage</w:t>
      </w:r>
      <w:r w:rsidR="0034643A" w:rsidRPr="00BB5745">
        <w:rPr>
          <w:lang w:val="en-GB"/>
        </w:rPr>
        <w:t xml:space="preserve"> private sector engagement</w:t>
      </w:r>
      <w:r w:rsidR="0034643A">
        <w:rPr>
          <w:lang w:val="en-GB"/>
        </w:rPr>
        <w:t xml:space="preserve"> to develop</w:t>
      </w:r>
      <w:r w:rsidR="0034643A" w:rsidRPr="00BB5745">
        <w:rPr>
          <w:lang w:val="en-GB"/>
        </w:rPr>
        <w:t xml:space="preserve"> </w:t>
      </w:r>
      <w:r w:rsidR="00BB5745" w:rsidRPr="00BB5745">
        <w:rPr>
          <w:lang w:val="en-GB"/>
        </w:rPr>
        <w:t xml:space="preserve">blue, </w:t>
      </w:r>
      <w:r w:rsidR="00A672D8" w:rsidRPr="00BB5745">
        <w:rPr>
          <w:lang w:val="en-GB"/>
        </w:rPr>
        <w:t>green,</w:t>
      </w:r>
      <w:r w:rsidR="00BB5745" w:rsidRPr="00BB5745">
        <w:rPr>
          <w:lang w:val="en-GB"/>
        </w:rPr>
        <w:t xml:space="preserve"> and circular economy accelerators</w:t>
      </w:r>
      <w:r w:rsidR="0034643A">
        <w:rPr>
          <w:lang w:val="en-GB"/>
        </w:rPr>
        <w:t>:</w:t>
      </w:r>
      <w:r w:rsidR="0034643A" w:rsidRPr="00BB5745">
        <w:rPr>
          <w:lang w:val="en-GB"/>
        </w:rPr>
        <w:t xml:space="preserve"> </w:t>
      </w:r>
      <w:r w:rsidR="0034643A">
        <w:rPr>
          <w:lang w:val="en-GB"/>
        </w:rPr>
        <w:t>E</w:t>
      </w:r>
      <w:r w:rsidR="00BB5745" w:rsidRPr="00BB5745">
        <w:rPr>
          <w:lang w:val="en-GB"/>
        </w:rPr>
        <w:t>co-tourism, agribusiness, sustainable fisheries, digital services, and waste management. In partnership with business organi</w:t>
      </w:r>
      <w:r w:rsidR="0034643A">
        <w:rPr>
          <w:lang w:val="en-GB"/>
        </w:rPr>
        <w:t>z</w:t>
      </w:r>
      <w:r w:rsidR="00BB5745" w:rsidRPr="00BB5745">
        <w:rPr>
          <w:lang w:val="en-GB"/>
        </w:rPr>
        <w:t xml:space="preserve">ations and the AfDB, UNDP will enhance business and entrepreneurial ecosystems </w:t>
      </w:r>
      <w:r w:rsidR="0034643A">
        <w:rPr>
          <w:lang w:val="en-GB"/>
        </w:rPr>
        <w:t>in</w:t>
      </w:r>
      <w:r w:rsidR="0034643A" w:rsidRPr="00BB5745">
        <w:rPr>
          <w:lang w:val="en-GB"/>
        </w:rPr>
        <w:t xml:space="preserve"> </w:t>
      </w:r>
      <w:r w:rsidR="00BB5745" w:rsidRPr="00BB5745">
        <w:rPr>
          <w:lang w:val="en-GB"/>
        </w:rPr>
        <w:t>the development of digital innovations to strengthen market intelligence services</w:t>
      </w:r>
      <w:r w:rsidR="0034643A">
        <w:rPr>
          <w:lang w:val="en-GB"/>
        </w:rPr>
        <w:t xml:space="preserve"> so </w:t>
      </w:r>
      <w:r w:rsidR="00BB5745" w:rsidRPr="00BB5745">
        <w:rPr>
          <w:lang w:val="en-GB"/>
        </w:rPr>
        <w:t xml:space="preserve">local businesses </w:t>
      </w:r>
      <w:r w:rsidR="0034643A">
        <w:rPr>
          <w:lang w:val="en-GB"/>
        </w:rPr>
        <w:t>can</w:t>
      </w:r>
      <w:r w:rsidR="0034643A" w:rsidRPr="00BB5745">
        <w:rPr>
          <w:lang w:val="en-GB"/>
        </w:rPr>
        <w:t xml:space="preserve"> </w:t>
      </w:r>
      <w:r w:rsidR="00BB5745" w:rsidRPr="00BB5745">
        <w:rPr>
          <w:lang w:val="en-GB"/>
        </w:rPr>
        <w:t xml:space="preserve">identify critical markets for economic diversification and regional trade opportunities, improving </w:t>
      </w:r>
      <w:r w:rsidR="0034643A">
        <w:rPr>
          <w:lang w:val="en-GB"/>
        </w:rPr>
        <w:t>S</w:t>
      </w:r>
      <w:r w:rsidR="00BB5745" w:rsidRPr="00BB5745">
        <w:rPr>
          <w:lang w:val="en-GB"/>
        </w:rPr>
        <w:t>outh-</w:t>
      </w:r>
      <w:r w:rsidR="0034643A">
        <w:rPr>
          <w:lang w:val="en-GB"/>
        </w:rPr>
        <w:t>S</w:t>
      </w:r>
      <w:r w:rsidR="00BB5745" w:rsidRPr="00BB5745">
        <w:rPr>
          <w:lang w:val="en-GB"/>
        </w:rPr>
        <w:t xml:space="preserve">outh economic cooperation and </w:t>
      </w:r>
      <w:r w:rsidR="0034643A">
        <w:rPr>
          <w:lang w:val="en-GB"/>
        </w:rPr>
        <w:t>national</w:t>
      </w:r>
      <w:r w:rsidR="0034643A" w:rsidRPr="00BB5745">
        <w:rPr>
          <w:lang w:val="en-GB"/>
        </w:rPr>
        <w:t xml:space="preserve"> </w:t>
      </w:r>
      <w:r w:rsidR="00BB5745" w:rsidRPr="00BB5745">
        <w:rPr>
          <w:lang w:val="en-GB"/>
        </w:rPr>
        <w:t xml:space="preserve">integration in the African Continental Free Trade Area. </w:t>
      </w:r>
    </w:p>
    <w:p w14:paraId="4D7F1DA1" w14:textId="5B672226" w:rsidR="00BB5745" w:rsidRPr="00BB5745" w:rsidRDefault="0034643A" w:rsidP="00B13D1B">
      <w:pPr>
        <w:pStyle w:val="ListParagraph"/>
        <w:numPr>
          <w:ilvl w:val="0"/>
          <w:numId w:val="6"/>
        </w:numPr>
        <w:tabs>
          <w:tab w:val="left" w:pos="1620"/>
        </w:tabs>
        <w:spacing w:after="120"/>
        <w:ind w:left="1260" w:right="1210" w:firstLine="0"/>
        <w:jc w:val="both"/>
        <w:rPr>
          <w:lang w:val="en-GB"/>
        </w:rPr>
      </w:pPr>
      <w:r>
        <w:rPr>
          <w:lang w:val="en-GB"/>
        </w:rPr>
        <w:t>The collaboration between UNDP and the</w:t>
      </w:r>
      <w:r w:rsidRPr="00BB5745">
        <w:rPr>
          <w:lang w:val="en-GB"/>
        </w:rPr>
        <w:t xml:space="preserve"> </w:t>
      </w:r>
      <w:r w:rsidR="00BB5745" w:rsidRPr="00BB5745">
        <w:rPr>
          <w:lang w:val="en-GB"/>
        </w:rPr>
        <w:t xml:space="preserve">Ministry of Trade and Industry will support legal and policy reforms of the business enabling environment </w:t>
      </w:r>
      <w:r>
        <w:rPr>
          <w:lang w:val="en-GB"/>
        </w:rPr>
        <w:t>and further facilitate</w:t>
      </w:r>
      <w:r w:rsidR="00BB5745" w:rsidRPr="00BB5745">
        <w:rPr>
          <w:lang w:val="en-GB"/>
        </w:rPr>
        <w:t xml:space="preserve"> the implementation of the Blue and Green Economy Strategy. Technical assistance </w:t>
      </w:r>
      <w:r>
        <w:rPr>
          <w:lang w:val="en-GB"/>
        </w:rPr>
        <w:t>will inform the</w:t>
      </w:r>
      <w:r w:rsidR="00BB5745" w:rsidRPr="00BB5745">
        <w:rPr>
          <w:lang w:val="en-GB"/>
        </w:rPr>
        <w:t xml:space="preserve"> creation of a dedicated legal and regulatory framework for start-ups and micro and small</w:t>
      </w:r>
      <w:r w:rsidR="009C5264">
        <w:rPr>
          <w:lang w:val="en-GB"/>
        </w:rPr>
        <w:t xml:space="preserve"> </w:t>
      </w:r>
      <w:r w:rsidR="00BB5745" w:rsidRPr="00BB5745">
        <w:rPr>
          <w:lang w:val="en-GB"/>
        </w:rPr>
        <w:t>enterprises</w:t>
      </w:r>
      <w:r>
        <w:rPr>
          <w:lang w:val="en-GB"/>
        </w:rPr>
        <w:t xml:space="preserve">, </w:t>
      </w:r>
      <w:r w:rsidR="00BB5745" w:rsidRPr="00BB5745">
        <w:rPr>
          <w:lang w:val="en-GB"/>
        </w:rPr>
        <w:t>encourag</w:t>
      </w:r>
      <w:r>
        <w:rPr>
          <w:lang w:val="en-GB"/>
        </w:rPr>
        <w:t>ing</w:t>
      </w:r>
      <w:r w:rsidR="00BB5745" w:rsidRPr="00BB5745">
        <w:rPr>
          <w:lang w:val="en-GB"/>
        </w:rPr>
        <w:t xml:space="preserve"> operators in the informal sector to transition to the formal sector </w:t>
      </w:r>
      <w:r>
        <w:rPr>
          <w:lang w:val="en-GB"/>
        </w:rPr>
        <w:t>and</w:t>
      </w:r>
      <w:r w:rsidR="00BB5745" w:rsidRPr="00BB5745">
        <w:rPr>
          <w:lang w:val="en-GB"/>
        </w:rPr>
        <w:t xml:space="preserve">, amongst other things, create decent and more secure employment, particularly for women and youth. Support </w:t>
      </w:r>
      <w:r>
        <w:rPr>
          <w:lang w:val="en-GB"/>
        </w:rPr>
        <w:t xml:space="preserve">provided </w:t>
      </w:r>
      <w:r w:rsidR="00BB5745" w:rsidRPr="00BB5745">
        <w:rPr>
          <w:lang w:val="en-GB"/>
        </w:rPr>
        <w:t xml:space="preserve">to the Youth Connect Programme will </w:t>
      </w:r>
      <w:r>
        <w:rPr>
          <w:lang w:val="en-GB"/>
        </w:rPr>
        <w:t>help</w:t>
      </w:r>
      <w:r w:rsidRPr="00BB5745">
        <w:rPr>
          <w:lang w:val="en-GB"/>
        </w:rPr>
        <w:t xml:space="preserve"> </w:t>
      </w:r>
      <w:r w:rsidR="00BB5745" w:rsidRPr="00BB5745">
        <w:rPr>
          <w:lang w:val="en-GB"/>
        </w:rPr>
        <w:t>young people develop innovative business ideas and community-based solutions for SDG acceleration.</w:t>
      </w:r>
    </w:p>
    <w:p w14:paraId="72FEE086" w14:textId="4B63D121" w:rsidR="004E2B1B" w:rsidRPr="004F0BA9" w:rsidRDefault="0034643A" w:rsidP="003F4315">
      <w:pPr>
        <w:pStyle w:val="ListParagraph"/>
        <w:numPr>
          <w:ilvl w:val="0"/>
          <w:numId w:val="6"/>
        </w:numPr>
        <w:tabs>
          <w:tab w:val="left" w:pos="1620"/>
        </w:tabs>
        <w:spacing w:after="120"/>
        <w:ind w:left="1260" w:right="1210" w:firstLine="0"/>
        <w:jc w:val="both"/>
        <w:rPr>
          <w:lang w:val="en-GB"/>
        </w:rPr>
      </w:pPr>
      <w:r>
        <w:rPr>
          <w:lang w:val="en-GB"/>
        </w:rPr>
        <w:lastRenderedPageBreak/>
        <w:t>Along</w:t>
      </w:r>
      <w:r w:rsidR="00210269" w:rsidRPr="00FB168A">
        <w:rPr>
          <w:lang w:val="en-GB"/>
        </w:rPr>
        <w:t xml:space="preserve"> with</w:t>
      </w:r>
      <w:r w:rsidR="004955D8" w:rsidRPr="00FB168A">
        <w:rPr>
          <w:lang w:val="en-GB"/>
        </w:rPr>
        <w:t xml:space="preserve"> the Ministr</w:t>
      </w:r>
      <w:r>
        <w:rPr>
          <w:lang w:val="en-GB"/>
        </w:rPr>
        <w:t>y</w:t>
      </w:r>
      <w:r w:rsidR="004955D8" w:rsidRPr="00FB168A">
        <w:rPr>
          <w:lang w:val="en-GB"/>
        </w:rPr>
        <w:t xml:space="preserve"> of Agriculture</w:t>
      </w:r>
      <w:r>
        <w:rPr>
          <w:lang w:val="en-GB"/>
        </w:rPr>
        <w:t xml:space="preserve">, </w:t>
      </w:r>
      <w:r w:rsidR="00210269" w:rsidRPr="00FB168A">
        <w:rPr>
          <w:lang w:val="en-GB"/>
        </w:rPr>
        <w:t xml:space="preserve">FAO, </w:t>
      </w:r>
      <w:r>
        <w:rPr>
          <w:lang w:val="en-GB"/>
        </w:rPr>
        <w:t>the International Labour Organization (</w:t>
      </w:r>
      <w:r w:rsidR="00210269" w:rsidRPr="00FB168A">
        <w:rPr>
          <w:lang w:val="en-GB"/>
        </w:rPr>
        <w:t>ILO</w:t>
      </w:r>
      <w:r>
        <w:rPr>
          <w:lang w:val="en-GB"/>
        </w:rPr>
        <w:t>)</w:t>
      </w:r>
      <w:r w:rsidR="00210269" w:rsidRPr="00FB168A">
        <w:rPr>
          <w:lang w:val="en-GB"/>
        </w:rPr>
        <w:t xml:space="preserve">, WFP, </w:t>
      </w:r>
      <w:r>
        <w:rPr>
          <w:lang w:val="en-GB"/>
        </w:rPr>
        <w:t xml:space="preserve">the </w:t>
      </w:r>
      <w:r w:rsidRPr="0034643A">
        <w:rPr>
          <w:lang w:val="en-GB"/>
        </w:rPr>
        <w:t>International Fund for Agricultural Development</w:t>
      </w:r>
      <w:r>
        <w:rPr>
          <w:lang w:val="en-GB"/>
        </w:rPr>
        <w:t xml:space="preserve"> (</w:t>
      </w:r>
      <w:r w:rsidR="00210269" w:rsidRPr="00FB168A">
        <w:rPr>
          <w:lang w:val="en-GB"/>
        </w:rPr>
        <w:t>IFAD</w:t>
      </w:r>
      <w:r>
        <w:rPr>
          <w:lang w:val="en-GB"/>
        </w:rPr>
        <w:t>),</w:t>
      </w:r>
      <w:r w:rsidR="00210269" w:rsidRPr="00FB168A">
        <w:rPr>
          <w:lang w:val="en-GB"/>
        </w:rPr>
        <w:t xml:space="preserve"> and Af</w:t>
      </w:r>
      <w:r w:rsidR="0088442D" w:rsidRPr="00FB168A">
        <w:rPr>
          <w:lang w:val="en-GB"/>
        </w:rPr>
        <w:t>DB</w:t>
      </w:r>
      <w:r w:rsidR="00210269" w:rsidRPr="00FB168A">
        <w:rPr>
          <w:lang w:val="en-GB"/>
        </w:rPr>
        <w:t xml:space="preserve">, UNDP will pilot innovative and integrated approaches to </w:t>
      </w:r>
      <w:r>
        <w:rPr>
          <w:lang w:val="en-GB"/>
        </w:rPr>
        <w:t>improve</w:t>
      </w:r>
      <w:r w:rsidRPr="00FB168A">
        <w:rPr>
          <w:lang w:val="en-GB"/>
        </w:rPr>
        <w:t xml:space="preserve"> </w:t>
      </w:r>
      <w:r w:rsidR="00210269" w:rsidRPr="00FB168A">
        <w:rPr>
          <w:lang w:val="en-GB"/>
        </w:rPr>
        <w:t>the sustainable use of natural resources in agr</w:t>
      </w:r>
      <w:r w:rsidR="00731163" w:rsidRPr="00FB168A">
        <w:rPr>
          <w:lang w:val="en-GB"/>
        </w:rPr>
        <w:t>i</w:t>
      </w:r>
      <w:r w:rsidR="00210269" w:rsidRPr="00FB168A">
        <w:rPr>
          <w:lang w:val="en-GB"/>
        </w:rPr>
        <w:t>business value chains by promoting climate</w:t>
      </w:r>
      <w:r w:rsidR="00731163" w:rsidRPr="00FB168A">
        <w:rPr>
          <w:lang w:val="en-GB"/>
        </w:rPr>
        <w:t>-</w:t>
      </w:r>
      <w:r w:rsidR="00210269" w:rsidRPr="00FB168A">
        <w:rPr>
          <w:lang w:val="en-GB"/>
        </w:rPr>
        <w:t xml:space="preserve">smart </w:t>
      </w:r>
      <w:r w:rsidR="006C6B4F">
        <w:rPr>
          <w:lang w:val="en-GB"/>
        </w:rPr>
        <w:t xml:space="preserve">and sustainable </w:t>
      </w:r>
      <w:r w:rsidR="00210269" w:rsidRPr="00FB168A">
        <w:rPr>
          <w:lang w:val="en-GB"/>
        </w:rPr>
        <w:t>agricultural and fisheries practices</w:t>
      </w:r>
      <w:r>
        <w:rPr>
          <w:lang w:val="en-GB"/>
        </w:rPr>
        <w:t>,</w:t>
      </w:r>
      <w:r w:rsidR="00210269" w:rsidRPr="00FB168A">
        <w:rPr>
          <w:lang w:val="en-GB"/>
        </w:rPr>
        <w:t xml:space="preserve"> and the development of sustainable value chains in the blue and green economy. Interventions will </w:t>
      </w:r>
      <w:r w:rsidR="006C6B4F" w:rsidRPr="00FB168A">
        <w:rPr>
          <w:lang w:val="en-GB"/>
        </w:rPr>
        <w:t>strengthen</w:t>
      </w:r>
      <w:r w:rsidR="0040607A" w:rsidRPr="00FB168A">
        <w:rPr>
          <w:lang w:val="en-GB"/>
        </w:rPr>
        <w:t xml:space="preserve"> </w:t>
      </w:r>
      <w:r w:rsidR="00210269" w:rsidRPr="00FB168A">
        <w:rPr>
          <w:lang w:val="en-GB"/>
        </w:rPr>
        <w:t>business management</w:t>
      </w:r>
      <w:r w:rsidR="0040607A" w:rsidRPr="00FB168A">
        <w:rPr>
          <w:lang w:val="en-GB"/>
        </w:rPr>
        <w:t xml:space="preserve"> skills</w:t>
      </w:r>
      <w:r w:rsidR="006C6B4F">
        <w:rPr>
          <w:lang w:val="en-GB"/>
        </w:rPr>
        <w:t xml:space="preserve"> of women in the </w:t>
      </w:r>
      <w:r w:rsidR="006C6B4F" w:rsidRPr="006C6B4F">
        <w:rPr>
          <w:lang w:val="en-GB"/>
        </w:rPr>
        <w:t>agribusiness sector</w:t>
      </w:r>
      <w:r w:rsidR="006C6B4F">
        <w:rPr>
          <w:lang w:val="en-GB"/>
        </w:rPr>
        <w:t xml:space="preserve"> </w:t>
      </w:r>
      <w:r>
        <w:rPr>
          <w:lang w:val="en-GB"/>
        </w:rPr>
        <w:t>and introduce</w:t>
      </w:r>
      <w:r w:rsidRPr="00FB168A">
        <w:rPr>
          <w:lang w:val="en-GB"/>
        </w:rPr>
        <w:t xml:space="preserve"> </w:t>
      </w:r>
      <w:r w:rsidR="00210269" w:rsidRPr="00FB168A">
        <w:rPr>
          <w:lang w:val="en-GB"/>
        </w:rPr>
        <w:t xml:space="preserve">innovative solutions </w:t>
      </w:r>
      <w:r>
        <w:rPr>
          <w:lang w:val="en-GB"/>
        </w:rPr>
        <w:t>that</w:t>
      </w:r>
      <w:r w:rsidRPr="00FB168A">
        <w:rPr>
          <w:lang w:val="en-GB"/>
        </w:rPr>
        <w:t xml:space="preserve"> </w:t>
      </w:r>
      <w:r w:rsidR="00210269" w:rsidRPr="00FB168A">
        <w:rPr>
          <w:lang w:val="en-GB"/>
        </w:rPr>
        <w:t>enhance productivity and resilience</w:t>
      </w:r>
      <w:r>
        <w:rPr>
          <w:lang w:val="en-GB"/>
        </w:rPr>
        <w:t>,</w:t>
      </w:r>
      <w:r w:rsidR="00B851EA">
        <w:rPr>
          <w:lang w:val="en-GB"/>
        </w:rPr>
        <w:t xml:space="preserve"> </w:t>
      </w:r>
      <w:r w:rsidR="006C6B4F">
        <w:rPr>
          <w:lang w:val="en-GB"/>
        </w:rPr>
        <w:t xml:space="preserve">and </w:t>
      </w:r>
      <w:r>
        <w:rPr>
          <w:lang w:val="en-GB"/>
        </w:rPr>
        <w:t>improve</w:t>
      </w:r>
      <w:r w:rsidRPr="00FB168A">
        <w:rPr>
          <w:lang w:val="en-GB"/>
        </w:rPr>
        <w:t xml:space="preserve"> </w:t>
      </w:r>
      <w:r w:rsidR="00210269" w:rsidRPr="00FB168A">
        <w:rPr>
          <w:lang w:val="en-GB"/>
        </w:rPr>
        <w:t>the quality o</w:t>
      </w:r>
      <w:r w:rsidR="006C6B4F">
        <w:rPr>
          <w:lang w:val="en-GB"/>
        </w:rPr>
        <w:t xml:space="preserve">f </w:t>
      </w:r>
      <w:r w:rsidR="00210269" w:rsidRPr="00FB168A">
        <w:rPr>
          <w:lang w:val="en-GB"/>
        </w:rPr>
        <w:t>product</w:t>
      </w:r>
      <w:r w:rsidR="003A5584" w:rsidRPr="00FB168A">
        <w:rPr>
          <w:lang w:val="en-GB"/>
        </w:rPr>
        <w:t xml:space="preserve">s </w:t>
      </w:r>
      <w:r w:rsidR="00210269" w:rsidRPr="00FB168A">
        <w:rPr>
          <w:lang w:val="en-GB"/>
        </w:rPr>
        <w:t xml:space="preserve">to achieve greater </w:t>
      </w:r>
      <w:r w:rsidRPr="00FB168A">
        <w:rPr>
          <w:lang w:val="en-GB"/>
        </w:rPr>
        <w:t>infiltration</w:t>
      </w:r>
      <w:r w:rsidR="00210269" w:rsidRPr="00FB168A">
        <w:rPr>
          <w:lang w:val="en-GB"/>
        </w:rPr>
        <w:t xml:space="preserve"> in domestic and</w:t>
      </w:r>
      <w:r w:rsidR="00731163" w:rsidRPr="00FB168A">
        <w:rPr>
          <w:lang w:val="en-GB"/>
        </w:rPr>
        <w:t xml:space="preserve"> regional </w:t>
      </w:r>
      <w:r w:rsidR="00210269" w:rsidRPr="00FB168A">
        <w:rPr>
          <w:lang w:val="en-GB"/>
        </w:rPr>
        <w:t>export markets.</w:t>
      </w:r>
      <w:bookmarkStart w:id="2" w:name="_Hlk115887706"/>
    </w:p>
    <w:bookmarkEnd w:id="2"/>
    <w:p w14:paraId="40292BD4" w14:textId="26B9228B" w:rsidR="0040479D" w:rsidRPr="00074431" w:rsidRDefault="0040479D" w:rsidP="003F4315">
      <w:pPr>
        <w:tabs>
          <w:tab w:val="left" w:pos="1620"/>
        </w:tabs>
        <w:spacing w:after="120"/>
        <w:ind w:left="1260" w:right="1210"/>
        <w:jc w:val="both"/>
        <w:rPr>
          <w:b/>
          <w:bCs/>
          <w:lang w:val="en-GB"/>
        </w:rPr>
      </w:pPr>
      <w:r w:rsidRPr="00074431">
        <w:rPr>
          <w:b/>
          <w:bCs/>
          <w:lang w:val="en-GB"/>
        </w:rPr>
        <w:t>Priority 4: Transparent and accountable institutions (Outcome 4)</w:t>
      </w:r>
    </w:p>
    <w:p w14:paraId="06833B3C" w14:textId="4E0FCD15" w:rsidR="0040479D" w:rsidRPr="00FB168A" w:rsidRDefault="0040479D" w:rsidP="00B13D1B">
      <w:pPr>
        <w:pStyle w:val="ListParagraph"/>
        <w:numPr>
          <w:ilvl w:val="0"/>
          <w:numId w:val="6"/>
        </w:numPr>
        <w:tabs>
          <w:tab w:val="left" w:pos="1620"/>
        </w:tabs>
        <w:spacing w:after="120"/>
        <w:ind w:left="1260" w:right="1210" w:firstLine="0"/>
        <w:jc w:val="both"/>
        <w:rPr>
          <w:lang w:val="en-GB"/>
        </w:rPr>
      </w:pPr>
      <w:r w:rsidRPr="00FB168A">
        <w:rPr>
          <w:lang w:val="en-GB"/>
        </w:rPr>
        <w:t xml:space="preserve">Aligned with </w:t>
      </w:r>
      <w:r w:rsidR="0034643A">
        <w:rPr>
          <w:lang w:val="en-GB"/>
        </w:rPr>
        <w:t xml:space="preserve">the </w:t>
      </w:r>
      <w:r w:rsidRPr="00FB168A">
        <w:rPr>
          <w:lang w:val="en-GB"/>
        </w:rPr>
        <w:t>UNDP Renewed Governance and Peacebuilding Framework for Africa, 2022-2025, the programme will adopt a broad, whole-of-government</w:t>
      </w:r>
      <w:r w:rsidR="0034643A">
        <w:rPr>
          <w:lang w:val="en-GB"/>
        </w:rPr>
        <w:t xml:space="preserve"> and</w:t>
      </w:r>
      <w:r w:rsidRPr="00FB168A">
        <w:rPr>
          <w:lang w:val="en-GB"/>
        </w:rPr>
        <w:t xml:space="preserve"> human rights-based approach that supports upstream policy </w:t>
      </w:r>
      <w:r w:rsidR="0034643A" w:rsidRPr="00FB168A">
        <w:rPr>
          <w:lang w:val="en-GB"/>
        </w:rPr>
        <w:t>development</w:t>
      </w:r>
      <w:r w:rsidR="0034643A">
        <w:rPr>
          <w:lang w:val="en-GB"/>
        </w:rPr>
        <w:t xml:space="preserve"> and</w:t>
      </w:r>
      <w:r w:rsidRPr="00FB168A">
        <w:rPr>
          <w:lang w:val="en-GB"/>
        </w:rPr>
        <w:t xml:space="preserve"> strengthens the capacity of institutions to deliver effective and efficient </w:t>
      </w:r>
      <w:r w:rsidR="0034643A">
        <w:rPr>
          <w:lang w:val="en-GB"/>
        </w:rPr>
        <w:t>socioeconomic</w:t>
      </w:r>
      <w:r w:rsidRPr="00FB168A">
        <w:rPr>
          <w:lang w:val="en-GB"/>
        </w:rPr>
        <w:t xml:space="preserve">, financial, environmental, and justice services to all citizens. </w:t>
      </w:r>
      <w:r w:rsidR="0034643A">
        <w:rPr>
          <w:lang w:val="en-GB"/>
        </w:rPr>
        <w:t>The foundation of s</w:t>
      </w:r>
      <w:r w:rsidR="00630792" w:rsidRPr="00FB168A">
        <w:rPr>
          <w:lang w:val="en-GB"/>
        </w:rPr>
        <w:t>olutions are</w:t>
      </w:r>
      <w:r w:rsidRPr="00FB168A">
        <w:rPr>
          <w:lang w:val="en-GB"/>
        </w:rPr>
        <w:t xml:space="preserve"> the core principles of accountability, transparency, sustainability, inclusivity, and equity. </w:t>
      </w:r>
      <w:r w:rsidR="002B06FB" w:rsidRPr="00FB168A">
        <w:rPr>
          <w:lang w:val="en-GB"/>
        </w:rPr>
        <w:t>South-</w:t>
      </w:r>
      <w:r w:rsidR="0034643A">
        <w:rPr>
          <w:lang w:val="en-GB"/>
        </w:rPr>
        <w:t>S</w:t>
      </w:r>
      <w:r w:rsidR="002B06FB" w:rsidRPr="00FB168A">
        <w:rPr>
          <w:lang w:val="en-GB"/>
        </w:rPr>
        <w:t>outh cooperation and learning through the E</w:t>
      </w:r>
      <w:r w:rsidR="0034643A">
        <w:rPr>
          <w:lang w:val="en-GB"/>
        </w:rPr>
        <w:t xml:space="preserve">uropean </w:t>
      </w:r>
      <w:r w:rsidR="00430E32">
        <w:rPr>
          <w:lang w:val="en-GB"/>
        </w:rPr>
        <w:t>Union-funded</w:t>
      </w:r>
      <w:r w:rsidR="002B06FB" w:rsidRPr="00FB168A">
        <w:rPr>
          <w:lang w:val="en-GB"/>
        </w:rPr>
        <w:t xml:space="preserve"> </w:t>
      </w:r>
      <w:r w:rsidR="00B3725D" w:rsidRPr="00B3725D">
        <w:rPr>
          <w:lang w:val="en-GB"/>
        </w:rPr>
        <w:t xml:space="preserve">Programme for Consolidating Economic Governance and Public Finance Management Systems (PFMS) in Portuguese-speaking African Countries, </w:t>
      </w:r>
      <w:r w:rsidRPr="00FB168A">
        <w:rPr>
          <w:lang w:val="en-GB"/>
        </w:rPr>
        <w:t xml:space="preserve">will support innovative, integrated management systems and </w:t>
      </w:r>
      <w:r w:rsidR="00346524">
        <w:rPr>
          <w:lang w:val="en-GB"/>
        </w:rPr>
        <w:t>information communication technology (</w:t>
      </w:r>
      <w:r w:rsidRPr="00FB168A">
        <w:rPr>
          <w:lang w:val="en-GB"/>
        </w:rPr>
        <w:t>ICT</w:t>
      </w:r>
      <w:r w:rsidR="00346524">
        <w:rPr>
          <w:lang w:val="en-GB"/>
        </w:rPr>
        <w:t xml:space="preserve">) </w:t>
      </w:r>
      <w:r w:rsidRPr="00FB168A">
        <w:rPr>
          <w:lang w:val="en-GB"/>
        </w:rPr>
        <w:t xml:space="preserve">based solutions to strengthen </w:t>
      </w:r>
      <w:r w:rsidR="00B850A4" w:rsidRPr="00FB168A">
        <w:rPr>
          <w:lang w:val="en-GB"/>
        </w:rPr>
        <w:t xml:space="preserve">internal and </w:t>
      </w:r>
      <w:r w:rsidRPr="00FB168A">
        <w:rPr>
          <w:lang w:val="en-GB"/>
        </w:rPr>
        <w:t>external control</w:t>
      </w:r>
      <w:r w:rsidR="00346524">
        <w:rPr>
          <w:lang w:val="en-GB"/>
        </w:rPr>
        <w:t>s</w:t>
      </w:r>
      <w:r w:rsidRPr="00FB168A">
        <w:rPr>
          <w:lang w:val="en-GB"/>
        </w:rPr>
        <w:t xml:space="preserve"> and </w:t>
      </w:r>
      <w:r w:rsidR="00346524">
        <w:rPr>
          <w:lang w:val="en-GB"/>
        </w:rPr>
        <w:t>audits</w:t>
      </w:r>
      <w:r w:rsidR="00346524" w:rsidRPr="00FB168A">
        <w:rPr>
          <w:lang w:val="en-GB"/>
        </w:rPr>
        <w:t xml:space="preserve"> </w:t>
      </w:r>
      <w:r w:rsidRPr="00FB168A">
        <w:rPr>
          <w:lang w:val="en-GB"/>
        </w:rPr>
        <w:t xml:space="preserve">of public </w:t>
      </w:r>
      <w:r w:rsidR="00B850A4" w:rsidRPr="00FB168A">
        <w:rPr>
          <w:lang w:val="en-GB"/>
        </w:rPr>
        <w:t>accounts</w:t>
      </w:r>
      <w:r w:rsidRPr="00FB168A">
        <w:rPr>
          <w:lang w:val="en-GB"/>
        </w:rPr>
        <w:t xml:space="preserve"> by </w:t>
      </w:r>
      <w:r w:rsidR="00346524">
        <w:rPr>
          <w:lang w:val="en-GB"/>
        </w:rPr>
        <w:t>p</w:t>
      </w:r>
      <w:r w:rsidRPr="00FB168A">
        <w:rPr>
          <w:lang w:val="en-GB"/>
        </w:rPr>
        <w:t>arliament</w:t>
      </w:r>
      <w:r w:rsidR="00346524">
        <w:rPr>
          <w:lang w:val="en-GB"/>
        </w:rPr>
        <w:t xml:space="preserve"> and</w:t>
      </w:r>
      <w:r w:rsidRPr="00FB168A">
        <w:rPr>
          <w:lang w:val="en-GB"/>
        </w:rPr>
        <w:t xml:space="preserve"> the Court of Auditors</w:t>
      </w:r>
      <w:r w:rsidR="00346524">
        <w:rPr>
          <w:lang w:val="en-GB"/>
        </w:rPr>
        <w:t xml:space="preserve">. The programme </w:t>
      </w:r>
      <w:r w:rsidR="00074167" w:rsidRPr="00FB168A">
        <w:rPr>
          <w:lang w:val="en-GB"/>
        </w:rPr>
        <w:t xml:space="preserve">will </w:t>
      </w:r>
      <w:r w:rsidR="002B06FB" w:rsidRPr="00FB168A">
        <w:rPr>
          <w:lang w:val="en-GB"/>
        </w:rPr>
        <w:t>test innovative approaches for social monitoring of public finance management.</w:t>
      </w:r>
    </w:p>
    <w:p w14:paraId="738430C1" w14:textId="68B00A60" w:rsidR="0040479D" w:rsidRPr="00FB168A" w:rsidRDefault="0040479D" w:rsidP="00B13D1B">
      <w:pPr>
        <w:pStyle w:val="ListParagraph"/>
        <w:numPr>
          <w:ilvl w:val="0"/>
          <w:numId w:val="6"/>
        </w:numPr>
        <w:tabs>
          <w:tab w:val="left" w:pos="1620"/>
        </w:tabs>
        <w:spacing w:after="120"/>
        <w:ind w:left="1260" w:right="1210" w:firstLine="0"/>
        <w:jc w:val="both"/>
        <w:rPr>
          <w:lang w:val="en-GB"/>
        </w:rPr>
      </w:pPr>
      <w:r w:rsidRPr="00FB168A">
        <w:rPr>
          <w:lang w:val="en-GB"/>
        </w:rPr>
        <w:t xml:space="preserve">In partnership with </w:t>
      </w:r>
      <w:r w:rsidR="00A77E44">
        <w:rPr>
          <w:lang w:val="en-GB"/>
        </w:rPr>
        <w:t xml:space="preserve">UNICEF, </w:t>
      </w:r>
      <w:r w:rsidR="000F5172">
        <w:rPr>
          <w:lang w:val="en-GB"/>
        </w:rPr>
        <w:t xml:space="preserve">UNFPA, </w:t>
      </w:r>
      <w:r w:rsidRPr="00FB168A">
        <w:rPr>
          <w:lang w:val="en-GB"/>
        </w:rPr>
        <w:t>the National Institute for Statistics</w:t>
      </w:r>
      <w:r w:rsidR="00346524">
        <w:rPr>
          <w:lang w:val="en-GB"/>
        </w:rPr>
        <w:t>,</w:t>
      </w:r>
      <w:r w:rsidRPr="00FB168A">
        <w:rPr>
          <w:lang w:val="en-GB"/>
        </w:rPr>
        <w:t xml:space="preserve"> and other data producers, </w:t>
      </w:r>
      <w:r w:rsidR="00630792" w:rsidRPr="00FB168A">
        <w:rPr>
          <w:lang w:val="en-GB"/>
        </w:rPr>
        <w:t>the programme</w:t>
      </w:r>
      <w:r w:rsidRPr="00FB168A">
        <w:rPr>
          <w:lang w:val="en-GB"/>
        </w:rPr>
        <w:t xml:space="preserve"> </w:t>
      </w:r>
      <w:r w:rsidR="00B850A4" w:rsidRPr="00FB168A">
        <w:rPr>
          <w:lang w:val="en-GB"/>
        </w:rPr>
        <w:t xml:space="preserve">will </w:t>
      </w:r>
      <w:r w:rsidRPr="00FB168A">
        <w:rPr>
          <w:lang w:val="en-GB"/>
        </w:rPr>
        <w:t xml:space="preserve">support </w:t>
      </w:r>
      <w:r w:rsidR="008227DC">
        <w:rPr>
          <w:lang w:val="en-GB"/>
        </w:rPr>
        <w:t>the upgrade of</w:t>
      </w:r>
      <w:r w:rsidR="008227DC" w:rsidRPr="00FB168A">
        <w:rPr>
          <w:lang w:val="en-GB"/>
        </w:rPr>
        <w:t xml:space="preserve"> </w:t>
      </w:r>
      <w:r w:rsidR="008227DC">
        <w:rPr>
          <w:lang w:val="en-GB"/>
        </w:rPr>
        <w:t xml:space="preserve">federal </w:t>
      </w:r>
      <w:r w:rsidRPr="00FB168A">
        <w:rPr>
          <w:lang w:val="en-GB"/>
        </w:rPr>
        <w:t xml:space="preserve">data </w:t>
      </w:r>
      <w:r w:rsidR="008227DC">
        <w:rPr>
          <w:lang w:val="en-GB"/>
        </w:rPr>
        <w:t>systems</w:t>
      </w:r>
      <w:r w:rsidRPr="00FB168A">
        <w:rPr>
          <w:lang w:val="en-GB"/>
        </w:rPr>
        <w:t xml:space="preserve"> </w:t>
      </w:r>
      <w:r w:rsidR="007D32CE">
        <w:rPr>
          <w:lang w:val="en-GB"/>
        </w:rPr>
        <w:t xml:space="preserve">to </w:t>
      </w:r>
      <w:r w:rsidRPr="00FB168A">
        <w:rPr>
          <w:lang w:val="en-GB"/>
        </w:rPr>
        <w:t xml:space="preserve">generate more disaggregated </w:t>
      </w:r>
      <w:r w:rsidR="007D32CE">
        <w:rPr>
          <w:lang w:val="en-GB"/>
        </w:rPr>
        <w:t xml:space="preserve">data </w:t>
      </w:r>
      <w:r w:rsidRPr="00FB168A">
        <w:rPr>
          <w:lang w:val="en-GB"/>
        </w:rPr>
        <w:t xml:space="preserve">for effective policy development and targeting. This will </w:t>
      </w:r>
      <w:r w:rsidR="008227DC">
        <w:rPr>
          <w:lang w:val="en-GB"/>
        </w:rPr>
        <w:t xml:space="preserve">inform </w:t>
      </w:r>
      <w:r w:rsidRPr="00FB168A">
        <w:rPr>
          <w:lang w:val="en-GB"/>
        </w:rPr>
        <w:t>interventions to strengthen institutional capacit</w:t>
      </w:r>
      <w:r w:rsidR="008227DC">
        <w:rPr>
          <w:lang w:val="en-GB"/>
        </w:rPr>
        <w:t>ies</w:t>
      </w:r>
      <w:r w:rsidRPr="00FB168A">
        <w:rPr>
          <w:lang w:val="en-GB"/>
        </w:rPr>
        <w:t xml:space="preserve"> for greater evidence-based policy coherence and </w:t>
      </w:r>
      <w:r w:rsidR="00C56B9E" w:rsidRPr="00FB168A">
        <w:rPr>
          <w:lang w:val="en-GB"/>
        </w:rPr>
        <w:t>accountability</w:t>
      </w:r>
      <w:r w:rsidR="008227DC">
        <w:rPr>
          <w:lang w:val="en-GB"/>
        </w:rPr>
        <w:t>,</w:t>
      </w:r>
      <w:r w:rsidR="00C56B9E" w:rsidRPr="00FB168A">
        <w:rPr>
          <w:lang w:val="en-GB"/>
        </w:rPr>
        <w:t xml:space="preserve"> and </w:t>
      </w:r>
      <w:r w:rsidRPr="00FB168A">
        <w:rPr>
          <w:lang w:val="en-GB"/>
        </w:rPr>
        <w:t>strengthen the National Planning System by aligning budgeting, planning, monitoring and resource mobilization efforts</w:t>
      </w:r>
      <w:r w:rsidR="008227DC">
        <w:rPr>
          <w:lang w:val="en-GB"/>
        </w:rPr>
        <w:t xml:space="preserve">, as well as </w:t>
      </w:r>
      <w:r w:rsidRPr="00FB168A">
        <w:rPr>
          <w:lang w:val="en-GB"/>
        </w:rPr>
        <w:t>aid coordination.</w:t>
      </w:r>
    </w:p>
    <w:p w14:paraId="4B2291EE" w14:textId="5EEB8D52" w:rsidR="0040479D" w:rsidRPr="00FB168A" w:rsidRDefault="008227DC" w:rsidP="00B13D1B">
      <w:pPr>
        <w:pStyle w:val="ListParagraph"/>
        <w:numPr>
          <w:ilvl w:val="0"/>
          <w:numId w:val="6"/>
        </w:numPr>
        <w:tabs>
          <w:tab w:val="left" w:pos="1620"/>
        </w:tabs>
        <w:spacing w:after="120"/>
        <w:ind w:left="1260" w:right="1210" w:firstLine="0"/>
        <w:jc w:val="both"/>
        <w:rPr>
          <w:lang w:val="en-GB"/>
        </w:rPr>
      </w:pPr>
      <w:r>
        <w:rPr>
          <w:lang w:val="en-GB"/>
        </w:rPr>
        <w:t>UNDP</w:t>
      </w:r>
      <w:r w:rsidR="007D32CE">
        <w:rPr>
          <w:lang w:val="en-GB"/>
        </w:rPr>
        <w:t xml:space="preserve"> </w:t>
      </w:r>
      <w:r w:rsidR="0040479D" w:rsidRPr="00FB168A">
        <w:rPr>
          <w:lang w:val="en-GB"/>
        </w:rPr>
        <w:t xml:space="preserve">will support </w:t>
      </w:r>
      <w:r w:rsidR="00084B88" w:rsidRPr="00FB168A">
        <w:rPr>
          <w:lang w:val="en-GB"/>
        </w:rPr>
        <w:t xml:space="preserve">the development of digital platforms for </w:t>
      </w:r>
      <w:r w:rsidR="0040479D" w:rsidRPr="00FB168A">
        <w:rPr>
          <w:lang w:val="en-GB"/>
        </w:rPr>
        <w:t xml:space="preserve">e-governance </w:t>
      </w:r>
      <w:r w:rsidR="00855E9A">
        <w:rPr>
          <w:lang w:val="en-GB"/>
        </w:rPr>
        <w:t xml:space="preserve">to </w:t>
      </w:r>
      <w:r w:rsidR="0040479D" w:rsidRPr="00FB168A">
        <w:rPr>
          <w:lang w:val="en-GB"/>
        </w:rPr>
        <w:t xml:space="preserve">enhance data management, </w:t>
      </w:r>
      <w:r w:rsidR="00C56B9E" w:rsidRPr="00FB168A">
        <w:rPr>
          <w:lang w:val="en-GB"/>
        </w:rPr>
        <w:t xml:space="preserve">accountability, </w:t>
      </w:r>
      <w:r w:rsidR="0040479D" w:rsidRPr="00FB168A">
        <w:rPr>
          <w:lang w:val="en-GB"/>
        </w:rPr>
        <w:t xml:space="preserve">transparency, and </w:t>
      </w:r>
      <w:r w:rsidR="00772601" w:rsidRPr="00FB168A">
        <w:rPr>
          <w:lang w:val="en-GB"/>
        </w:rPr>
        <w:t xml:space="preserve">improve </w:t>
      </w:r>
      <w:r w:rsidR="00B850A4" w:rsidRPr="00FB168A">
        <w:rPr>
          <w:lang w:val="en-GB"/>
        </w:rPr>
        <w:t>access to government products and services</w:t>
      </w:r>
      <w:r w:rsidR="00855E9A">
        <w:rPr>
          <w:lang w:val="en-GB"/>
        </w:rPr>
        <w:t>,</w:t>
      </w:r>
      <w:r w:rsidR="00B850A4" w:rsidRPr="00FB168A">
        <w:rPr>
          <w:lang w:val="en-GB"/>
        </w:rPr>
        <w:t xml:space="preserve"> </w:t>
      </w:r>
      <w:r w:rsidR="0040479D" w:rsidRPr="00FB168A">
        <w:rPr>
          <w:lang w:val="en-GB"/>
        </w:rPr>
        <w:t xml:space="preserve">particularly for </w:t>
      </w:r>
      <w:r w:rsidR="00084B88" w:rsidRPr="00FB168A">
        <w:rPr>
          <w:lang w:val="en-GB"/>
        </w:rPr>
        <w:t>businesses</w:t>
      </w:r>
      <w:r w:rsidR="00074167" w:rsidRPr="00FB168A">
        <w:rPr>
          <w:lang w:val="en-GB"/>
        </w:rPr>
        <w:t>,</w:t>
      </w:r>
      <w:r w:rsidR="00084B88" w:rsidRPr="00FB168A">
        <w:rPr>
          <w:lang w:val="en-GB"/>
        </w:rPr>
        <w:t xml:space="preserve"> </w:t>
      </w:r>
      <w:r w:rsidR="00BD6F2D" w:rsidRPr="00FB168A">
        <w:rPr>
          <w:lang w:val="en-GB"/>
        </w:rPr>
        <w:t xml:space="preserve">people </w:t>
      </w:r>
      <w:r>
        <w:rPr>
          <w:lang w:val="en-GB"/>
        </w:rPr>
        <w:t xml:space="preserve">living </w:t>
      </w:r>
      <w:r w:rsidR="00BD6F2D" w:rsidRPr="00FB168A">
        <w:rPr>
          <w:lang w:val="en-GB"/>
        </w:rPr>
        <w:t xml:space="preserve">with disabilities, </w:t>
      </w:r>
      <w:r w:rsidR="00084B88" w:rsidRPr="00FB168A">
        <w:rPr>
          <w:lang w:val="en-GB"/>
        </w:rPr>
        <w:t xml:space="preserve">and </w:t>
      </w:r>
      <w:r w:rsidR="0040479D" w:rsidRPr="00FB168A">
        <w:rPr>
          <w:lang w:val="en-GB"/>
        </w:rPr>
        <w:t>vulnerable</w:t>
      </w:r>
      <w:r w:rsidR="00772601" w:rsidRPr="00FB168A">
        <w:rPr>
          <w:lang w:val="en-GB"/>
        </w:rPr>
        <w:t xml:space="preserve">, </w:t>
      </w:r>
      <w:r w:rsidR="0040479D" w:rsidRPr="00FB168A">
        <w:rPr>
          <w:lang w:val="en-GB"/>
        </w:rPr>
        <w:t>marginali</w:t>
      </w:r>
      <w:r>
        <w:rPr>
          <w:lang w:val="en-GB"/>
        </w:rPr>
        <w:t>z</w:t>
      </w:r>
      <w:r w:rsidR="0040479D" w:rsidRPr="00FB168A">
        <w:rPr>
          <w:lang w:val="en-GB"/>
        </w:rPr>
        <w:t xml:space="preserve">ed </w:t>
      </w:r>
      <w:r w:rsidR="00772601" w:rsidRPr="00FB168A">
        <w:rPr>
          <w:lang w:val="en-GB"/>
        </w:rPr>
        <w:t xml:space="preserve">and remote </w:t>
      </w:r>
      <w:r w:rsidR="0040479D" w:rsidRPr="00FB168A">
        <w:rPr>
          <w:lang w:val="en-GB"/>
        </w:rPr>
        <w:t xml:space="preserve">populations. </w:t>
      </w:r>
      <w:r w:rsidR="00772601" w:rsidRPr="00FB168A">
        <w:rPr>
          <w:lang w:val="en-GB"/>
        </w:rPr>
        <w:t>Support</w:t>
      </w:r>
      <w:r>
        <w:rPr>
          <w:lang w:val="en-GB"/>
        </w:rPr>
        <w:t xml:space="preserve">ing </w:t>
      </w:r>
      <w:r w:rsidR="00772601" w:rsidRPr="00FB168A">
        <w:rPr>
          <w:lang w:val="en-GB"/>
        </w:rPr>
        <w:t xml:space="preserve">the adoption </w:t>
      </w:r>
      <w:r w:rsidR="0040479D" w:rsidRPr="00FB168A">
        <w:rPr>
          <w:lang w:val="en-GB"/>
        </w:rPr>
        <w:t xml:space="preserve">of norms and standards </w:t>
      </w:r>
      <w:r w:rsidR="00772601" w:rsidRPr="00FB168A">
        <w:rPr>
          <w:lang w:val="en-GB"/>
        </w:rPr>
        <w:t xml:space="preserve">relating to </w:t>
      </w:r>
      <w:r w:rsidR="0040479D" w:rsidRPr="00FB168A">
        <w:rPr>
          <w:lang w:val="en-GB"/>
        </w:rPr>
        <w:t xml:space="preserve">technological infrastructure </w:t>
      </w:r>
      <w:r w:rsidR="00225F42" w:rsidRPr="00FB168A">
        <w:rPr>
          <w:lang w:val="en-GB"/>
        </w:rPr>
        <w:t xml:space="preserve">will </w:t>
      </w:r>
      <w:r>
        <w:rPr>
          <w:lang w:val="en-GB"/>
        </w:rPr>
        <w:t>help</w:t>
      </w:r>
      <w:r w:rsidRPr="00FB168A">
        <w:rPr>
          <w:lang w:val="en-GB"/>
        </w:rPr>
        <w:t xml:space="preserve"> </w:t>
      </w:r>
      <w:r w:rsidR="0040479D" w:rsidRPr="00FB168A">
        <w:rPr>
          <w:lang w:val="en-GB"/>
        </w:rPr>
        <w:t>secure</w:t>
      </w:r>
      <w:r>
        <w:rPr>
          <w:lang w:val="en-GB"/>
        </w:rPr>
        <w:t xml:space="preserve"> the</w:t>
      </w:r>
      <w:r w:rsidR="0040479D" w:rsidRPr="00FB168A">
        <w:rPr>
          <w:lang w:val="en-GB"/>
        </w:rPr>
        <w:t xml:space="preserve"> digitalization of public services and </w:t>
      </w:r>
      <w:r w:rsidR="00984A96">
        <w:rPr>
          <w:lang w:val="en-GB"/>
        </w:rPr>
        <w:t xml:space="preserve">the </w:t>
      </w:r>
      <w:r w:rsidR="0040479D" w:rsidRPr="00FB168A">
        <w:rPr>
          <w:lang w:val="en-GB"/>
        </w:rPr>
        <w:t xml:space="preserve">protection of data and privacy rights. </w:t>
      </w:r>
      <w:bookmarkStart w:id="3" w:name="_Hlk114769013"/>
      <w:r w:rsidR="000F5172">
        <w:rPr>
          <w:lang w:val="en-GB"/>
        </w:rPr>
        <w:t xml:space="preserve">In partnership with </w:t>
      </w:r>
      <w:r w:rsidR="000F5172" w:rsidRPr="000F5172">
        <w:rPr>
          <w:lang w:val="en-GB"/>
        </w:rPr>
        <w:t xml:space="preserve">UNICEF, UNFPA, </w:t>
      </w:r>
      <w:r w:rsidR="000F5172">
        <w:rPr>
          <w:lang w:val="en-GB"/>
        </w:rPr>
        <w:t xml:space="preserve">WHO and </w:t>
      </w:r>
      <w:r>
        <w:rPr>
          <w:lang w:val="en-GB"/>
        </w:rPr>
        <w:t xml:space="preserve">the </w:t>
      </w:r>
      <w:r w:rsidR="000F5172">
        <w:rPr>
          <w:lang w:val="en-GB"/>
        </w:rPr>
        <w:t>AfDB, s</w:t>
      </w:r>
      <w:r w:rsidR="0040479D" w:rsidRPr="00FB168A">
        <w:rPr>
          <w:lang w:val="en-GB"/>
        </w:rPr>
        <w:t>upport</w:t>
      </w:r>
      <w:r>
        <w:rPr>
          <w:lang w:val="en-GB"/>
        </w:rPr>
        <w:t xml:space="preserve">ing </w:t>
      </w:r>
      <w:r w:rsidR="0040479D" w:rsidRPr="00FB168A">
        <w:rPr>
          <w:lang w:val="en-GB"/>
        </w:rPr>
        <w:t xml:space="preserve">the digital transformation of the justice sector </w:t>
      </w:r>
      <w:r w:rsidR="00855E9A">
        <w:rPr>
          <w:lang w:val="en-GB"/>
        </w:rPr>
        <w:t xml:space="preserve">and </w:t>
      </w:r>
      <w:r w:rsidR="00855E9A" w:rsidRPr="00855E9A">
        <w:rPr>
          <w:lang w:val="en-GB"/>
        </w:rPr>
        <w:t>e-justice services</w:t>
      </w:r>
      <w:r w:rsidR="00855E9A">
        <w:rPr>
          <w:lang w:val="en-GB"/>
        </w:rPr>
        <w:t xml:space="preserve"> </w:t>
      </w:r>
      <w:r w:rsidR="00993F7A" w:rsidRPr="00FB168A">
        <w:rPr>
          <w:lang w:val="en-GB"/>
        </w:rPr>
        <w:t xml:space="preserve">will facilitate </w:t>
      </w:r>
      <w:r w:rsidR="0040479D" w:rsidRPr="00FB168A">
        <w:rPr>
          <w:lang w:val="en-GB"/>
        </w:rPr>
        <w:t xml:space="preserve">more </w:t>
      </w:r>
      <w:r w:rsidR="00855E9A">
        <w:rPr>
          <w:lang w:val="en-GB"/>
        </w:rPr>
        <w:t xml:space="preserve">rapid, </w:t>
      </w:r>
      <w:r w:rsidR="0040479D" w:rsidRPr="00FB168A">
        <w:rPr>
          <w:lang w:val="en-GB"/>
        </w:rPr>
        <w:t>resilient, gender-sensitive, human rights-based</w:t>
      </w:r>
      <w:r w:rsidR="00921133">
        <w:rPr>
          <w:lang w:val="en-GB"/>
        </w:rPr>
        <w:t>,</w:t>
      </w:r>
      <w:r w:rsidR="0040479D" w:rsidRPr="00FB168A">
        <w:rPr>
          <w:lang w:val="en-GB"/>
        </w:rPr>
        <w:t xml:space="preserve"> and inclusive justice</w:t>
      </w:r>
      <w:bookmarkEnd w:id="3"/>
      <w:r w:rsidR="00993F7A" w:rsidRPr="00FB168A">
        <w:rPr>
          <w:lang w:val="en-GB"/>
        </w:rPr>
        <w:t xml:space="preserve">, </w:t>
      </w:r>
      <w:r w:rsidR="0040479D" w:rsidRPr="00FB168A">
        <w:rPr>
          <w:lang w:val="en-GB"/>
        </w:rPr>
        <w:t>bring</w:t>
      </w:r>
      <w:r w:rsidR="00074167" w:rsidRPr="00FB168A">
        <w:rPr>
          <w:lang w:val="en-GB"/>
        </w:rPr>
        <w:t>ing</w:t>
      </w:r>
      <w:r w:rsidR="0040479D" w:rsidRPr="00FB168A">
        <w:rPr>
          <w:lang w:val="en-GB"/>
        </w:rPr>
        <w:t xml:space="preserve"> </w:t>
      </w:r>
      <w:r w:rsidR="00855E9A">
        <w:rPr>
          <w:lang w:val="en-GB"/>
        </w:rPr>
        <w:t>it</w:t>
      </w:r>
      <w:r w:rsidR="0040479D" w:rsidRPr="00FB168A">
        <w:rPr>
          <w:lang w:val="en-GB"/>
        </w:rPr>
        <w:t xml:space="preserve"> closer to rural populations and </w:t>
      </w:r>
      <w:r w:rsidR="00074167" w:rsidRPr="00FB168A">
        <w:rPr>
          <w:lang w:val="en-GB"/>
        </w:rPr>
        <w:t>enhancing</w:t>
      </w:r>
      <w:r w:rsidR="0040479D" w:rsidRPr="00FB168A">
        <w:rPr>
          <w:lang w:val="en-GB"/>
        </w:rPr>
        <w:t xml:space="preserve"> judicial education and communication</w:t>
      </w:r>
      <w:r>
        <w:rPr>
          <w:lang w:val="en-GB"/>
        </w:rPr>
        <w:t xml:space="preserve"> services</w:t>
      </w:r>
      <w:r w:rsidR="0040479D" w:rsidRPr="00FB168A">
        <w:rPr>
          <w:lang w:val="en-GB"/>
        </w:rPr>
        <w:t>.</w:t>
      </w:r>
      <w:r w:rsidR="00855E9A">
        <w:rPr>
          <w:lang w:val="en-GB"/>
        </w:rPr>
        <w:t xml:space="preserve"> </w:t>
      </w:r>
      <w:r w:rsidR="00FD3E2B" w:rsidRPr="00FB168A">
        <w:rPr>
          <w:lang w:val="en-GB"/>
        </w:rPr>
        <w:t>Technical assistance will support the acceleration of the domestication of international human rights treaties</w:t>
      </w:r>
    </w:p>
    <w:p w14:paraId="1299CE2B" w14:textId="74247CE1" w:rsidR="00895D25" w:rsidRPr="00FB168A" w:rsidRDefault="00A77E44" w:rsidP="00B13D1B">
      <w:pPr>
        <w:pStyle w:val="ListParagraph"/>
        <w:numPr>
          <w:ilvl w:val="0"/>
          <w:numId w:val="6"/>
        </w:numPr>
        <w:tabs>
          <w:tab w:val="left" w:pos="1620"/>
        </w:tabs>
        <w:spacing w:after="120"/>
        <w:ind w:left="1260" w:right="1210" w:firstLine="0"/>
        <w:jc w:val="both"/>
        <w:rPr>
          <w:lang w:val="en-GB"/>
        </w:rPr>
      </w:pPr>
      <w:r w:rsidRPr="00A77E44">
        <w:rPr>
          <w:lang w:val="en-GB"/>
        </w:rPr>
        <w:t xml:space="preserve">In partnership with </w:t>
      </w:r>
      <w:r w:rsidR="00984A96">
        <w:rPr>
          <w:lang w:val="en-GB"/>
        </w:rPr>
        <w:t xml:space="preserve">the </w:t>
      </w:r>
      <w:r w:rsidR="008227DC">
        <w:rPr>
          <w:lang w:val="en-GB"/>
        </w:rPr>
        <w:t>U</w:t>
      </w:r>
      <w:r w:rsidR="008227DC" w:rsidRPr="008227DC">
        <w:rPr>
          <w:lang w:val="en-GB"/>
        </w:rPr>
        <w:t>nited Nations Entity for Gender Equality and the Empowerment of Women</w:t>
      </w:r>
      <w:r w:rsidR="008227DC">
        <w:rPr>
          <w:lang w:val="en-GB"/>
        </w:rPr>
        <w:t xml:space="preserve"> (</w:t>
      </w:r>
      <w:r w:rsidRPr="00A77E44">
        <w:rPr>
          <w:lang w:val="en-GB"/>
        </w:rPr>
        <w:t>UN</w:t>
      </w:r>
      <w:r w:rsidR="008227DC">
        <w:rPr>
          <w:lang w:val="en-GB"/>
        </w:rPr>
        <w:t xml:space="preserve"> </w:t>
      </w:r>
      <w:r w:rsidRPr="00A77E44">
        <w:rPr>
          <w:lang w:val="en-GB"/>
        </w:rPr>
        <w:t>Women</w:t>
      </w:r>
      <w:r w:rsidR="008227DC">
        <w:rPr>
          <w:lang w:val="en-GB"/>
        </w:rPr>
        <w:t>)</w:t>
      </w:r>
      <w:r>
        <w:rPr>
          <w:lang w:val="en-GB"/>
        </w:rPr>
        <w:t>, t</w:t>
      </w:r>
      <w:r w:rsidR="0040479D" w:rsidRPr="00FB168A">
        <w:rPr>
          <w:lang w:val="en-GB"/>
        </w:rPr>
        <w:t xml:space="preserve">he programme will enhance democratic governance </w:t>
      </w:r>
      <w:r w:rsidR="00A329A2">
        <w:rPr>
          <w:lang w:val="en-GB"/>
        </w:rPr>
        <w:t>by</w:t>
      </w:r>
      <w:r w:rsidR="00A329A2" w:rsidRPr="00FB168A">
        <w:rPr>
          <w:lang w:val="en-GB"/>
        </w:rPr>
        <w:t xml:space="preserve"> </w:t>
      </w:r>
      <w:r w:rsidR="0040479D" w:rsidRPr="00FB168A">
        <w:rPr>
          <w:lang w:val="en-GB"/>
        </w:rPr>
        <w:t>supporting the implementation of the gender parity law</w:t>
      </w:r>
      <w:r w:rsidR="00A329A2">
        <w:rPr>
          <w:lang w:val="en-GB"/>
        </w:rPr>
        <w:t xml:space="preserve"> and</w:t>
      </w:r>
      <w:r w:rsidR="0040479D" w:rsidRPr="00FB168A">
        <w:rPr>
          <w:lang w:val="en-GB"/>
        </w:rPr>
        <w:t xml:space="preserve"> </w:t>
      </w:r>
      <w:r w:rsidR="00A329A2">
        <w:rPr>
          <w:lang w:val="en-GB"/>
        </w:rPr>
        <w:t>introducing</w:t>
      </w:r>
      <w:r w:rsidR="00AC1CE4" w:rsidRPr="00FB168A">
        <w:rPr>
          <w:lang w:val="en-GB"/>
        </w:rPr>
        <w:t xml:space="preserve"> gender</w:t>
      </w:r>
      <w:r w:rsidR="0040479D" w:rsidRPr="00FB168A">
        <w:rPr>
          <w:lang w:val="en-GB"/>
        </w:rPr>
        <w:t xml:space="preserve">-budgeting and the adoption of innovative, ICT-based solutions to </w:t>
      </w:r>
      <w:r w:rsidR="00A329A2">
        <w:rPr>
          <w:lang w:val="en-GB"/>
        </w:rPr>
        <w:t>expand</w:t>
      </w:r>
      <w:r w:rsidR="00A329A2" w:rsidRPr="00FB168A">
        <w:rPr>
          <w:lang w:val="en-GB"/>
        </w:rPr>
        <w:t xml:space="preserve"> </w:t>
      </w:r>
      <w:r w:rsidR="0040479D" w:rsidRPr="00FB168A">
        <w:rPr>
          <w:lang w:val="en-GB"/>
        </w:rPr>
        <w:t>civic space</w:t>
      </w:r>
      <w:r w:rsidR="00A329A2">
        <w:rPr>
          <w:lang w:val="en-GB"/>
        </w:rPr>
        <w:t xml:space="preserve">, thereby </w:t>
      </w:r>
      <w:r w:rsidR="0040479D" w:rsidRPr="00FB168A">
        <w:rPr>
          <w:lang w:val="en-GB"/>
        </w:rPr>
        <w:t>engag</w:t>
      </w:r>
      <w:r w:rsidR="00A329A2">
        <w:rPr>
          <w:lang w:val="en-GB"/>
        </w:rPr>
        <w:t>ing</w:t>
      </w:r>
      <w:r w:rsidR="0040479D" w:rsidRPr="00FB168A">
        <w:rPr>
          <w:lang w:val="en-GB"/>
        </w:rPr>
        <w:t xml:space="preserve"> more women, youth, </w:t>
      </w:r>
      <w:r w:rsidR="006B2AD3">
        <w:rPr>
          <w:lang w:val="en-GB"/>
        </w:rPr>
        <w:t xml:space="preserve">and </w:t>
      </w:r>
      <w:r w:rsidR="0040479D" w:rsidRPr="00FB168A">
        <w:rPr>
          <w:lang w:val="en-GB"/>
        </w:rPr>
        <w:t xml:space="preserve">people </w:t>
      </w:r>
      <w:r w:rsidR="00A329A2">
        <w:rPr>
          <w:lang w:val="en-GB"/>
        </w:rPr>
        <w:t xml:space="preserve">living </w:t>
      </w:r>
      <w:r w:rsidR="0040479D" w:rsidRPr="00FB168A">
        <w:rPr>
          <w:lang w:val="en-GB"/>
        </w:rPr>
        <w:t>with disabilities</w:t>
      </w:r>
      <w:r w:rsidR="00A329A2">
        <w:rPr>
          <w:lang w:val="en-GB"/>
        </w:rPr>
        <w:t xml:space="preserve"> </w:t>
      </w:r>
      <w:r w:rsidR="0040479D" w:rsidRPr="00FB168A">
        <w:rPr>
          <w:lang w:val="en-GB"/>
        </w:rPr>
        <w:t>in policy dialogue and decision-making</w:t>
      </w:r>
      <w:r w:rsidR="00A329A2">
        <w:rPr>
          <w:lang w:val="en-GB"/>
        </w:rPr>
        <w:t xml:space="preserve"> processes</w:t>
      </w:r>
      <w:r w:rsidR="0040479D" w:rsidRPr="00FB168A">
        <w:rPr>
          <w:lang w:val="en-GB"/>
        </w:rPr>
        <w:t xml:space="preserve">. Support to electoral reform, including greater use of </w:t>
      </w:r>
      <w:r w:rsidR="00A329A2">
        <w:rPr>
          <w:lang w:val="en-GB"/>
        </w:rPr>
        <w:t>the digitized</w:t>
      </w:r>
      <w:r w:rsidR="0040479D" w:rsidRPr="00FB168A">
        <w:rPr>
          <w:lang w:val="en-GB"/>
        </w:rPr>
        <w:t xml:space="preserve"> and biometric civil registry system, will enhance the political participation of women, youth, and people living with disabilities</w:t>
      </w:r>
      <w:r w:rsidR="00A329A2">
        <w:rPr>
          <w:lang w:val="en-GB"/>
        </w:rPr>
        <w:t>,</w:t>
      </w:r>
      <w:r w:rsidR="0040479D" w:rsidRPr="00FB168A">
        <w:rPr>
          <w:lang w:val="en-GB"/>
        </w:rPr>
        <w:t xml:space="preserve"> and contribute to more transparent, inclusive</w:t>
      </w:r>
      <w:r w:rsidR="00A329A2">
        <w:rPr>
          <w:lang w:val="en-GB"/>
        </w:rPr>
        <w:t>,</w:t>
      </w:r>
      <w:r w:rsidR="0040479D" w:rsidRPr="00FB168A">
        <w:rPr>
          <w:lang w:val="en-GB"/>
        </w:rPr>
        <w:t xml:space="preserve"> and efficient electoral systems</w:t>
      </w:r>
      <w:r w:rsidR="00074167" w:rsidRPr="00FB168A">
        <w:rPr>
          <w:lang w:val="en-GB"/>
        </w:rPr>
        <w:t>.</w:t>
      </w:r>
    </w:p>
    <w:bookmarkEnd w:id="1"/>
    <w:p w14:paraId="09B1853F" w14:textId="22E90186" w:rsidR="0058408A" w:rsidRPr="00AC1CE4" w:rsidRDefault="0058408A" w:rsidP="003F4315">
      <w:pPr>
        <w:pStyle w:val="Heading1"/>
        <w:numPr>
          <w:ilvl w:val="0"/>
          <w:numId w:val="3"/>
        </w:numPr>
        <w:tabs>
          <w:tab w:val="left" w:pos="1620"/>
        </w:tabs>
        <w:spacing w:before="200" w:after="200"/>
        <w:ind w:left="1260" w:right="1210" w:hanging="360"/>
        <w:jc w:val="both"/>
        <w:rPr>
          <w:rFonts w:ascii="Times New Roman" w:hAnsi="Times New Roman"/>
          <w:color w:val="000000"/>
          <w:sz w:val="20"/>
          <w:lang w:val="en-GB"/>
        </w:rPr>
      </w:pPr>
      <w:r w:rsidRPr="00AC1CE4">
        <w:rPr>
          <w:rFonts w:ascii="Times New Roman" w:hAnsi="Times New Roman"/>
          <w:color w:val="000000"/>
          <w:sz w:val="24"/>
          <w:szCs w:val="24"/>
          <w:lang w:val="en-GB"/>
        </w:rPr>
        <w:lastRenderedPageBreak/>
        <w:t xml:space="preserve">Programme and </w:t>
      </w:r>
      <w:r w:rsidR="003F4315">
        <w:rPr>
          <w:rFonts w:ascii="Times New Roman" w:hAnsi="Times New Roman"/>
          <w:color w:val="000000"/>
          <w:sz w:val="24"/>
          <w:szCs w:val="24"/>
          <w:lang w:val="en-GB"/>
        </w:rPr>
        <w:t>r</w:t>
      </w:r>
      <w:r w:rsidRPr="00AC1CE4">
        <w:rPr>
          <w:rFonts w:ascii="Times New Roman" w:hAnsi="Times New Roman"/>
          <w:color w:val="000000"/>
          <w:sz w:val="24"/>
          <w:szCs w:val="24"/>
          <w:lang w:val="en-GB"/>
        </w:rPr>
        <w:t xml:space="preserve">isk </w:t>
      </w:r>
      <w:r w:rsidR="003F4315">
        <w:rPr>
          <w:rFonts w:ascii="Times New Roman" w:hAnsi="Times New Roman"/>
          <w:color w:val="000000"/>
          <w:sz w:val="24"/>
          <w:szCs w:val="24"/>
          <w:lang w:val="en-GB"/>
        </w:rPr>
        <w:t>m</w:t>
      </w:r>
      <w:r w:rsidRPr="00AC1CE4">
        <w:rPr>
          <w:rFonts w:ascii="Times New Roman" w:hAnsi="Times New Roman"/>
          <w:color w:val="000000"/>
          <w:sz w:val="24"/>
          <w:szCs w:val="24"/>
          <w:lang w:val="en-GB"/>
        </w:rPr>
        <w:t xml:space="preserve">anagement </w:t>
      </w:r>
    </w:p>
    <w:p w14:paraId="7A4B0A30" w14:textId="7BF0A5A8" w:rsidR="00AE13CA" w:rsidRPr="00FB168A" w:rsidRDefault="0CA9AA62" w:rsidP="00B13D1B">
      <w:pPr>
        <w:pStyle w:val="ListParagraph"/>
        <w:numPr>
          <w:ilvl w:val="0"/>
          <w:numId w:val="6"/>
        </w:numPr>
        <w:tabs>
          <w:tab w:val="left" w:pos="1620"/>
        </w:tabs>
        <w:spacing w:after="120"/>
        <w:ind w:left="1260" w:right="1210" w:firstLine="0"/>
        <w:jc w:val="both"/>
        <w:rPr>
          <w:color w:val="000000" w:themeColor="text1"/>
          <w:lang w:val="en-GB"/>
        </w:rPr>
      </w:pPr>
      <w:r w:rsidRPr="00FB168A">
        <w:rPr>
          <w:color w:val="000000" w:themeColor="text1"/>
          <w:lang w:val="en-GB"/>
        </w:rPr>
        <w:t xml:space="preserve">This country programme document outlines UNDP contributions to national results and serves as the primary unit of accountability to the Executive Board for results alignment and resources assigned to the programme at </w:t>
      </w:r>
      <w:r w:rsidR="00984A96">
        <w:rPr>
          <w:color w:val="000000" w:themeColor="text1"/>
          <w:lang w:val="en-GB"/>
        </w:rPr>
        <w:t xml:space="preserve">the </w:t>
      </w:r>
      <w:r w:rsidRPr="00FB168A">
        <w:rPr>
          <w:color w:val="000000" w:themeColor="text1"/>
          <w:lang w:val="en-GB"/>
        </w:rPr>
        <w:t xml:space="preserve">country level. </w:t>
      </w:r>
      <w:r w:rsidR="00BD26AE">
        <w:rPr>
          <w:color w:val="000000" w:themeColor="text1"/>
          <w:lang w:val="en-GB"/>
        </w:rPr>
        <w:t>Manager a</w:t>
      </w:r>
      <w:r w:rsidRPr="00FB168A">
        <w:rPr>
          <w:color w:val="000000" w:themeColor="text1"/>
          <w:lang w:val="en-GB"/>
        </w:rPr>
        <w:t>ccountabilities at the country, regional</w:t>
      </w:r>
      <w:r w:rsidR="00BD26AE">
        <w:rPr>
          <w:color w:val="000000" w:themeColor="text1"/>
          <w:lang w:val="en-GB"/>
        </w:rPr>
        <w:t>,</w:t>
      </w:r>
      <w:r w:rsidRPr="00FB168A">
        <w:rPr>
          <w:color w:val="000000" w:themeColor="text1"/>
          <w:lang w:val="en-GB"/>
        </w:rPr>
        <w:t xml:space="preserve"> and headquarter levels</w:t>
      </w:r>
      <w:r w:rsidR="00BD26AE">
        <w:rPr>
          <w:color w:val="000000" w:themeColor="text1"/>
          <w:lang w:val="en-GB"/>
        </w:rPr>
        <w:t>—</w:t>
      </w:r>
      <w:r w:rsidRPr="00FB168A">
        <w:rPr>
          <w:color w:val="000000" w:themeColor="text1"/>
          <w:lang w:val="en-GB"/>
        </w:rPr>
        <w:t>with respect to country programmes</w:t>
      </w:r>
      <w:r w:rsidR="00BD26AE">
        <w:rPr>
          <w:color w:val="000000" w:themeColor="text1"/>
          <w:lang w:val="en-GB"/>
        </w:rPr>
        <w:t>—</w:t>
      </w:r>
      <w:r w:rsidRPr="00FB168A">
        <w:rPr>
          <w:color w:val="000000" w:themeColor="text1"/>
          <w:lang w:val="en-GB"/>
        </w:rPr>
        <w:t xml:space="preserve">is prescribed in the organization’s </w:t>
      </w:r>
      <w:hyperlink r:id="rId17">
        <w:r w:rsidRPr="00FB168A">
          <w:rPr>
            <w:rStyle w:val="Hyperlink"/>
            <w:color w:val="000000" w:themeColor="text1"/>
            <w:lang w:val="en-GB"/>
          </w:rPr>
          <w:t>Programme and Operations Policies and Procedures</w:t>
        </w:r>
      </w:hyperlink>
      <w:r w:rsidRPr="00FB168A">
        <w:rPr>
          <w:color w:val="000000" w:themeColor="text1"/>
          <w:lang w:val="en-GB"/>
        </w:rPr>
        <w:t xml:space="preserve"> and </w:t>
      </w:r>
      <w:hyperlink r:id="rId18">
        <w:r w:rsidRPr="00FB168A">
          <w:rPr>
            <w:rStyle w:val="Hyperlink"/>
            <w:color w:val="000000" w:themeColor="text1"/>
            <w:lang w:val="en-GB"/>
          </w:rPr>
          <w:t>Internal Control Framework</w:t>
        </w:r>
      </w:hyperlink>
      <w:r w:rsidRPr="00FB168A">
        <w:rPr>
          <w:color w:val="000000" w:themeColor="text1"/>
          <w:lang w:val="en-GB"/>
        </w:rPr>
        <w:t>.</w:t>
      </w:r>
    </w:p>
    <w:p w14:paraId="508CDDA7" w14:textId="30381C5E" w:rsidR="00AE13CA" w:rsidRPr="00FB168A" w:rsidRDefault="00AE13CA" w:rsidP="00B13D1B">
      <w:pPr>
        <w:pStyle w:val="ListParagraph"/>
        <w:numPr>
          <w:ilvl w:val="0"/>
          <w:numId w:val="6"/>
        </w:numPr>
        <w:tabs>
          <w:tab w:val="left" w:pos="1620"/>
        </w:tabs>
        <w:spacing w:after="120"/>
        <w:ind w:left="1260" w:right="1210" w:firstLine="0"/>
        <w:jc w:val="both"/>
        <w:rPr>
          <w:color w:val="000000" w:themeColor="text1"/>
          <w:lang w:val="en-GB"/>
        </w:rPr>
      </w:pPr>
      <w:r w:rsidRPr="00FB168A">
        <w:rPr>
          <w:color w:val="000000" w:themeColor="text1"/>
          <w:lang w:val="en-GB"/>
        </w:rPr>
        <w:t xml:space="preserve">The programme will be nationally </w:t>
      </w:r>
      <w:r w:rsidR="009C5264" w:rsidRPr="00FB168A">
        <w:rPr>
          <w:color w:val="000000" w:themeColor="text1"/>
          <w:lang w:val="en-GB"/>
        </w:rPr>
        <w:t>executed but</w:t>
      </w:r>
      <w:r w:rsidR="00BC57A9" w:rsidRPr="00FB168A">
        <w:rPr>
          <w:color w:val="000000" w:themeColor="text1"/>
          <w:lang w:val="en-GB"/>
        </w:rPr>
        <w:t xml:space="preserve"> could be </w:t>
      </w:r>
      <w:r w:rsidRPr="00FB168A">
        <w:rPr>
          <w:color w:val="000000" w:themeColor="text1"/>
          <w:lang w:val="en-GB"/>
        </w:rPr>
        <w:t xml:space="preserve">replaced by direct execution </w:t>
      </w:r>
      <w:r w:rsidR="00BC57A9" w:rsidRPr="00FB168A">
        <w:rPr>
          <w:color w:val="000000" w:themeColor="text1"/>
          <w:lang w:val="en-GB"/>
        </w:rPr>
        <w:t xml:space="preserve">in the case of </w:t>
      </w:r>
      <w:r w:rsidR="00BC57A9" w:rsidRPr="00FB168A">
        <w:rPr>
          <w:i/>
          <w:iCs/>
          <w:color w:val="000000" w:themeColor="text1"/>
          <w:lang w:val="en-GB"/>
        </w:rPr>
        <w:t>force</w:t>
      </w:r>
      <w:r w:rsidRPr="00FB168A">
        <w:rPr>
          <w:i/>
          <w:iCs/>
          <w:color w:val="000000" w:themeColor="text1"/>
          <w:lang w:val="en-GB"/>
        </w:rPr>
        <w:t xml:space="preserve"> majeure</w:t>
      </w:r>
      <w:r w:rsidRPr="00FB168A">
        <w:rPr>
          <w:color w:val="000000" w:themeColor="text1"/>
          <w:lang w:val="en-GB"/>
        </w:rPr>
        <w:t xml:space="preserve">. </w:t>
      </w:r>
      <w:r w:rsidR="00BC57A9" w:rsidRPr="00FB168A">
        <w:rPr>
          <w:color w:val="000000" w:themeColor="text1"/>
          <w:lang w:val="en-GB"/>
        </w:rPr>
        <w:t xml:space="preserve">The </w:t>
      </w:r>
      <w:r w:rsidRPr="00FB168A">
        <w:rPr>
          <w:color w:val="000000" w:themeColor="text1"/>
          <w:lang w:val="en-GB"/>
        </w:rPr>
        <w:t>Harmoni</w:t>
      </w:r>
      <w:r w:rsidR="00BD26AE">
        <w:rPr>
          <w:color w:val="000000" w:themeColor="text1"/>
          <w:lang w:val="en-GB"/>
        </w:rPr>
        <w:t>z</w:t>
      </w:r>
      <w:r w:rsidRPr="00FB168A">
        <w:rPr>
          <w:color w:val="000000" w:themeColor="text1"/>
          <w:lang w:val="en-GB"/>
        </w:rPr>
        <w:t>ed Approach to Cash Transfers (HACT) will be used in a coordinated fashion with other UN agencies to manage financial risks. Cost definitions and classifications for programme and development effectiveness will be charged to concerned projects</w:t>
      </w:r>
      <w:r w:rsidR="00BC57A9" w:rsidRPr="00FB168A">
        <w:rPr>
          <w:color w:val="000000" w:themeColor="text1"/>
          <w:lang w:val="en-GB"/>
        </w:rPr>
        <w:t>.</w:t>
      </w:r>
    </w:p>
    <w:p w14:paraId="618825BD" w14:textId="26B9729B" w:rsidR="00AE13CA" w:rsidRPr="00FB168A" w:rsidRDefault="00AE13CA" w:rsidP="00B13D1B">
      <w:pPr>
        <w:pStyle w:val="ListParagraph"/>
        <w:numPr>
          <w:ilvl w:val="0"/>
          <w:numId w:val="6"/>
        </w:numPr>
        <w:tabs>
          <w:tab w:val="left" w:pos="1620"/>
        </w:tabs>
        <w:spacing w:after="120"/>
        <w:ind w:left="1260" w:right="1210" w:firstLine="0"/>
        <w:jc w:val="both"/>
        <w:rPr>
          <w:color w:val="000000" w:themeColor="text1"/>
          <w:lang w:val="en-GB"/>
        </w:rPr>
      </w:pPr>
      <w:r w:rsidRPr="00FB168A">
        <w:rPr>
          <w:color w:val="000000" w:themeColor="text1"/>
          <w:lang w:val="en-GB"/>
        </w:rPr>
        <w:t>The country office will operationali</w:t>
      </w:r>
      <w:r w:rsidR="00F350AA">
        <w:rPr>
          <w:color w:val="000000" w:themeColor="text1"/>
          <w:lang w:val="en-GB"/>
        </w:rPr>
        <w:t>z</w:t>
      </w:r>
      <w:r w:rsidRPr="00FB168A">
        <w:rPr>
          <w:color w:val="000000" w:themeColor="text1"/>
          <w:lang w:val="en-GB"/>
        </w:rPr>
        <w:t>e UNDP quality assurance standards</w:t>
      </w:r>
      <w:r w:rsidR="00F350AA">
        <w:rPr>
          <w:color w:val="000000" w:themeColor="text1"/>
          <w:lang w:val="en-GB"/>
        </w:rPr>
        <w:t>,</w:t>
      </w:r>
      <w:r w:rsidRPr="00FB168A">
        <w:rPr>
          <w:color w:val="000000" w:themeColor="text1"/>
          <w:lang w:val="en-GB"/>
        </w:rPr>
        <w:t xml:space="preserve"> social and environmental risk management</w:t>
      </w:r>
      <w:r w:rsidR="00F350AA">
        <w:rPr>
          <w:color w:val="000000" w:themeColor="text1"/>
          <w:lang w:val="en-GB"/>
        </w:rPr>
        <w:t>,</w:t>
      </w:r>
      <w:r w:rsidRPr="00FB168A">
        <w:rPr>
          <w:color w:val="000000" w:themeColor="text1"/>
          <w:lang w:val="en-GB"/>
        </w:rPr>
        <w:t xml:space="preserve"> and strict accountability mechanisms. The Enterprise Risk Management </w:t>
      </w:r>
      <w:r w:rsidR="0088442D" w:rsidRPr="00FB168A">
        <w:rPr>
          <w:color w:val="000000" w:themeColor="text1"/>
          <w:lang w:val="en-GB"/>
        </w:rPr>
        <w:t>Policy</w:t>
      </w:r>
      <w:r w:rsidRPr="00FB168A">
        <w:rPr>
          <w:color w:val="000000" w:themeColor="text1"/>
          <w:lang w:val="en-GB"/>
        </w:rPr>
        <w:t xml:space="preserve"> (ERM) will guide the design and implementation of all</w:t>
      </w:r>
      <w:r w:rsidR="00336443">
        <w:rPr>
          <w:color w:val="000000" w:themeColor="text1"/>
          <w:lang w:val="en-GB"/>
        </w:rPr>
        <w:t xml:space="preserve"> </w:t>
      </w:r>
      <w:r w:rsidRPr="00FB168A">
        <w:rPr>
          <w:color w:val="000000" w:themeColor="text1"/>
          <w:lang w:val="en-GB"/>
        </w:rPr>
        <w:t xml:space="preserve">programmes and projects. </w:t>
      </w:r>
      <w:r w:rsidR="00F350AA">
        <w:rPr>
          <w:color w:val="000000" w:themeColor="text1"/>
          <w:lang w:val="en-GB"/>
        </w:rPr>
        <w:t>T</w:t>
      </w:r>
      <w:r w:rsidRPr="00FB168A">
        <w:rPr>
          <w:color w:val="000000" w:themeColor="text1"/>
          <w:lang w:val="en-GB"/>
        </w:rPr>
        <w:t>he UNSDCF steering committee</w:t>
      </w:r>
      <w:r w:rsidR="00F350AA">
        <w:rPr>
          <w:color w:val="000000" w:themeColor="text1"/>
          <w:lang w:val="en-GB"/>
        </w:rPr>
        <w:t xml:space="preserve"> with coordinate and guide p</w:t>
      </w:r>
      <w:r w:rsidR="00F350AA" w:rsidRPr="00FB168A">
        <w:rPr>
          <w:color w:val="000000" w:themeColor="text1"/>
          <w:lang w:val="en-GB"/>
        </w:rPr>
        <w:t>rogramme implementation</w:t>
      </w:r>
      <w:r w:rsidRPr="00FB168A">
        <w:rPr>
          <w:color w:val="000000" w:themeColor="text1"/>
          <w:lang w:val="en-GB"/>
        </w:rPr>
        <w:t xml:space="preserve">. </w:t>
      </w:r>
      <w:r w:rsidR="0091107F" w:rsidRPr="00FB168A">
        <w:rPr>
          <w:color w:val="000000" w:themeColor="text1"/>
          <w:lang w:val="en-GB"/>
        </w:rPr>
        <w:t>T</w:t>
      </w:r>
      <w:r w:rsidRPr="00FB168A">
        <w:rPr>
          <w:color w:val="000000" w:themeColor="text1"/>
          <w:lang w:val="en-GB"/>
        </w:rPr>
        <w:t>hematic programme-</w:t>
      </w:r>
      <w:r w:rsidR="006A3F03" w:rsidRPr="00FB168A">
        <w:rPr>
          <w:color w:val="000000" w:themeColor="text1"/>
          <w:lang w:val="en-GB"/>
        </w:rPr>
        <w:t xml:space="preserve">portfolio </w:t>
      </w:r>
      <w:r w:rsidRPr="00FB168A">
        <w:rPr>
          <w:color w:val="000000" w:themeColor="text1"/>
          <w:lang w:val="en-GB"/>
        </w:rPr>
        <w:t>steering committees chaired by UNDP will</w:t>
      </w:r>
      <w:r w:rsidR="0091107F" w:rsidRPr="00FB168A">
        <w:rPr>
          <w:color w:val="000000" w:themeColor="text1"/>
          <w:lang w:val="en-GB"/>
        </w:rPr>
        <w:t xml:space="preserve"> </w:t>
      </w:r>
      <w:r w:rsidR="00E60D37">
        <w:rPr>
          <w:color w:val="000000" w:themeColor="text1"/>
          <w:lang w:val="en-GB"/>
        </w:rPr>
        <w:t>work</w:t>
      </w:r>
      <w:r w:rsidR="00E60D37" w:rsidRPr="00FB168A">
        <w:rPr>
          <w:color w:val="000000" w:themeColor="text1"/>
          <w:lang w:val="en-GB"/>
        </w:rPr>
        <w:t xml:space="preserve"> </w:t>
      </w:r>
      <w:r w:rsidR="0091107F" w:rsidRPr="00FB168A">
        <w:rPr>
          <w:color w:val="000000" w:themeColor="text1"/>
          <w:lang w:val="en-GB"/>
        </w:rPr>
        <w:t>with</w:t>
      </w:r>
      <w:r w:rsidRPr="00FB168A">
        <w:rPr>
          <w:color w:val="000000" w:themeColor="text1"/>
          <w:lang w:val="en-GB"/>
        </w:rPr>
        <w:t xml:space="preserve"> implementing partners </w:t>
      </w:r>
      <w:r w:rsidR="00E60D37">
        <w:rPr>
          <w:color w:val="000000" w:themeColor="text1"/>
          <w:lang w:val="en-GB"/>
        </w:rPr>
        <w:t>to align</w:t>
      </w:r>
      <w:r w:rsidRPr="00FB168A">
        <w:rPr>
          <w:color w:val="000000" w:themeColor="text1"/>
          <w:lang w:val="en-GB"/>
        </w:rPr>
        <w:t xml:space="preserve"> the ERM accountability framework.</w:t>
      </w:r>
    </w:p>
    <w:p w14:paraId="65CF53C6" w14:textId="6B87CC41" w:rsidR="003C3FDC" w:rsidRDefault="003C3FDC" w:rsidP="00B13D1B">
      <w:pPr>
        <w:pStyle w:val="ListParagraph"/>
        <w:numPr>
          <w:ilvl w:val="0"/>
          <w:numId w:val="6"/>
        </w:numPr>
        <w:tabs>
          <w:tab w:val="left" w:pos="1620"/>
        </w:tabs>
        <w:spacing w:after="120"/>
        <w:ind w:left="1260" w:right="1210" w:firstLine="0"/>
        <w:jc w:val="both"/>
        <w:rPr>
          <w:color w:val="000000" w:themeColor="text1"/>
          <w:lang w:val="en-GB"/>
        </w:rPr>
      </w:pPr>
      <w:r>
        <w:rPr>
          <w:color w:val="000000" w:themeColor="text1"/>
          <w:lang w:val="en-GB"/>
        </w:rPr>
        <w:t>P</w:t>
      </w:r>
      <w:r w:rsidRPr="003C3FDC">
        <w:rPr>
          <w:color w:val="000000" w:themeColor="text1"/>
          <w:lang w:val="en-GB"/>
        </w:rPr>
        <w:t>rogramme implementation is vulnerable to a variety of risks in</w:t>
      </w:r>
      <w:r>
        <w:rPr>
          <w:color w:val="000000" w:themeColor="text1"/>
          <w:lang w:val="en-GB"/>
        </w:rPr>
        <w:t xml:space="preserve"> </w:t>
      </w:r>
      <w:r w:rsidRPr="003C3FDC">
        <w:rPr>
          <w:color w:val="000000" w:themeColor="text1"/>
          <w:lang w:val="en-GB"/>
        </w:rPr>
        <w:t xml:space="preserve">the theory of change </w:t>
      </w:r>
      <w:r w:rsidR="00E60D37">
        <w:rPr>
          <w:color w:val="000000" w:themeColor="text1"/>
          <w:lang w:val="en-GB"/>
        </w:rPr>
        <w:t>such as</w:t>
      </w:r>
      <w:r w:rsidR="00E60D37" w:rsidRPr="003C3FDC">
        <w:rPr>
          <w:color w:val="000000" w:themeColor="text1"/>
          <w:lang w:val="en-GB"/>
        </w:rPr>
        <w:t xml:space="preserve"> </w:t>
      </w:r>
      <w:r w:rsidRPr="003C3FDC">
        <w:rPr>
          <w:color w:val="000000" w:themeColor="text1"/>
          <w:lang w:val="en-GB"/>
        </w:rPr>
        <w:t>natural and climate-related hazards, COVID-19 pandemic</w:t>
      </w:r>
      <w:r w:rsidR="00E60D37">
        <w:rPr>
          <w:color w:val="000000" w:themeColor="text1"/>
          <w:lang w:val="en-GB"/>
        </w:rPr>
        <w:t xml:space="preserve"> impacts</w:t>
      </w:r>
      <w:r w:rsidRPr="003C3FDC">
        <w:rPr>
          <w:color w:val="000000" w:themeColor="text1"/>
          <w:lang w:val="en-GB"/>
        </w:rPr>
        <w:t>, co</w:t>
      </w:r>
      <w:r w:rsidR="004B1957">
        <w:rPr>
          <w:color w:val="000000" w:themeColor="text1"/>
          <w:lang w:val="en-GB"/>
        </w:rPr>
        <w:t>st-of-living crisis</w:t>
      </w:r>
      <w:r w:rsidRPr="003C3FDC">
        <w:rPr>
          <w:color w:val="000000" w:themeColor="text1"/>
          <w:lang w:val="en-GB"/>
        </w:rPr>
        <w:t>, and macro-economic shocks and data gaps that could reduce</w:t>
      </w:r>
      <w:r w:rsidR="00E23840">
        <w:rPr>
          <w:color w:val="000000" w:themeColor="text1"/>
          <w:lang w:val="en-GB"/>
        </w:rPr>
        <w:t xml:space="preserve"> </w:t>
      </w:r>
      <w:r w:rsidR="009C5264">
        <w:rPr>
          <w:color w:val="000000" w:themeColor="text1"/>
          <w:lang w:val="en-GB"/>
        </w:rPr>
        <w:t>c</w:t>
      </w:r>
      <w:r w:rsidR="0072171C">
        <w:rPr>
          <w:color w:val="000000" w:themeColor="text1"/>
          <w:lang w:val="en-GB"/>
        </w:rPr>
        <w:t xml:space="preserve">ountry </w:t>
      </w:r>
      <w:r w:rsidR="009C5264">
        <w:rPr>
          <w:color w:val="000000" w:themeColor="text1"/>
          <w:lang w:val="en-GB"/>
        </w:rPr>
        <w:t>p</w:t>
      </w:r>
      <w:r w:rsidR="0072171C">
        <w:rPr>
          <w:color w:val="000000" w:themeColor="text1"/>
          <w:lang w:val="en-GB"/>
        </w:rPr>
        <w:t>rogramme</w:t>
      </w:r>
      <w:r w:rsidRPr="003C3FDC">
        <w:rPr>
          <w:color w:val="000000" w:themeColor="text1"/>
          <w:lang w:val="en-GB"/>
        </w:rPr>
        <w:t xml:space="preserve"> and </w:t>
      </w:r>
      <w:r w:rsidR="00E60D37">
        <w:rPr>
          <w:color w:val="000000" w:themeColor="text1"/>
          <w:lang w:val="en-GB"/>
        </w:rPr>
        <w:t>g</w:t>
      </w:r>
      <w:r w:rsidRPr="003C3FDC">
        <w:rPr>
          <w:color w:val="000000" w:themeColor="text1"/>
          <w:lang w:val="en-GB"/>
        </w:rPr>
        <w:t xml:space="preserve">overnment resources and ability to deliver. UNDP </w:t>
      </w:r>
      <w:r w:rsidR="00E60D37" w:rsidRPr="005B7BF5">
        <w:rPr>
          <w:shd w:val="clear" w:color="auto" w:fill="FFFFFF"/>
          <w:lang w:val="en-GB"/>
        </w:rPr>
        <w:t xml:space="preserve">São Tomé and Príncipe </w:t>
      </w:r>
      <w:r w:rsidR="00BC62ED">
        <w:rPr>
          <w:color w:val="000000" w:themeColor="text1"/>
          <w:lang w:val="en-GB"/>
        </w:rPr>
        <w:t>had</w:t>
      </w:r>
      <w:r w:rsidR="00BC62ED" w:rsidRPr="003C3FDC">
        <w:rPr>
          <w:color w:val="000000" w:themeColor="text1"/>
          <w:lang w:val="en-GB"/>
        </w:rPr>
        <w:t xml:space="preserve"> </w:t>
      </w:r>
      <w:r w:rsidRPr="003C3FDC">
        <w:rPr>
          <w:color w:val="000000" w:themeColor="text1"/>
          <w:lang w:val="en-GB"/>
        </w:rPr>
        <w:t xml:space="preserve">a positive track record in adapting </w:t>
      </w:r>
      <w:r>
        <w:rPr>
          <w:color w:val="000000" w:themeColor="text1"/>
          <w:lang w:val="en-GB"/>
        </w:rPr>
        <w:t xml:space="preserve">and </w:t>
      </w:r>
      <w:r w:rsidRPr="003C3FDC">
        <w:rPr>
          <w:color w:val="000000" w:themeColor="text1"/>
          <w:lang w:val="en-GB"/>
        </w:rPr>
        <w:t>responding flexibly</w:t>
      </w:r>
      <w:r w:rsidR="00BC62ED">
        <w:rPr>
          <w:color w:val="000000" w:themeColor="text1"/>
          <w:lang w:val="en-GB"/>
        </w:rPr>
        <w:t xml:space="preserve"> </w:t>
      </w:r>
      <w:r w:rsidRPr="003C3FDC">
        <w:rPr>
          <w:color w:val="000000" w:themeColor="text1"/>
          <w:lang w:val="en-GB"/>
        </w:rPr>
        <w:t>during the COVID-19 pandemic</w:t>
      </w:r>
      <w:r w:rsidR="00BC62ED">
        <w:rPr>
          <w:color w:val="000000" w:themeColor="text1"/>
          <w:lang w:val="en-GB"/>
        </w:rPr>
        <w:t xml:space="preserve">, successfully relocating </w:t>
      </w:r>
      <w:r w:rsidRPr="003C3FDC">
        <w:rPr>
          <w:color w:val="000000" w:themeColor="text1"/>
          <w:lang w:val="en-GB"/>
        </w:rPr>
        <w:t>resources,</w:t>
      </w:r>
      <w:r w:rsidR="00BC62ED">
        <w:rPr>
          <w:color w:val="000000" w:themeColor="text1"/>
          <w:lang w:val="en-GB"/>
        </w:rPr>
        <w:t xml:space="preserve"> mobilizing</w:t>
      </w:r>
      <w:r w:rsidRPr="003C3FDC">
        <w:rPr>
          <w:color w:val="000000" w:themeColor="text1"/>
          <w:lang w:val="en-GB"/>
        </w:rPr>
        <w:t xml:space="preserve"> additional funds, and </w:t>
      </w:r>
      <w:r w:rsidR="00BC62ED">
        <w:rPr>
          <w:color w:val="000000" w:themeColor="text1"/>
          <w:lang w:val="en-GB"/>
        </w:rPr>
        <w:t xml:space="preserve">developing </w:t>
      </w:r>
      <w:r w:rsidRPr="003C3FDC">
        <w:rPr>
          <w:color w:val="000000" w:themeColor="text1"/>
          <w:lang w:val="en-GB"/>
        </w:rPr>
        <w:t>new ways of working to deliver results. Th</w:t>
      </w:r>
      <w:r w:rsidR="00BC62ED">
        <w:rPr>
          <w:color w:val="000000" w:themeColor="text1"/>
          <w:lang w:val="en-GB"/>
        </w:rPr>
        <w:t xml:space="preserve">ese </w:t>
      </w:r>
      <w:r w:rsidRPr="003C3FDC">
        <w:rPr>
          <w:color w:val="000000" w:themeColor="text1"/>
          <w:lang w:val="en-GB"/>
        </w:rPr>
        <w:t>practice</w:t>
      </w:r>
      <w:r w:rsidR="00BC62ED">
        <w:rPr>
          <w:color w:val="000000" w:themeColor="text1"/>
          <w:lang w:val="en-GB"/>
        </w:rPr>
        <w:t>s</w:t>
      </w:r>
      <w:r w:rsidRPr="003C3FDC">
        <w:rPr>
          <w:color w:val="000000" w:themeColor="text1"/>
          <w:lang w:val="en-GB"/>
        </w:rPr>
        <w:t xml:space="preserve"> will be used to strengthen risk management response</w:t>
      </w:r>
      <w:r w:rsidR="00BC62ED">
        <w:rPr>
          <w:color w:val="000000" w:themeColor="text1"/>
          <w:lang w:val="en-GB"/>
        </w:rPr>
        <w:t>s: C</w:t>
      </w:r>
      <w:r w:rsidRPr="003C3FDC">
        <w:rPr>
          <w:color w:val="000000" w:themeColor="text1"/>
          <w:lang w:val="en-GB"/>
        </w:rPr>
        <w:t>ollaborative and systematic reviews of the operating and resource environment, programme monitoring and tracking tools, early-warning systems</w:t>
      </w:r>
      <w:r w:rsidR="00BC62ED">
        <w:rPr>
          <w:color w:val="000000" w:themeColor="text1"/>
          <w:lang w:val="en-GB"/>
        </w:rPr>
        <w:t>,</w:t>
      </w:r>
      <w:r w:rsidRPr="003C3FDC">
        <w:rPr>
          <w:color w:val="000000" w:themeColor="text1"/>
          <w:lang w:val="en-GB"/>
        </w:rPr>
        <w:t xml:space="preserve"> and rapid socio-economic assessment</w:t>
      </w:r>
      <w:r>
        <w:rPr>
          <w:color w:val="000000" w:themeColor="text1"/>
          <w:lang w:val="en-GB"/>
        </w:rPr>
        <w:t>s</w:t>
      </w:r>
      <w:r w:rsidRPr="003C3FDC">
        <w:rPr>
          <w:color w:val="000000" w:themeColor="text1"/>
          <w:lang w:val="en-GB"/>
        </w:rPr>
        <w:t xml:space="preserve">. UNDP will regularly and proactively engage with the </w:t>
      </w:r>
      <w:r w:rsidR="00BC62ED">
        <w:rPr>
          <w:color w:val="000000" w:themeColor="text1"/>
          <w:lang w:val="en-GB"/>
        </w:rPr>
        <w:t>Office of the Resident Coordinator</w:t>
      </w:r>
      <w:r>
        <w:rPr>
          <w:color w:val="000000" w:themeColor="text1"/>
          <w:lang w:val="en-GB"/>
        </w:rPr>
        <w:t xml:space="preserve">, </w:t>
      </w:r>
      <w:r w:rsidR="00B851EA">
        <w:rPr>
          <w:color w:val="000000" w:themeColor="text1"/>
          <w:lang w:val="en-GB"/>
        </w:rPr>
        <w:t xml:space="preserve">the </w:t>
      </w:r>
      <w:r w:rsidRPr="003C3FDC">
        <w:rPr>
          <w:color w:val="000000" w:themeColor="text1"/>
          <w:lang w:val="en-GB"/>
        </w:rPr>
        <w:t xml:space="preserve">reinvigorated </w:t>
      </w:r>
      <w:r w:rsidR="00BC62ED">
        <w:rPr>
          <w:color w:val="000000" w:themeColor="text1"/>
          <w:lang w:val="en-GB"/>
        </w:rPr>
        <w:t>United Nations Country Team (</w:t>
      </w:r>
      <w:r w:rsidRPr="003C3FDC">
        <w:rPr>
          <w:color w:val="000000" w:themeColor="text1"/>
          <w:lang w:val="en-GB"/>
        </w:rPr>
        <w:t>UNCT</w:t>
      </w:r>
      <w:r w:rsidR="00BC62ED">
        <w:rPr>
          <w:color w:val="000000" w:themeColor="text1"/>
          <w:lang w:val="en-GB"/>
        </w:rPr>
        <w:t>),</w:t>
      </w:r>
      <w:r w:rsidRPr="003C3FDC">
        <w:rPr>
          <w:color w:val="000000" w:themeColor="text1"/>
          <w:lang w:val="en-GB"/>
        </w:rPr>
        <w:t xml:space="preserve"> and </w:t>
      </w:r>
      <w:r w:rsidR="00BC62ED">
        <w:rPr>
          <w:color w:val="000000" w:themeColor="text1"/>
          <w:lang w:val="en-GB"/>
        </w:rPr>
        <w:t>the G</w:t>
      </w:r>
      <w:r w:rsidRPr="003C3FDC">
        <w:rPr>
          <w:color w:val="000000" w:themeColor="text1"/>
          <w:lang w:val="en-GB"/>
        </w:rPr>
        <w:t xml:space="preserve">overnment </w:t>
      </w:r>
      <w:r w:rsidR="00BC62ED">
        <w:rPr>
          <w:color w:val="000000" w:themeColor="text1"/>
          <w:lang w:val="en-GB"/>
        </w:rPr>
        <w:t xml:space="preserve">of </w:t>
      </w:r>
      <w:r w:rsidR="00BC62ED" w:rsidRPr="005B7BF5">
        <w:rPr>
          <w:shd w:val="clear" w:color="auto" w:fill="FFFFFF"/>
          <w:lang w:val="en-GB"/>
        </w:rPr>
        <w:t xml:space="preserve">São Tomé and Príncipe </w:t>
      </w:r>
      <w:r w:rsidRPr="003C3FDC">
        <w:rPr>
          <w:color w:val="000000" w:themeColor="text1"/>
          <w:lang w:val="en-GB"/>
        </w:rPr>
        <w:t xml:space="preserve">to evaluate and address ongoing and emerging risks </w:t>
      </w:r>
      <w:r w:rsidR="00BC62ED">
        <w:rPr>
          <w:color w:val="000000" w:themeColor="text1"/>
          <w:lang w:val="en-GB"/>
        </w:rPr>
        <w:t>to better</w:t>
      </w:r>
      <w:r w:rsidRPr="003C3FDC">
        <w:rPr>
          <w:color w:val="000000" w:themeColor="text1"/>
          <w:lang w:val="en-GB"/>
        </w:rPr>
        <w:t xml:space="preserve"> anticipate </w:t>
      </w:r>
      <w:r w:rsidR="00BC62ED">
        <w:rPr>
          <w:color w:val="000000" w:themeColor="text1"/>
          <w:lang w:val="en-GB"/>
        </w:rPr>
        <w:t xml:space="preserve">economic and development </w:t>
      </w:r>
      <w:r w:rsidRPr="003C3FDC">
        <w:rPr>
          <w:color w:val="000000" w:themeColor="text1"/>
          <w:lang w:val="en-GB"/>
        </w:rPr>
        <w:t xml:space="preserve">changes that may require programme adjustments. To further reduce financial risk, and as part of a </w:t>
      </w:r>
      <w:r w:rsidR="00465882" w:rsidRPr="003C3FDC">
        <w:rPr>
          <w:color w:val="000000" w:themeColor="text1"/>
          <w:lang w:val="en-GB"/>
        </w:rPr>
        <w:t>longer-term</w:t>
      </w:r>
      <w:r w:rsidRPr="003C3FDC">
        <w:rPr>
          <w:color w:val="000000" w:themeColor="text1"/>
          <w:lang w:val="en-GB"/>
        </w:rPr>
        <w:t xml:space="preserve"> sustainability strategy, an internal financial analysis will facilitate the </w:t>
      </w:r>
      <w:r w:rsidR="00BC62ED">
        <w:rPr>
          <w:color w:val="000000" w:themeColor="text1"/>
          <w:lang w:val="en-GB"/>
        </w:rPr>
        <w:t>establishment</w:t>
      </w:r>
      <w:r w:rsidR="00BC62ED" w:rsidRPr="003C3FDC">
        <w:rPr>
          <w:color w:val="000000" w:themeColor="text1"/>
          <w:lang w:val="en-GB"/>
        </w:rPr>
        <w:t xml:space="preserve"> </w:t>
      </w:r>
      <w:r w:rsidRPr="003C3FDC">
        <w:rPr>
          <w:color w:val="000000" w:themeColor="text1"/>
          <w:lang w:val="en-GB"/>
        </w:rPr>
        <w:t>of a resource mobili</w:t>
      </w:r>
      <w:r w:rsidR="00BC62ED">
        <w:rPr>
          <w:color w:val="000000" w:themeColor="text1"/>
          <w:lang w:val="en-GB"/>
        </w:rPr>
        <w:t>z</w:t>
      </w:r>
      <w:r w:rsidRPr="003C3FDC">
        <w:rPr>
          <w:color w:val="000000" w:themeColor="text1"/>
          <w:lang w:val="en-GB"/>
        </w:rPr>
        <w:t>ation</w:t>
      </w:r>
      <w:r w:rsidR="00BC62ED">
        <w:rPr>
          <w:color w:val="000000" w:themeColor="text1"/>
          <w:lang w:val="en-GB"/>
        </w:rPr>
        <w:t xml:space="preserve"> strategy</w:t>
      </w:r>
      <w:r>
        <w:rPr>
          <w:color w:val="000000" w:themeColor="text1"/>
          <w:lang w:val="en-GB"/>
        </w:rPr>
        <w:t xml:space="preserve">. </w:t>
      </w:r>
    </w:p>
    <w:p w14:paraId="1D863BEE" w14:textId="2FAEAE2E" w:rsidR="003C3FDC" w:rsidRPr="009B4758" w:rsidRDefault="003C3FDC" w:rsidP="00B13D1B">
      <w:pPr>
        <w:pStyle w:val="ListParagraph"/>
        <w:numPr>
          <w:ilvl w:val="0"/>
          <w:numId w:val="6"/>
        </w:numPr>
        <w:tabs>
          <w:tab w:val="left" w:pos="1620"/>
        </w:tabs>
        <w:spacing w:after="120"/>
        <w:ind w:left="1260" w:right="1210" w:firstLine="0"/>
        <w:jc w:val="both"/>
        <w:rPr>
          <w:color w:val="000000" w:themeColor="text1"/>
          <w:lang w:val="en-GB"/>
        </w:rPr>
      </w:pPr>
      <w:r w:rsidRPr="009B4758">
        <w:rPr>
          <w:color w:val="000000" w:themeColor="text1"/>
          <w:lang w:val="en-GB"/>
        </w:rPr>
        <w:t>The application of corporate social and environmental safeguards</w:t>
      </w:r>
      <w:r w:rsidR="00BC62ED">
        <w:rPr>
          <w:color w:val="000000" w:themeColor="text1"/>
          <w:lang w:val="en-GB"/>
        </w:rPr>
        <w:t xml:space="preserve">, </w:t>
      </w:r>
      <w:r w:rsidRPr="009B4758">
        <w:rPr>
          <w:color w:val="000000" w:themeColor="text1"/>
          <w:lang w:val="en-GB"/>
        </w:rPr>
        <w:t>accountability mechanisms</w:t>
      </w:r>
      <w:r w:rsidR="00BC62ED">
        <w:rPr>
          <w:color w:val="000000" w:themeColor="text1"/>
          <w:lang w:val="en-GB"/>
        </w:rPr>
        <w:t>,</w:t>
      </w:r>
      <w:r w:rsidRPr="009B4758">
        <w:rPr>
          <w:color w:val="000000" w:themeColor="text1"/>
          <w:lang w:val="en-GB"/>
        </w:rPr>
        <w:t xml:space="preserve"> and regular quality assessments of programme projects at inception and during implementation, will ensure potential risks and </w:t>
      </w:r>
      <w:r w:rsidR="00BC62ED" w:rsidRPr="009B4758">
        <w:rPr>
          <w:color w:val="000000" w:themeColor="text1"/>
          <w:lang w:val="en-GB"/>
        </w:rPr>
        <w:t>effects</w:t>
      </w:r>
      <w:r w:rsidRPr="009B4758">
        <w:rPr>
          <w:color w:val="000000" w:themeColor="text1"/>
          <w:lang w:val="en-GB"/>
        </w:rPr>
        <w:t xml:space="preserve"> are identified </w:t>
      </w:r>
      <w:r w:rsidR="00BC62ED">
        <w:rPr>
          <w:color w:val="000000" w:themeColor="text1"/>
          <w:lang w:val="en-GB"/>
        </w:rPr>
        <w:t>for</w:t>
      </w:r>
      <w:r w:rsidR="00BC62ED" w:rsidRPr="009B4758">
        <w:rPr>
          <w:color w:val="000000" w:themeColor="text1"/>
          <w:lang w:val="en-GB"/>
        </w:rPr>
        <w:t xml:space="preserve"> </w:t>
      </w:r>
      <w:r w:rsidRPr="009B4758">
        <w:rPr>
          <w:color w:val="000000" w:themeColor="text1"/>
          <w:lang w:val="en-GB"/>
        </w:rPr>
        <w:t xml:space="preserve">a management and mitigation plan </w:t>
      </w:r>
      <w:r w:rsidR="00BC62ED">
        <w:rPr>
          <w:color w:val="000000" w:themeColor="text1"/>
          <w:lang w:val="en-GB"/>
        </w:rPr>
        <w:t xml:space="preserve">to be </w:t>
      </w:r>
      <w:r w:rsidRPr="009B4758">
        <w:rPr>
          <w:color w:val="000000" w:themeColor="text1"/>
          <w:lang w:val="en-GB"/>
        </w:rPr>
        <w:t xml:space="preserve">implemented. </w:t>
      </w:r>
      <w:r w:rsidR="00BC62ED">
        <w:rPr>
          <w:color w:val="000000" w:themeColor="text1"/>
          <w:lang w:val="en-GB"/>
        </w:rPr>
        <w:t>UNDP will provide greater</w:t>
      </w:r>
      <w:r w:rsidR="00BC62ED" w:rsidRPr="009B4758">
        <w:rPr>
          <w:color w:val="000000" w:themeColor="text1"/>
          <w:lang w:val="en-GB"/>
        </w:rPr>
        <w:t xml:space="preserve"> </w:t>
      </w:r>
      <w:r w:rsidRPr="009B4758">
        <w:rPr>
          <w:color w:val="000000" w:themeColor="text1"/>
          <w:lang w:val="en-GB"/>
        </w:rPr>
        <w:t xml:space="preserve">support </w:t>
      </w:r>
      <w:r w:rsidR="00BC62ED">
        <w:rPr>
          <w:color w:val="000000" w:themeColor="text1"/>
          <w:lang w:val="en-GB"/>
        </w:rPr>
        <w:t>on approaches to prioritize</w:t>
      </w:r>
      <w:r w:rsidR="00BC62ED" w:rsidRPr="009B4758">
        <w:rPr>
          <w:color w:val="000000" w:themeColor="text1"/>
          <w:lang w:val="en-GB"/>
        </w:rPr>
        <w:t xml:space="preserve"> </w:t>
      </w:r>
      <w:r w:rsidRPr="009B4758">
        <w:rPr>
          <w:color w:val="000000" w:themeColor="text1"/>
          <w:lang w:val="en-GB"/>
        </w:rPr>
        <w:t>political and institutional biodiversity management, approv</w:t>
      </w:r>
      <w:r w:rsidR="00BC62ED">
        <w:rPr>
          <w:color w:val="000000" w:themeColor="text1"/>
          <w:lang w:val="en-GB"/>
        </w:rPr>
        <w:t>ing</w:t>
      </w:r>
      <w:r w:rsidRPr="009B4758">
        <w:rPr>
          <w:color w:val="000000" w:themeColor="text1"/>
          <w:lang w:val="en-GB"/>
        </w:rPr>
        <w:t xml:space="preserve"> new marine protected areas</w:t>
      </w:r>
      <w:r w:rsidR="00BC62ED">
        <w:rPr>
          <w:color w:val="000000" w:themeColor="text1"/>
          <w:lang w:val="en-GB"/>
        </w:rPr>
        <w:t xml:space="preserve">, </w:t>
      </w:r>
      <w:r w:rsidRPr="009B4758">
        <w:rPr>
          <w:color w:val="000000" w:themeColor="text1"/>
          <w:lang w:val="en-GB"/>
        </w:rPr>
        <w:t>and develop</w:t>
      </w:r>
      <w:r w:rsidR="00BC62ED">
        <w:rPr>
          <w:color w:val="000000" w:themeColor="text1"/>
          <w:lang w:val="en-GB"/>
        </w:rPr>
        <w:t xml:space="preserve">ing </w:t>
      </w:r>
      <w:r w:rsidRPr="009B4758">
        <w:rPr>
          <w:color w:val="000000" w:themeColor="text1"/>
          <w:lang w:val="en-GB"/>
        </w:rPr>
        <w:t xml:space="preserve">alternative sustainable livelihood strategies for rural communities </w:t>
      </w:r>
      <w:r w:rsidR="00BC62ED">
        <w:rPr>
          <w:color w:val="000000" w:themeColor="text1"/>
          <w:lang w:val="en-GB"/>
        </w:rPr>
        <w:t>that</w:t>
      </w:r>
      <w:r w:rsidRPr="009B4758">
        <w:rPr>
          <w:color w:val="000000" w:themeColor="text1"/>
          <w:lang w:val="en-GB"/>
        </w:rPr>
        <w:t xml:space="preserve"> mitigate risks.</w:t>
      </w:r>
      <w:r w:rsidR="009B4758" w:rsidRPr="009B4758">
        <w:rPr>
          <w:color w:val="000000" w:themeColor="text1"/>
          <w:lang w:val="en-GB"/>
        </w:rPr>
        <w:t xml:space="preserve"> To address deep rooted sociocultural norms that represent a risk to advancing gender equality, all programme interventions will promote practices that address gender inequality and related negative social norms</w:t>
      </w:r>
      <w:r w:rsidR="00BC62ED">
        <w:rPr>
          <w:color w:val="000000" w:themeColor="text1"/>
          <w:lang w:val="en-GB"/>
        </w:rPr>
        <w:t>,</w:t>
      </w:r>
      <w:r w:rsidR="00D46131">
        <w:rPr>
          <w:color w:val="000000" w:themeColor="text1"/>
          <w:lang w:val="en-GB"/>
        </w:rPr>
        <w:t xml:space="preserve"> and at</w:t>
      </w:r>
      <w:r w:rsidR="00D46131" w:rsidRPr="00D46131">
        <w:rPr>
          <w:color w:val="000000" w:themeColor="text1"/>
          <w:lang w:val="en-GB"/>
        </w:rPr>
        <w:t xml:space="preserve"> least 15</w:t>
      </w:r>
      <w:r w:rsidR="00BC62ED">
        <w:rPr>
          <w:color w:val="000000" w:themeColor="text1"/>
          <w:lang w:val="en-GB"/>
        </w:rPr>
        <w:t xml:space="preserve"> per cent</w:t>
      </w:r>
      <w:r w:rsidR="00D46131" w:rsidRPr="00D46131">
        <w:rPr>
          <w:color w:val="000000" w:themeColor="text1"/>
          <w:lang w:val="en-GB"/>
        </w:rPr>
        <w:t xml:space="preserve"> of the budget will be invested in gender equality and women's empowerment.</w:t>
      </w:r>
    </w:p>
    <w:p w14:paraId="45B3A4A6" w14:textId="3CD85CC8" w:rsidR="00130745" w:rsidRPr="00FB168A" w:rsidRDefault="00BC62ED" w:rsidP="00B13D1B">
      <w:pPr>
        <w:pStyle w:val="ListParagraph"/>
        <w:numPr>
          <w:ilvl w:val="0"/>
          <w:numId w:val="6"/>
        </w:numPr>
        <w:tabs>
          <w:tab w:val="left" w:pos="1620"/>
        </w:tabs>
        <w:spacing w:after="120"/>
        <w:ind w:left="1260" w:right="1210" w:firstLine="0"/>
        <w:jc w:val="both"/>
        <w:rPr>
          <w:color w:val="000000" w:themeColor="text1"/>
          <w:lang w:val="en-GB"/>
        </w:rPr>
      </w:pPr>
      <w:r>
        <w:rPr>
          <w:color w:val="000000" w:themeColor="text1"/>
          <w:lang w:val="en-GB"/>
        </w:rPr>
        <w:t>L</w:t>
      </w:r>
      <w:r w:rsidR="00AE13CA" w:rsidRPr="00FB168A">
        <w:rPr>
          <w:color w:val="000000" w:themeColor="text1"/>
          <w:lang w:val="en-GB"/>
        </w:rPr>
        <w:t xml:space="preserve">ow </w:t>
      </w:r>
      <w:r w:rsidR="00EB5261">
        <w:rPr>
          <w:color w:val="000000" w:themeColor="text1"/>
          <w:lang w:val="en-GB"/>
        </w:rPr>
        <w:t xml:space="preserve">implementation </w:t>
      </w:r>
      <w:r w:rsidR="00AE13CA" w:rsidRPr="00FB168A">
        <w:rPr>
          <w:color w:val="000000" w:themeColor="text1"/>
          <w:lang w:val="en-GB"/>
        </w:rPr>
        <w:t>capacit</w:t>
      </w:r>
      <w:r>
        <w:rPr>
          <w:color w:val="000000" w:themeColor="text1"/>
          <w:lang w:val="en-GB"/>
        </w:rPr>
        <w:t>ies</w:t>
      </w:r>
      <w:r w:rsidR="00AE13CA" w:rsidRPr="00FB168A">
        <w:rPr>
          <w:color w:val="000000" w:themeColor="text1"/>
          <w:lang w:val="en-GB"/>
        </w:rPr>
        <w:t xml:space="preserve"> of </w:t>
      </w:r>
      <w:r w:rsidR="00EB5261">
        <w:rPr>
          <w:color w:val="000000" w:themeColor="text1"/>
          <w:lang w:val="en-GB"/>
        </w:rPr>
        <w:t>local</w:t>
      </w:r>
      <w:r w:rsidR="00AE13CA" w:rsidRPr="00FB168A">
        <w:rPr>
          <w:color w:val="000000" w:themeColor="text1"/>
          <w:lang w:val="en-GB"/>
        </w:rPr>
        <w:t xml:space="preserve"> partners</w:t>
      </w:r>
      <w:r w:rsidR="00E23840">
        <w:rPr>
          <w:color w:val="000000" w:themeColor="text1"/>
          <w:lang w:val="en-GB"/>
        </w:rPr>
        <w:t xml:space="preserve"> and a limited number of qualified nationals and consulting companies require greater UNDP involvement in implementation.</w:t>
      </w:r>
      <w:r w:rsidR="00AE13CA" w:rsidRPr="00FB168A">
        <w:rPr>
          <w:color w:val="000000" w:themeColor="text1"/>
          <w:lang w:val="en-GB"/>
        </w:rPr>
        <w:t xml:space="preserve"> Th</w:t>
      </w:r>
      <w:r w:rsidR="00ED658B">
        <w:rPr>
          <w:color w:val="000000" w:themeColor="text1"/>
          <w:lang w:val="en-GB"/>
        </w:rPr>
        <w:t>is w</w:t>
      </w:r>
      <w:r w:rsidR="00291646" w:rsidRPr="00FB168A">
        <w:rPr>
          <w:color w:val="000000" w:themeColor="text1"/>
          <w:lang w:val="en-GB"/>
        </w:rPr>
        <w:t xml:space="preserve">ill be </w:t>
      </w:r>
      <w:r w:rsidR="00E23840">
        <w:rPr>
          <w:color w:val="000000" w:themeColor="text1"/>
          <w:lang w:val="en-GB"/>
        </w:rPr>
        <w:t xml:space="preserve">addressed </w:t>
      </w:r>
      <w:r w:rsidR="00291646" w:rsidRPr="00FB168A">
        <w:rPr>
          <w:color w:val="000000" w:themeColor="text1"/>
          <w:lang w:val="en-GB"/>
        </w:rPr>
        <w:t xml:space="preserve">through </w:t>
      </w:r>
      <w:r w:rsidR="00AE13CA" w:rsidRPr="00FB168A">
        <w:rPr>
          <w:color w:val="000000" w:themeColor="text1"/>
          <w:lang w:val="en-GB"/>
        </w:rPr>
        <w:t>capacity building programme</w:t>
      </w:r>
      <w:r w:rsidR="00F14D36" w:rsidRPr="00FB168A">
        <w:rPr>
          <w:color w:val="000000" w:themeColor="text1"/>
          <w:lang w:val="en-GB"/>
        </w:rPr>
        <w:t>s</w:t>
      </w:r>
      <w:r w:rsidR="00AE13CA" w:rsidRPr="00FB168A">
        <w:rPr>
          <w:color w:val="000000" w:themeColor="text1"/>
          <w:lang w:val="en-GB"/>
        </w:rPr>
        <w:t xml:space="preserve"> for implementing partners that </w:t>
      </w:r>
      <w:r w:rsidR="00E23840">
        <w:rPr>
          <w:color w:val="000000" w:themeColor="text1"/>
          <w:lang w:val="en-GB"/>
        </w:rPr>
        <w:t xml:space="preserve">respond to </w:t>
      </w:r>
      <w:r w:rsidR="00AE13CA" w:rsidRPr="00FB168A">
        <w:rPr>
          <w:color w:val="000000" w:themeColor="text1"/>
          <w:lang w:val="en-GB"/>
        </w:rPr>
        <w:t>the risks identified in the micro-assessment</w:t>
      </w:r>
      <w:r w:rsidR="00E23840">
        <w:rPr>
          <w:color w:val="000000" w:themeColor="text1"/>
          <w:lang w:val="en-GB"/>
        </w:rPr>
        <w:t>s.</w:t>
      </w:r>
      <w:r w:rsidR="00130745" w:rsidRPr="00FB168A">
        <w:rPr>
          <w:color w:val="000000" w:themeColor="text1"/>
          <w:lang w:val="en-GB"/>
        </w:rPr>
        <w:t xml:space="preserve"> </w:t>
      </w:r>
    </w:p>
    <w:p w14:paraId="1ED2EC3D" w14:textId="725EEA5D" w:rsidR="00E4574A" w:rsidRPr="00595AE9" w:rsidRDefault="00E840D1" w:rsidP="00B13D1B">
      <w:pPr>
        <w:pStyle w:val="ListParagraph"/>
        <w:numPr>
          <w:ilvl w:val="0"/>
          <w:numId w:val="6"/>
        </w:numPr>
        <w:tabs>
          <w:tab w:val="left" w:pos="1620"/>
        </w:tabs>
        <w:spacing w:after="120"/>
        <w:ind w:left="1260" w:right="1210" w:firstLine="0"/>
        <w:jc w:val="both"/>
        <w:rPr>
          <w:color w:val="000000" w:themeColor="text1"/>
          <w:lang w:val="en-GB"/>
        </w:rPr>
      </w:pPr>
      <w:r w:rsidRPr="00595AE9">
        <w:rPr>
          <w:color w:val="000000" w:themeColor="text1"/>
          <w:lang w:val="en-GB"/>
        </w:rPr>
        <w:t xml:space="preserve">The programme is </w:t>
      </w:r>
      <w:r w:rsidR="00BC62ED">
        <w:rPr>
          <w:color w:val="000000" w:themeColor="text1"/>
          <w:lang w:val="en-GB"/>
        </w:rPr>
        <w:t>financed</w:t>
      </w:r>
      <w:r w:rsidR="00BC62ED" w:rsidRPr="00595AE9">
        <w:rPr>
          <w:color w:val="000000" w:themeColor="text1"/>
          <w:lang w:val="en-GB"/>
        </w:rPr>
        <w:t xml:space="preserve"> </w:t>
      </w:r>
      <w:r w:rsidR="00BC62ED">
        <w:rPr>
          <w:color w:val="000000" w:themeColor="text1"/>
          <w:lang w:val="en-GB"/>
        </w:rPr>
        <w:t>through</w:t>
      </w:r>
      <w:r w:rsidR="00BC62ED" w:rsidRPr="00595AE9">
        <w:rPr>
          <w:color w:val="000000" w:themeColor="text1"/>
          <w:lang w:val="en-GB"/>
        </w:rPr>
        <w:t xml:space="preserve"> </w:t>
      </w:r>
      <w:r w:rsidRPr="00595AE9">
        <w:rPr>
          <w:color w:val="000000" w:themeColor="text1"/>
          <w:lang w:val="en-GB"/>
        </w:rPr>
        <w:t xml:space="preserve">a robust resource pipeline </w:t>
      </w:r>
      <w:r w:rsidR="00BC62ED">
        <w:rPr>
          <w:color w:val="000000" w:themeColor="text1"/>
          <w:lang w:val="en-GB"/>
        </w:rPr>
        <w:t>where</w:t>
      </w:r>
      <w:r w:rsidR="009F4D6B" w:rsidRPr="00595AE9">
        <w:rPr>
          <w:color w:val="000000" w:themeColor="text1"/>
          <w:lang w:val="en-GB"/>
        </w:rPr>
        <w:t xml:space="preserve"> </w:t>
      </w:r>
      <w:r w:rsidR="005627D9" w:rsidRPr="00595AE9">
        <w:rPr>
          <w:color w:val="000000" w:themeColor="text1"/>
          <w:lang w:val="en-GB"/>
        </w:rPr>
        <w:t>over 80</w:t>
      </w:r>
      <w:r w:rsidR="00BC62ED">
        <w:rPr>
          <w:color w:val="000000" w:themeColor="text1"/>
          <w:lang w:val="en-GB"/>
        </w:rPr>
        <w:t xml:space="preserve"> per cent</w:t>
      </w:r>
      <w:r w:rsidR="009F4D6B" w:rsidRPr="00595AE9">
        <w:rPr>
          <w:color w:val="000000" w:themeColor="text1"/>
          <w:lang w:val="en-GB"/>
        </w:rPr>
        <w:t xml:space="preserve"> is </w:t>
      </w:r>
      <w:r w:rsidR="00130745" w:rsidRPr="00595AE9">
        <w:rPr>
          <w:color w:val="000000" w:themeColor="text1"/>
          <w:lang w:val="en-GB"/>
        </w:rPr>
        <w:t>non-core</w:t>
      </w:r>
      <w:r w:rsidR="00BC62ED">
        <w:rPr>
          <w:color w:val="000000" w:themeColor="text1"/>
          <w:lang w:val="en-GB"/>
        </w:rPr>
        <w:t xml:space="preserve"> funds</w:t>
      </w:r>
      <w:r w:rsidR="009F4D6B" w:rsidRPr="00595AE9">
        <w:rPr>
          <w:color w:val="000000" w:themeColor="text1"/>
          <w:lang w:val="en-GB"/>
        </w:rPr>
        <w:t>.</w:t>
      </w:r>
      <w:r w:rsidR="00E56B68" w:rsidRPr="00595AE9">
        <w:rPr>
          <w:color w:val="000000" w:themeColor="text1"/>
          <w:lang w:val="en-GB"/>
        </w:rPr>
        <w:t xml:space="preserve"> The </w:t>
      </w:r>
      <w:r w:rsidR="00BC62ED">
        <w:rPr>
          <w:color w:val="000000" w:themeColor="text1"/>
          <w:lang w:val="en-GB"/>
        </w:rPr>
        <w:t>c</w:t>
      </w:r>
      <w:r w:rsidR="00E56B68" w:rsidRPr="00595AE9">
        <w:rPr>
          <w:color w:val="000000" w:themeColor="text1"/>
          <w:lang w:val="en-GB"/>
        </w:rPr>
        <w:t xml:space="preserve">ountry </w:t>
      </w:r>
      <w:r w:rsidR="00BC62ED">
        <w:rPr>
          <w:color w:val="000000" w:themeColor="text1"/>
          <w:lang w:val="en-GB"/>
        </w:rPr>
        <w:t>o</w:t>
      </w:r>
      <w:r w:rsidR="00E56B68" w:rsidRPr="00595AE9">
        <w:rPr>
          <w:color w:val="000000" w:themeColor="text1"/>
          <w:lang w:val="en-GB"/>
        </w:rPr>
        <w:t>ffice</w:t>
      </w:r>
      <w:r w:rsidR="009F4D6B" w:rsidRPr="00595AE9">
        <w:rPr>
          <w:color w:val="000000" w:themeColor="text1"/>
          <w:lang w:val="en-GB"/>
        </w:rPr>
        <w:t xml:space="preserve"> has a positive track record of building flexibility into programme implementation </w:t>
      </w:r>
      <w:r w:rsidRPr="00595AE9">
        <w:rPr>
          <w:color w:val="000000" w:themeColor="text1"/>
          <w:lang w:val="en-GB"/>
        </w:rPr>
        <w:t>and resource mobili</w:t>
      </w:r>
      <w:r w:rsidR="00BC62ED">
        <w:rPr>
          <w:color w:val="000000" w:themeColor="text1"/>
          <w:lang w:val="en-GB"/>
        </w:rPr>
        <w:t>z</w:t>
      </w:r>
      <w:r w:rsidRPr="00595AE9">
        <w:rPr>
          <w:color w:val="000000" w:themeColor="text1"/>
          <w:lang w:val="en-GB"/>
        </w:rPr>
        <w:t>ation</w:t>
      </w:r>
      <w:r w:rsidR="00E56B68" w:rsidRPr="00595AE9">
        <w:rPr>
          <w:color w:val="000000" w:themeColor="text1"/>
          <w:lang w:val="en-GB"/>
        </w:rPr>
        <w:t xml:space="preserve">. </w:t>
      </w:r>
      <w:r w:rsidR="005F317F" w:rsidRPr="00595AE9">
        <w:rPr>
          <w:color w:val="000000" w:themeColor="text1"/>
          <w:lang w:val="en-GB"/>
        </w:rPr>
        <w:t>A</w:t>
      </w:r>
      <w:r w:rsidRPr="00595AE9">
        <w:rPr>
          <w:color w:val="000000" w:themeColor="text1"/>
          <w:lang w:val="en-GB"/>
        </w:rPr>
        <w:t xml:space="preserve"> critical part of the</w:t>
      </w:r>
      <w:r w:rsidR="00C0560D" w:rsidRPr="00595AE9">
        <w:rPr>
          <w:color w:val="000000" w:themeColor="text1"/>
          <w:lang w:val="en-GB"/>
        </w:rPr>
        <w:t xml:space="preserve"> annual review process </w:t>
      </w:r>
      <w:r w:rsidRPr="00595AE9">
        <w:rPr>
          <w:color w:val="000000" w:themeColor="text1"/>
          <w:lang w:val="en-GB"/>
        </w:rPr>
        <w:t xml:space="preserve">will be </w:t>
      </w:r>
      <w:r w:rsidR="00BC62ED">
        <w:rPr>
          <w:color w:val="000000" w:themeColor="text1"/>
          <w:lang w:val="en-GB"/>
        </w:rPr>
        <w:t>analyzing</w:t>
      </w:r>
      <w:r w:rsidRPr="00595AE9">
        <w:rPr>
          <w:color w:val="000000" w:themeColor="text1"/>
          <w:lang w:val="en-GB"/>
        </w:rPr>
        <w:t xml:space="preserve"> the </w:t>
      </w:r>
      <w:r w:rsidR="004161B2" w:rsidRPr="00595AE9">
        <w:rPr>
          <w:color w:val="000000" w:themeColor="text1"/>
          <w:lang w:val="en-GB"/>
        </w:rPr>
        <w:t xml:space="preserve">funding ecosystem </w:t>
      </w:r>
      <w:r w:rsidRPr="00595AE9">
        <w:rPr>
          <w:color w:val="000000" w:themeColor="text1"/>
          <w:lang w:val="en-GB"/>
        </w:rPr>
        <w:t xml:space="preserve">and </w:t>
      </w:r>
      <w:r w:rsidR="00130745" w:rsidRPr="00595AE9">
        <w:rPr>
          <w:color w:val="000000" w:themeColor="text1"/>
          <w:lang w:val="en-GB"/>
        </w:rPr>
        <w:t xml:space="preserve">risk and </w:t>
      </w:r>
      <w:r w:rsidR="009F4D6B" w:rsidRPr="00595AE9">
        <w:rPr>
          <w:color w:val="000000" w:themeColor="text1"/>
          <w:lang w:val="en-GB"/>
        </w:rPr>
        <w:t xml:space="preserve">impact of any changes. </w:t>
      </w:r>
      <w:r w:rsidR="00BC62ED">
        <w:rPr>
          <w:color w:val="000000" w:themeColor="text1"/>
          <w:lang w:val="en-GB"/>
        </w:rPr>
        <w:t xml:space="preserve">Another </w:t>
      </w:r>
      <w:r w:rsidR="00BC62ED">
        <w:rPr>
          <w:color w:val="000000" w:themeColor="text1"/>
          <w:lang w:val="en-GB"/>
        </w:rPr>
        <w:lastRenderedPageBreak/>
        <w:t>approach</w:t>
      </w:r>
      <w:r w:rsidR="00595AE9">
        <w:rPr>
          <w:color w:val="000000" w:themeColor="text1"/>
          <w:lang w:val="en-GB"/>
        </w:rPr>
        <w:t xml:space="preserve"> involve</w:t>
      </w:r>
      <w:r w:rsidR="00BC62ED">
        <w:rPr>
          <w:color w:val="000000" w:themeColor="text1"/>
          <w:lang w:val="en-GB"/>
        </w:rPr>
        <w:t>s</w:t>
      </w:r>
      <w:r w:rsidR="00595AE9">
        <w:rPr>
          <w:color w:val="000000" w:themeColor="text1"/>
          <w:lang w:val="en-GB"/>
        </w:rPr>
        <w:t xml:space="preserve"> t</w:t>
      </w:r>
      <w:r w:rsidR="00595AE9" w:rsidRPr="00595AE9">
        <w:rPr>
          <w:color w:val="000000" w:themeColor="text1"/>
          <w:lang w:val="en-GB"/>
        </w:rPr>
        <w:t xml:space="preserve">raining </w:t>
      </w:r>
      <w:r w:rsidR="00BC62ED">
        <w:rPr>
          <w:color w:val="000000" w:themeColor="text1"/>
          <w:lang w:val="en-GB"/>
        </w:rPr>
        <w:t>country office</w:t>
      </w:r>
      <w:r w:rsidR="00BC62ED" w:rsidRPr="00595AE9">
        <w:rPr>
          <w:color w:val="000000" w:themeColor="text1"/>
          <w:lang w:val="en-GB"/>
        </w:rPr>
        <w:t xml:space="preserve"> </w:t>
      </w:r>
      <w:r w:rsidR="00595AE9" w:rsidRPr="00595AE9">
        <w:rPr>
          <w:color w:val="000000" w:themeColor="text1"/>
          <w:lang w:val="en-GB"/>
        </w:rPr>
        <w:t xml:space="preserve">staff, particularly on </w:t>
      </w:r>
      <w:r w:rsidR="00BC62ED">
        <w:rPr>
          <w:color w:val="000000" w:themeColor="text1"/>
          <w:lang w:val="en-GB"/>
        </w:rPr>
        <w:t>international finance institutions (</w:t>
      </w:r>
      <w:r w:rsidR="00595AE9" w:rsidRPr="00595AE9">
        <w:rPr>
          <w:color w:val="000000" w:themeColor="text1"/>
          <w:lang w:val="en-GB"/>
        </w:rPr>
        <w:t>IFIs</w:t>
      </w:r>
      <w:r w:rsidR="00BC62ED">
        <w:rPr>
          <w:color w:val="000000" w:themeColor="text1"/>
          <w:lang w:val="en-GB"/>
        </w:rPr>
        <w:t>)</w:t>
      </w:r>
      <w:r w:rsidR="00595AE9" w:rsidRPr="00595AE9">
        <w:rPr>
          <w:color w:val="000000" w:themeColor="text1"/>
          <w:lang w:val="en-GB"/>
        </w:rPr>
        <w:t xml:space="preserve">, </w:t>
      </w:r>
      <w:r w:rsidR="00595AE9">
        <w:rPr>
          <w:color w:val="000000" w:themeColor="text1"/>
          <w:lang w:val="en-GB"/>
        </w:rPr>
        <w:t xml:space="preserve">to support resource </w:t>
      </w:r>
      <w:r w:rsidR="00595AE9" w:rsidRPr="00595AE9">
        <w:rPr>
          <w:color w:val="000000" w:themeColor="text1"/>
          <w:lang w:val="en-GB"/>
        </w:rPr>
        <w:t>mobilization</w:t>
      </w:r>
      <w:r w:rsidR="00E56B68" w:rsidRPr="00595AE9">
        <w:rPr>
          <w:color w:val="000000" w:themeColor="text1"/>
          <w:lang w:val="en-GB"/>
        </w:rPr>
        <w:t xml:space="preserve"> and </w:t>
      </w:r>
      <w:r w:rsidR="00595AE9" w:rsidRPr="00595AE9">
        <w:rPr>
          <w:color w:val="000000" w:themeColor="text1"/>
          <w:lang w:val="en-GB"/>
        </w:rPr>
        <w:t>n</w:t>
      </w:r>
      <w:r w:rsidR="00E56B68" w:rsidRPr="00595AE9">
        <w:rPr>
          <w:color w:val="000000" w:themeColor="text1"/>
          <w:lang w:val="en-GB"/>
        </w:rPr>
        <w:t>ew ways of working</w:t>
      </w:r>
      <w:r w:rsidR="00BC62ED">
        <w:rPr>
          <w:color w:val="000000" w:themeColor="text1"/>
          <w:lang w:val="en-GB"/>
        </w:rPr>
        <w:t xml:space="preserve"> (</w:t>
      </w:r>
      <w:r w:rsidR="00E56B68" w:rsidRPr="00595AE9">
        <w:rPr>
          <w:color w:val="000000" w:themeColor="text1"/>
          <w:lang w:val="en-GB"/>
        </w:rPr>
        <w:t xml:space="preserve">including </w:t>
      </w:r>
      <w:r w:rsidR="00BC62ED">
        <w:rPr>
          <w:color w:val="000000" w:themeColor="text1"/>
          <w:lang w:val="en-GB"/>
        </w:rPr>
        <w:t xml:space="preserve">on </w:t>
      </w:r>
      <w:r w:rsidR="00E56B68" w:rsidRPr="00595AE9">
        <w:rPr>
          <w:color w:val="000000" w:themeColor="text1"/>
          <w:lang w:val="en-GB"/>
        </w:rPr>
        <w:t>the use of ICT</w:t>
      </w:r>
      <w:r w:rsidR="00BC62ED">
        <w:rPr>
          <w:color w:val="000000" w:themeColor="text1"/>
          <w:lang w:val="en-GB"/>
        </w:rPr>
        <w:t>)</w:t>
      </w:r>
      <w:r w:rsidR="00E56B68" w:rsidRPr="00595AE9">
        <w:rPr>
          <w:color w:val="000000" w:themeColor="text1"/>
          <w:lang w:val="en-GB"/>
        </w:rPr>
        <w:t xml:space="preserve"> </w:t>
      </w:r>
      <w:r w:rsidR="00595AE9">
        <w:rPr>
          <w:color w:val="000000" w:themeColor="text1"/>
          <w:lang w:val="en-GB"/>
        </w:rPr>
        <w:t>to maintain result</w:t>
      </w:r>
      <w:r w:rsidR="002D4716">
        <w:rPr>
          <w:color w:val="000000" w:themeColor="text1"/>
          <w:lang w:val="en-GB"/>
        </w:rPr>
        <w:t>s</w:t>
      </w:r>
      <w:r w:rsidR="00595AE9">
        <w:rPr>
          <w:color w:val="000000" w:themeColor="text1"/>
          <w:lang w:val="en-GB"/>
        </w:rPr>
        <w:t xml:space="preserve"> </w:t>
      </w:r>
      <w:r w:rsidR="00E56B68" w:rsidRPr="00595AE9">
        <w:rPr>
          <w:color w:val="000000" w:themeColor="text1"/>
          <w:lang w:val="en-GB"/>
        </w:rPr>
        <w:t>deliver</w:t>
      </w:r>
      <w:r w:rsidR="00595AE9">
        <w:rPr>
          <w:color w:val="000000" w:themeColor="text1"/>
          <w:lang w:val="en-GB"/>
        </w:rPr>
        <w:t xml:space="preserve">y </w:t>
      </w:r>
      <w:r w:rsidR="00595AE9" w:rsidRPr="00595AE9">
        <w:rPr>
          <w:color w:val="000000" w:themeColor="text1"/>
          <w:lang w:val="en-GB"/>
        </w:rPr>
        <w:t xml:space="preserve">as </w:t>
      </w:r>
      <w:r w:rsidR="002D4716">
        <w:rPr>
          <w:color w:val="000000" w:themeColor="text1"/>
          <w:lang w:val="en-GB"/>
        </w:rPr>
        <w:t>seen</w:t>
      </w:r>
      <w:r w:rsidR="00F14F46" w:rsidRPr="00595AE9">
        <w:rPr>
          <w:color w:val="000000" w:themeColor="text1"/>
          <w:lang w:val="en-GB"/>
        </w:rPr>
        <w:t xml:space="preserve"> </w:t>
      </w:r>
      <w:r w:rsidR="00E56B68" w:rsidRPr="00595AE9">
        <w:rPr>
          <w:color w:val="000000" w:themeColor="text1"/>
          <w:lang w:val="en-GB"/>
        </w:rPr>
        <w:t xml:space="preserve">during the </w:t>
      </w:r>
      <w:r w:rsidR="00130745" w:rsidRPr="00595AE9">
        <w:rPr>
          <w:color w:val="000000" w:themeColor="text1"/>
          <w:lang w:val="en-GB"/>
        </w:rPr>
        <w:t>COVID-19</w:t>
      </w:r>
      <w:r w:rsidR="004161B2" w:rsidRPr="00595AE9">
        <w:rPr>
          <w:color w:val="000000" w:themeColor="text1"/>
          <w:lang w:val="en-GB"/>
        </w:rPr>
        <w:t xml:space="preserve"> </w:t>
      </w:r>
      <w:r w:rsidR="002D4716">
        <w:rPr>
          <w:color w:val="000000" w:themeColor="text1"/>
          <w:lang w:val="en-GB"/>
        </w:rPr>
        <w:t>p</w:t>
      </w:r>
      <w:r w:rsidR="00E56B68" w:rsidRPr="00595AE9">
        <w:rPr>
          <w:color w:val="000000" w:themeColor="text1"/>
          <w:lang w:val="en-GB"/>
        </w:rPr>
        <w:t>andemic</w:t>
      </w:r>
      <w:r w:rsidR="00605838" w:rsidRPr="00595AE9">
        <w:rPr>
          <w:color w:val="000000" w:themeColor="text1"/>
          <w:lang w:val="en-GB"/>
        </w:rPr>
        <w:t>. Reprioriti</w:t>
      </w:r>
      <w:r w:rsidR="002D4716">
        <w:rPr>
          <w:color w:val="000000" w:themeColor="text1"/>
          <w:lang w:val="en-GB"/>
        </w:rPr>
        <w:t>z</w:t>
      </w:r>
      <w:r w:rsidR="00605838" w:rsidRPr="00595AE9">
        <w:rPr>
          <w:color w:val="000000" w:themeColor="text1"/>
          <w:lang w:val="en-GB"/>
        </w:rPr>
        <w:t>ation</w:t>
      </w:r>
      <w:r w:rsidR="00595AE9">
        <w:rPr>
          <w:color w:val="000000" w:themeColor="text1"/>
          <w:lang w:val="en-GB"/>
        </w:rPr>
        <w:t>, if required,</w:t>
      </w:r>
      <w:r w:rsidR="00605838" w:rsidRPr="00595AE9">
        <w:rPr>
          <w:color w:val="000000" w:themeColor="text1"/>
          <w:lang w:val="en-GB"/>
        </w:rPr>
        <w:t xml:space="preserve"> </w:t>
      </w:r>
      <w:r w:rsidR="002D4716">
        <w:rPr>
          <w:color w:val="000000" w:themeColor="text1"/>
          <w:lang w:val="en-GB"/>
        </w:rPr>
        <w:t>will</w:t>
      </w:r>
      <w:r w:rsidR="002D4716" w:rsidRPr="00595AE9">
        <w:rPr>
          <w:color w:val="000000" w:themeColor="text1"/>
          <w:lang w:val="en-GB"/>
        </w:rPr>
        <w:t xml:space="preserve"> </w:t>
      </w:r>
      <w:r w:rsidR="00605838" w:rsidRPr="00595AE9">
        <w:rPr>
          <w:color w:val="000000" w:themeColor="text1"/>
          <w:lang w:val="en-GB"/>
        </w:rPr>
        <w:t xml:space="preserve">respect the principles of </w:t>
      </w:r>
      <w:r w:rsidR="00BC62ED">
        <w:rPr>
          <w:color w:val="000000" w:themeColor="text1"/>
          <w:lang w:val="en-GB"/>
        </w:rPr>
        <w:t>‘Leave No One Behind’</w:t>
      </w:r>
      <w:r w:rsidR="00BC62ED" w:rsidRPr="00595AE9">
        <w:rPr>
          <w:color w:val="000000" w:themeColor="text1"/>
          <w:lang w:val="en-GB"/>
        </w:rPr>
        <w:t xml:space="preserve"> </w:t>
      </w:r>
      <w:r w:rsidR="00F14F46" w:rsidRPr="00595AE9">
        <w:rPr>
          <w:color w:val="000000" w:themeColor="text1"/>
          <w:lang w:val="en-GB"/>
        </w:rPr>
        <w:t xml:space="preserve">and a human </w:t>
      </w:r>
      <w:r w:rsidR="00FC39D1" w:rsidRPr="00595AE9">
        <w:rPr>
          <w:color w:val="000000" w:themeColor="text1"/>
          <w:lang w:val="en-GB"/>
        </w:rPr>
        <w:t>rights-based</w:t>
      </w:r>
      <w:r w:rsidR="00F14F46" w:rsidRPr="00595AE9">
        <w:rPr>
          <w:color w:val="000000" w:themeColor="text1"/>
          <w:lang w:val="en-GB"/>
        </w:rPr>
        <w:t xml:space="preserve"> approach</w:t>
      </w:r>
      <w:r w:rsidR="002D4716">
        <w:rPr>
          <w:color w:val="000000" w:themeColor="text1"/>
          <w:lang w:val="en-GB"/>
        </w:rPr>
        <w:t>es</w:t>
      </w:r>
      <w:r w:rsidR="00F14F46" w:rsidRPr="00595AE9">
        <w:rPr>
          <w:color w:val="000000" w:themeColor="text1"/>
          <w:lang w:val="en-GB"/>
        </w:rPr>
        <w:t>.</w:t>
      </w:r>
      <w:r w:rsidR="00605838" w:rsidRPr="00595AE9">
        <w:rPr>
          <w:color w:val="000000" w:themeColor="text1"/>
          <w:lang w:val="en-GB"/>
        </w:rPr>
        <w:t xml:space="preserve"> </w:t>
      </w:r>
    </w:p>
    <w:p w14:paraId="62D0942A" w14:textId="7B55B2EF" w:rsidR="00BF7D41" w:rsidRPr="000C12E5" w:rsidRDefault="005164D5" w:rsidP="003F4315">
      <w:pPr>
        <w:pStyle w:val="ListParagraph"/>
        <w:numPr>
          <w:ilvl w:val="0"/>
          <w:numId w:val="2"/>
        </w:numPr>
        <w:tabs>
          <w:tab w:val="left" w:pos="1620"/>
        </w:tabs>
        <w:spacing w:before="200" w:after="200"/>
        <w:ind w:left="1260" w:right="1210" w:hanging="450"/>
        <w:jc w:val="both"/>
        <w:rPr>
          <w:b/>
          <w:sz w:val="24"/>
          <w:szCs w:val="24"/>
          <w:lang w:val="en-GB"/>
        </w:rPr>
      </w:pPr>
      <w:bookmarkStart w:id="4" w:name="_Hlk72508591"/>
      <w:r w:rsidRPr="000C12E5">
        <w:rPr>
          <w:b/>
          <w:sz w:val="24"/>
          <w:szCs w:val="24"/>
          <w:lang w:val="en-GB"/>
        </w:rPr>
        <w:t>M</w:t>
      </w:r>
      <w:r w:rsidR="00BF7D41" w:rsidRPr="000C12E5">
        <w:rPr>
          <w:b/>
          <w:sz w:val="24"/>
          <w:szCs w:val="24"/>
          <w:lang w:val="en-GB"/>
        </w:rPr>
        <w:t xml:space="preserve">onitoring and </w:t>
      </w:r>
      <w:r w:rsidR="003F4315">
        <w:rPr>
          <w:b/>
          <w:sz w:val="24"/>
          <w:szCs w:val="24"/>
          <w:lang w:val="en-GB"/>
        </w:rPr>
        <w:t>e</w:t>
      </w:r>
      <w:r w:rsidR="00BF7D41" w:rsidRPr="000C12E5">
        <w:rPr>
          <w:b/>
          <w:sz w:val="24"/>
          <w:szCs w:val="24"/>
          <w:lang w:val="en-GB"/>
        </w:rPr>
        <w:t>valuation</w:t>
      </w:r>
    </w:p>
    <w:bookmarkEnd w:id="4"/>
    <w:p w14:paraId="1B9FC1D3" w14:textId="19FD84DB" w:rsidR="00EC22F0" w:rsidRDefault="002D4716" w:rsidP="00B13D1B">
      <w:pPr>
        <w:pStyle w:val="ListParagraph"/>
        <w:numPr>
          <w:ilvl w:val="0"/>
          <w:numId w:val="7"/>
        </w:numPr>
        <w:tabs>
          <w:tab w:val="left" w:pos="1620"/>
        </w:tabs>
        <w:spacing w:after="120"/>
        <w:ind w:left="1260" w:right="1210" w:firstLine="0"/>
        <w:jc w:val="both"/>
        <w:rPr>
          <w:lang w:val="en-GB"/>
        </w:rPr>
      </w:pPr>
      <w:r>
        <w:rPr>
          <w:lang w:val="en-GB"/>
        </w:rPr>
        <w:t xml:space="preserve">The </w:t>
      </w:r>
      <w:r w:rsidR="000C12E5" w:rsidRPr="000C12E5">
        <w:rPr>
          <w:lang w:val="en-GB"/>
        </w:rPr>
        <w:t xml:space="preserve">UNDP performance monitoring system will be harmonized with the UNSDCF </w:t>
      </w:r>
      <w:r w:rsidR="003941BF">
        <w:rPr>
          <w:lang w:val="en-GB"/>
        </w:rPr>
        <w:t>according to U</w:t>
      </w:r>
      <w:r>
        <w:rPr>
          <w:lang w:val="en-GB"/>
        </w:rPr>
        <w:t xml:space="preserve">nited </w:t>
      </w:r>
      <w:r w:rsidR="003941BF">
        <w:rPr>
          <w:lang w:val="en-GB"/>
        </w:rPr>
        <w:t>N</w:t>
      </w:r>
      <w:r>
        <w:rPr>
          <w:lang w:val="en-GB"/>
        </w:rPr>
        <w:t>ations</w:t>
      </w:r>
      <w:r w:rsidR="003941BF">
        <w:rPr>
          <w:lang w:val="en-GB"/>
        </w:rPr>
        <w:t xml:space="preserve"> </w:t>
      </w:r>
      <w:r w:rsidR="000C12E5" w:rsidRPr="000C12E5">
        <w:rPr>
          <w:lang w:val="en-GB"/>
        </w:rPr>
        <w:t xml:space="preserve">Evaluation Group norms (2019). UNDP will actively participate </w:t>
      </w:r>
      <w:r w:rsidR="004A38FE">
        <w:rPr>
          <w:lang w:val="en-GB"/>
        </w:rPr>
        <w:t>in</w:t>
      </w:r>
      <w:r w:rsidR="000C12E5" w:rsidRPr="000C12E5">
        <w:rPr>
          <w:lang w:val="en-GB"/>
        </w:rPr>
        <w:t xml:space="preserve"> UNSDCF thematic and results group</w:t>
      </w:r>
      <w:r w:rsidR="003941BF">
        <w:rPr>
          <w:lang w:val="en-GB"/>
        </w:rPr>
        <w:t>s</w:t>
      </w:r>
      <w:r w:rsidR="000C12E5" w:rsidRPr="000C12E5">
        <w:rPr>
          <w:lang w:val="en-GB"/>
        </w:rPr>
        <w:t xml:space="preserve">. Programmatic achievements will be reviewed annually, and outputs reviewed semi-annually </w:t>
      </w:r>
      <w:r>
        <w:rPr>
          <w:lang w:val="en-GB"/>
        </w:rPr>
        <w:t>in the</w:t>
      </w:r>
      <w:r w:rsidRPr="000C12E5">
        <w:rPr>
          <w:lang w:val="en-GB"/>
        </w:rPr>
        <w:t xml:space="preserve"> </w:t>
      </w:r>
      <w:r w:rsidR="000C12E5" w:rsidRPr="000C12E5">
        <w:rPr>
          <w:lang w:val="en-GB"/>
        </w:rPr>
        <w:t xml:space="preserve">integrated evaluation plan. The programme will be subject to a final evaluation in 2027.  </w:t>
      </w:r>
    </w:p>
    <w:p w14:paraId="3701E3F6" w14:textId="18BBFFB1" w:rsidR="000C12E5" w:rsidRPr="00B43940" w:rsidRDefault="00EC22F0" w:rsidP="00B13D1B">
      <w:pPr>
        <w:pStyle w:val="ListParagraph"/>
        <w:numPr>
          <w:ilvl w:val="0"/>
          <w:numId w:val="7"/>
        </w:numPr>
        <w:tabs>
          <w:tab w:val="left" w:pos="1620"/>
        </w:tabs>
        <w:spacing w:after="120"/>
        <w:ind w:left="1260" w:right="1210" w:firstLine="0"/>
        <w:jc w:val="both"/>
        <w:rPr>
          <w:color w:val="000000" w:themeColor="text1"/>
          <w:lang w:val="en-GB"/>
        </w:rPr>
      </w:pPr>
      <w:r w:rsidRPr="00B43940">
        <w:rPr>
          <w:color w:val="000000" w:themeColor="text1"/>
          <w:lang w:val="en-GB"/>
        </w:rPr>
        <w:t>UNDP will promote an inclusive, rights-based approach to monitoring, including field visits and innovative data collection methods, and regularly produce results-</w:t>
      </w:r>
      <w:r w:rsidR="00515BBB" w:rsidRPr="00B43940">
        <w:rPr>
          <w:color w:val="000000" w:themeColor="text1"/>
          <w:lang w:val="en-GB"/>
        </w:rPr>
        <w:t>based reports</w:t>
      </w:r>
      <w:r w:rsidRPr="00B43940">
        <w:rPr>
          <w:color w:val="000000" w:themeColor="text1"/>
          <w:lang w:val="en-GB"/>
        </w:rPr>
        <w:t xml:space="preserve"> for tracking </w:t>
      </w:r>
      <w:r w:rsidR="003941BF" w:rsidRPr="00B43940">
        <w:rPr>
          <w:color w:val="000000" w:themeColor="text1"/>
          <w:lang w:val="en-GB"/>
        </w:rPr>
        <w:t>progress</w:t>
      </w:r>
      <w:r w:rsidRPr="00B43940">
        <w:rPr>
          <w:color w:val="000000" w:themeColor="text1"/>
          <w:lang w:val="en-GB"/>
        </w:rPr>
        <w:t xml:space="preserve"> and facilitat</w:t>
      </w:r>
      <w:r w:rsidR="00050E17">
        <w:rPr>
          <w:color w:val="000000" w:themeColor="text1"/>
          <w:lang w:val="en-GB"/>
        </w:rPr>
        <w:t>ing</w:t>
      </w:r>
      <w:r w:rsidRPr="00B43940">
        <w:rPr>
          <w:color w:val="000000" w:themeColor="text1"/>
          <w:lang w:val="en-GB"/>
        </w:rPr>
        <w:t xml:space="preserve"> learning, and </w:t>
      </w:r>
      <w:r w:rsidR="00050E17">
        <w:rPr>
          <w:color w:val="000000" w:themeColor="text1"/>
          <w:lang w:val="en-GB"/>
        </w:rPr>
        <w:t xml:space="preserve">making </w:t>
      </w:r>
      <w:r w:rsidRPr="00B43940">
        <w:rPr>
          <w:color w:val="000000" w:themeColor="text1"/>
          <w:lang w:val="en-GB"/>
        </w:rPr>
        <w:t xml:space="preserve">efficient and timely programmatic adjustments. </w:t>
      </w:r>
      <w:r w:rsidR="000C12E5" w:rsidRPr="00B43940">
        <w:rPr>
          <w:color w:val="000000" w:themeColor="text1"/>
          <w:lang w:val="en-GB"/>
        </w:rPr>
        <w:t xml:space="preserve">All project steering committees </w:t>
      </w:r>
      <w:r w:rsidR="003941BF" w:rsidRPr="00B43940">
        <w:rPr>
          <w:color w:val="000000" w:themeColor="text1"/>
          <w:lang w:val="en-GB"/>
        </w:rPr>
        <w:t xml:space="preserve">will </w:t>
      </w:r>
      <w:r w:rsidR="002641D6" w:rsidRPr="00B43940">
        <w:rPr>
          <w:color w:val="000000" w:themeColor="text1"/>
          <w:lang w:val="en-GB"/>
        </w:rPr>
        <w:t>engage</w:t>
      </w:r>
      <w:r w:rsidR="000C12E5" w:rsidRPr="00B43940">
        <w:rPr>
          <w:color w:val="000000" w:themeColor="text1"/>
          <w:lang w:val="en-GB"/>
        </w:rPr>
        <w:t xml:space="preserve"> target groups</w:t>
      </w:r>
      <w:r w:rsidR="00063CC9" w:rsidRPr="00B43940">
        <w:rPr>
          <w:color w:val="000000" w:themeColor="text1"/>
          <w:lang w:val="en-GB"/>
        </w:rPr>
        <w:t>, beneficiaries</w:t>
      </w:r>
      <w:r w:rsidR="00050E17">
        <w:rPr>
          <w:color w:val="000000" w:themeColor="text1"/>
          <w:lang w:val="en-GB"/>
        </w:rPr>
        <w:t>,</w:t>
      </w:r>
      <w:r w:rsidR="00063CC9" w:rsidRPr="00B43940">
        <w:rPr>
          <w:color w:val="000000" w:themeColor="text1"/>
          <w:lang w:val="en-GB"/>
        </w:rPr>
        <w:t xml:space="preserve"> and other stakeholders</w:t>
      </w:r>
      <w:r w:rsidR="00112CE3" w:rsidRPr="00B43940">
        <w:rPr>
          <w:color w:val="000000" w:themeColor="text1"/>
          <w:lang w:val="en-GB"/>
        </w:rPr>
        <w:t>, including the private sector</w:t>
      </w:r>
      <w:r w:rsidR="0077537B" w:rsidRPr="00B43940">
        <w:rPr>
          <w:color w:val="000000" w:themeColor="text1"/>
          <w:lang w:val="en-GB"/>
        </w:rPr>
        <w:t>,</w:t>
      </w:r>
      <w:r w:rsidR="00063CC9" w:rsidRPr="00B43940">
        <w:rPr>
          <w:color w:val="000000" w:themeColor="text1"/>
          <w:lang w:val="en-GB"/>
        </w:rPr>
        <w:t xml:space="preserve"> </w:t>
      </w:r>
      <w:r w:rsidR="000C12E5" w:rsidRPr="00B43940">
        <w:rPr>
          <w:color w:val="000000" w:themeColor="text1"/>
          <w:lang w:val="en-GB"/>
        </w:rPr>
        <w:t>in design</w:t>
      </w:r>
      <w:r w:rsidR="00050E17">
        <w:rPr>
          <w:color w:val="000000" w:themeColor="text1"/>
          <w:lang w:val="en-GB"/>
        </w:rPr>
        <w:t>,</w:t>
      </w:r>
      <w:r w:rsidR="000C12E5" w:rsidRPr="00B43940">
        <w:rPr>
          <w:color w:val="000000" w:themeColor="text1"/>
          <w:lang w:val="en-GB"/>
        </w:rPr>
        <w:t xml:space="preserve"> </w:t>
      </w:r>
      <w:r w:rsidR="00063CC9" w:rsidRPr="00B43940">
        <w:rPr>
          <w:color w:val="000000" w:themeColor="text1"/>
          <w:lang w:val="en-GB"/>
        </w:rPr>
        <w:t>monitoring</w:t>
      </w:r>
      <w:r w:rsidR="00050E17">
        <w:rPr>
          <w:color w:val="000000" w:themeColor="text1"/>
          <w:lang w:val="en-GB"/>
        </w:rPr>
        <w:t>,</w:t>
      </w:r>
      <w:r w:rsidR="00063CC9" w:rsidRPr="00B43940">
        <w:rPr>
          <w:color w:val="000000" w:themeColor="text1"/>
          <w:lang w:val="en-GB"/>
        </w:rPr>
        <w:t xml:space="preserve"> and learning exercises</w:t>
      </w:r>
      <w:r w:rsidR="0077537B" w:rsidRPr="00B43940">
        <w:rPr>
          <w:color w:val="000000" w:themeColor="text1"/>
          <w:lang w:val="en-GB"/>
        </w:rPr>
        <w:t xml:space="preserve">. </w:t>
      </w:r>
      <w:r w:rsidR="00050E17">
        <w:rPr>
          <w:color w:val="000000" w:themeColor="text1"/>
          <w:lang w:val="en-GB"/>
        </w:rPr>
        <w:t>R</w:t>
      </w:r>
      <w:r w:rsidR="000C12E5" w:rsidRPr="00B43940">
        <w:rPr>
          <w:color w:val="000000" w:themeColor="text1"/>
          <w:lang w:val="en-GB"/>
        </w:rPr>
        <w:t>esults of participatory evaluation</w:t>
      </w:r>
      <w:r w:rsidR="0077537B" w:rsidRPr="00B43940">
        <w:rPr>
          <w:color w:val="000000" w:themeColor="text1"/>
          <w:lang w:val="en-GB"/>
        </w:rPr>
        <w:t>s</w:t>
      </w:r>
      <w:r w:rsidR="000C12E5" w:rsidRPr="00B43940">
        <w:rPr>
          <w:color w:val="000000" w:themeColor="text1"/>
          <w:lang w:val="en-GB"/>
        </w:rPr>
        <w:t xml:space="preserve"> will be systematically shared to improve </w:t>
      </w:r>
      <w:r w:rsidR="00112CE3" w:rsidRPr="00B43940">
        <w:rPr>
          <w:color w:val="000000" w:themeColor="text1"/>
          <w:lang w:val="en-GB"/>
        </w:rPr>
        <w:t>adaptive learning</w:t>
      </w:r>
      <w:r w:rsidR="00063CC9" w:rsidRPr="00B43940">
        <w:rPr>
          <w:color w:val="000000" w:themeColor="text1"/>
          <w:lang w:val="en-GB"/>
        </w:rPr>
        <w:t>.</w:t>
      </w:r>
      <w:r w:rsidR="000C12E5" w:rsidRPr="00B43940">
        <w:rPr>
          <w:color w:val="000000" w:themeColor="text1"/>
          <w:lang w:val="en-GB"/>
        </w:rPr>
        <w:t xml:space="preserve"> </w:t>
      </w:r>
    </w:p>
    <w:p w14:paraId="638B6AD0" w14:textId="03E6ECF4" w:rsidR="003D6388" w:rsidRPr="00112CE3" w:rsidRDefault="00112CE3" w:rsidP="00B13D1B">
      <w:pPr>
        <w:pStyle w:val="ListParagraph"/>
        <w:numPr>
          <w:ilvl w:val="0"/>
          <w:numId w:val="7"/>
        </w:numPr>
        <w:tabs>
          <w:tab w:val="left" w:pos="1620"/>
        </w:tabs>
        <w:spacing w:after="120"/>
        <w:ind w:left="1260" w:right="1210" w:firstLine="0"/>
        <w:jc w:val="both"/>
        <w:rPr>
          <w:lang w:val="en-GB"/>
        </w:rPr>
      </w:pPr>
      <w:r w:rsidRPr="00112CE3">
        <w:rPr>
          <w:lang w:val="en-GB"/>
        </w:rPr>
        <w:t xml:space="preserve">As recommended </w:t>
      </w:r>
      <w:r w:rsidR="00050E17">
        <w:rPr>
          <w:lang w:val="en-GB"/>
        </w:rPr>
        <w:t>in</w:t>
      </w:r>
      <w:r w:rsidR="00050E17" w:rsidRPr="00112CE3">
        <w:rPr>
          <w:lang w:val="en-GB"/>
        </w:rPr>
        <w:t xml:space="preserve"> </w:t>
      </w:r>
      <w:r w:rsidRPr="00112CE3">
        <w:rPr>
          <w:lang w:val="en-GB"/>
        </w:rPr>
        <w:t>the independent evaluation, m</w:t>
      </w:r>
      <w:r w:rsidR="001179DA" w:rsidRPr="00112CE3">
        <w:rPr>
          <w:lang w:val="en-GB"/>
        </w:rPr>
        <w:t xml:space="preserve">onitoring and </w:t>
      </w:r>
      <w:r w:rsidR="000C12E5" w:rsidRPr="00112CE3">
        <w:rPr>
          <w:lang w:val="en-GB"/>
        </w:rPr>
        <w:t xml:space="preserve">evaluation will be reinforced through the creation of a dedicated </w:t>
      </w:r>
      <w:r w:rsidR="00050E17">
        <w:rPr>
          <w:lang w:val="en-GB"/>
        </w:rPr>
        <w:t>country office</w:t>
      </w:r>
      <w:r w:rsidR="00050E17" w:rsidRPr="00112CE3">
        <w:rPr>
          <w:lang w:val="en-GB"/>
        </w:rPr>
        <w:t xml:space="preserve"> </w:t>
      </w:r>
      <w:r w:rsidR="000C12E5" w:rsidRPr="00112CE3">
        <w:rPr>
          <w:lang w:val="en-GB"/>
        </w:rPr>
        <w:t>position and budgeted</w:t>
      </w:r>
      <w:r w:rsidR="00AE074A" w:rsidRPr="00112CE3">
        <w:rPr>
          <w:lang w:val="en-GB"/>
        </w:rPr>
        <w:t>,</w:t>
      </w:r>
      <w:r w:rsidR="000C12E5" w:rsidRPr="00112CE3">
        <w:rPr>
          <w:lang w:val="en-GB"/>
        </w:rPr>
        <w:t xml:space="preserve"> results-based</w:t>
      </w:r>
      <w:r w:rsidR="00AE074A" w:rsidRPr="00112CE3">
        <w:rPr>
          <w:lang w:val="en-GB"/>
        </w:rPr>
        <w:t>,</w:t>
      </w:r>
      <w:r w:rsidR="000C12E5" w:rsidRPr="00112CE3">
        <w:rPr>
          <w:lang w:val="en-GB"/>
        </w:rPr>
        <w:t xml:space="preserve"> </w:t>
      </w:r>
      <w:r w:rsidR="00AE074A" w:rsidRPr="00112CE3">
        <w:rPr>
          <w:lang w:val="en-GB"/>
        </w:rPr>
        <w:t xml:space="preserve">partnership and </w:t>
      </w:r>
      <w:r w:rsidR="000C12E5" w:rsidRPr="00112CE3">
        <w:rPr>
          <w:lang w:val="en-GB"/>
        </w:rPr>
        <w:t xml:space="preserve">communication </w:t>
      </w:r>
      <w:r w:rsidR="00AE074A" w:rsidRPr="00112CE3">
        <w:rPr>
          <w:lang w:val="en-GB"/>
        </w:rPr>
        <w:t xml:space="preserve">action </w:t>
      </w:r>
      <w:r w:rsidR="000C12E5" w:rsidRPr="00112CE3">
        <w:rPr>
          <w:lang w:val="en-GB"/>
        </w:rPr>
        <w:t xml:space="preserve">plan </w:t>
      </w:r>
      <w:r w:rsidR="00050E17">
        <w:rPr>
          <w:lang w:val="en-GB"/>
        </w:rPr>
        <w:t>that is</w:t>
      </w:r>
      <w:r w:rsidR="000C12E5" w:rsidRPr="00112CE3">
        <w:rPr>
          <w:lang w:val="en-GB"/>
        </w:rPr>
        <w:t xml:space="preserve"> implemented to ensure visibility of results.</w:t>
      </w:r>
      <w:r w:rsidR="00A11038" w:rsidRPr="00112CE3">
        <w:rPr>
          <w:lang w:val="en-GB"/>
        </w:rPr>
        <w:t xml:space="preserve"> Programme </w:t>
      </w:r>
      <w:r w:rsidR="00EC22F0" w:rsidRPr="00112CE3">
        <w:rPr>
          <w:lang w:val="en-GB"/>
        </w:rPr>
        <w:t>management will promote adaptive learning to identify and accelerate the replication of best practice</w:t>
      </w:r>
      <w:r w:rsidR="00050E17">
        <w:rPr>
          <w:lang w:val="en-GB"/>
        </w:rPr>
        <w:t>s</w:t>
      </w:r>
      <w:r w:rsidR="00EC22F0" w:rsidRPr="00112CE3">
        <w:rPr>
          <w:lang w:val="en-GB"/>
        </w:rPr>
        <w:t xml:space="preserve"> and innovations. Evaluations will be executed according to an evaluation plan and UNDP Evaluation Guidelines (2021)</w:t>
      </w:r>
      <w:r w:rsidR="00A11038" w:rsidRPr="00112CE3">
        <w:rPr>
          <w:lang w:val="en-GB"/>
        </w:rPr>
        <w:t xml:space="preserve">. </w:t>
      </w:r>
      <w:r w:rsidR="003D6388" w:rsidRPr="00112CE3">
        <w:rPr>
          <w:lang w:val="en-GB"/>
        </w:rPr>
        <w:t xml:space="preserve">To maximize the impact and effectiveness of interventions and forge a systemic approach to solutions, </w:t>
      </w:r>
      <w:r w:rsidR="0077537B">
        <w:rPr>
          <w:lang w:val="en-GB"/>
        </w:rPr>
        <w:t>a</w:t>
      </w:r>
      <w:r w:rsidR="003D6388" w:rsidRPr="00112CE3">
        <w:rPr>
          <w:lang w:val="en-GB"/>
        </w:rPr>
        <w:t xml:space="preserve"> </w:t>
      </w:r>
      <w:r w:rsidR="007F61C2">
        <w:rPr>
          <w:lang w:val="en-GB"/>
        </w:rPr>
        <w:t>p</w:t>
      </w:r>
      <w:r w:rsidR="003D6388" w:rsidRPr="00112CE3">
        <w:rPr>
          <w:lang w:val="en-GB"/>
        </w:rPr>
        <w:t>ortfolio approach will be introduced to ensure program</w:t>
      </w:r>
      <w:r w:rsidR="0063307D">
        <w:rPr>
          <w:lang w:val="en-GB"/>
        </w:rPr>
        <w:t>me</w:t>
      </w:r>
      <w:r w:rsidR="003D6388" w:rsidRPr="00112CE3">
        <w:rPr>
          <w:lang w:val="en-GB"/>
        </w:rPr>
        <w:t xml:space="preserve"> coherence, avoid silo</w:t>
      </w:r>
      <w:r w:rsidR="007F61C2">
        <w:rPr>
          <w:lang w:val="en-GB"/>
        </w:rPr>
        <w:t>ed</w:t>
      </w:r>
      <w:r w:rsidR="003D6388" w:rsidRPr="00112CE3">
        <w:rPr>
          <w:lang w:val="en-GB"/>
        </w:rPr>
        <w:t xml:space="preserve"> approaches, and integrate learning into </w:t>
      </w:r>
      <w:r w:rsidR="007F61C2">
        <w:rPr>
          <w:lang w:val="en-GB"/>
        </w:rPr>
        <w:t xml:space="preserve">the </w:t>
      </w:r>
      <w:r w:rsidR="0077537B">
        <w:rPr>
          <w:lang w:val="en-GB"/>
        </w:rPr>
        <w:t>programme</w:t>
      </w:r>
      <w:r w:rsidR="003D6388" w:rsidRPr="00112CE3">
        <w:rPr>
          <w:lang w:val="en-GB"/>
        </w:rPr>
        <w:t xml:space="preserve">. </w:t>
      </w:r>
    </w:p>
    <w:p w14:paraId="2748CBA7" w14:textId="54E77639" w:rsidR="000C12E5" w:rsidRDefault="003D6388" w:rsidP="00B13D1B">
      <w:pPr>
        <w:pStyle w:val="ListParagraph"/>
        <w:numPr>
          <w:ilvl w:val="0"/>
          <w:numId w:val="7"/>
        </w:numPr>
        <w:tabs>
          <w:tab w:val="left" w:pos="1620"/>
        </w:tabs>
        <w:spacing w:after="120"/>
        <w:ind w:left="1260" w:right="1210" w:firstLine="0"/>
        <w:jc w:val="both"/>
        <w:rPr>
          <w:lang w:val="en-GB"/>
        </w:rPr>
      </w:pPr>
      <w:r w:rsidRPr="003D6388">
        <w:rPr>
          <w:lang w:val="en-GB"/>
        </w:rPr>
        <w:t>UNDP</w:t>
      </w:r>
      <w:r w:rsidR="0077537B">
        <w:rPr>
          <w:lang w:val="en-GB"/>
        </w:rPr>
        <w:t>,</w:t>
      </w:r>
      <w:r>
        <w:rPr>
          <w:lang w:val="en-GB"/>
        </w:rPr>
        <w:t xml:space="preserve"> in collaboration with other </w:t>
      </w:r>
      <w:r w:rsidR="007F61C2">
        <w:rPr>
          <w:lang w:val="en-GB"/>
        </w:rPr>
        <w:t>United Nations partners</w:t>
      </w:r>
      <w:r w:rsidR="0077537B">
        <w:rPr>
          <w:lang w:val="en-GB"/>
        </w:rPr>
        <w:t>,</w:t>
      </w:r>
      <w:r w:rsidRPr="003D6388">
        <w:rPr>
          <w:lang w:val="en-GB"/>
        </w:rPr>
        <w:t xml:space="preserve"> will </w:t>
      </w:r>
      <w:r w:rsidR="0077537B">
        <w:rPr>
          <w:lang w:val="en-GB"/>
        </w:rPr>
        <w:t>enhance n</w:t>
      </w:r>
      <w:r>
        <w:rPr>
          <w:lang w:val="en-GB"/>
        </w:rPr>
        <w:t>ational</w:t>
      </w:r>
      <w:r w:rsidRPr="003D6388">
        <w:rPr>
          <w:lang w:val="en-GB"/>
        </w:rPr>
        <w:t xml:space="preserve"> </w:t>
      </w:r>
      <w:r w:rsidR="0077537B">
        <w:rPr>
          <w:lang w:val="en-GB"/>
        </w:rPr>
        <w:t>s</w:t>
      </w:r>
      <w:r w:rsidRPr="003D6388">
        <w:rPr>
          <w:lang w:val="en-GB"/>
        </w:rPr>
        <w:t xml:space="preserve">tatistics </w:t>
      </w:r>
      <w:r w:rsidR="0077537B">
        <w:rPr>
          <w:lang w:val="en-GB"/>
        </w:rPr>
        <w:t xml:space="preserve">systems </w:t>
      </w:r>
      <w:r w:rsidRPr="003D6388">
        <w:rPr>
          <w:lang w:val="en-GB"/>
        </w:rPr>
        <w:t xml:space="preserve">for </w:t>
      </w:r>
      <w:r>
        <w:rPr>
          <w:lang w:val="en-GB"/>
        </w:rPr>
        <w:t>data</w:t>
      </w:r>
      <w:r w:rsidRPr="003D6388">
        <w:rPr>
          <w:lang w:val="en-GB"/>
        </w:rPr>
        <w:t xml:space="preserve"> collection and </w:t>
      </w:r>
      <w:r>
        <w:rPr>
          <w:lang w:val="en-GB"/>
        </w:rPr>
        <w:t>analysis.</w:t>
      </w:r>
      <w:r w:rsidRPr="003D6388">
        <w:rPr>
          <w:lang w:val="en-GB"/>
        </w:rPr>
        <w:t xml:space="preserve"> </w:t>
      </w:r>
      <w:r w:rsidR="000C12E5" w:rsidRPr="2DDC615C">
        <w:rPr>
          <w:lang w:val="en-GB"/>
        </w:rPr>
        <w:t xml:space="preserve">UNDP </w:t>
      </w:r>
      <w:r w:rsidR="00A11038" w:rsidRPr="00A11038">
        <w:rPr>
          <w:lang w:val="en-GB"/>
        </w:rPr>
        <w:t xml:space="preserve">will strengthen </w:t>
      </w:r>
      <w:r w:rsidR="007F61C2">
        <w:rPr>
          <w:lang w:val="en-GB"/>
        </w:rPr>
        <w:t xml:space="preserve">its own </w:t>
      </w:r>
      <w:r w:rsidR="00A11038" w:rsidRPr="00A11038">
        <w:rPr>
          <w:lang w:val="en-GB"/>
        </w:rPr>
        <w:t>internal data systems by introducing innovative, mixed-method data collection and analysis</w:t>
      </w:r>
      <w:r w:rsidR="007F61C2">
        <w:rPr>
          <w:lang w:val="en-GB"/>
        </w:rPr>
        <w:t xml:space="preserve"> tools to draw</w:t>
      </w:r>
      <w:r w:rsidR="00A11038" w:rsidRPr="00A11038">
        <w:rPr>
          <w:lang w:val="en-GB"/>
        </w:rPr>
        <w:t xml:space="preserve"> on data produced by U</w:t>
      </w:r>
      <w:r w:rsidR="007F61C2">
        <w:rPr>
          <w:lang w:val="en-GB"/>
        </w:rPr>
        <w:t xml:space="preserve">nited </w:t>
      </w:r>
      <w:r w:rsidR="00A11038" w:rsidRPr="00A11038">
        <w:rPr>
          <w:lang w:val="en-GB"/>
        </w:rPr>
        <w:t>N</w:t>
      </w:r>
      <w:r w:rsidR="007F61C2">
        <w:rPr>
          <w:lang w:val="en-GB"/>
        </w:rPr>
        <w:t>ations</w:t>
      </w:r>
      <w:r w:rsidR="00A11038" w:rsidRPr="00A11038">
        <w:rPr>
          <w:lang w:val="en-GB"/>
        </w:rPr>
        <w:t xml:space="preserve"> Info</w:t>
      </w:r>
      <w:r w:rsidR="007F61C2">
        <w:rPr>
          <w:lang w:val="en-GB"/>
        </w:rPr>
        <w:t>,</w:t>
      </w:r>
      <w:r w:rsidR="00A11038" w:rsidRPr="00A11038">
        <w:rPr>
          <w:lang w:val="en-GB"/>
        </w:rPr>
        <w:t xml:space="preserve"> </w:t>
      </w:r>
      <w:r w:rsidR="007F61C2">
        <w:rPr>
          <w:lang w:val="en-GB"/>
        </w:rPr>
        <w:t>as well as</w:t>
      </w:r>
      <w:r w:rsidR="007F61C2" w:rsidRPr="00A11038">
        <w:rPr>
          <w:lang w:val="en-GB"/>
        </w:rPr>
        <w:t xml:space="preserve"> </w:t>
      </w:r>
      <w:r w:rsidR="00A11038" w:rsidRPr="00A11038">
        <w:rPr>
          <w:lang w:val="en-GB"/>
        </w:rPr>
        <w:t>bilateral and multilateral development partners</w:t>
      </w:r>
      <w:r w:rsidR="003941BF">
        <w:rPr>
          <w:lang w:val="en-GB"/>
        </w:rPr>
        <w:t xml:space="preserve"> and </w:t>
      </w:r>
      <w:r w:rsidR="007F61C2">
        <w:rPr>
          <w:lang w:val="en-GB"/>
        </w:rPr>
        <w:t>g</w:t>
      </w:r>
      <w:r w:rsidR="00C117C8">
        <w:rPr>
          <w:lang w:val="en-GB"/>
        </w:rPr>
        <w:t>overnment data systems</w:t>
      </w:r>
      <w:r w:rsidR="00A11038" w:rsidRPr="00A11038">
        <w:rPr>
          <w:lang w:val="en-GB"/>
        </w:rPr>
        <w:t xml:space="preserve">. </w:t>
      </w:r>
      <w:r w:rsidR="00A11038">
        <w:rPr>
          <w:lang w:val="en-GB"/>
        </w:rPr>
        <w:t>A</w:t>
      </w:r>
      <w:r w:rsidR="000C12E5" w:rsidRPr="2DDC615C">
        <w:rPr>
          <w:lang w:val="en-GB"/>
        </w:rPr>
        <w:t xml:space="preserve">t least </w:t>
      </w:r>
      <w:r w:rsidR="007F61C2">
        <w:rPr>
          <w:lang w:val="en-GB"/>
        </w:rPr>
        <w:t>five</w:t>
      </w:r>
      <w:r w:rsidR="000C12E5" w:rsidRPr="2DDC615C">
        <w:rPr>
          <w:lang w:val="en-GB"/>
        </w:rPr>
        <w:t xml:space="preserve"> per cent of </w:t>
      </w:r>
      <w:r w:rsidR="001179DA">
        <w:rPr>
          <w:lang w:val="en-GB"/>
        </w:rPr>
        <w:t xml:space="preserve">programme </w:t>
      </w:r>
      <w:r w:rsidR="000C12E5" w:rsidRPr="2DDC615C">
        <w:rPr>
          <w:lang w:val="en-GB"/>
        </w:rPr>
        <w:t xml:space="preserve">resources </w:t>
      </w:r>
      <w:r w:rsidR="00A11038">
        <w:rPr>
          <w:lang w:val="en-GB"/>
        </w:rPr>
        <w:t xml:space="preserve">will be allocated </w:t>
      </w:r>
      <w:r w:rsidR="000C12E5" w:rsidRPr="2DDC615C">
        <w:rPr>
          <w:lang w:val="en-GB"/>
        </w:rPr>
        <w:t xml:space="preserve">to improving oversight and quality assurance </w:t>
      </w:r>
      <w:r w:rsidR="002C6C7E">
        <w:rPr>
          <w:lang w:val="en-GB"/>
        </w:rPr>
        <w:t xml:space="preserve">and </w:t>
      </w:r>
      <w:r w:rsidR="000C12E5" w:rsidRPr="2DDC615C">
        <w:rPr>
          <w:lang w:val="en-GB"/>
        </w:rPr>
        <w:t>strengthening digital literacy and</w:t>
      </w:r>
      <w:r w:rsidR="0077537B">
        <w:rPr>
          <w:lang w:val="en-GB"/>
        </w:rPr>
        <w:t xml:space="preserve"> monitoring and evaluation</w:t>
      </w:r>
      <w:r w:rsidR="000C12E5" w:rsidRPr="2DDC615C">
        <w:rPr>
          <w:lang w:val="en-GB"/>
        </w:rPr>
        <w:t xml:space="preserve"> capacit</w:t>
      </w:r>
      <w:r w:rsidR="002C6C7E">
        <w:rPr>
          <w:lang w:val="en-GB"/>
        </w:rPr>
        <w:t>ies</w:t>
      </w:r>
      <w:r w:rsidR="000C12E5" w:rsidRPr="2DDC615C">
        <w:rPr>
          <w:lang w:val="en-GB"/>
        </w:rPr>
        <w:t xml:space="preserve"> of implementing partners and government</w:t>
      </w:r>
      <w:r w:rsidR="0077537B">
        <w:rPr>
          <w:lang w:val="en-GB"/>
        </w:rPr>
        <w:t xml:space="preserve">. </w:t>
      </w:r>
      <w:r w:rsidR="002C6C7E">
        <w:rPr>
          <w:lang w:val="en-GB"/>
        </w:rPr>
        <w:t>By u</w:t>
      </w:r>
      <w:r w:rsidR="00F11AF5">
        <w:rPr>
          <w:lang w:val="en-GB"/>
        </w:rPr>
        <w:t xml:space="preserve">sing a </w:t>
      </w:r>
      <w:r w:rsidR="000C12E5" w:rsidRPr="2DDC615C">
        <w:rPr>
          <w:lang w:val="en-GB"/>
        </w:rPr>
        <w:t xml:space="preserve">gender marker </w:t>
      </w:r>
      <w:r w:rsidR="0077537B">
        <w:rPr>
          <w:lang w:val="en-GB"/>
        </w:rPr>
        <w:t>across the entire programme</w:t>
      </w:r>
      <w:r w:rsidR="002C6C7E">
        <w:rPr>
          <w:lang w:val="en-GB"/>
        </w:rPr>
        <w:t xml:space="preserve">, UNDP will be able to </w:t>
      </w:r>
      <w:r w:rsidR="000C12E5" w:rsidRPr="2DDC615C">
        <w:rPr>
          <w:lang w:val="en-GB"/>
        </w:rPr>
        <w:t xml:space="preserve">track funds </w:t>
      </w:r>
      <w:r w:rsidR="00890A40">
        <w:rPr>
          <w:lang w:val="en-GB"/>
        </w:rPr>
        <w:t>allocated</w:t>
      </w:r>
      <w:r w:rsidR="000C12E5" w:rsidRPr="2DDC615C">
        <w:rPr>
          <w:lang w:val="en-GB"/>
        </w:rPr>
        <w:t xml:space="preserve"> to advancing gender equality</w:t>
      </w:r>
      <w:r w:rsidR="00890A40">
        <w:rPr>
          <w:lang w:val="en-GB"/>
        </w:rPr>
        <w:t xml:space="preserve"> </w:t>
      </w:r>
      <w:r w:rsidR="002C6C7E">
        <w:rPr>
          <w:lang w:val="en-GB"/>
        </w:rPr>
        <w:t xml:space="preserve">and </w:t>
      </w:r>
      <w:r w:rsidR="00890A40">
        <w:rPr>
          <w:lang w:val="en-GB"/>
        </w:rPr>
        <w:t>i</w:t>
      </w:r>
      <w:r w:rsidR="000C12E5" w:rsidRPr="2DDC615C">
        <w:rPr>
          <w:lang w:val="en-GB"/>
        </w:rPr>
        <w:t>mprov</w:t>
      </w:r>
      <w:r w:rsidR="002C6C7E">
        <w:rPr>
          <w:lang w:val="en-GB"/>
        </w:rPr>
        <w:t>e</w:t>
      </w:r>
      <w:r w:rsidR="000C12E5" w:rsidRPr="2DDC615C">
        <w:rPr>
          <w:lang w:val="en-GB"/>
        </w:rPr>
        <w:t xml:space="preserve"> gender-based planning and decision-making. Evaluations will </w:t>
      </w:r>
      <w:r w:rsidR="002C6C7E">
        <w:rPr>
          <w:lang w:val="en-GB"/>
        </w:rPr>
        <w:t>help</w:t>
      </w:r>
      <w:r w:rsidR="000C12E5" w:rsidRPr="2DDC615C">
        <w:rPr>
          <w:lang w:val="en-GB"/>
        </w:rPr>
        <w:t xml:space="preserve"> </w:t>
      </w:r>
      <w:r w:rsidR="002C6C7E">
        <w:rPr>
          <w:lang w:val="en-GB"/>
        </w:rPr>
        <w:t>identify</w:t>
      </w:r>
      <w:r w:rsidR="002C6C7E" w:rsidRPr="2DDC615C">
        <w:rPr>
          <w:lang w:val="en-GB"/>
        </w:rPr>
        <w:t xml:space="preserve"> </w:t>
      </w:r>
      <w:r w:rsidR="000C12E5" w:rsidRPr="2DDC615C">
        <w:rPr>
          <w:lang w:val="en-GB"/>
        </w:rPr>
        <w:t>potential data gaps</w:t>
      </w:r>
      <w:r w:rsidR="00A11038">
        <w:rPr>
          <w:lang w:val="en-GB"/>
        </w:rPr>
        <w:t xml:space="preserve"> </w:t>
      </w:r>
      <w:r w:rsidR="000C12E5" w:rsidRPr="2DDC615C">
        <w:rPr>
          <w:lang w:val="en-GB"/>
        </w:rPr>
        <w:t>and UNDP will work with partners to build research, data collection</w:t>
      </w:r>
      <w:r w:rsidR="00465396">
        <w:rPr>
          <w:lang w:val="en-GB"/>
        </w:rPr>
        <w:t>,</w:t>
      </w:r>
      <w:r w:rsidR="000C12E5" w:rsidRPr="2DDC615C">
        <w:rPr>
          <w:lang w:val="en-GB"/>
        </w:rPr>
        <w:t xml:space="preserve"> and analysis</w:t>
      </w:r>
      <w:r w:rsidR="002C6C7E">
        <w:rPr>
          <w:lang w:val="en-GB"/>
        </w:rPr>
        <w:t xml:space="preserve"> capacities</w:t>
      </w:r>
      <w:r w:rsidR="000C12E5" w:rsidRPr="2DDC615C">
        <w:rPr>
          <w:lang w:val="en-GB"/>
        </w:rPr>
        <w:t xml:space="preserve"> and</w:t>
      </w:r>
      <w:r w:rsidR="002C6C7E">
        <w:rPr>
          <w:lang w:val="en-GB"/>
        </w:rPr>
        <w:t>,</w:t>
      </w:r>
      <w:r w:rsidR="000C12E5" w:rsidRPr="2DDC615C">
        <w:rPr>
          <w:lang w:val="en-GB"/>
        </w:rPr>
        <w:t xml:space="preserve"> where necessary</w:t>
      </w:r>
      <w:r w:rsidR="002C6C7E">
        <w:rPr>
          <w:lang w:val="en-GB"/>
        </w:rPr>
        <w:t>,</w:t>
      </w:r>
      <w:r w:rsidR="000C12E5" w:rsidRPr="2DDC615C">
        <w:rPr>
          <w:lang w:val="en-GB"/>
        </w:rPr>
        <w:t xml:space="preserve"> support the reali</w:t>
      </w:r>
      <w:r w:rsidR="002C6C7E">
        <w:rPr>
          <w:lang w:val="en-GB"/>
        </w:rPr>
        <w:t>z</w:t>
      </w:r>
      <w:r w:rsidR="000C12E5" w:rsidRPr="2DDC615C">
        <w:rPr>
          <w:lang w:val="en-GB"/>
        </w:rPr>
        <w:t xml:space="preserve">ation of research, surveys or baseline studies </w:t>
      </w:r>
      <w:r w:rsidR="002C6C7E">
        <w:rPr>
          <w:lang w:val="en-GB"/>
        </w:rPr>
        <w:t>that rely on</w:t>
      </w:r>
      <w:r w:rsidR="002C6C7E" w:rsidRPr="2DDC615C">
        <w:rPr>
          <w:lang w:val="en-GB"/>
        </w:rPr>
        <w:t xml:space="preserve"> </w:t>
      </w:r>
      <w:r w:rsidR="000C12E5" w:rsidRPr="2DDC615C">
        <w:rPr>
          <w:lang w:val="en-GB"/>
        </w:rPr>
        <w:t>innovative tools and methodologies.</w:t>
      </w:r>
    </w:p>
    <w:p w14:paraId="75F7099D" w14:textId="7AE9A266" w:rsidR="009F10DD" w:rsidRPr="00F032B2" w:rsidRDefault="009F10DD" w:rsidP="006B70DE">
      <w:pPr>
        <w:ind w:left="284" w:hanging="360"/>
        <w:jc w:val="both"/>
        <w:rPr>
          <w:highlight w:val="yellow"/>
          <w:lang w:val="en-GB"/>
        </w:rPr>
        <w:sectPr w:rsidR="009F10DD" w:rsidRPr="00F032B2" w:rsidSect="00074E0F">
          <w:headerReference w:type="even" r:id="rId19"/>
          <w:footerReference w:type="first" r:id="rId20"/>
          <w:footnotePr>
            <w:numRestart w:val="eachSect"/>
          </w:footnotePr>
          <w:endnotePr>
            <w:numFmt w:val="decimal"/>
            <w:numStart w:val="7"/>
          </w:endnotePr>
          <w:type w:val="continuous"/>
          <w:pgSz w:w="12240" w:h="15840" w:code="1"/>
          <w:pgMar w:top="1168" w:right="1195" w:bottom="1440" w:left="1195" w:header="578" w:footer="1038" w:gutter="0"/>
          <w:cols w:space="720"/>
          <w:noEndnote/>
          <w:titlePg/>
          <w:docGrid w:linePitch="272"/>
        </w:sectPr>
      </w:pPr>
    </w:p>
    <w:p w14:paraId="46E0B165" w14:textId="028379BA" w:rsidR="00F008F7" w:rsidRPr="00F008F7" w:rsidRDefault="00F008F7" w:rsidP="00F008F7">
      <w:pPr>
        <w:spacing w:after="120"/>
        <w:rPr>
          <w:b/>
        </w:rPr>
      </w:pPr>
      <w:r w:rsidRPr="00F008F7">
        <w:rPr>
          <w:b/>
          <w:bCs/>
          <w:sz w:val="24"/>
          <w:szCs w:val="24"/>
          <w:lang w:val="en-GB"/>
        </w:rPr>
        <w:lastRenderedPageBreak/>
        <w:t>Annex</w:t>
      </w:r>
      <w:r w:rsidR="002A6557">
        <w:rPr>
          <w:b/>
          <w:bCs/>
          <w:sz w:val="24"/>
          <w:szCs w:val="24"/>
          <w:lang w:val="en-GB"/>
        </w:rPr>
        <w:t xml:space="preserve">. </w:t>
      </w:r>
      <w:r w:rsidRPr="00F008F7">
        <w:rPr>
          <w:b/>
          <w:bCs/>
          <w:sz w:val="24"/>
          <w:szCs w:val="24"/>
          <w:lang w:val="en-GB"/>
        </w:rPr>
        <w:t>Results and resources framework for São Tomé and Príncipe (20</w:t>
      </w:r>
      <w:r>
        <w:rPr>
          <w:b/>
          <w:bCs/>
          <w:sz w:val="24"/>
          <w:szCs w:val="24"/>
          <w:lang w:val="en-GB"/>
        </w:rPr>
        <w:t>23</w:t>
      </w:r>
      <w:r w:rsidRPr="00F008F7">
        <w:rPr>
          <w:b/>
          <w:bCs/>
          <w:sz w:val="24"/>
          <w:szCs w:val="24"/>
          <w:lang w:val="en-GB"/>
        </w:rPr>
        <w:t>-202</w:t>
      </w:r>
      <w:r>
        <w:rPr>
          <w:b/>
          <w:bCs/>
          <w:sz w:val="24"/>
          <w:szCs w:val="24"/>
          <w:lang w:val="en-GB"/>
        </w:rPr>
        <w:t>7</w:t>
      </w:r>
      <w:r w:rsidRPr="00F008F7">
        <w:rPr>
          <w:b/>
          <w:bCs/>
          <w:sz w:val="24"/>
          <w:szCs w:val="24"/>
          <w:lang w:val="en-GB"/>
        </w:rPr>
        <w:t xml:space="preserve">) </w:t>
      </w:r>
    </w:p>
    <w:tbl>
      <w:tblPr>
        <w:tblW w:w="14029" w:type="dxa"/>
        <w:tblBorders>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05"/>
        <w:gridCol w:w="1985"/>
        <w:gridCol w:w="6095"/>
        <w:gridCol w:w="1701"/>
        <w:gridCol w:w="1843"/>
      </w:tblGrid>
      <w:tr w:rsidR="00566569" w:rsidRPr="00952B94" w14:paraId="5307D31C" w14:textId="77777777" w:rsidTr="00952B94">
        <w:tc>
          <w:tcPr>
            <w:tcW w:w="14029" w:type="dxa"/>
            <w:gridSpan w:val="5"/>
            <w:tcBorders>
              <w:top w:val="single" w:sz="4" w:space="0" w:color="auto"/>
              <w:left w:val="single" w:sz="4" w:space="0" w:color="auto"/>
              <w:bottom w:val="single" w:sz="4" w:space="0" w:color="auto"/>
              <w:right w:val="single" w:sz="4" w:space="0" w:color="auto"/>
            </w:tcBorders>
            <w:shd w:val="clear" w:color="auto" w:fill="DBE5F1"/>
            <w:tcMar>
              <w:top w:w="72" w:type="dxa"/>
              <w:left w:w="144" w:type="dxa"/>
              <w:bottom w:w="72" w:type="dxa"/>
              <w:right w:w="144" w:type="dxa"/>
            </w:tcMar>
          </w:tcPr>
          <w:p w14:paraId="37E47922" w14:textId="6086A5C6" w:rsidR="00566569" w:rsidRPr="00952B94" w:rsidRDefault="00566569" w:rsidP="00566569">
            <w:pPr>
              <w:rPr>
                <w:color w:val="000000"/>
                <w:sz w:val="16"/>
                <w:szCs w:val="16"/>
              </w:rPr>
            </w:pPr>
            <w:r w:rsidRPr="00952B94">
              <w:rPr>
                <w:b/>
                <w:bCs/>
                <w:color w:val="000000"/>
                <w:sz w:val="16"/>
                <w:szCs w:val="16"/>
                <w:lang w:val="en-GB"/>
              </w:rPr>
              <w:t xml:space="preserve">NATIONAL PRIORITY OR GOAL: </w:t>
            </w:r>
            <w:r w:rsidRPr="00952B94">
              <w:rPr>
                <w:bCs/>
                <w:color w:val="000000"/>
                <w:sz w:val="16"/>
                <w:szCs w:val="16"/>
                <w:lang w:val="en-GB"/>
              </w:rPr>
              <w:t>Strengthen social protection and basic services</w:t>
            </w:r>
            <w:r w:rsidR="003C174F">
              <w:rPr>
                <w:bCs/>
                <w:color w:val="000000"/>
                <w:sz w:val="16"/>
                <w:szCs w:val="16"/>
                <w:lang w:val="en-GB"/>
              </w:rPr>
              <w:t>.</w:t>
            </w:r>
            <w:r w:rsidR="004466A2" w:rsidRPr="00952B94">
              <w:rPr>
                <w:bCs/>
                <w:color w:val="000000"/>
                <w:sz w:val="16"/>
                <w:szCs w:val="16"/>
                <w:lang w:val="en-GB"/>
              </w:rPr>
              <w:t xml:space="preserve"> (PNARME Objective 2)</w:t>
            </w:r>
          </w:p>
        </w:tc>
      </w:tr>
      <w:tr w:rsidR="00566569" w:rsidRPr="00952B94" w14:paraId="5D9064A6" w14:textId="77777777" w:rsidTr="00952B94">
        <w:tc>
          <w:tcPr>
            <w:tcW w:w="14029" w:type="dxa"/>
            <w:gridSpan w:val="5"/>
            <w:tcBorders>
              <w:top w:val="single" w:sz="4" w:space="0" w:color="auto"/>
              <w:left w:val="single" w:sz="4" w:space="0" w:color="auto"/>
              <w:bottom w:val="single" w:sz="4" w:space="0" w:color="auto"/>
              <w:right w:val="single" w:sz="4" w:space="0" w:color="auto"/>
            </w:tcBorders>
            <w:shd w:val="clear" w:color="auto" w:fill="DBE5F1"/>
            <w:tcMar>
              <w:top w:w="72" w:type="dxa"/>
              <w:left w:w="144" w:type="dxa"/>
              <w:bottom w:w="72" w:type="dxa"/>
              <w:right w:w="144" w:type="dxa"/>
            </w:tcMar>
          </w:tcPr>
          <w:p w14:paraId="6E3AB721" w14:textId="1EF15DDA" w:rsidR="00566569" w:rsidRPr="00952B94" w:rsidRDefault="00566569" w:rsidP="00566569">
            <w:pPr>
              <w:rPr>
                <w:sz w:val="16"/>
                <w:szCs w:val="16"/>
              </w:rPr>
            </w:pPr>
            <w:r w:rsidRPr="00952B94">
              <w:rPr>
                <w:b/>
                <w:bCs/>
                <w:sz w:val="16"/>
                <w:szCs w:val="16"/>
                <w:lang w:val="en-GB"/>
              </w:rPr>
              <w:t xml:space="preserve">COOPERATION FRAMEWORK </w:t>
            </w:r>
            <w:r w:rsidRPr="00952B94">
              <w:rPr>
                <w:b/>
                <w:bCs/>
                <w:sz w:val="16"/>
                <w:szCs w:val="16"/>
                <w:lang w:val="en-GB" w:eastAsia="en-GB"/>
              </w:rPr>
              <w:t>OUTCOME INVOLVING UNDP #1</w:t>
            </w:r>
            <w:r w:rsidRPr="00952B94">
              <w:rPr>
                <w:b/>
                <w:bCs/>
                <w:sz w:val="16"/>
                <w:szCs w:val="16"/>
                <w:lang w:val="en-GB"/>
              </w:rPr>
              <w:t xml:space="preserve">: </w:t>
            </w:r>
            <w:r w:rsidRPr="00952B94">
              <w:rPr>
                <w:rFonts w:eastAsia="Tahoma"/>
                <w:sz w:val="16"/>
                <w:szCs w:val="16"/>
              </w:rPr>
              <w:t xml:space="preserve">By 2027, people in </w:t>
            </w:r>
            <w:r w:rsidR="002C6C7E" w:rsidRPr="002C6C7E">
              <w:rPr>
                <w:rFonts w:eastAsia="Tahoma"/>
                <w:sz w:val="16"/>
                <w:szCs w:val="16"/>
              </w:rPr>
              <w:t>São Tomé and Príncipe</w:t>
            </w:r>
            <w:r w:rsidRPr="00952B94">
              <w:rPr>
                <w:rFonts w:eastAsia="Tahoma"/>
                <w:sz w:val="16"/>
                <w:szCs w:val="16"/>
              </w:rPr>
              <w:t>, people left behind and most vulnerable</w:t>
            </w:r>
            <w:r w:rsidR="002C6C7E">
              <w:rPr>
                <w:rFonts w:eastAsia="Tahoma"/>
                <w:sz w:val="16"/>
                <w:szCs w:val="16"/>
              </w:rPr>
              <w:t xml:space="preserve"> in particular</w:t>
            </w:r>
            <w:r w:rsidRPr="00952B94">
              <w:rPr>
                <w:rFonts w:eastAsia="Tahoma"/>
                <w:sz w:val="16"/>
                <w:szCs w:val="16"/>
              </w:rPr>
              <w:t xml:space="preserve">, </w:t>
            </w:r>
            <w:r w:rsidR="002C6C7E">
              <w:rPr>
                <w:rFonts w:eastAsia="Tahoma"/>
                <w:sz w:val="16"/>
                <w:szCs w:val="16"/>
              </w:rPr>
              <w:t xml:space="preserve">will </w:t>
            </w:r>
            <w:r w:rsidRPr="00952B94">
              <w:rPr>
                <w:rFonts w:eastAsia="Tahoma"/>
                <w:sz w:val="16"/>
                <w:szCs w:val="16"/>
              </w:rPr>
              <w:t>benefit from quality and inclusive social systems</w:t>
            </w:r>
            <w:r w:rsidR="002C6C7E">
              <w:rPr>
                <w:rFonts w:eastAsia="Tahoma"/>
                <w:sz w:val="16"/>
                <w:szCs w:val="16"/>
              </w:rPr>
              <w:t>,</w:t>
            </w:r>
            <w:r w:rsidRPr="00952B94">
              <w:rPr>
                <w:rFonts w:eastAsia="Tahoma"/>
                <w:sz w:val="16"/>
                <w:szCs w:val="16"/>
              </w:rPr>
              <w:t xml:space="preserve"> and have access to integrated social protection.</w:t>
            </w:r>
          </w:p>
        </w:tc>
      </w:tr>
      <w:tr w:rsidR="00566569" w:rsidRPr="00952B94" w14:paraId="3E0E2DAF" w14:textId="77777777" w:rsidTr="00952B94">
        <w:tc>
          <w:tcPr>
            <w:tcW w:w="14029" w:type="dxa"/>
            <w:gridSpan w:val="5"/>
            <w:tcBorders>
              <w:top w:val="single" w:sz="4" w:space="0" w:color="auto"/>
              <w:left w:val="single" w:sz="4" w:space="0" w:color="auto"/>
              <w:bottom w:val="single" w:sz="4" w:space="0" w:color="auto"/>
              <w:right w:val="single" w:sz="4" w:space="0" w:color="auto"/>
            </w:tcBorders>
            <w:shd w:val="clear" w:color="auto" w:fill="DBE5F1"/>
            <w:tcMar>
              <w:top w:w="72" w:type="dxa"/>
              <w:left w:w="144" w:type="dxa"/>
              <w:bottom w:w="72" w:type="dxa"/>
              <w:right w:w="144" w:type="dxa"/>
            </w:tcMar>
          </w:tcPr>
          <w:p w14:paraId="0772114B" w14:textId="191F47DF" w:rsidR="00566569" w:rsidRPr="00952B94" w:rsidRDefault="00566569" w:rsidP="00566569">
            <w:pPr>
              <w:rPr>
                <w:sz w:val="16"/>
                <w:szCs w:val="16"/>
                <w:lang w:val="en-GB"/>
              </w:rPr>
            </w:pPr>
            <w:r w:rsidRPr="00952B94">
              <w:rPr>
                <w:b/>
                <w:bCs/>
                <w:sz w:val="16"/>
                <w:szCs w:val="16"/>
                <w:lang w:val="en-GB"/>
              </w:rPr>
              <w:t xml:space="preserve">RELATED STRATEGIC PLAN OUTCOME 2: </w:t>
            </w:r>
            <w:r w:rsidRPr="00952B94">
              <w:rPr>
                <w:sz w:val="16"/>
                <w:szCs w:val="16"/>
                <w:lang w:val="en-GB"/>
              </w:rPr>
              <w:t>No</w:t>
            </w:r>
            <w:r w:rsidR="002C6C7E">
              <w:rPr>
                <w:sz w:val="16"/>
                <w:szCs w:val="16"/>
                <w:lang w:val="en-GB"/>
              </w:rPr>
              <w:t xml:space="preserve"> </w:t>
            </w:r>
            <w:r w:rsidRPr="00952B94">
              <w:rPr>
                <w:sz w:val="16"/>
                <w:szCs w:val="16"/>
                <w:lang w:val="en-GB"/>
              </w:rPr>
              <w:t>one left behind</w:t>
            </w:r>
            <w:r w:rsidR="002C6C7E">
              <w:rPr>
                <w:sz w:val="16"/>
                <w:szCs w:val="16"/>
                <w:lang w:val="en-GB"/>
              </w:rPr>
              <w:t xml:space="preserve">, focusing </w:t>
            </w:r>
            <w:r w:rsidRPr="00952B94">
              <w:rPr>
                <w:sz w:val="16"/>
                <w:szCs w:val="16"/>
                <w:lang w:val="en-GB"/>
              </w:rPr>
              <w:t>on equitable access to opportunities and a rights-based approach to human development</w:t>
            </w:r>
            <w:r w:rsidR="002C6C7E">
              <w:rPr>
                <w:sz w:val="16"/>
                <w:szCs w:val="16"/>
                <w:lang w:val="en-GB"/>
              </w:rPr>
              <w:t>.</w:t>
            </w:r>
          </w:p>
        </w:tc>
      </w:tr>
      <w:tr w:rsidR="00566569" w:rsidRPr="00952B94" w14:paraId="3DCF9534" w14:textId="77777777" w:rsidTr="00952B94">
        <w:tc>
          <w:tcPr>
            <w:tcW w:w="2405" w:type="dxa"/>
            <w:tcBorders>
              <w:top w:val="single" w:sz="4" w:space="0" w:color="auto"/>
              <w:left w:val="single" w:sz="4" w:space="0" w:color="auto"/>
              <w:bottom w:val="single" w:sz="4" w:space="0" w:color="auto"/>
            </w:tcBorders>
            <w:shd w:val="clear" w:color="auto" w:fill="DBE5F1"/>
            <w:tcMar>
              <w:top w:w="72" w:type="dxa"/>
              <w:left w:w="144" w:type="dxa"/>
              <w:bottom w:w="72" w:type="dxa"/>
              <w:right w:w="144" w:type="dxa"/>
            </w:tcMar>
            <w:vAlign w:val="center"/>
          </w:tcPr>
          <w:p w14:paraId="40FB5855" w14:textId="77777777" w:rsidR="00566569" w:rsidRPr="00952B94" w:rsidRDefault="00566569" w:rsidP="00566569">
            <w:pPr>
              <w:jc w:val="center"/>
              <w:rPr>
                <w:sz w:val="16"/>
                <w:szCs w:val="16"/>
              </w:rPr>
            </w:pPr>
            <w:r w:rsidRPr="00952B94">
              <w:rPr>
                <w:b/>
                <w:bCs/>
                <w:sz w:val="16"/>
                <w:szCs w:val="16"/>
                <w:lang w:val="en-GB"/>
              </w:rPr>
              <w:t>COOPERATION FRAMEWORK OUTCOME INDICATOR(S), BASELINES, TARGET(S)</w:t>
            </w:r>
          </w:p>
        </w:tc>
        <w:tc>
          <w:tcPr>
            <w:tcW w:w="1985" w:type="dxa"/>
            <w:tcBorders>
              <w:top w:val="single" w:sz="4" w:space="0" w:color="auto"/>
              <w:bottom w:val="single" w:sz="4" w:space="0" w:color="auto"/>
            </w:tcBorders>
            <w:shd w:val="clear" w:color="auto" w:fill="DBE5F1"/>
            <w:vAlign w:val="center"/>
          </w:tcPr>
          <w:p w14:paraId="057892D8" w14:textId="77777777" w:rsidR="00566569" w:rsidRPr="00952B94" w:rsidRDefault="00566569" w:rsidP="00566569">
            <w:pPr>
              <w:jc w:val="center"/>
              <w:rPr>
                <w:b/>
                <w:sz w:val="16"/>
                <w:szCs w:val="16"/>
              </w:rPr>
            </w:pPr>
            <w:r w:rsidRPr="00952B94">
              <w:rPr>
                <w:b/>
                <w:sz w:val="16"/>
                <w:szCs w:val="16"/>
              </w:rPr>
              <w:t>DATA SOURCE AND FREQUENCY OF DATA COLLECTION, AND RESPONSIBILITIES</w:t>
            </w:r>
          </w:p>
        </w:tc>
        <w:tc>
          <w:tcPr>
            <w:tcW w:w="6095" w:type="dxa"/>
            <w:tcBorders>
              <w:top w:val="single" w:sz="4" w:space="0" w:color="auto"/>
              <w:bottom w:val="single" w:sz="4" w:space="0" w:color="auto"/>
            </w:tcBorders>
            <w:shd w:val="clear" w:color="auto" w:fill="DBE5F1"/>
            <w:tcMar>
              <w:top w:w="72" w:type="dxa"/>
              <w:left w:w="144" w:type="dxa"/>
              <w:bottom w:w="72" w:type="dxa"/>
              <w:right w:w="144" w:type="dxa"/>
            </w:tcMar>
            <w:vAlign w:val="center"/>
          </w:tcPr>
          <w:p w14:paraId="7DA61366" w14:textId="77777777" w:rsidR="00566569" w:rsidRPr="00952B94" w:rsidRDefault="00566569" w:rsidP="00566569">
            <w:pPr>
              <w:jc w:val="center"/>
              <w:rPr>
                <w:sz w:val="16"/>
                <w:szCs w:val="16"/>
              </w:rPr>
            </w:pPr>
            <w:r w:rsidRPr="00952B94">
              <w:rPr>
                <w:b/>
                <w:bCs/>
                <w:sz w:val="16"/>
                <w:szCs w:val="16"/>
                <w:lang w:val="en-GB"/>
              </w:rPr>
              <w:t xml:space="preserve">INDICATIVE COUNTRY PROGRAMME OUTPUTS </w:t>
            </w:r>
          </w:p>
        </w:tc>
        <w:tc>
          <w:tcPr>
            <w:tcW w:w="1701" w:type="dxa"/>
            <w:tcBorders>
              <w:top w:val="single" w:sz="4" w:space="0" w:color="auto"/>
              <w:bottom w:val="single" w:sz="4" w:space="0" w:color="auto"/>
            </w:tcBorders>
            <w:shd w:val="clear" w:color="auto" w:fill="DBE5F1"/>
            <w:vAlign w:val="center"/>
          </w:tcPr>
          <w:p w14:paraId="67433354" w14:textId="77777777" w:rsidR="00566569" w:rsidRPr="00952B94" w:rsidRDefault="00566569" w:rsidP="00566569">
            <w:pPr>
              <w:jc w:val="center"/>
              <w:rPr>
                <w:b/>
                <w:bCs/>
                <w:sz w:val="16"/>
                <w:szCs w:val="16"/>
                <w:lang w:val="en-GB"/>
              </w:rPr>
            </w:pPr>
            <w:r w:rsidRPr="00952B94">
              <w:rPr>
                <w:b/>
                <w:bCs/>
                <w:sz w:val="16"/>
                <w:szCs w:val="16"/>
                <w:lang w:val="en-GB"/>
              </w:rPr>
              <w:t>MAJOR PARTNERS / PARTNERSHIPS</w:t>
            </w:r>
          </w:p>
          <w:p w14:paraId="18150059" w14:textId="77777777" w:rsidR="00566569" w:rsidRPr="00952B94" w:rsidRDefault="00566569" w:rsidP="00566569">
            <w:pPr>
              <w:jc w:val="center"/>
              <w:rPr>
                <w:b/>
                <w:bCs/>
                <w:sz w:val="16"/>
                <w:szCs w:val="16"/>
                <w:lang w:val="en-GB"/>
              </w:rPr>
            </w:pPr>
            <w:r w:rsidRPr="00952B94">
              <w:rPr>
                <w:b/>
                <w:bCs/>
                <w:sz w:val="16"/>
                <w:szCs w:val="16"/>
                <w:lang w:val="en-GB"/>
              </w:rPr>
              <w:t>FRAMEWORKS</w:t>
            </w:r>
          </w:p>
        </w:tc>
        <w:tc>
          <w:tcPr>
            <w:tcW w:w="1843" w:type="dxa"/>
            <w:tcBorders>
              <w:top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tcPr>
          <w:p w14:paraId="78BB2035" w14:textId="56DE0431" w:rsidR="00566569" w:rsidRPr="00952B94" w:rsidRDefault="00566569" w:rsidP="00566569">
            <w:pPr>
              <w:jc w:val="center"/>
              <w:rPr>
                <w:sz w:val="16"/>
                <w:szCs w:val="16"/>
              </w:rPr>
            </w:pPr>
            <w:r w:rsidRPr="00952B94">
              <w:rPr>
                <w:b/>
                <w:bCs/>
                <w:sz w:val="16"/>
                <w:szCs w:val="16"/>
                <w:lang w:val="en-GB"/>
              </w:rPr>
              <w:t xml:space="preserve">ESTIMATED COST BY OUTCOME </w:t>
            </w:r>
            <w:r w:rsidR="00B13D1B" w:rsidRPr="00952B94">
              <w:rPr>
                <w:b/>
                <w:bCs/>
                <w:sz w:val="16"/>
                <w:szCs w:val="16"/>
                <w:lang w:val="en-GB"/>
              </w:rPr>
              <w:t>(</w:t>
            </w:r>
            <w:r w:rsidR="00426757">
              <w:rPr>
                <w:b/>
                <w:bCs/>
                <w:sz w:val="16"/>
                <w:szCs w:val="16"/>
                <w:lang w:val="en-GB"/>
              </w:rPr>
              <w:t>$</w:t>
            </w:r>
            <w:r w:rsidR="00B13D1B" w:rsidRPr="00952B94">
              <w:rPr>
                <w:b/>
                <w:bCs/>
                <w:sz w:val="16"/>
                <w:szCs w:val="16"/>
                <w:lang w:val="en-GB"/>
              </w:rPr>
              <w:t>)</w:t>
            </w:r>
          </w:p>
        </w:tc>
      </w:tr>
      <w:tr w:rsidR="00566569" w:rsidRPr="00952B94" w14:paraId="371D9F85" w14:textId="77777777" w:rsidTr="00952B94">
        <w:tc>
          <w:tcPr>
            <w:tcW w:w="2405" w:type="dxa"/>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27A52E2" w14:textId="5DFB19E2" w:rsidR="00566569" w:rsidRPr="00952B94" w:rsidRDefault="002C6C7E" w:rsidP="00566569">
            <w:pPr>
              <w:ind w:left="-8" w:firstLine="8"/>
              <w:rPr>
                <w:b/>
                <w:sz w:val="16"/>
                <w:szCs w:val="16"/>
                <w:lang w:val="en-GB"/>
              </w:rPr>
            </w:pPr>
            <w:r>
              <w:rPr>
                <w:b/>
                <w:sz w:val="16"/>
                <w:szCs w:val="16"/>
                <w:lang w:val="en-GB"/>
              </w:rPr>
              <w:t xml:space="preserve">Indicator </w:t>
            </w:r>
            <w:r w:rsidR="00566569" w:rsidRPr="00952B94">
              <w:rPr>
                <w:b/>
                <w:sz w:val="16"/>
                <w:szCs w:val="16"/>
                <w:lang w:val="en-GB"/>
              </w:rPr>
              <w:t>1.</w:t>
            </w:r>
            <w:r w:rsidR="00D1229D" w:rsidRPr="00952B94">
              <w:rPr>
                <w:b/>
                <w:sz w:val="16"/>
                <w:szCs w:val="16"/>
                <w:lang w:val="en-GB"/>
              </w:rPr>
              <w:t>2</w:t>
            </w:r>
            <w:r w:rsidR="003C174F">
              <w:rPr>
                <w:b/>
                <w:sz w:val="16"/>
                <w:szCs w:val="16"/>
                <w:lang w:val="en-GB"/>
              </w:rPr>
              <w:t>.:</w:t>
            </w:r>
            <w:r w:rsidR="00566569" w:rsidRPr="00952B94">
              <w:rPr>
                <w:b/>
                <w:sz w:val="16"/>
                <w:szCs w:val="16"/>
                <w:lang w:val="en-GB"/>
              </w:rPr>
              <w:t xml:space="preserve"> Coverage of essential health services </w:t>
            </w:r>
          </w:p>
          <w:p w14:paraId="69CA8130" w14:textId="77777777" w:rsidR="00566569" w:rsidRPr="00952B94" w:rsidRDefault="00566569" w:rsidP="00566569">
            <w:pPr>
              <w:ind w:left="-8" w:firstLine="8"/>
              <w:rPr>
                <w:bCs/>
                <w:sz w:val="16"/>
                <w:szCs w:val="16"/>
                <w:lang w:val="en-GB"/>
              </w:rPr>
            </w:pPr>
            <w:r w:rsidRPr="00952B94">
              <w:rPr>
                <w:b/>
                <w:sz w:val="16"/>
                <w:szCs w:val="16"/>
                <w:lang w:val="en-GB"/>
              </w:rPr>
              <w:t>Baseline:</w:t>
            </w:r>
            <w:r w:rsidRPr="00952B94">
              <w:rPr>
                <w:bCs/>
                <w:sz w:val="16"/>
                <w:szCs w:val="16"/>
                <w:lang w:val="en-GB"/>
              </w:rPr>
              <w:t xml:space="preserve"> 63% (2019)</w:t>
            </w:r>
          </w:p>
          <w:p w14:paraId="18CB0D85" w14:textId="77777777" w:rsidR="00566569" w:rsidRPr="00952B94" w:rsidRDefault="00566569" w:rsidP="00566569">
            <w:pPr>
              <w:ind w:left="-8" w:firstLine="8"/>
              <w:rPr>
                <w:bCs/>
                <w:sz w:val="16"/>
                <w:szCs w:val="16"/>
                <w:lang w:val="en-GB"/>
              </w:rPr>
            </w:pPr>
            <w:r w:rsidRPr="00952B94">
              <w:rPr>
                <w:b/>
                <w:sz w:val="16"/>
                <w:szCs w:val="16"/>
                <w:lang w:val="en-GB"/>
              </w:rPr>
              <w:t>Target:</w:t>
            </w:r>
            <w:r w:rsidRPr="00952B94">
              <w:rPr>
                <w:bCs/>
                <w:sz w:val="16"/>
                <w:szCs w:val="16"/>
                <w:lang w:val="en-GB"/>
              </w:rPr>
              <w:t xml:space="preserve"> 73% (2027)</w:t>
            </w:r>
          </w:p>
          <w:p w14:paraId="40D25D31" w14:textId="7017B2C1" w:rsidR="00566569" w:rsidRPr="00952B94" w:rsidRDefault="00566569" w:rsidP="00566569">
            <w:pPr>
              <w:rPr>
                <w:bCs/>
                <w:sz w:val="16"/>
                <w:szCs w:val="16"/>
                <w:lang w:val="en-GB"/>
              </w:rPr>
            </w:pPr>
          </w:p>
          <w:p w14:paraId="58318A7A" w14:textId="77777777" w:rsidR="0014068C" w:rsidRPr="00952B94" w:rsidRDefault="0014068C" w:rsidP="00566569">
            <w:pPr>
              <w:rPr>
                <w:bCs/>
                <w:sz w:val="16"/>
                <w:szCs w:val="16"/>
                <w:lang w:val="en-GB"/>
              </w:rPr>
            </w:pPr>
          </w:p>
          <w:p w14:paraId="614DEB47" w14:textId="7BCF2BC6" w:rsidR="00566569" w:rsidRPr="00952B94" w:rsidRDefault="002C6C7E" w:rsidP="00566569">
            <w:pPr>
              <w:ind w:left="-8" w:firstLine="8"/>
              <w:rPr>
                <w:b/>
                <w:sz w:val="16"/>
                <w:szCs w:val="16"/>
                <w:lang w:val="en-GB"/>
              </w:rPr>
            </w:pPr>
            <w:r>
              <w:rPr>
                <w:b/>
                <w:sz w:val="16"/>
                <w:szCs w:val="16"/>
                <w:lang w:val="en-GB"/>
              </w:rPr>
              <w:t xml:space="preserve">Indicator </w:t>
            </w:r>
            <w:r w:rsidR="00566569" w:rsidRPr="00952B94">
              <w:rPr>
                <w:b/>
                <w:sz w:val="16"/>
                <w:szCs w:val="16"/>
                <w:lang w:val="en-GB"/>
              </w:rPr>
              <w:t>1.</w:t>
            </w:r>
            <w:r w:rsidR="00E819B0" w:rsidRPr="00952B94">
              <w:rPr>
                <w:b/>
                <w:sz w:val="16"/>
                <w:szCs w:val="16"/>
                <w:lang w:val="en-GB"/>
              </w:rPr>
              <w:t>6</w:t>
            </w:r>
            <w:r w:rsidR="003C174F">
              <w:rPr>
                <w:b/>
                <w:sz w:val="16"/>
                <w:szCs w:val="16"/>
                <w:lang w:val="en-GB"/>
              </w:rPr>
              <w:t>.:</w:t>
            </w:r>
            <w:r w:rsidR="00566569" w:rsidRPr="00952B94">
              <w:rPr>
                <w:b/>
                <w:sz w:val="16"/>
                <w:szCs w:val="16"/>
                <w:lang w:val="en-GB"/>
              </w:rPr>
              <w:t xml:space="preserve"> </w:t>
            </w:r>
            <w:r w:rsidR="00D1229D" w:rsidRPr="00952B94">
              <w:rPr>
                <w:b/>
                <w:sz w:val="16"/>
                <w:szCs w:val="16"/>
                <w:lang w:val="en-GB"/>
              </w:rPr>
              <w:t>Proportion of population covered by social protection floors/systems</w:t>
            </w:r>
          </w:p>
          <w:p w14:paraId="0547F1C4" w14:textId="1D30CE86" w:rsidR="00566569" w:rsidRPr="00952B94" w:rsidRDefault="00566569" w:rsidP="00566569">
            <w:pPr>
              <w:ind w:left="-8" w:firstLine="8"/>
              <w:rPr>
                <w:bCs/>
                <w:sz w:val="16"/>
                <w:szCs w:val="16"/>
                <w:lang w:val="en-GB"/>
              </w:rPr>
            </w:pPr>
            <w:r w:rsidRPr="00952B94">
              <w:rPr>
                <w:b/>
                <w:sz w:val="16"/>
                <w:szCs w:val="16"/>
                <w:lang w:val="en-GB"/>
              </w:rPr>
              <w:t>Baseline:</w:t>
            </w:r>
            <w:r w:rsidRPr="00952B94">
              <w:rPr>
                <w:bCs/>
                <w:sz w:val="16"/>
                <w:szCs w:val="16"/>
                <w:lang w:val="en-GB"/>
              </w:rPr>
              <w:t xml:space="preserve"> </w:t>
            </w:r>
            <w:r w:rsidR="00D1229D" w:rsidRPr="00952B94">
              <w:rPr>
                <w:bCs/>
                <w:sz w:val="16"/>
                <w:szCs w:val="16"/>
                <w:lang w:val="en-GB"/>
              </w:rPr>
              <w:t>21</w:t>
            </w:r>
            <w:r w:rsidRPr="00952B94">
              <w:rPr>
                <w:bCs/>
                <w:sz w:val="16"/>
                <w:szCs w:val="16"/>
                <w:lang w:val="en-GB"/>
              </w:rPr>
              <w:t>% (</w:t>
            </w:r>
            <w:r w:rsidR="00AC425A" w:rsidRPr="00952B94">
              <w:rPr>
                <w:bCs/>
                <w:sz w:val="16"/>
                <w:szCs w:val="16"/>
                <w:lang w:val="en-GB"/>
              </w:rPr>
              <w:t>2019)</w:t>
            </w:r>
          </w:p>
          <w:p w14:paraId="3412A00E" w14:textId="0B7D4903" w:rsidR="00566569" w:rsidRPr="00952B94" w:rsidRDefault="00566569" w:rsidP="00566569">
            <w:pPr>
              <w:ind w:left="-8" w:firstLine="8"/>
              <w:rPr>
                <w:bCs/>
                <w:sz w:val="16"/>
                <w:szCs w:val="16"/>
                <w:lang w:val="en-GB"/>
              </w:rPr>
            </w:pPr>
            <w:r w:rsidRPr="00952B94">
              <w:rPr>
                <w:b/>
                <w:sz w:val="16"/>
                <w:szCs w:val="16"/>
                <w:lang w:val="en-GB"/>
              </w:rPr>
              <w:t>Target:</w:t>
            </w:r>
            <w:r w:rsidR="00AC425A" w:rsidRPr="00952B94">
              <w:rPr>
                <w:bCs/>
                <w:sz w:val="16"/>
                <w:szCs w:val="16"/>
                <w:lang w:val="en-GB"/>
              </w:rPr>
              <w:t xml:space="preserve"> 25% (2027)</w:t>
            </w:r>
          </w:p>
        </w:tc>
        <w:tc>
          <w:tcPr>
            <w:tcW w:w="1985" w:type="dxa"/>
            <w:vMerge w:val="restart"/>
            <w:tcBorders>
              <w:top w:val="single" w:sz="4" w:space="0" w:color="auto"/>
              <w:bottom w:val="single" w:sz="4" w:space="0" w:color="auto"/>
            </w:tcBorders>
          </w:tcPr>
          <w:p w14:paraId="4993073C" w14:textId="3A429E5E"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w:t>
            </w:r>
            <w:r w:rsidR="004F4193" w:rsidRPr="004F4193">
              <w:rPr>
                <w:sz w:val="16"/>
                <w:szCs w:val="16"/>
              </w:rPr>
              <w:t>Multiple Indicator Cluster Survey</w:t>
            </w:r>
            <w:r w:rsidR="004F4193">
              <w:rPr>
                <w:sz w:val="16"/>
                <w:szCs w:val="16"/>
              </w:rPr>
              <w:t xml:space="preserve"> (MICS)</w:t>
            </w:r>
          </w:p>
          <w:p w14:paraId="288973F2"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3C31DB03" w14:textId="4FC2262F"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9C5264">
              <w:rPr>
                <w:color w:val="000000"/>
                <w:sz w:val="16"/>
                <w:szCs w:val="16"/>
                <w:lang w:val="en-GB"/>
              </w:rPr>
              <w:t>To be confirmed (TBC)</w:t>
            </w:r>
            <w:r w:rsidR="009C5264" w:rsidRPr="00952B94">
              <w:rPr>
                <w:color w:val="000000"/>
                <w:sz w:val="16"/>
                <w:szCs w:val="16"/>
                <w:lang w:val="en-GB"/>
              </w:rPr>
              <w:t xml:space="preserve"> </w:t>
            </w:r>
            <w:r w:rsidR="0014068C" w:rsidRPr="00952B94">
              <w:rPr>
                <w:color w:val="000000"/>
                <w:sz w:val="16"/>
                <w:szCs w:val="16"/>
                <w:lang w:val="en-GB"/>
              </w:rPr>
              <w:t>as per CF</w:t>
            </w:r>
            <w:r w:rsidR="0014068C" w:rsidRPr="00952B94">
              <w:rPr>
                <w:rStyle w:val="FootnoteReference"/>
                <w:color w:val="000000"/>
                <w:sz w:val="16"/>
                <w:szCs w:val="16"/>
                <w:lang w:val="en-GB"/>
              </w:rPr>
              <w:footnoteReference w:id="9"/>
            </w:r>
          </w:p>
          <w:p w14:paraId="5FABE299" w14:textId="77777777" w:rsidR="00566569" w:rsidRPr="00952B94" w:rsidRDefault="00566569" w:rsidP="00566569">
            <w:pPr>
              <w:rPr>
                <w:b/>
                <w:bCs/>
                <w:sz w:val="16"/>
                <w:szCs w:val="16"/>
                <w:lang w:val="en-GB"/>
              </w:rPr>
            </w:pPr>
          </w:p>
          <w:p w14:paraId="5FDF95EB" w14:textId="77777777" w:rsidR="00F715BB" w:rsidRPr="00952B94" w:rsidRDefault="00F715BB" w:rsidP="00566569">
            <w:pPr>
              <w:rPr>
                <w:b/>
                <w:bCs/>
                <w:color w:val="000000"/>
                <w:sz w:val="16"/>
                <w:szCs w:val="16"/>
                <w:lang w:val="en-GB"/>
              </w:rPr>
            </w:pPr>
          </w:p>
          <w:p w14:paraId="682FC102" w14:textId="2C62A84E"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MICS</w:t>
            </w:r>
          </w:p>
          <w:p w14:paraId="0B0C594C"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73CA7DD7" w14:textId="35ED1EF8" w:rsidR="00566569" w:rsidRPr="00952B94" w:rsidRDefault="00566569" w:rsidP="00566569">
            <w:pPr>
              <w:rPr>
                <w:color w:val="000000"/>
                <w:sz w:val="16"/>
                <w:szCs w:val="16"/>
                <w:lang w:val="en-GB"/>
              </w:rPr>
            </w:pPr>
            <w:r w:rsidRPr="00952B94">
              <w:rPr>
                <w:b/>
                <w:bCs/>
                <w:color w:val="000000"/>
                <w:sz w:val="16"/>
                <w:szCs w:val="16"/>
                <w:lang w:val="en-GB"/>
              </w:rPr>
              <w:t>Responsible:</w:t>
            </w:r>
            <w:r w:rsidR="00F715BB" w:rsidRPr="00952B94">
              <w:rPr>
                <w:b/>
                <w:bCs/>
                <w:color w:val="000000"/>
                <w:sz w:val="16"/>
                <w:szCs w:val="16"/>
                <w:lang w:val="en-GB"/>
              </w:rPr>
              <w:t xml:space="preserve"> </w:t>
            </w:r>
            <w:r w:rsidR="0014068C" w:rsidRPr="00952B94">
              <w:rPr>
                <w:color w:val="000000"/>
                <w:sz w:val="16"/>
                <w:szCs w:val="16"/>
                <w:lang w:val="en-GB"/>
              </w:rPr>
              <w:t>TBC</w:t>
            </w:r>
          </w:p>
          <w:p w14:paraId="23480934" w14:textId="77777777" w:rsidR="00566569" w:rsidRPr="00952B94" w:rsidRDefault="00566569" w:rsidP="00952B94">
            <w:pPr>
              <w:rPr>
                <w:b/>
                <w:bCs/>
                <w:sz w:val="16"/>
                <w:szCs w:val="16"/>
                <w:lang w:val="en-GB"/>
              </w:rPr>
            </w:pPr>
          </w:p>
        </w:tc>
        <w:tc>
          <w:tcPr>
            <w:tcW w:w="6095" w:type="dxa"/>
            <w:tcBorders>
              <w:top w:val="single" w:sz="4" w:space="0" w:color="auto"/>
              <w:bottom w:val="single" w:sz="4" w:space="0" w:color="auto"/>
            </w:tcBorders>
            <w:tcMar>
              <w:top w:w="72" w:type="dxa"/>
              <w:left w:w="144" w:type="dxa"/>
              <w:bottom w:w="72" w:type="dxa"/>
              <w:right w:w="144" w:type="dxa"/>
            </w:tcMar>
          </w:tcPr>
          <w:p w14:paraId="1D95C697" w14:textId="6F4668FA" w:rsidR="00566569" w:rsidRPr="00952B94" w:rsidRDefault="002C6C7E" w:rsidP="00566569">
            <w:pPr>
              <w:spacing w:after="120"/>
              <w:jc w:val="both"/>
              <w:rPr>
                <w:sz w:val="16"/>
                <w:szCs w:val="16"/>
                <w:lang w:val="en-GB"/>
              </w:rPr>
            </w:pPr>
            <w:r>
              <w:rPr>
                <w:b/>
                <w:bCs/>
                <w:sz w:val="16"/>
                <w:szCs w:val="16"/>
                <w:lang w:val="en-GB"/>
              </w:rPr>
              <w:t xml:space="preserve">Output </w:t>
            </w:r>
            <w:r w:rsidR="00566569" w:rsidRPr="00952B94">
              <w:rPr>
                <w:b/>
                <w:bCs/>
                <w:sz w:val="16"/>
                <w:szCs w:val="16"/>
                <w:lang w:val="en-GB"/>
              </w:rPr>
              <w:t>1.1</w:t>
            </w:r>
            <w:r>
              <w:rPr>
                <w:b/>
                <w:bCs/>
                <w:sz w:val="16"/>
                <w:szCs w:val="16"/>
                <w:lang w:val="en-GB"/>
              </w:rPr>
              <w:t>.:</w:t>
            </w:r>
            <w:r w:rsidR="00566569" w:rsidRPr="00952B94">
              <w:rPr>
                <w:b/>
                <w:bCs/>
                <w:sz w:val="16"/>
                <w:szCs w:val="16"/>
                <w:lang w:val="en-GB"/>
              </w:rPr>
              <w:t xml:space="preserve"> </w:t>
            </w:r>
            <w:r w:rsidR="00A1335E" w:rsidRPr="00952B94">
              <w:rPr>
                <w:b/>
                <w:bCs/>
                <w:sz w:val="16"/>
                <w:szCs w:val="16"/>
                <w:lang w:val="en-GB"/>
              </w:rPr>
              <w:t xml:space="preserve">Equitable, </w:t>
            </w:r>
            <w:r w:rsidRPr="00952B94">
              <w:rPr>
                <w:b/>
                <w:bCs/>
                <w:sz w:val="16"/>
                <w:szCs w:val="16"/>
                <w:lang w:val="en-GB"/>
              </w:rPr>
              <w:t>resilient,</w:t>
            </w:r>
            <w:r w:rsidR="00A1335E" w:rsidRPr="00952B94">
              <w:rPr>
                <w:b/>
                <w:bCs/>
                <w:sz w:val="16"/>
                <w:szCs w:val="16"/>
                <w:lang w:val="en-GB"/>
              </w:rPr>
              <w:t xml:space="preserve"> and sustainable systems for health and pandemic preparedness strengthened to address communicable and </w:t>
            </w:r>
            <w:r w:rsidRPr="00074431">
              <w:rPr>
                <w:b/>
                <w:bCs/>
                <w:sz w:val="16"/>
                <w:szCs w:val="16"/>
                <w:lang w:val="en-GB"/>
              </w:rPr>
              <w:t>NCDs</w:t>
            </w:r>
            <w:r>
              <w:rPr>
                <w:b/>
                <w:bCs/>
                <w:sz w:val="16"/>
                <w:szCs w:val="16"/>
                <w:lang w:val="en-GB"/>
              </w:rPr>
              <w:t>.</w:t>
            </w:r>
          </w:p>
          <w:p w14:paraId="15F05943" w14:textId="77777777" w:rsidR="00566569" w:rsidRPr="00952B94" w:rsidRDefault="00566569" w:rsidP="00566569">
            <w:pPr>
              <w:jc w:val="both"/>
              <w:rPr>
                <w:b/>
                <w:bCs/>
                <w:sz w:val="16"/>
                <w:szCs w:val="16"/>
                <w:lang w:val="en-GB"/>
              </w:rPr>
            </w:pPr>
            <w:r w:rsidRPr="00952B94">
              <w:rPr>
                <w:b/>
                <w:bCs/>
                <w:sz w:val="16"/>
                <w:szCs w:val="16"/>
                <w:lang w:val="en-GB"/>
              </w:rPr>
              <w:t>Indicators:</w:t>
            </w:r>
          </w:p>
          <w:p w14:paraId="409D20FA" w14:textId="4FC2082F" w:rsidR="00566569" w:rsidRPr="00F26D9D" w:rsidRDefault="00566569" w:rsidP="00566569">
            <w:pPr>
              <w:jc w:val="both"/>
              <w:rPr>
                <w:b/>
                <w:bCs/>
                <w:sz w:val="16"/>
                <w:szCs w:val="16"/>
                <w:lang w:val="en-GB"/>
              </w:rPr>
            </w:pPr>
            <w:r w:rsidRPr="00F26D9D">
              <w:rPr>
                <w:b/>
                <w:bCs/>
                <w:sz w:val="16"/>
                <w:szCs w:val="16"/>
                <w:lang w:val="en-GB"/>
              </w:rPr>
              <w:t>1.1.1</w:t>
            </w:r>
            <w:r w:rsidR="002C6C7E" w:rsidRPr="00F26D9D">
              <w:rPr>
                <w:b/>
                <w:bCs/>
                <w:sz w:val="16"/>
                <w:szCs w:val="16"/>
                <w:lang w:val="en-GB"/>
              </w:rPr>
              <w:t>.</w:t>
            </w:r>
            <w:r w:rsidRPr="00F26D9D">
              <w:rPr>
                <w:b/>
                <w:bCs/>
                <w:sz w:val="16"/>
                <w:szCs w:val="16"/>
                <w:lang w:val="en-GB"/>
              </w:rPr>
              <w:t>: Number of hospitals, centres and health posts using the M-Supply platform.</w:t>
            </w:r>
          </w:p>
          <w:p w14:paraId="6706F527" w14:textId="77777777" w:rsidR="00566569" w:rsidRPr="002C6C7E" w:rsidRDefault="00566569" w:rsidP="00566569">
            <w:pPr>
              <w:jc w:val="both"/>
              <w:rPr>
                <w:sz w:val="16"/>
                <w:szCs w:val="16"/>
                <w:lang w:val="en-GB"/>
              </w:rPr>
            </w:pPr>
            <w:r w:rsidRPr="00074431">
              <w:rPr>
                <w:sz w:val="16"/>
                <w:szCs w:val="16"/>
                <w:lang w:val="en-GB"/>
              </w:rPr>
              <w:t>Baseline (2022):</w:t>
            </w:r>
            <w:r w:rsidRPr="002C6C7E">
              <w:rPr>
                <w:sz w:val="16"/>
                <w:szCs w:val="16"/>
                <w:lang w:val="en-GB"/>
              </w:rPr>
              <w:t xml:space="preserve"> 2 hospitals </w:t>
            </w:r>
          </w:p>
          <w:p w14:paraId="10F7CD4F" w14:textId="77777777" w:rsidR="00566569" w:rsidRPr="002C6C7E" w:rsidRDefault="00566569" w:rsidP="00566569">
            <w:pPr>
              <w:jc w:val="both"/>
              <w:rPr>
                <w:sz w:val="16"/>
                <w:szCs w:val="16"/>
                <w:lang w:val="en-GB"/>
              </w:rPr>
            </w:pPr>
            <w:r w:rsidRPr="00074431">
              <w:rPr>
                <w:sz w:val="16"/>
                <w:szCs w:val="16"/>
                <w:lang w:val="en-GB"/>
              </w:rPr>
              <w:t>Target (2027):</w:t>
            </w:r>
            <w:r w:rsidRPr="002C6C7E">
              <w:rPr>
                <w:sz w:val="16"/>
                <w:szCs w:val="16"/>
                <w:lang w:val="en-GB"/>
              </w:rPr>
              <w:t xml:space="preserve">  2 hospitals, 7 district health centres, 20 health posts</w:t>
            </w:r>
          </w:p>
          <w:p w14:paraId="0D8C1802" w14:textId="77777777" w:rsidR="00566569" w:rsidRPr="002C6C7E" w:rsidRDefault="00566569" w:rsidP="00566569">
            <w:pPr>
              <w:jc w:val="both"/>
              <w:rPr>
                <w:sz w:val="16"/>
                <w:szCs w:val="16"/>
                <w:lang w:val="en-GB"/>
              </w:rPr>
            </w:pPr>
            <w:r w:rsidRPr="00074431">
              <w:rPr>
                <w:sz w:val="16"/>
                <w:szCs w:val="16"/>
                <w:lang w:val="en-GB"/>
              </w:rPr>
              <w:t>Data source</w:t>
            </w:r>
            <w:r w:rsidRPr="002C6C7E">
              <w:rPr>
                <w:sz w:val="16"/>
                <w:szCs w:val="16"/>
                <w:lang w:val="en-GB"/>
              </w:rPr>
              <w:t>: M-Supply Reports</w:t>
            </w:r>
          </w:p>
          <w:p w14:paraId="5281C311" w14:textId="77777777" w:rsidR="00566569" w:rsidRPr="00952B94" w:rsidRDefault="00566569" w:rsidP="00566569">
            <w:pPr>
              <w:spacing w:after="120"/>
              <w:jc w:val="both"/>
              <w:rPr>
                <w:sz w:val="16"/>
                <w:szCs w:val="16"/>
                <w:lang w:val="en-GB"/>
              </w:rPr>
            </w:pPr>
            <w:r w:rsidRPr="00074431">
              <w:rPr>
                <w:sz w:val="16"/>
                <w:szCs w:val="16"/>
                <w:lang w:val="en-GB"/>
              </w:rPr>
              <w:t>Frequency:</w:t>
            </w:r>
            <w:r w:rsidRPr="002C6C7E">
              <w:rPr>
                <w:sz w:val="16"/>
                <w:szCs w:val="16"/>
                <w:lang w:val="en-GB"/>
              </w:rPr>
              <w:t xml:space="preserve"> </w:t>
            </w:r>
            <w:r w:rsidRPr="00952B94">
              <w:rPr>
                <w:sz w:val="16"/>
                <w:szCs w:val="16"/>
                <w:lang w:val="en-GB"/>
              </w:rPr>
              <w:t xml:space="preserve">Annual </w:t>
            </w:r>
          </w:p>
          <w:p w14:paraId="572541CF" w14:textId="274AA6AE" w:rsidR="00566569" w:rsidRPr="00F26D9D" w:rsidRDefault="00566569" w:rsidP="00566569">
            <w:pPr>
              <w:jc w:val="both"/>
              <w:rPr>
                <w:b/>
                <w:bCs/>
                <w:sz w:val="16"/>
                <w:szCs w:val="16"/>
                <w:lang w:val="en-GB"/>
              </w:rPr>
            </w:pPr>
            <w:r w:rsidRPr="00F26D9D">
              <w:rPr>
                <w:b/>
                <w:bCs/>
                <w:sz w:val="16"/>
                <w:szCs w:val="16"/>
                <w:lang w:val="en-GB"/>
              </w:rPr>
              <w:t>1.1.2</w:t>
            </w:r>
            <w:r w:rsidR="002C6C7E" w:rsidRPr="00F26D9D">
              <w:rPr>
                <w:b/>
                <w:bCs/>
                <w:sz w:val="16"/>
                <w:szCs w:val="16"/>
                <w:lang w:val="en-GB"/>
              </w:rPr>
              <w:t>.</w:t>
            </w:r>
            <w:r w:rsidRPr="00F26D9D">
              <w:rPr>
                <w:b/>
                <w:bCs/>
                <w:sz w:val="16"/>
                <w:szCs w:val="16"/>
                <w:lang w:val="en-GB"/>
              </w:rPr>
              <w:t>: Number of tracker modules for non-communicable diseases introduced in DHISII</w:t>
            </w:r>
            <w:r w:rsidR="002C6C7E" w:rsidRPr="00F26D9D">
              <w:rPr>
                <w:b/>
                <w:bCs/>
                <w:sz w:val="16"/>
                <w:szCs w:val="16"/>
                <w:lang w:val="en-GB"/>
              </w:rPr>
              <w:t>.</w:t>
            </w:r>
          </w:p>
          <w:p w14:paraId="4B5A8BD9" w14:textId="77777777" w:rsidR="00566569" w:rsidRPr="002C6C7E" w:rsidRDefault="00566569" w:rsidP="00566569">
            <w:pPr>
              <w:jc w:val="both"/>
              <w:rPr>
                <w:sz w:val="16"/>
                <w:szCs w:val="16"/>
                <w:lang w:val="en-GB"/>
              </w:rPr>
            </w:pPr>
            <w:r w:rsidRPr="00074431">
              <w:rPr>
                <w:sz w:val="16"/>
                <w:szCs w:val="16"/>
                <w:lang w:val="en-GB"/>
              </w:rPr>
              <w:t>Baseline (2022):</w:t>
            </w:r>
            <w:r w:rsidRPr="002C6C7E">
              <w:rPr>
                <w:sz w:val="16"/>
                <w:szCs w:val="16"/>
                <w:lang w:val="en-GB"/>
              </w:rPr>
              <w:t xml:space="preserve"> 0</w:t>
            </w:r>
          </w:p>
          <w:p w14:paraId="6BB3E204" w14:textId="77777777" w:rsidR="00566569" w:rsidRPr="002C6C7E" w:rsidRDefault="00566569" w:rsidP="00566569">
            <w:pPr>
              <w:jc w:val="both"/>
              <w:rPr>
                <w:sz w:val="16"/>
                <w:szCs w:val="16"/>
                <w:lang w:val="en-GB"/>
              </w:rPr>
            </w:pPr>
            <w:r w:rsidRPr="00074431">
              <w:rPr>
                <w:sz w:val="16"/>
                <w:szCs w:val="16"/>
                <w:lang w:val="en-GB"/>
              </w:rPr>
              <w:t xml:space="preserve">Target (2027): </w:t>
            </w:r>
            <w:r w:rsidRPr="002C6C7E">
              <w:rPr>
                <w:sz w:val="16"/>
                <w:szCs w:val="16"/>
                <w:lang w:val="en-GB"/>
              </w:rPr>
              <w:t>4</w:t>
            </w:r>
          </w:p>
          <w:p w14:paraId="6EF299A7" w14:textId="77777777" w:rsidR="00566569" w:rsidRPr="002C6C7E" w:rsidRDefault="00566569" w:rsidP="00566569">
            <w:pPr>
              <w:jc w:val="both"/>
              <w:rPr>
                <w:sz w:val="16"/>
                <w:szCs w:val="16"/>
                <w:lang w:val="en-GB"/>
              </w:rPr>
            </w:pPr>
            <w:r w:rsidRPr="00074431">
              <w:rPr>
                <w:sz w:val="16"/>
                <w:szCs w:val="16"/>
                <w:lang w:eastAsia="zh-Hans"/>
              </w:rPr>
              <w:t>Data source:</w:t>
            </w:r>
            <w:r w:rsidRPr="002C6C7E">
              <w:rPr>
                <w:sz w:val="16"/>
                <w:szCs w:val="16"/>
                <w:lang w:eastAsia="zh-Hans"/>
              </w:rPr>
              <w:t xml:space="preserve"> </w:t>
            </w:r>
            <w:r w:rsidRPr="002C6C7E">
              <w:rPr>
                <w:sz w:val="16"/>
                <w:szCs w:val="16"/>
                <w:lang w:val="en-GB"/>
              </w:rPr>
              <w:t>DHIS2</w:t>
            </w:r>
          </w:p>
          <w:p w14:paraId="6BFD9294" w14:textId="77777777" w:rsidR="00566569" w:rsidRPr="00952B94" w:rsidRDefault="00566569" w:rsidP="00952B94">
            <w:pPr>
              <w:jc w:val="both"/>
              <w:rPr>
                <w:b/>
                <w:bCs/>
                <w:sz w:val="16"/>
                <w:szCs w:val="16"/>
                <w:lang w:val="en-GB"/>
              </w:rPr>
            </w:pPr>
            <w:r w:rsidRPr="00074431">
              <w:rPr>
                <w:sz w:val="16"/>
                <w:szCs w:val="16"/>
                <w:lang w:val="en-GB"/>
              </w:rPr>
              <w:t>Frequency:</w:t>
            </w:r>
            <w:r w:rsidRPr="002C6C7E">
              <w:rPr>
                <w:sz w:val="16"/>
                <w:szCs w:val="16"/>
                <w:lang w:val="en-GB"/>
              </w:rPr>
              <w:t xml:space="preserve"> </w:t>
            </w:r>
            <w:r w:rsidRPr="00952B94">
              <w:rPr>
                <w:sz w:val="16"/>
                <w:szCs w:val="16"/>
                <w:lang w:val="en-GB"/>
              </w:rPr>
              <w:t>Annual</w:t>
            </w:r>
          </w:p>
        </w:tc>
        <w:tc>
          <w:tcPr>
            <w:tcW w:w="1701" w:type="dxa"/>
            <w:vMerge w:val="restart"/>
            <w:tcBorders>
              <w:top w:val="single" w:sz="4" w:space="0" w:color="auto"/>
              <w:bottom w:val="single" w:sz="4" w:space="0" w:color="auto"/>
            </w:tcBorders>
          </w:tcPr>
          <w:p w14:paraId="79ED1BCB" w14:textId="77777777" w:rsidR="00566569" w:rsidRPr="00952B94" w:rsidRDefault="00566569" w:rsidP="00566569">
            <w:pPr>
              <w:spacing w:after="60"/>
              <w:rPr>
                <w:sz w:val="16"/>
                <w:szCs w:val="16"/>
                <w:lang w:val="en-GB"/>
              </w:rPr>
            </w:pPr>
            <w:r w:rsidRPr="00952B94">
              <w:rPr>
                <w:sz w:val="16"/>
                <w:szCs w:val="16"/>
                <w:lang w:val="en-GB"/>
              </w:rPr>
              <w:t>Ministry of Health</w:t>
            </w:r>
          </w:p>
          <w:p w14:paraId="5606EFA6" w14:textId="631CEDD1" w:rsidR="00566569" w:rsidRPr="00952B94" w:rsidRDefault="00566569" w:rsidP="00566569">
            <w:pPr>
              <w:spacing w:after="60"/>
              <w:rPr>
                <w:sz w:val="16"/>
                <w:szCs w:val="16"/>
                <w:lang w:val="en-GB"/>
              </w:rPr>
            </w:pPr>
            <w:r w:rsidRPr="00952B94">
              <w:rPr>
                <w:sz w:val="16"/>
                <w:szCs w:val="16"/>
                <w:lang w:val="en-GB"/>
              </w:rPr>
              <w:t>Ministr</w:t>
            </w:r>
            <w:r w:rsidR="00D70D0A" w:rsidRPr="00952B94">
              <w:rPr>
                <w:sz w:val="16"/>
                <w:szCs w:val="16"/>
                <w:lang w:val="en-GB"/>
              </w:rPr>
              <w:t>ies</w:t>
            </w:r>
            <w:r w:rsidRPr="00952B94">
              <w:rPr>
                <w:sz w:val="16"/>
                <w:szCs w:val="16"/>
                <w:lang w:val="en-GB"/>
              </w:rPr>
              <w:t xml:space="preserve"> of Labour/Social Welfare/</w:t>
            </w:r>
            <w:bookmarkStart w:id="6" w:name="_Hlk118052063"/>
            <w:r w:rsidR="004F4193">
              <w:t xml:space="preserve"> </w:t>
            </w:r>
            <w:r w:rsidR="004F4193" w:rsidRPr="004F4193">
              <w:rPr>
                <w:sz w:val="16"/>
                <w:szCs w:val="16"/>
                <w:lang w:val="en-GB"/>
              </w:rPr>
              <w:t>Instituto Nacional de Segurança Social</w:t>
            </w:r>
            <w:r w:rsidR="004F4193" w:rsidRPr="004F4193" w:rsidDel="004F4193">
              <w:rPr>
                <w:sz w:val="16"/>
                <w:szCs w:val="16"/>
                <w:lang w:val="en-GB"/>
              </w:rPr>
              <w:t xml:space="preserve"> </w:t>
            </w:r>
            <w:bookmarkEnd w:id="6"/>
            <w:r w:rsidR="004F4193">
              <w:rPr>
                <w:sz w:val="16"/>
                <w:szCs w:val="16"/>
                <w:lang w:val="en-GB"/>
              </w:rPr>
              <w:t xml:space="preserve">(INSS), </w:t>
            </w:r>
            <w:r w:rsidRPr="00952B94">
              <w:rPr>
                <w:sz w:val="16"/>
                <w:szCs w:val="16"/>
                <w:lang w:val="en-GB"/>
              </w:rPr>
              <w:t>Global Fund for Health</w:t>
            </w:r>
          </w:p>
          <w:p w14:paraId="78058E32" w14:textId="77777777" w:rsidR="00D70D0A" w:rsidRPr="00952B94" w:rsidRDefault="00566569" w:rsidP="00566569">
            <w:pPr>
              <w:spacing w:after="60"/>
              <w:rPr>
                <w:sz w:val="16"/>
                <w:szCs w:val="16"/>
                <w:lang w:val="en-GB"/>
              </w:rPr>
            </w:pPr>
            <w:r w:rsidRPr="00952B94">
              <w:rPr>
                <w:sz w:val="16"/>
                <w:szCs w:val="16"/>
                <w:lang w:val="en-GB"/>
              </w:rPr>
              <w:t>World Bank</w:t>
            </w:r>
          </w:p>
          <w:p w14:paraId="53031EF9" w14:textId="77777777" w:rsidR="00D70D0A" w:rsidRPr="00952B94" w:rsidRDefault="00D70D0A" w:rsidP="00566569">
            <w:pPr>
              <w:spacing w:after="60"/>
              <w:rPr>
                <w:sz w:val="16"/>
                <w:szCs w:val="16"/>
                <w:lang w:val="en-GB"/>
              </w:rPr>
            </w:pPr>
            <w:r w:rsidRPr="00952B94">
              <w:rPr>
                <w:sz w:val="16"/>
                <w:szCs w:val="16"/>
                <w:lang w:val="en-GB"/>
              </w:rPr>
              <w:t>UNICEF</w:t>
            </w:r>
          </w:p>
          <w:p w14:paraId="295DC85A" w14:textId="5EFA584D" w:rsidR="00D70D0A" w:rsidRPr="00952B94" w:rsidRDefault="00D70D0A" w:rsidP="00566569">
            <w:pPr>
              <w:spacing w:after="60"/>
              <w:rPr>
                <w:sz w:val="16"/>
                <w:szCs w:val="16"/>
                <w:lang w:val="en-GB"/>
              </w:rPr>
            </w:pPr>
            <w:r w:rsidRPr="00952B94">
              <w:rPr>
                <w:sz w:val="16"/>
                <w:szCs w:val="16"/>
                <w:lang w:val="en-GB"/>
              </w:rPr>
              <w:t>WHO</w:t>
            </w:r>
          </w:p>
        </w:tc>
        <w:tc>
          <w:tcPr>
            <w:tcW w:w="1843" w:type="dxa"/>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0DDBDFAB" w14:textId="4480223F" w:rsidR="00566569" w:rsidRPr="00952B94" w:rsidRDefault="00566569" w:rsidP="00566569">
            <w:pPr>
              <w:rPr>
                <w:sz w:val="16"/>
                <w:szCs w:val="16"/>
              </w:rPr>
            </w:pPr>
            <w:r w:rsidRPr="00952B94">
              <w:rPr>
                <w:b/>
                <w:bCs/>
                <w:sz w:val="16"/>
                <w:szCs w:val="16"/>
              </w:rPr>
              <w:t xml:space="preserve">Regular: </w:t>
            </w:r>
            <w:r w:rsidR="00515BBB" w:rsidRPr="00952B94">
              <w:rPr>
                <w:b/>
                <w:bCs/>
                <w:sz w:val="16"/>
                <w:szCs w:val="16"/>
              </w:rPr>
              <w:t xml:space="preserve"> </w:t>
            </w:r>
            <w:r w:rsidRPr="00952B94">
              <w:rPr>
                <w:sz w:val="16"/>
                <w:szCs w:val="16"/>
              </w:rPr>
              <w:t>$350,000</w:t>
            </w:r>
          </w:p>
          <w:p w14:paraId="472054B9" w14:textId="77777777" w:rsidR="00566569" w:rsidRPr="00952B94" w:rsidRDefault="00566569" w:rsidP="00566569">
            <w:pPr>
              <w:rPr>
                <w:sz w:val="16"/>
                <w:szCs w:val="16"/>
              </w:rPr>
            </w:pPr>
          </w:p>
          <w:p w14:paraId="3E5F207D" w14:textId="2B8B292A" w:rsidR="00566569" w:rsidRPr="00952B94" w:rsidRDefault="00566569" w:rsidP="00566569">
            <w:pPr>
              <w:rPr>
                <w:sz w:val="16"/>
                <w:szCs w:val="16"/>
                <w:lang w:val="en-GB"/>
              </w:rPr>
            </w:pPr>
            <w:r w:rsidRPr="00952B94">
              <w:rPr>
                <w:b/>
                <w:bCs/>
                <w:sz w:val="16"/>
                <w:szCs w:val="16"/>
              </w:rPr>
              <w:t xml:space="preserve">Other: </w:t>
            </w:r>
            <w:r w:rsidR="0052018E" w:rsidRPr="00952B94">
              <w:rPr>
                <w:b/>
                <w:bCs/>
                <w:sz w:val="16"/>
                <w:szCs w:val="16"/>
              </w:rPr>
              <w:t xml:space="preserve">    </w:t>
            </w:r>
            <w:r w:rsidRPr="00952B94">
              <w:rPr>
                <w:sz w:val="16"/>
                <w:szCs w:val="16"/>
                <w:lang w:val="en-GB"/>
              </w:rPr>
              <w:t>$1,200,000</w:t>
            </w:r>
          </w:p>
          <w:p w14:paraId="626E28BC" w14:textId="77777777" w:rsidR="00566569" w:rsidRPr="00952B94" w:rsidRDefault="00566569" w:rsidP="00566569">
            <w:pPr>
              <w:rPr>
                <w:sz w:val="16"/>
                <w:szCs w:val="16"/>
              </w:rPr>
            </w:pPr>
          </w:p>
        </w:tc>
      </w:tr>
      <w:tr w:rsidR="00566569" w:rsidRPr="00952B94" w14:paraId="67B173A2" w14:textId="77777777" w:rsidTr="00952B94">
        <w:tc>
          <w:tcPr>
            <w:tcW w:w="2405" w:type="dxa"/>
            <w:vMerge/>
            <w:tcBorders>
              <w:left w:val="single" w:sz="4" w:space="0" w:color="auto"/>
            </w:tcBorders>
            <w:tcMar>
              <w:top w:w="72" w:type="dxa"/>
              <w:left w:w="144" w:type="dxa"/>
              <w:bottom w:w="72" w:type="dxa"/>
              <w:right w:w="144" w:type="dxa"/>
            </w:tcMar>
          </w:tcPr>
          <w:p w14:paraId="067D8863" w14:textId="77777777" w:rsidR="00566569" w:rsidRPr="00952B94" w:rsidRDefault="00566569" w:rsidP="00566569">
            <w:pPr>
              <w:rPr>
                <w:sz w:val="16"/>
                <w:szCs w:val="16"/>
                <w:lang w:val="en-GB"/>
              </w:rPr>
            </w:pPr>
          </w:p>
        </w:tc>
        <w:tc>
          <w:tcPr>
            <w:tcW w:w="1985" w:type="dxa"/>
            <w:vMerge/>
          </w:tcPr>
          <w:p w14:paraId="18E5F3FE" w14:textId="77777777" w:rsidR="00566569" w:rsidRPr="00952B94" w:rsidRDefault="00566569" w:rsidP="00566569">
            <w:pPr>
              <w:rPr>
                <w:sz w:val="16"/>
                <w:szCs w:val="16"/>
                <w:lang w:val="en-GB"/>
              </w:rPr>
            </w:pPr>
          </w:p>
        </w:tc>
        <w:tc>
          <w:tcPr>
            <w:tcW w:w="6095" w:type="dxa"/>
            <w:tcBorders>
              <w:top w:val="single" w:sz="4" w:space="0" w:color="auto"/>
              <w:bottom w:val="single" w:sz="4" w:space="0" w:color="auto"/>
            </w:tcBorders>
            <w:tcMar>
              <w:top w:w="72" w:type="dxa"/>
              <w:left w:w="144" w:type="dxa"/>
              <w:bottom w:w="72" w:type="dxa"/>
              <w:right w:w="144" w:type="dxa"/>
            </w:tcMar>
          </w:tcPr>
          <w:p w14:paraId="48CE0953" w14:textId="7B36247F" w:rsidR="00566569" w:rsidRPr="00952B94" w:rsidRDefault="002C6C7E" w:rsidP="00566569">
            <w:pPr>
              <w:spacing w:after="120"/>
              <w:jc w:val="both"/>
              <w:rPr>
                <w:b/>
                <w:bCs/>
                <w:sz w:val="16"/>
                <w:szCs w:val="16"/>
                <w:lang w:val="en-GB"/>
              </w:rPr>
            </w:pPr>
            <w:r>
              <w:rPr>
                <w:b/>
                <w:bCs/>
                <w:sz w:val="16"/>
                <w:szCs w:val="16"/>
                <w:lang w:val="en-GB"/>
              </w:rPr>
              <w:t xml:space="preserve">Output </w:t>
            </w:r>
            <w:r w:rsidR="00566569" w:rsidRPr="00952B94">
              <w:rPr>
                <w:b/>
                <w:bCs/>
                <w:sz w:val="16"/>
                <w:szCs w:val="16"/>
                <w:lang w:val="en-GB"/>
              </w:rPr>
              <w:t>1.2</w:t>
            </w:r>
            <w:r>
              <w:rPr>
                <w:b/>
                <w:bCs/>
                <w:sz w:val="16"/>
                <w:szCs w:val="16"/>
                <w:lang w:val="en-GB"/>
              </w:rPr>
              <w:t>.:</w:t>
            </w:r>
            <w:r w:rsidR="00566569" w:rsidRPr="00952B94">
              <w:rPr>
                <w:b/>
                <w:bCs/>
                <w:sz w:val="16"/>
                <w:szCs w:val="16"/>
                <w:lang w:val="en-GB"/>
              </w:rPr>
              <w:t xml:space="preserve"> </w:t>
            </w:r>
            <w:bookmarkStart w:id="7" w:name="_Hlk114765897"/>
            <w:r w:rsidR="00566569" w:rsidRPr="00952B94">
              <w:rPr>
                <w:b/>
                <w:bCs/>
                <w:sz w:val="16"/>
                <w:szCs w:val="16"/>
                <w:lang w:val="en-GB"/>
              </w:rPr>
              <w:t xml:space="preserve">The poorest and most vulnerable </w:t>
            </w:r>
            <w:r w:rsidR="00B671FF" w:rsidRPr="00952B94">
              <w:rPr>
                <w:b/>
                <w:bCs/>
                <w:sz w:val="16"/>
                <w:szCs w:val="16"/>
                <w:lang w:val="en-GB"/>
              </w:rPr>
              <w:t>populat</w:t>
            </w:r>
            <w:r w:rsidR="005A5529" w:rsidRPr="00952B94">
              <w:rPr>
                <w:b/>
                <w:bCs/>
                <w:sz w:val="16"/>
                <w:szCs w:val="16"/>
                <w:lang w:val="en-GB"/>
              </w:rPr>
              <w:t>ion</w:t>
            </w:r>
            <w:r>
              <w:rPr>
                <w:b/>
                <w:bCs/>
                <w:sz w:val="16"/>
                <w:szCs w:val="16"/>
                <w:lang w:val="en-GB"/>
              </w:rPr>
              <w:t>s</w:t>
            </w:r>
            <w:r w:rsidR="007539F7" w:rsidRPr="00952B94">
              <w:rPr>
                <w:b/>
                <w:bCs/>
                <w:sz w:val="16"/>
                <w:szCs w:val="16"/>
                <w:lang w:val="en-GB"/>
              </w:rPr>
              <w:t xml:space="preserve">, including people living with disabilities, </w:t>
            </w:r>
            <w:r>
              <w:rPr>
                <w:b/>
                <w:bCs/>
                <w:sz w:val="16"/>
                <w:szCs w:val="16"/>
                <w:lang w:val="en-GB"/>
              </w:rPr>
              <w:t>can</w:t>
            </w:r>
            <w:r w:rsidR="00B671FF" w:rsidRPr="00952B94">
              <w:rPr>
                <w:b/>
                <w:bCs/>
                <w:sz w:val="16"/>
                <w:szCs w:val="16"/>
                <w:lang w:val="en-GB"/>
              </w:rPr>
              <w:t xml:space="preserve"> </w:t>
            </w:r>
            <w:r w:rsidR="00566569" w:rsidRPr="00952B94">
              <w:rPr>
                <w:b/>
                <w:bCs/>
                <w:sz w:val="16"/>
                <w:szCs w:val="16"/>
                <w:lang w:val="en-GB"/>
              </w:rPr>
              <w:t>access integrated, resilient and gender-sensitive social protection system</w:t>
            </w:r>
            <w:r>
              <w:rPr>
                <w:b/>
                <w:bCs/>
                <w:sz w:val="16"/>
                <w:szCs w:val="16"/>
                <w:lang w:val="en-GB"/>
              </w:rPr>
              <w:t>s</w:t>
            </w:r>
            <w:r w:rsidR="00566569" w:rsidRPr="00952B94">
              <w:rPr>
                <w:b/>
                <w:bCs/>
                <w:sz w:val="16"/>
                <w:szCs w:val="16"/>
                <w:lang w:val="en-GB"/>
              </w:rPr>
              <w:t>.</w:t>
            </w:r>
          </w:p>
          <w:p w14:paraId="23489BE2" w14:textId="77777777" w:rsidR="00566569" w:rsidRPr="00952B94" w:rsidRDefault="00566569" w:rsidP="00566569">
            <w:pPr>
              <w:jc w:val="both"/>
              <w:rPr>
                <w:b/>
                <w:bCs/>
                <w:sz w:val="16"/>
                <w:szCs w:val="16"/>
                <w:lang w:val="en-GB"/>
              </w:rPr>
            </w:pPr>
            <w:r w:rsidRPr="00952B94">
              <w:rPr>
                <w:b/>
                <w:bCs/>
                <w:sz w:val="16"/>
                <w:szCs w:val="16"/>
                <w:lang w:val="en-GB"/>
              </w:rPr>
              <w:t>Indicators:</w:t>
            </w:r>
          </w:p>
          <w:p w14:paraId="3390E1B4" w14:textId="4DDA8438" w:rsidR="00566569" w:rsidRPr="00F26D9D" w:rsidRDefault="00566569" w:rsidP="00566569">
            <w:pPr>
              <w:contextualSpacing/>
              <w:jc w:val="both"/>
              <w:rPr>
                <w:rFonts w:eastAsia="SimSun"/>
                <w:b/>
                <w:bCs/>
                <w:sz w:val="16"/>
                <w:szCs w:val="16"/>
              </w:rPr>
            </w:pPr>
            <w:r w:rsidRPr="00F26D9D">
              <w:rPr>
                <w:b/>
                <w:bCs/>
                <w:sz w:val="16"/>
                <w:szCs w:val="16"/>
                <w:lang w:val="en-GB"/>
              </w:rPr>
              <w:t>1.2.1</w:t>
            </w:r>
            <w:r w:rsidR="002C6C7E" w:rsidRPr="00F26D9D">
              <w:rPr>
                <w:b/>
                <w:bCs/>
                <w:sz w:val="16"/>
                <w:szCs w:val="16"/>
                <w:lang w:val="en-GB"/>
              </w:rPr>
              <w:t>.</w:t>
            </w:r>
            <w:r w:rsidRPr="00F26D9D">
              <w:rPr>
                <w:b/>
                <w:bCs/>
                <w:sz w:val="16"/>
                <w:szCs w:val="16"/>
                <w:lang w:val="en-GB"/>
              </w:rPr>
              <w:t>: Number of</w:t>
            </w:r>
            <w:r w:rsidR="00910388" w:rsidRPr="00F26D9D">
              <w:rPr>
                <w:b/>
                <w:bCs/>
                <w:sz w:val="16"/>
                <w:szCs w:val="16"/>
                <w:lang w:val="en-GB"/>
              </w:rPr>
              <w:t xml:space="preserve"> </w:t>
            </w:r>
            <w:r w:rsidRPr="00F26D9D">
              <w:rPr>
                <w:b/>
                <w:bCs/>
                <w:sz w:val="16"/>
                <w:szCs w:val="16"/>
                <w:lang w:val="en-GB"/>
              </w:rPr>
              <w:t>social</w:t>
            </w:r>
            <w:r w:rsidR="00D653EA" w:rsidRPr="00F26D9D">
              <w:rPr>
                <w:b/>
                <w:bCs/>
                <w:sz w:val="16"/>
                <w:szCs w:val="16"/>
                <w:lang w:val="en-GB"/>
              </w:rPr>
              <w:t xml:space="preserve"> protection</w:t>
            </w:r>
            <w:r w:rsidRPr="00F26D9D">
              <w:rPr>
                <w:b/>
                <w:bCs/>
                <w:sz w:val="16"/>
                <w:szCs w:val="16"/>
                <w:lang w:val="en-GB"/>
              </w:rPr>
              <w:t xml:space="preserve"> platforms efficiently interacting with the DHISII system.</w:t>
            </w:r>
          </w:p>
          <w:bookmarkEnd w:id="7"/>
          <w:p w14:paraId="582F7D7F" w14:textId="77777777" w:rsidR="00566569" w:rsidRPr="002C6C7E" w:rsidRDefault="00566569" w:rsidP="00566569">
            <w:pPr>
              <w:jc w:val="both"/>
              <w:rPr>
                <w:sz w:val="16"/>
                <w:szCs w:val="16"/>
                <w:lang w:val="en-GB"/>
              </w:rPr>
            </w:pPr>
            <w:r w:rsidRPr="00074431">
              <w:rPr>
                <w:sz w:val="16"/>
                <w:szCs w:val="16"/>
                <w:lang w:val="en-GB"/>
              </w:rPr>
              <w:t>Baseline (2022)</w:t>
            </w:r>
            <w:r w:rsidRPr="002C6C7E">
              <w:rPr>
                <w:sz w:val="16"/>
                <w:szCs w:val="16"/>
                <w:lang w:val="en-GB"/>
              </w:rPr>
              <w:t>: 0</w:t>
            </w:r>
          </w:p>
          <w:p w14:paraId="30EE5970" w14:textId="77777777" w:rsidR="00566569" w:rsidRPr="002C6C7E" w:rsidRDefault="00566569" w:rsidP="00566569">
            <w:pPr>
              <w:jc w:val="both"/>
              <w:rPr>
                <w:sz w:val="16"/>
                <w:szCs w:val="16"/>
                <w:lang w:val="en-GB"/>
              </w:rPr>
            </w:pPr>
            <w:r w:rsidRPr="00074431">
              <w:rPr>
                <w:sz w:val="16"/>
                <w:szCs w:val="16"/>
                <w:lang w:val="en-GB"/>
              </w:rPr>
              <w:t>Target (2027):</w:t>
            </w:r>
            <w:r w:rsidRPr="002C6C7E">
              <w:rPr>
                <w:sz w:val="16"/>
                <w:szCs w:val="16"/>
                <w:lang w:val="en-GB"/>
              </w:rPr>
              <w:t xml:space="preserve"> 3</w:t>
            </w:r>
          </w:p>
          <w:p w14:paraId="42E9F188" w14:textId="77777777" w:rsidR="00566569" w:rsidRPr="002C6C7E" w:rsidRDefault="00566569" w:rsidP="00566569">
            <w:pPr>
              <w:jc w:val="both"/>
              <w:rPr>
                <w:sz w:val="16"/>
                <w:szCs w:val="16"/>
                <w:lang w:val="en-GB"/>
              </w:rPr>
            </w:pPr>
            <w:r w:rsidRPr="00074431">
              <w:rPr>
                <w:sz w:val="16"/>
                <w:szCs w:val="16"/>
                <w:lang w:val="en-GB"/>
              </w:rPr>
              <w:t>Data source:</w:t>
            </w:r>
            <w:r w:rsidRPr="002C6C7E">
              <w:rPr>
                <w:sz w:val="16"/>
                <w:szCs w:val="16"/>
                <w:lang w:val="en-GB"/>
              </w:rPr>
              <w:t xml:space="preserve"> DHISII</w:t>
            </w:r>
          </w:p>
          <w:p w14:paraId="23E3D210" w14:textId="77777777" w:rsidR="00566569" w:rsidRPr="00952B94" w:rsidRDefault="00566569" w:rsidP="00566569">
            <w:pPr>
              <w:spacing w:after="120"/>
              <w:jc w:val="both"/>
              <w:rPr>
                <w:sz w:val="16"/>
                <w:szCs w:val="16"/>
                <w:lang w:val="en-GB"/>
              </w:rPr>
            </w:pPr>
            <w:r w:rsidRPr="00074431">
              <w:rPr>
                <w:sz w:val="16"/>
                <w:szCs w:val="16"/>
                <w:lang w:val="en-GB"/>
              </w:rPr>
              <w:t>Frequency:</w:t>
            </w:r>
            <w:r w:rsidRPr="00952B94">
              <w:rPr>
                <w:sz w:val="16"/>
                <w:szCs w:val="16"/>
                <w:lang w:val="en-GB"/>
              </w:rPr>
              <w:t xml:space="preserve"> Annual</w:t>
            </w:r>
          </w:p>
          <w:p w14:paraId="75FE799D" w14:textId="1A289775" w:rsidR="00566569" w:rsidRPr="00F26D9D" w:rsidRDefault="00566569" w:rsidP="00566569">
            <w:pPr>
              <w:jc w:val="both"/>
              <w:rPr>
                <w:b/>
                <w:bCs/>
                <w:sz w:val="16"/>
                <w:szCs w:val="16"/>
                <w:lang w:val="en-GB"/>
              </w:rPr>
            </w:pPr>
            <w:r w:rsidRPr="00F26D9D">
              <w:rPr>
                <w:b/>
                <w:bCs/>
                <w:sz w:val="16"/>
                <w:szCs w:val="16"/>
                <w:lang w:val="en-GB"/>
              </w:rPr>
              <w:t xml:space="preserve">1.2.2: Number of people </w:t>
            </w:r>
            <w:r w:rsidR="003C174F" w:rsidRPr="00F26D9D">
              <w:rPr>
                <w:b/>
                <w:bCs/>
                <w:sz w:val="16"/>
                <w:szCs w:val="16"/>
                <w:lang w:val="en-GB"/>
              </w:rPr>
              <w:t xml:space="preserve">able to access </w:t>
            </w:r>
            <w:r w:rsidRPr="00F26D9D">
              <w:rPr>
                <w:b/>
                <w:bCs/>
                <w:sz w:val="16"/>
                <w:szCs w:val="16"/>
                <w:lang w:val="en-GB"/>
              </w:rPr>
              <w:t>social registry system</w:t>
            </w:r>
            <w:r w:rsidR="005A5529" w:rsidRPr="00F26D9D">
              <w:rPr>
                <w:b/>
                <w:bCs/>
                <w:sz w:val="16"/>
                <w:szCs w:val="16"/>
                <w:lang w:val="en-GB"/>
              </w:rPr>
              <w:t xml:space="preserve"> disaggregated by sex</w:t>
            </w:r>
            <w:r w:rsidR="007539F7" w:rsidRPr="00F26D9D">
              <w:rPr>
                <w:b/>
                <w:bCs/>
                <w:sz w:val="16"/>
                <w:szCs w:val="16"/>
                <w:lang w:val="en-GB"/>
              </w:rPr>
              <w:t xml:space="preserve"> and disability</w:t>
            </w:r>
          </w:p>
          <w:p w14:paraId="3E8C7904" w14:textId="77777777" w:rsidR="00566569" w:rsidRPr="003C174F" w:rsidRDefault="00566569" w:rsidP="00566569">
            <w:pPr>
              <w:jc w:val="both"/>
              <w:rPr>
                <w:sz w:val="16"/>
                <w:szCs w:val="16"/>
                <w:lang w:val="en-GB"/>
              </w:rPr>
            </w:pPr>
            <w:r w:rsidRPr="00074431">
              <w:rPr>
                <w:sz w:val="16"/>
                <w:szCs w:val="16"/>
                <w:lang w:val="en-GB"/>
              </w:rPr>
              <w:t>Baseline (2022):</w:t>
            </w:r>
            <w:r w:rsidRPr="003C174F">
              <w:rPr>
                <w:sz w:val="16"/>
                <w:szCs w:val="16"/>
                <w:lang w:val="en-GB"/>
              </w:rPr>
              <w:t xml:space="preserve"> 0</w:t>
            </w:r>
          </w:p>
          <w:p w14:paraId="2E0B6765" w14:textId="00B33ABB" w:rsidR="00566569" w:rsidRPr="003C174F" w:rsidRDefault="00566569" w:rsidP="00566569">
            <w:pPr>
              <w:jc w:val="both"/>
              <w:rPr>
                <w:sz w:val="16"/>
                <w:szCs w:val="16"/>
                <w:lang w:val="en-GB"/>
              </w:rPr>
            </w:pPr>
            <w:r w:rsidRPr="00074431">
              <w:rPr>
                <w:sz w:val="16"/>
                <w:szCs w:val="16"/>
                <w:lang w:val="en-GB"/>
              </w:rPr>
              <w:t>Target (2027):</w:t>
            </w:r>
            <w:r w:rsidRPr="003C174F">
              <w:rPr>
                <w:sz w:val="16"/>
                <w:szCs w:val="16"/>
                <w:lang w:val="en-GB"/>
              </w:rPr>
              <w:t xml:space="preserve"> 25,000</w:t>
            </w:r>
            <w:r w:rsidR="005A5529" w:rsidRPr="003C174F">
              <w:rPr>
                <w:sz w:val="16"/>
                <w:szCs w:val="16"/>
                <w:lang w:val="en-GB"/>
              </w:rPr>
              <w:t xml:space="preserve"> </w:t>
            </w:r>
          </w:p>
          <w:p w14:paraId="068A5879" w14:textId="77777777" w:rsidR="00566569" w:rsidRPr="003C174F" w:rsidRDefault="00566569" w:rsidP="00566569">
            <w:pPr>
              <w:jc w:val="both"/>
              <w:rPr>
                <w:sz w:val="16"/>
                <w:szCs w:val="16"/>
                <w:lang w:val="en-GB"/>
              </w:rPr>
            </w:pPr>
            <w:r w:rsidRPr="00074431">
              <w:rPr>
                <w:sz w:val="16"/>
                <w:szCs w:val="16"/>
                <w:lang w:val="en-GB"/>
              </w:rPr>
              <w:t>Data source:</w:t>
            </w:r>
            <w:r w:rsidRPr="003C174F">
              <w:rPr>
                <w:sz w:val="16"/>
                <w:szCs w:val="16"/>
                <w:lang w:val="en-GB"/>
              </w:rPr>
              <w:t xml:space="preserve"> DHISII</w:t>
            </w:r>
          </w:p>
          <w:p w14:paraId="0470D814" w14:textId="77777777" w:rsidR="00566569" w:rsidRPr="00952B94" w:rsidRDefault="00566569" w:rsidP="00566569">
            <w:pPr>
              <w:jc w:val="both"/>
              <w:rPr>
                <w:sz w:val="16"/>
                <w:szCs w:val="16"/>
                <w:lang w:val="en-GB"/>
              </w:rPr>
            </w:pPr>
            <w:r w:rsidRPr="00074431">
              <w:rPr>
                <w:sz w:val="16"/>
                <w:szCs w:val="16"/>
                <w:lang w:val="en-GB"/>
              </w:rPr>
              <w:t>Frequency:</w:t>
            </w:r>
            <w:r w:rsidRPr="00952B94">
              <w:rPr>
                <w:sz w:val="16"/>
                <w:szCs w:val="16"/>
                <w:lang w:val="en-GB"/>
              </w:rPr>
              <w:t xml:space="preserve"> Annual</w:t>
            </w:r>
          </w:p>
        </w:tc>
        <w:tc>
          <w:tcPr>
            <w:tcW w:w="1701" w:type="dxa"/>
            <w:vMerge/>
            <w:tcBorders>
              <w:bottom w:val="single" w:sz="4" w:space="0" w:color="auto"/>
            </w:tcBorders>
          </w:tcPr>
          <w:p w14:paraId="781E1AA1" w14:textId="77777777" w:rsidR="00566569" w:rsidRPr="00952B94" w:rsidRDefault="00566569" w:rsidP="00566569">
            <w:pPr>
              <w:spacing w:after="60"/>
              <w:jc w:val="both"/>
              <w:rPr>
                <w:sz w:val="16"/>
                <w:szCs w:val="16"/>
                <w:lang w:val="en-GB"/>
              </w:rPr>
            </w:pPr>
          </w:p>
        </w:tc>
        <w:tc>
          <w:tcPr>
            <w:tcW w:w="1843" w:type="dxa"/>
            <w:vMerge/>
            <w:tcBorders>
              <w:right w:val="single" w:sz="4" w:space="0" w:color="auto"/>
            </w:tcBorders>
            <w:tcMar>
              <w:top w:w="15" w:type="dxa"/>
              <w:left w:w="108" w:type="dxa"/>
              <w:bottom w:w="0" w:type="dxa"/>
              <w:right w:w="108" w:type="dxa"/>
            </w:tcMar>
          </w:tcPr>
          <w:p w14:paraId="35F08880" w14:textId="77777777" w:rsidR="00566569" w:rsidRPr="00952B94" w:rsidRDefault="00566569" w:rsidP="00566569">
            <w:pPr>
              <w:rPr>
                <w:sz w:val="16"/>
                <w:szCs w:val="16"/>
              </w:rPr>
            </w:pPr>
          </w:p>
        </w:tc>
      </w:tr>
    </w:tbl>
    <w:p w14:paraId="127141A2" w14:textId="77777777" w:rsidR="00BE1222" w:rsidRDefault="00BE1222">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55"/>
        <w:gridCol w:w="1985"/>
        <w:gridCol w:w="6095"/>
        <w:gridCol w:w="1701"/>
        <w:gridCol w:w="1843"/>
      </w:tblGrid>
      <w:tr w:rsidR="00566569" w:rsidRPr="00952B94" w14:paraId="38192F5F" w14:textId="77777777" w:rsidTr="0020690D">
        <w:trPr>
          <w:trHeight w:val="15"/>
        </w:trPr>
        <w:tc>
          <w:tcPr>
            <w:tcW w:w="14029" w:type="dxa"/>
            <w:gridSpan w:val="6"/>
            <w:shd w:val="clear" w:color="auto" w:fill="DBE5F1"/>
          </w:tcPr>
          <w:p w14:paraId="1DAE0597" w14:textId="4FFF5BCA" w:rsidR="00566569" w:rsidRPr="00952B94" w:rsidRDefault="00566569" w:rsidP="00566569">
            <w:pPr>
              <w:spacing w:after="120"/>
              <w:textAlignment w:val="baseline"/>
              <w:rPr>
                <w:b/>
                <w:bCs/>
                <w:sz w:val="16"/>
                <w:szCs w:val="16"/>
                <w:lang w:val="en-GB" w:eastAsia="en-GB"/>
              </w:rPr>
            </w:pPr>
            <w:r w:rsidRPr="00952B94">
              <w:rPr>
                <w:b/>
                <w:bCs/>
                <w:sz w:val="16"/>
                <w:szCs w:val="16"/>
                <w:lang w:val="en-GB" w:eastAsia="en-GB"/>
              </w:rPr>
              <w:lastRenderedPageBreak/>
              <w:t xml:space="preserve">NATIONAL PRIORITY OR GOAL: </w:t>
            </w:r>
            <w:r w:rsidRPr="00952B94">
              <w:rPr>
                <w:sz w:val="16"/>
                <w:szCs w:val="16"/>
                <w:lang w:val="en-GB" w:eastAsia="en-GB"/>
              </w:rPr>
              <w:t>Improved management of terrestrial and maritime resources and environmental protection</w:t>
            </w:r>
            <w:r w:rsidR="007F0A2E" w:rsidRPr="00952B94">
              <w:rPr>
                <w:sz w:val="16"/>
                <w:szCs w:val="16"/>
                <w:lang w:val="en-GB" w:eastAsia="en-GB"/>
              </w:rPr>
              <w:t xml:space="preserve"> (2030 Transformation Agenda, </w:t>
            </w:r>
            <w:r w:rsidR="003C174F">
              <w:rPr>
                <w:sz w:val="16"/>
                <w:szCs w:val="16"/>
                <w:lang w:val="en-GB" w:eastAsia="en-GB"/>
              </w:rPr>
              <w:t>k</w:t>
            </w:r>
            <w:r w:rsidR="007F0A2E" w:rsidRPr="00952B94">
              <w:rPr>
                <w:sz w:val="16"/>
                <w:szCs w:val="16"/>
                <w:lang w:val="en-GB" w:eastAsia="en-GB"/>
              </w:rPr>
              <w:t>ey reform 4.1.2.3)</w:t>
            </w:r>
            <w:r w:rsidR="003C174F">
              <w:rPr>
                <w:sz w:val="16"/>
                <w:szCs w:val="16"/>
                <w:lang w:val="en-GB" w:eastAsia="en-GB"/>
              </w:rPr>
              <w:t>.</w:t>
            </w:r>
            <w:r w:rsidRPr="00952B94">
              <w:rPr>
                <w:b/>
                <w:bCs/>
                <w:sz w:val="16"/>
                <w:szCs w:val="16"/>
                <w:lang w:val="en-GB" w:eastAsia="en-GB"/>
              </w:rPr>
              <w:t xml:space="preserve"> </w:t>
            </w:r>
          </w:p>
        </w:tc>
      </w:tr>
      <w:tr w:rsidR="00566569" w:rsidRPr="00952B94" w14:paraId="2E690AF6" w14:textId="77777777" w:rsidTr="00952B94">
        <w:tc>
          <w:tcPr>
            <w:tcW w:w="14029" w:type="dxa"/>
            <w:gridSpan w:val="6"/>
            <w:shd w:val="clear" w:color="auto" w:fill="DBE5F1"/>
          </w:tcPr>
          <w:p w14:paraId="393B2E39" w14:textId="7CC7AB82" w:rsidR="00566569" w:rsidRPr="00952B94" w:rsidRDefault="00566569" w:rsidP="00566569">
            <w:pPr>
              <w:spacing w:after="120"/>
              <w:textAlignment w:val="baseline"/>
              <w:rPr>
                <w:b/>
                <w:bCs/>
                <w:sz w:val="16"/>
                <w:szCs w:val="16"/>
                <w:lang w:val="en-GB" w:eastAsia="en-GB"/>
              </w:rPr>
            </w:pPr>
            <w:r w:rsidRPr="00952B94">
              <w:rPr>
                <w:b/>
                <w:bCs/>
                <w:sz w:val="16"/>
                <w:szCs w:val="16"/>
                <w:lang w:val="en-GB" w:eastAsia="en-GB"/>
              </w:rPr>
              <w:t xml:space="preserve">COOPERATION FRAMEWORK OUTCOME INVOLVING UNDP #2: </w:t>
            </w:r>
            <w:r w:rsidRPr="00952B94">
              <w:rPr>
                <w:rFonts w:eastAsia="Calibri"/>
                <w:sz w:val="16"/>
                <w:szCs w:val="16"/>
              </w:rPr>
              <w:t>By 2027, institutions integrate climate change adaptation, low carbon and renewable energies into policies and programmatic implementation</w:t>
            </w:r>
            <w:r w:rsidR="003C174F">
              <w:rPr>
                <w:rFonts w:eastAsia="Calibri"/>
                <w:sz w:val="16"/>
                <w:szCs w:val="16"/>
              </w:rPr>
              <w:t>.</w:t>
            </w:r>
          </w:p>
        </w:tc>
      </w:tr>
      <w:tr w:rsidR="00566569" w:rsidRPr="00952B94" w14:paraId="5031B789" w14:textId="77777777" w:rsidTr="00952B94">
        <w:tc>
          <w:tcPr>
            <w:tcW w:w="14029" w:type="dxa"/>
            <w:gridSpan w:val="6"/>
            <w:shd w:val="clear" w:color="auto" w:fill="DBE5F1"/>
          </w:tcPr>
          <w:p w14:paraId="0ED6596F" w14:textId="15C8E57D" w:rsidR="00566569" w:rsidRPr="00952B94" w:rsidRDefault="00566569" w:rsidP="00566569">
            <w:pPr>
              <w:spacing w:after="120"/>
              <w:textAlignment w:val="baseline"/>
              <w:rPr>
                <w:b/>
                <w:bCs/>
                <w:sz w:val="16"/>
                <w:szCs w:val="16"/>
                <w:lang w:val="en-GB" w:eastAsia="en-GB"/>
              </w:rPr>
            </w:pPr>
            <w:r w:rsidRPr="00952B94">
              <w:rPr>
                <w:b/>
                <w:bCs/>
                <w:sz w:val="16"/>
                <w:szCs w:val="16"/>
                <w:lang w:val="en-GB" w:eastAsia="en-GB"/>
              </w:rPr>
              <w:t xml:space="preserve">RELATED STRATEGIC PLAN OUTCOME 2: </w:t>
            </w:r>
            <w:r w:rsidRPr="00952B94">
              <w:rPr>
                <w:sz w:val="16"/>
                <w:szCs w:val="16"/>
                <w:lang w:val="en-GB" w:eastAsia="en-GB"/>
              </w:rPr>
              <w:t>Structural transformation, including green, inclusive</w:t>
            </w:r>
            <w:r w:rsidR="003C174F">
              <w:rPr>
                <w:sz w:val="16"/>
                <w:szCs w:val="16"/>
                <w:lang w:val="en-GB" w:eastAsia="en-GB"/>
              </w:rPr>
              <w:t>,</w:t>
            </w:r>
            <w:r w:rsidRPr="00952B94">
              <w:rPr>
                <w:sz w:val="16"/>
                <w:szCs w:val="16"/>
                <w:lang w:val="en-GB" w:eastAsia="en-GB"/>
              </w:rPr>
              <w:t xml:space="preserve"> and digital transitions</w:t>
            </w:r>
            <w:r w:rsidR="003C174F">
              <w:rPr>
                <w:sz w:val="16"/>
                <w:szCs w:val="16"/>
                <w:lang w:val="en-GB" w:eastAsia="en-GB"/>
              </w:rPr>
              <w:t>.</w:t>
            </w:r>
            <w:r w:rsidRPr="00952B94">
              <w:rPr>
                <w:b/>
                <w:bCs/>
                <w:sz w:val="16"/>
                <w:szCs w:val="16"/>
                <w:lang w:val="en-GB" w:eastAsia="en-GB"/>
              </w:rPr>
              <w:t xml:space="preserve"> </w:t>
            </w:r>
          </w:p>
        </w:tc>
      </w:tr>
      <w:tr w:rsidR="00566569" w:rsidRPr="00952B94" w14:paraId="502CEFD0" w14:textId="77777777" w:rsidTr="00952B94">
        <w:tc>
          <w:tcPr>
            <w:tcW w:w="2405" w:type="dxa"/>
            <w:gridSpan w:val="2"/>
            <w:vMerge w:val="restart"/>
            <w:tcBorders>
              <w:bottom w:val="single" w:sz="4" w:space="0" w:color="auto"/>
            </w:tcBorders>
          </w:tcPr>
          <w:p w14:paraId="64F5F492" w14:textId="1DE47A5D" w:rsidR="00E73708" w:rsidRPr="00952B94" w:rsidRDefault="003C174F" w:rsidP="00E73708">
            <w:pPr>
              <w:textAlignment w:val="baseline"/>
              <w:rPr>
                <w:b/>
                <w:bCs/>
                <w:sz w:val="16"/>
                <w:szCs w:val="16"/>
                <w:lang w:val="en-GB" w:eastAsia="en-GB"/>
              </w:rPr>
            </w:pPr>
            <w:r>
              <w:rPr>
                <w:b/>
                <w:bCs/>
                <w:sz w:val="16"/>
                <w:szCs w:val="16"/>
                <w:lang w:eastAsia="en-GB"/>
              </w:rPr>
              <w:t xml:space="preserve">Indicator </w:t>
            </w:r>
            <w:r w:rsidR="00566569" w:rsidRPr="00952B94">
              <w:rPr>
                <w:b/>
                <w:bCs/>
                <w:sz w:val="16"/>
                <w:szCs w:val="16"/>
                <w:lang w:eastAsia="en-GB"/>
              </w:rPr>
              <w:t>2.1</w:t>
            </w:r>
            <w:r>
              <w:rPr>
                <w:b/>
                <w:bCs/>
                <w:sz w:val="16"/>
                <w:szCs w:val="16"/>
                <w:lang w:eastAsia="en-GB"/>
              </w:rPr>
              <w:t>.:</w:t>
            </w:r>
            <w:r w:rsidR="00566569" w:rsidRPr="00952B94">
              <w:rPr>
                <w:b/>
                <w:bCs/>
                <w:sz w:val="16"/>
                <w:szCs w:val="16"/>
                <w:lang w:eastAsia="en-GB"/>
              </w:rPr>
              <w:t xml:space="preserve"> </w:t>
            </w:r>
            <w:r w:rsidR="00566569" w:rsidRPr="00952B94">
              <w:rPr>
                <w:b/>
                <w:bCs/>
                <w:sz w:val="16"/>
                <w:szCs w:val="16"/>
                <w:lang w:val="en-GB" w:eastAsia="en-GB"/>
              </w:rPr>
              <w:t xml:space="preserve">Percentage of </w:t>
            </w:r>
            <w:r w:rsidR="00E73708" w:rsidRPr="00952B94">
              <w:rPr>
                <w:b/>
                <w:bCs/>
                <w:sz w:val="16"/>
                <w:szCs w:val="16"/>
                <w:lang w:val="en-GB" w:eastAsia="en-GB"/>
              </w:rPr>
              <w:t xml:space="preserve">installed </w:t>
            </w:r>
            <w:r w:rsidR="00566569" w:rsidRPr="00952B94">
              <w:rPr>
                <w:b/>
                <w:bCs/>
                <w:sz w:val="16"/>
                <w:szCs w:val="16"/>
                <w:lang w:val="en-GB" w:eastAsia="en-GB"/>
              </w:rPr>
              <w:t>renewable energy</w:t>
            </w:r>
            <w:r w:rsidR="00E73708" w:rsidRPr="00952B94">
              <w:rPr>
                <w:b/>
                <w:bCs/>
                <w:sz w:val="16"/>
                <w:szCs w:val="16"/>
                <w:lang w:val="en-GB" w:eastAsia="en-GB"/>
              </w:rPr>
              <w:t>-generating capacity (</w:t>
            </w:r>
            <w:r>
              <w:rPr>
                <w:b/>
                <w:bCs/>
                <w:sz w:val="16"/>
                <w:szCs w:val="16"/>
                <w:lang w:val="en-GB" w:eastAsia="en-GB"/>
              </w:rPr>
              <w:t>w</w:t>
            </w:r>
            <w:r w:rsidR="00E73708" w:rsidRPr="00952B94">
              <w:rPr>
                <w:b/>
                <w:bCs/>
                <w:sz w:val="16"/>
                <w:szCs w:val="16"/>
                <w:lang w:val="en-GB" w:eastAsia="en-GB"/>
              </w:rPr>
              <w:t>atts per capita)</w:t>
            </w:r>
          </w:p>
          <w:p w14:paraId="394D3B98" w14:textId="7558A66F" w:rsidR="00566569" w:rsidRPr="00952B94" w:rsidRDefault="00566569" w:rsidP="00E73708">
            <w:pPr>
              <w:textAlignment w:val="baseline"/>
              <w:rPr>
                <w:rFonts w:ascii="Calibri" w:eastAsia="Calibri" w:hAnsi="Calibri"/>
                <w:sz w:val="22"/>
                <w:szCs w:val="22"/>
              </w:rPr>
            </w:pPr>
            <w:r w:rsidRPr="00952B94">
              <w:rPr>
                <w:b/>
                <w:sz w:val="16"/>
                <w:szCs w:val="16"/>
                <w:lang w:val="en-GB"/>
              </w:rPr>
              <w:t>Baseline:</w:t>
            </w:r>
            <w:r w:rsidRPr="00952B94">
              <w:rPr>
                <w:rFonts w:eastAsia="Calibri"/>
                <w:color w:val="000000"/>
                <w:sz w:val="16"/>
                <w:szCs w:val="16"/>
              </w:rPr>
              <w:t xml:space="preserve"> 5% (2021)</w:t>
            </w:r>
          </w:p>
          <w:p w14:paraId="62F40AF6" w14:textId="77777777" w:rsidR="00566569" w:rsidRPr="00952B94" w:rsidRDefault="00566569" w:rsidP="00566569">
            <w:pPr>
              <w:spacing w:line="264" w:lineRule="auto"/>
              <w:rPr>
                <w:rFonts w:ascii="Calibri" w:eastAsia="Calibri" w:hAnsi="Calibri"/>
                <w:sz w:val="22"/>
                <w:szCs w:val="22"/>
              </w:rPr>
            </w:pPr>
            <w:r w:rsidRPr="00952B94">
              <w:rPr>
                <w:b/>
                <w:sz w:val="16"/>
                <w:szCs w:val="16"/>
                <w:lang w:val="en-GB"/>
              </w:rPr>
              <w:t>Target:</w:t>
            </w:r>
            <w:r w:rsidRPr="00952B94">
              <w:rPr>
                <w:color w:val="000000"/>
                <w:sz w:val="16"/>
                <w:szCs w:val="16"/>
              </w:rPr>
              <w:t xml:space="preserve"> 30% (2027)</w:t>
            </w:r>
          </w:p>
          <w:p w14:paraId="475569EA" w14:textId="77777777" w:rsidR="00566569" w:rsidRPr="00952B94" w:rsidRDefault="00566569" w:rsidP="00566569">
            <w:pPr>
              <w:textAlignment w:val="baseline"/>
              <w:rPr>
                <w:sz w:val="16"/>
                <w:szCs w:val="16"/>
                <w:lang w:val="en-GB" w:eastAsia="en-GB"/>
              </w:rPr>
            </w:pPr>
          </w:p>
          <w:p w14:paraId="32CD1B16" w14:textId="3CA356A7" w:rsidR="00566569" w:rsidRPr="00952B94" w:rsidRDefault="003C174F" w:rsidP="00566569">
            <w:pPr>
              <w:textAlignment w:val="baseline"/>
              <w:rPr>
                <w:b/>
                <w:bCs/>
                <w:sz w:val="16"/>
                <w:szCs w:val="16"/>
                <w:lang w:val="en-GB" w:eastAsia="en-GB"/>
              </w:rPr>
            </w:pPr>
            <w:r>
              <w:rPr>
                <w:b/>
                <w:bCs/>
                <w:sz w:val="16"/>
                <w:szCs w:val="16"/>
                <w:lang w:val="en-GB" w:eastAsia="en-GB"/>
              </w:rPr>
              <w:t xml:space="preserve">Indicator </w:t>
            </w:r>
            <w:r w:rsidR="00566569" w:rsidRPr="00952B94">
              <w:rPr>
                <w:b/>
                <w:bCs/>
                <w:sz w:val="16"/>
                <w:szCs w:val="16"/>
                <w:lang w:val="en-GB" w:eastAsia="en-GB"/>
              </w:rPr>
              <w:t>2.</w:t>
            </w:r>
            <w:r w:rsidR="00E73708" w:rsidRPr="00952B94">
              <w:rPr>
                <w:b/>
                <w:bCs/>
                <w:sz w:val="16"/>
                <w:szCs w:val="16"/>
                <w:lang w:val="en-GB" w:eastAsia="en-GB"/>
              </w:rPr>
              <w:t>3</w:t>
            </w:r>
            <w:r>
              <w:rPr>
                <w:b/>
                <w:bCs/>
                <w:sz w:val="16"/>
                <w:szCs w:val="16"/>
                <w:lang w:val="en-GB" w:eastAsia="en-GB"/>
              </w:rPr>
              <w:t>.:</w:t>
            </w:r>
            <w:r w:rsidR="00566569" w:rsidRPr="00952B94">
              <w:rPr>
                <w:b/>
                <w:bCs/>
                <w:sz w:val="16"/>
                <w:szCs w:val="16"/>
                <w:lang w:val="en-GB" w:eastAsia="en-GB"/>
              </w:rPr>
              <w:t xml:space="preserve"> Total amounts mobilized for climate finance</w:t>
            </w:r>
          </w:p>
          <w:p w14:paraId="0194F61C" w14:textId="77777777" w:rsidR="00566569" w:rsidRPr="00952B94" w:rsidRDefault="00566569" w:rsidP="00566569">
            <w:pPr>
              <w:spacing w:line="264" w:lineRule="auto"/>
              <w:rPr>
                <w:rFonts w:ascii="Calibri" w:eastAsia="Calibri" w:hAnsi="Calibri"/>
                <w:sz w:val="22"/>
                <w:szCs w:val="22"/>
              </w:rPr>
            </w:pPr>
            <w:r w:rsidRPr="00952B94">
              <w:rPr>
                <w:b/>
                <w:sz w:val="16"/>
                <w:szCs w:val="16"/>
                <w:lang w:val="en-GB"/>
              </w:rPr>
              <w:t>Baseline:</w:t>
            </w:r>
            <w:r w:rsidRPr="00952B94">
              <w:rPr>
                <w:rFonts w:eastAsia="Calibri"/>
                <w:color w:val="000000"/>
                <w:sz w:val="16"/>
                <w:szCs w:val="16"/>
              </w:rPr>
              <w:t xml:space="preserve"> $26M (2018/19)</w:t>
            </w:r>
          </w:p>
          <w:p w14:paraId="4AB23EDA" w14:textId="77777777" w:rsidR="00566569" w:rsidRPr="00952B94" w:rsidRDefault="00566569" w:rsidP="00566569">
            <w:pPr>
              <w:spacing w:line="264" w:lineRule="auto"/>
              <w:rPr>
                <w:rFonts w:ascii="Calibri" w:eastAsia="Calibri" w:hAnsi="Calibri"/>
                <w:sz w:val="22"/>
                <w:szCs w:val="22"/>
              </w:rPr>
            </w:pPr>
            <w:r w:rsidRPr="00952B94">
              <w:rPr>
                <w:b/>
                <w:sz w:val="16"/>
                <w:szCs w:val="16"/>
                <w:lang w:val="en-GB"/>
              </w:rPr>
              <w:t>Target:</w:t>
            </w:r>
            <w:r w:rsidRPr="00952B94">
              <w:rPr>
                <w:color w:val="000000"/>
                <w:sz w:val="16"/>
                <w:szCs w:val="16"/>
              </w:rPr>
              <w:t xml:space="preserve"> 40M (2025/26)</w:t>
            </w:r>
          </w:p>
          <w:p w14:paraId="6DF1B2B1" w14:textId="2ECB1F0F" w:rsidR="00566569" w:rsidRPr="00952B94" w:rsidRDefault="00566569" w:rsidP="00566569">
            <w:pPr>
              <w:textAlignment w:val="baseline"/>
              <w:rPr>
                <w:sz w:val="16"/>
                <w:szCs w:val="16"/>
                <w:lang w:eastAsia="en-GB"/>
              </w:rPr>
            </w:pPr>
          </w:p>
          <w:p w14:paraId="417359D1" w14:textId="77777777" w:rsidR="003E68A5" w:rsidRPr="00952B94" w:rsidRDefault="003E68A5" w:rsidP="00566569">
            <w:pPr>
              <w:textAlignment w:val="baseline"/>
              <w:rPr>
                <w:sz w:val="16"/>
                <w:szCs w:val="16"/>
                <w:lang w:val="en-GB" w:eastAsia="en-GB"/>
              </w:rPr>
            </w:pPr>
          </w:p>
          <w:p w14:paraId="6C61311A" w14:textId="4AAC15A5" w:rsidR="00566569" w:rsidRPr="00952B94" w:rsidRDefault="003C174F" w:rsidP="00566569">
            <w:pPr>
              <w:textAlignment w:val="baseline"/>
              <w:rPr>
                <w:b/>
                <w:bCs/>
                <w:sz w:val="16"/>
                <w:szCs w:val="16"/>
                <w:lang w:val="en-GB" w:eastAsia="en-GB"/>
              </w:rPr>
            </w:pPr>
            <w:r>
              <w:rPr>
                <w:b/>
                <w:bCs/>
                <w:sz w:val="16"/>
                <w:szCs w:val="16"/>
                <w:lang w:val="en-GB" w:eastAsia="en-GB"/>
              </w:rPr>
              <w:t xml:space="preserve">Indicator </w:t>
            </w:r>
            <w:r w:rsidR="00566569" w:rsidRPr="00952B94">
              <w:rPr>
                <w:b/>
                <w:bCs/>
                <w:sz w:val="16"/>
                <w:szCs w:val="16"/>
                <w:lang w:val="en-GB" w:eastAsia="en-GB"/>
              </w:rPr>
              <w:t>2.</w:t>
            </w:r>
            <w:r w:rsidR="00B01CB4" w:rsidRPr="00952B94">
              <w:rPr>
                <w:b/>
                <w:bCs/>
                <w:sz w:val="16"/>
                <w:szCs w:val="16"/>
                <w:lang w:val="en-GB" w:eastAsia="en-GB"/>
              </w:rPr>
              <w:t>5</w:t>
            </w:r>
            <w:r>
              <w:rPr>
                <w:b/>
                <w:bCs/>
                <w:sz w:val="16"/>
                <w:szCs w:val="16"/>
                <w:lang w:val="en-GB" w:eastAsia="en-GB"/>
              </w:rPr>
              <w:t>.:</w:t>
            </w:r>
            <w:r w:rsidR="00566569" w:rsidRPr="00952B94">
              <w:rPr>
                <w:b/>
                <w:bCs/>
                <w:sz w:val="16"/>
                <w:szCs w:val="16"/>
                <w:lang w:val="en-GB" w:eastAsia="en-GB"/>
              </w:rPr>
              <w:t xml:space="preserve"> Coverage of protected areas in relation to </w:t>
            </w:r>
            <w:r w:rsidR="00E73708" w:rsidRPr="00952B94">
              <w:rPr>
                <w:b/>
                <w:bCs/>
                <w:sz w:val="16"/>
                <w:szCs w:val="16"/>
                <w:lang w:val="en-GB" w:eastAsia="en-GB"/>
              </w:rPr>
              <w:t>marine areas</w:t>
            </w:r>
          </w:p>
          <w:p w14:paraId="67A59593" w14:textId="35F00865" w:rsidR="00566569" w:rsidRPr="00952B94" w:rsidRDefault="00566569" w:rsidP="00566569">
            <w:pPr>
              <w:spacing w:line="264" w:lineRule="auto"/>
              <w:rPr>
                <w:rFonts w:ascii="Calibri" w:eastAsia="Calibri" w:hAnsi="Calibri"/>
                <w:sz w:val="22"/>
                <w:szCs w:val="22"/>
              </w:rPr>
            </w:pPr>
            <w:r w:rsidRPr="00952B94">
              <w:rPr>
                <w:b/>
                <w:sz w:val="16"/>
                <w:szCs w:val="16"/>
                <w:lang w:val="en-GB"/>
              </w:rPr>
              <w:t>Baseline:</w:t>
            </w:r>
            <w:r w:rsidRPr="00952B94">
              <w:rPr>
                <w:rFonts w:eastAsia="Calibri"/>
                <w:color w:val="000000"/>
                <w:sz w:val="16"/>
                <w:szCs w:val="16"/>
              </w:rPr>
              <w:t xml:space="preserve"> 0</w:t>
            </w:r>
            <w:r w:rsidR="00B01CB4" w:rsidRPr="00952B94">
              <w:rPr>
                <w:rFonts w:eastAsia="Calibri"/>
                <w:color w:val="000000"/>
                <w:sz w:val="16"/>
                <w:szCs w:val="16"/>
              </w:rPr>
              <w:t>%</w:t>
            </w:r>
            <w:r w:rsidRPr="00952B94">
              <w:rPr>
                <w:rFonts w:eastAsia="Calibri"/>
                <w:color w:val="000000"/>
                <w:sz w:val="16"/>
                <w:szCs w:val="16"/>
              </w:rPr>
              <w:t xml:space="preserve"> (2022)</w:t>
            </w:r>
          </w:p>
          <w:p w14:paraId="56680E3B" w14:textId="60FFC341" w:rsidR="00566569" w:rsidRPr="00952B94" w:rsidRDefault="00566569" w:rsidP="00566569">
            <w:pPr>
              <w:spacing w:line="264" w:lineRule="auto"/>
              <w:rPr>
                <w:rFonts w:ascii="Calibri" w:eastAsia="Calibri" w:hAnsi="Calibri"/>
                <w:sz w:val="22"/>
                <w:szCs w:val="22"/>
              </w:rPr>
            </w:pPr>
            <w:r w:rsidRPr="00952B94">
              <w:rPr>
                <w:b/>
                <w:sz w:val="16"/>
                <w:szCs w:val="16"/>
                <w:lang w:val="en-GB"/>
              </w:rPr>
              <w:t>Target:</w:t>
            </w:r>
            <w:r w:rsidRPr="00952B94">
              <w:rPr>
                <w:color w:val="000000"/>
                <w:sz w:val="16"/>
                <w:szCs w:val="16"/>
              </w:rPr>
              <w:t xml:space="preserve"> </w:t>
            </w:r>
            <w:r w:rsidR="00E73708" w:rsidRPr="00952B94">
              <w:rPr>
                <w:color w:val="000000"/>
                <w:sz w:val="16"/>
                <w:szCs w:val="16"/>
              </w:rPr>
              <w:t>20</w:t>
            </w:r>
            <w:r w:rsidRPr="00952B94">
              <w:rPr>
                <w:color w:val="000000"/>
                <w:sz w:val="16"/>
                <w:szCs w:val="16"/>
              </w:rPr>
              <w:t>% (2027)</w:t>
            </w:r>
          </w:p>
          <w:p w14:paraId="456A440F" w14:textId="5473C21C" w:rsidR="00566569" w:rsidRPr="00952B94" w:rsidRDefault="00566569" w:rsidP="00566569">
            <w:pPr>
              <w:spacing w:line="264" w:lineRule="auto"/>
              <w:rPr>
                <w:sz w:val="16"/>
                <w:szCs w:val="16"/>
                <w:lang w:val="en-GB" w:eastAsia="en-GB"/>
              </w:rPr>
            </w:pPr>
          </w:p>
        </w:tc>
        <w:tc>
          <w:tcPr>
            <w:tcW w:w="1985" w:type="dxa"/>
            <w:vMerge w:val="restart"/>
            <w:tcBorders>
              <w:bottom w:val="single" w:sz="4" w:space="0" w:color="auto"/>
            </w:tcBorders>
          </w:tcPr>
          <w:p w14:paraId="18C1D755"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EMAE Reports</w:t>
            </w:r>
          </w:p>
          <w:p w14:paraId="5F6E9039"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2F9FCB53" w14:textId="66766DAD"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20480938" w14:textId="77777777" w:rsidR="00566569" w:rsidRPr="00952B94" w:rsidRDefault="00566569" w:rsidP="00566569">
            <w:pPr>
              <w:rPr>
                <w:b/>
                <w:bCs/>
                <w:color w:val="000000"/>
                <w:sz w:val="16"/>
                <w:szCs w:val="16"/>
                <w:lang w:val="en-GB"/>
              </w:rPr>
            </w:pPr>
          </w:p>
          <w:p w14:paraId="06966990" w14:textId="77777777" w:rsidR="00566569" w:rsidRPr="00952B94" w:rsidRDefault="00566569" w:rsidP="00566569">
            <w:pPr>
              <w:rPr>
                <w:b/>
                <w:bCs/>
                <w:color w:val="000000"/>
                <w:sz w:val="16"/>
                <w:szCs w:val="16"/>
                <w:lang w:val="en-GB"/>
              </w:rPr>
            </w:pPr>
          </w:p>
          <w:p w14:paraId="535C5FFA" w14:textId="77777777" w:rsidR="00566569" w:rsidRPr="00952B94" w:rsidRDefault="00566569" w:rsidP="00566569">
            <w:pPr>
              <w:rPr>
                <w:color w:val="000000"/>
                <w:sz w:val="16"/>
                <w:szCs w:val="16"/>
              </w:rPr>
            </w:pPr>
            <w:r w:rsidRPr="00952B94">
              <w:rPr>
                <w:b/>
                <w:bCs/>
                <w:color w:val="000000"/>
                <w:sz w:val="16"/>
                <w:szCs w:val="16"/>
                <w:lang w:val="en-GB"/>
              </w:rPr>
              <w:t>Data source:</w:t>
            </w:r>
            <w:r w:rsidRPr="00952B94">
              <w:rPr>
                <w:sz w:val="16"/>
                <w:szCs w:val="16"/>
              </w:rPr>
              <w:t xml:space="preserve">  Ministry of Planning and Finance Reports</w:t>
            </w:r>
          </w:p>
          <w:p w14:paraId="19DAC92C"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79645E2B" w14:textId="2E7A2B02" w:rsidR="00566569" w:rsidRPr="00952B94" w:rsidRDefault="00566569" w:rsidP="00566569">
            <w:pPr>
              <w:spacing w:after="120"/>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54EB3E54" w14:textId="77777777" w:rsidR="00566569" w:rsidRPr="00952B94" w:rsidRDefault="00566569" w:rsidP="00566569">
            <w:pPr>
              <w:rPr>
                <w:b/>
                <w:bCs/>
                <w:color w:val="000000"/>
                <w:sz w:val="16"/>
                <w:szCs w:val="16"/>
                <w:lang w:val="en-GB"/>
              </w:rPr>
            </w:pPr>
          </w:p>
          <w:p w14:paraId="5FC2F767"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Biannual Update Report</w:t>
            </w:r>
          </w:p>
          <w:p w14:paraId="559A10EB"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1287F3CC" w14:textId="52578571"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343683F1" w14:textId="77777777" w:rsidR="00566569" w:rsidRPr="00952B94" w:rsidRDefault="00566569" w:rsidP="00566569">
            <w:pPr>
              <w:rPr>
                <w:sz w:val="16"/>
                <w:szCs w:val="16"/>
                <w:lang w:val="en-GB" w:eastAsia="en-GB"/>
              </w:rPr>
            </w:pPr>
          </w:p>
        </w:tc>
        <w:tc>
          <w:tcPr>
            <w:tcW w:w="6095" w:type="dxa"/>
            <w:tcBorders>
              <w:bottom w:val="single" w:sz="4" w:space="0" w:color="auto"/>
            </w:tcBorders>
          </w:tcPr>
          <w:p w14:paraId="2A70894C" w14:textId="67229101" w:rsidR="00566569" w:rsidRPr="00952B94" w:rsidRDefault="003C174F" w:rsidP="00566569">
            <w:pPr>
              <w:spacing w:after="120"/>
              <w:jc w:val="both"/>
              <w:textAlignment w:val="baseline"/>
              <w:rPr>
                <w:b/>
                <w:bCs/>
                <w:sz w:val="16"/>
                <w:szCs w:val="16"/>
                <w:lang w:val="en-GB" w:eastAsia="en-GB"/>
              </w:rPr>
            </w:pPr>
            <w:r>
              <w:rPr>
                <w:b/>
                <w:bCs/>
                <w:sz w:val="16"/>
                <w:szCs w:val="16"/>
                <w:lang w:val="en-GB" w:eastAsia="en-GB"/>
              </w:rPr>
              <w:t xml:space="preserve">Output </w:t>
            </w:r>
            <w:r w:rsidR="00566569" w:rsidRPr="00952B94" w:rsidDel="6EFC8872">
              <w:rPr>
                <w:b/>
                <w:bCs/>
                <w:sz w:val="16"/>
                <w:szCs w:val="16"/>
                <w:lang w:val="en-GB" w:eastAsia="en-GB"/>
              </w:rPr>
              <w:t>2.1</w:t>
            </w:r>
            <w:r>
              <w:rPr>
                <w:b/>
                <w:bCs/>
                <w:sz w:val="16"/>
                <w:szCs w:val="16"/>
                <w:lang w:val="en-GB" w:eastAsia="en-GB"/>
              </w:rPr>
              <w:t>.:</w:t>
            </w:r>
            <w:r w:rsidR="00566569" w:rsidRPr="00952B94" w:rsidDel="6EFC8872">
              <w:rPr>
                <w:sz w:val="16"/>
                <w:szCs w:val="16"/>
                <w:lang w:val="en-GB" w:eastAsia="en-GB"/>
              </w:rPr>
              <w:t xml:space="preserve"> </w:t>
            </w:r>
            <w:r w:rsidR="00566569" w:rsidRPr="00952B94" w:rsidDel="0185CB69">
              <w:rPr>
                <w:b/>
                <w:bCs/>
                <w:sz w:val="16"/>
                <w:szCs w:val="16"/>
                <w:lang w:val="en-GB" w:eastAsia="en-GB"/>
              </w:rPr>
              <w:t>Evidence</w:t>
            </w:r>
            <w:r w:rsidR="00566569" w:rsidRPr="00952B94">
              <w:rPr>
                <w:b/>
                <w:bCs/>
                <w:sz w:val="16"/>
                <w:szCs w:val="16"/>
                <w:lang w:val="en-GB" w:eastAsia="en-GB"/>
              </w:rPr>
              <w:t>-</w:t>
            </w:r>
            <w:r w:rsidR="00566569" w:rsidRPr="00952B94" w:rsidDel="0185CB69">
              <w:rPr>
                <w:b/>
                <w:bCs/>
                <w:sz w:val="16"/>
                <w:szCs w:val="16"/>
                <w:lang w:val="en-GB" w:eastAsia="en-GB"/>
              </w:rPr>
              <w:t>based climate change</w:t>
            </w:r>
            <w:r w:rsidR="00566569" w:rsidRPr="00952B94">
              <w:rPr>
                <w:b/>
                <w:bCs/>
                <w:sz w:val="16"/>
                <w:szCs w:val="16"/>
                <w:lang w:val="en-GB" w:eastAsia="en-GB"/>
              </w:rPr>
              <w:t>, disaster risk management</w:t>
            </w:r>
            <w:r w:rsidR="00566569" w:rsidRPr="00952B94" w:rsidDel="0185CB69">
              <w:rPr>
                <w:b/>
                <w:bCs/>
                <w:sz w:val="16"/>
                <w:szCs w:val="16"/>
                <w:lang w:val="en-GB" w:eastAsia="en-GB"/>
              </w:rPr>
              <w:t xml:space="preserve"> and low carbon policies are more effectively integrated in development programmes</w:t>
            </w:r>
            <w:r w:rsidR="00566569" w:rsidRPr="00952B94">
              <w:rPr>
                <w:b/>
                <w:bCs/>
                <w:sz w:val="16"/>
                <w:szCs w:val="16"/>
                <w:lang w:val="en-GB" w:eastAsia="en-GB"/>
              </w:rPr>
              <w:t xml:space="preserve">, budgets </w:t>
            </w:r>
            <w:r w:rsidR="00566569" w:rsidRPr="00952B94" w:rsidDel="0185CB69">
              <w:rPr>
                <w:b/>
                <w:bCs/>
                <w:sz w:val="16"/>
                <w:szCs w:val="16"/>
                <w:lang w:val="en-GB" w:eastAsia="en-GB"/>
              </w:rPr>
              <w:t xml:space="preserve">and </w:t>
            </w:r>
            <w:r w:rsidR="00566569" w:rsidRPr="00952B94">
              <w:rPr>
                <w:b/>
                <w:bCs/>
                <w:sz w:val="16"/>
                <w:szCs w:val="16"/>
                <w:lang w:val="en-GB" w:eastAsia="en-GB"/>
              </w:rPr>
              <w:t xml:space="preserve">are </w:t>
            </w:r>
            <w:r w:rsidR="00566569" w:rsidRPr="00952B94" w:rsidDel="0185CB69">
              <w:rPr>
                <w:b/>
                <w:bCs/>
                <w:sz w:val="16"/>
                <w:szCs w:val="16"/>
                <w:lang w:val="en-GB" w:eastAsia="en-GB"/>
              </w:rPr>
              <w:t>implemented.</w:t>
            </w:r>
          </w:p>
          <w:p w14:paraId="3A4FECCB" w14:textId="77777777" w:rsidR="00566569" w:rsidRPr="00952B94" w:rsidRDefault="00566569" w:rsidP="00566569">
            <w:pPr>
              <w:jc w:val="both"/>
              <w:textAlignment w:val="baseline"/>
              <w:rPr>
                <w:b/>
                <w:bCs/>
                <w:color w:val="000000"/>
                <w:sz w:val="16"/>
                <w:szCs w:val="16"/>
                <w:lang w:val="en-GB" w:eastAsia="en-GB"/>
              </w:rPr>
            </w:pPr>
            <w:r w:rsidRPr="00952B94" w:rsidDel="270EF5ED">
              <w:rPr>
                <w:b/>
                <w:bCs/>
                <w:sz w:val="16"/>
                <w:szCs w:val="16"/>
                <w:lang w:val="en-GB" w:eastAsia="en-GB"/>
              </w:rPr>
              <w:t>Indicator</w:t>
            </w:r>
            <w:r w:rsidRPr="00952B94">
              <w:rPr>
                <w:b/>
                <w:bCs/>
                <w:sz w:val="16"/>
                <w:szCs w:val="16"/>
                <w:lang w:val="en-GB" w:eastAsia="en-GB"/>
              </w:rPr>
              <w:t>s:</w:t>
            </w:r>
          </w:p>
          <w:p w14:paraId="273C0CD4" w14:textId="4F555C62" w:rsidR="00566569" w:rsidRPr="000D302F" w:rsidRDefault="00566569" w:rsidP="00566569">
            <w:pPr>
              <w:jc w:val="both"/>
              <w:textAlignment w:val="baseline"/>
              <w:rPr>
                <w:b/>
                <w:bCs/>
                <w:color w:val="000000"/>
                <w:sz w:val="16"/>
                <w:szCs w:val="16"/>
                <w:lang w:val="en-GB" w:eastAsia="en-GB"/>
              </w:rPr>
            </w:pPr>
            <w:r w:rsidRPr="000D302F" w:rsidDel="605E2E5F">
              <w:rPr>
                <w:b/>
                <w:bCs/>
                <w:color w:val="000000"/>
                <w:sz w:val="16"/>
                <w:szCs w:val="16"/>
                <w:lang w:val="en-GB" w:eastAsia="en-GB"/>
              </w:rPr>
              <w:t>2.</w:t>
            </w:r>
            <w:r w:rsidRPr="000D302F" w:rsidDel="270EF5ED">
              <w:rPr>
                <w:b/>
                <w:bCs/>
                <w:color w:val="000000"/>
                <w:sz w:val="16"/>
                <w:szCs w:val="16"/>
                <w:lang w:val="en-GB" w:eastAsia="en-GB"/>
              </w:rPr>
              <w:t>1.1</w:t>
            </w:r>
            <w:r w:rsidR="003C174F" w:rsidRPr="000D302F">
              <w:rPr>
                <w:b/>
                <w:bCs/>
                <w:color w:val="000000"/>
                <w:sz w:val="16"/>
                <w:szCs w:val="16"/>
                <w:lang w:val="en-GB" w:eastAsia="en-GB"/>
              </w:rPr>
              <w:t>.</w:t>
            </w:r>
            <w:r w:rsidRPr="000D302F" w:rsidDel="270EF5ED">
              <w:rPr>
                <w:b/>
                <w:bCs/>
                <w:color w:val="000000"/>
                <w:sz w:val="16"/>
                <w:szCs w:val="16"/>
                <w:lang w:val="en-GB" w:eastAsia="en-GB"/>
              </w:rPr>
              <w:t xml:space="preserve">: </w:t>
            </w:r>
            <w:bookmarkStart w:id="8" w:name="_Hlk114677573"/>
            <w:r w:rsidRPr="000D302F">
              <w:rPr>
                <w:b/>
                <w:bCs/>
                <w:color w:val="000000"/>
                <w:sz w:val="16"/>
                <w:szCs w:val="16"/>
                <w:lang w:val="en-GB" w:eastAsia="en-GB"/>
              </w:rPr>
              <w:t xml:space="preserve">Number of </w:t>
            </w:r>
            <w:r w:rsidR="003C174F" w:rsidRPr="000D302F">
              <w:rPr>
                <w:b/>
                <w:bCs/>
                <w:color w:val="000000"/>
                <w:sz w:val="16"/>
                <w:szCs w:val="16"/>
                <w:lang w:val="en-GB" w:eastAsia="en-GB"/>
              </w:rPr>
              <w:t>m</w:t>
            </w:r>
            <w:r w:rsidRPr="000D302F" w:rsidDel="270EF5ED">
              <w:rPr>
                <w:b/>
                <w:bCs/>
                <w:color w:val="000000"/>
                <w:sz w:val="16"/>
                <w:szCs w:val="16"/>
                <w:lang w:val="en-GB" w:eastAsia="en-GB"/>
              </w:rPr>
              <w:t xml:space="preserve">onitoring, </w:t>
            </w:r>
            <w:r w:rsidR="003C174F" w:rsidRPr="000D302F">
              <w:rPr>
                <w:b/>
                <w:bCs/>
                <w:color w:val="000000"/>
                <w:sz w:val="16"/>
                <w:szCs w:val="16"/>
                <w:lang w:val="en-GB" w:eastAsia="en-GB"/>
              </w:rPr>
              <w:t>r</w:t>
            </w:r>
            <w:r w:rsidRPr="000D302F" w:rsidDel="270EF5ED">
              <w:rPr>
                <w:b/>
                <w:bCs/>
                <w:color w:val="000000"/>
                <w:sz w:val="16"/>
                <w:szCs w:val="16"/>
                <w:lang w:val="en-GB" w:eastAsia="en-GB"/>
              </w:rPr>
              <w:t xml:space="preserve">eporting and </w:t>
            </w:r>
            <w:r w:rsidR="003C174F" w:rsidRPr="000D302F">
              <w:rPr>
                <w:b/>
                <w:bCs/>
                <w:color w:val="000000"/>
                <w:sz w:val="16"/>
                <w:szCs w:val="16"/>
                <w:lang w:val="en-GB" w:eastAsia="en-GB"/>
              </w:rPr>
              <w:t>v</w:t>
            </w:r>
            <w:r w:rsidRPr="000D302F" w:rsidDel="270EF5ED">
              <w:rPr>
                <w:b/>
                <w:bCs/>
                <w:color w:val="000000"/>
                <w:sz w:val="16"/>
                <w:szCs w:val="16"/>
                <w:lang w:val="en-GB" w:eastAsia="en-GB"/>
              </w:rPr>
              <w:t xml:space="preserve">erification system </w:t>
            </w:r>
            <w:bookmarkEnd w:id="8"/>
            <w:r w:rsidRPr="000D302F">
              <w:rPr>
                <w:b/>
                <w:bCs/>
                <w:color w:val="000000"/>
                <w:sz w:val="16"/>
                <w:szCs w:val="16"/>
                <w:lang w:val="en-GB" w:eastAsia="en-GB"/>
              </w:rPr>
              <w:t>reports validated.</w:t>
            </w:r>
          </w:p>
          <w:p w14:paraId="45C4D5C4" w14:textId="77777777" w:rsidR="00566569" w:rsidRPr="003C174F" w:rsidRDefault="00566569" w:rsidP="00566569">
            <w:pPr>
              <w:jc w:val="both"/>
              <w:textAlignment w:val="baseline"/>
              <w:rPr>
                <w:sz w:val="16"/>
                <w:szCs w:val="16"/>
                <w:lang w:val="en-GB" w:eastAsia="en-GB"/>
              </w:rPr>
            </w:pPr>
            <w:r w:rsidRPr="00074431" w:rsidDel="4BF5D3F7">
              <w:rPr>
                <w:sz w:val="16"/>
                <w:szCs w:val="16"/>
                <w:lang w:eastAsia="en-GB"/>
              </w:rPr>
              <w:t>Baseline (2022)</w:t>
            </w:r>
            <w:r w:rsidRPr="003C174F" w:rsidDel="270EF5ED">
              <w:rPr>
                <w:sz w:val="16"/>
                <w:szCs w:val="16"/>
                <w:lang w:val="en-GB" w:eastAsia="en-GB"/>
              </w:rPr>
              <w:t xml:space="preserve">: </w:t>
            </w:r>
            <w:r w:rsidRPr="003C174F">
              <w:rPr>
                <w:sz w:val="16"/>
                <w:szCs w:val="16"/>
                <w:lang w:val="en-GB" w:eastAsia="en-GB"/>
              </w:rPr>
              <w:t>0</w:t>
            </w:r>
          </w:p>
          <w:p w14:paraId="2B499540" w14:textId="77777777" w:rsidR="00566569" w:rsidRPr="003C174F" w:rsidRDefault="00566569" w:rsidP="00566569">
            <w:pPr>
              <w:jc w:val="both"/>
              <w:textAlignment w:val="baseline"/>
              <w:rPr>
                <w:sz w:val="16"/>
                <w:szCs w:val="16"/>
                <w:lang w:val="en-GB" w:eastAsia="en-GB"/>
              </w:rPr>
            </w:pPr>
            <w:r w:rsidRPr="00074431" w:rsidDel="270EF5ED">
              <w:rPr>
                <w:sz w:val="16"/>
                <w:szCs w:val="16"/>
                <w:lang w:val="en-GB" w:eastAsia="en-GB"/>
              </w:rPr>
              <w:t>Target (2027)</w:t>
            </w:r>
            <w:r w:rsidRPr="003C174F" w:rsidDel="270EF5ED">
              <w:rPr>
                <w:sz w:val="16"/>
                <w:szCs w:val="16"/>
                <w:lang w:val="en-GB" w:eastAsia="en-GB"/>
              </w:rPr>
              <w:t xml:space="preserve">: </w:t>
            </w:r>
            <w:r w:rsidRPr="003C174F">
              <w:rPr>
                <w:sz w:val="16"/>
                <w:szCs w:val="16"/>
                <w:lang w:val="en-GB" w:eastAsia="en-GB"/>
              </w:rPr>
              <w:t>15</w:t>
            </w:r>
          </w:p>
          <w:p w14:paraId="40EF71F2" w14:textId="5BF27CDE" w:rsidR="00566569" w:rsidRPr="003C174F" w:rsidRDefault="00566569" w:rsidP="00566569">
            <w:pPr>
              <w:jc w:val="both"/>
              <w:textAlignment w:val="baseline"/>
              <w:rPr>
                <w:sz w:val="16"/>
                <w:szCs w:val="16"/>
                <w:lang w:val="en-GB" w:eastAsia="en-GB"/>
              </w:rPr>
            </w:pPr>
            <w:r w:rsidRPr="00074431" w:rsidDel="4DAE744F">
              <w:rPr>
                <w:sz w:val="16"/>
                <w:szCs w:val="16"/>
                <w:lang w:val="en-GB" w:eastAsia="en-GB"/>
              </w:rPr>
              <w:t xml:space="preserve">Data </w:t>
            </w:r>
            <w:r w:rsidRPr="00074431" w:rsidDel="6D46405C">
              <w:rPr>
                <w:sz w:val="16"/>
                <w:szCs w:val="16"/>
                <w:lang w:val="en-GB" w:eastAsia="en-GB"/>
              </w:rPr>
              <w:t>s</w:t>
            </w:r>
            <w:r w:rsidRPr="00074431" w:rsidDel="4DAE744F">
              <w:rPr>
                <w:sz w:val="16"/>
                <w:szCs w:val="16"/>
                <w:lang w:val="en-GB" w:eastAsia="en-GB"/>
              </w:rPr>
              <w:t>ource</w:t>
            </w:r>
            <w:r w:rsidRPr="003C174F" w:rsidDel="270EF5ED">
              <w:rPr>
                <w:sz w:val="16"/>
                <w:szCs w:val="16"/>
                <w:lang w:val="en-GB" w:eastAsia="en-GB"/>
              </w:rPr>
              <w:t>: Biennial Transparency Report (BTR)</w:t>
            </w:r>
          </w:p>
          <w:p w14:paraId="3CF32582" w14:textId="77777777" w:rsidR="00566569" w:rsidRPr="00952B94" w:rsidRDefault="00566569" w:rsidP="00566569">
            <w:pPr>
              <w:spacing w:after="120"/>
              <w:jc w:val="both"/>
              <w:textAlignment w:val="baseline"/>
              <w:rPr>
                <w:sz w:val="16"/>
                <w:szCs w:val="16"/>
                <w:lang w:val="en-GB" w:eastAsia="en-GB"/>
              </w:rPr>
            </w:pPr>
            <w:r w:rsidRPr="00074431" w:rsidDel="270EF5ED">
              <w:rPr>
                <w:sz w:val="16"/>
                <w:szCs w:val="16"/>
                <w:lang w:val="en-GB" w:eastAsia="en-GB"/>
              </w:rPr>
              <w:t>Frequency</w:t>
            </w:r>
            <w:r w:rsidRPr="003C174F" w:rsidDel="270EF5ED">
              <w:rPr>
                <w:sz w:val="16"/>
                <w:szCs w:val="16"/>
                <w:lang w:val="en-GB" w:eastAsia="en-GB"/>
              </w:rPr>
              <w:t>:</w:t>
            </w:r>
            <w:r w:rsidRPr="00952B94" w:rsidDel="270EF5ED">
              <w:rPr>
                <w:sz w:val="16"/>
                <w:szCs w:val="16"/>
                <w:lang w:val="en-GB" w:eastAsia="en-GB"/>
              </w:rPr>
              <w:t xml:space="preserve"> Biennial</w:t>
            </w:r>
          </w:p>
          <w:p w14:paraId="56F2C8D6" w14:textId="00AD2506" w:rsidR="00566569" w:rsidRPr="000D302F" w:rsidRDefault="00566569" w:rsidP="00566569">
            <w:pPr>
              <w:jc w:val="both"/>
              <w:textAlignment w:val="baseline"/>
              <w:rPr>
                <w:b/>
                <w:bCs/>
                <w:color w:val="000000"/>
                <w:sz w:val="16"/>
                <w:szCs w:val="16"/>
                <w:lang w:val="en-GB"/>
              </w:rPr>
            </w:pPr>
            <w:r w:rsidRPr="000D302F" w:rsidDel="17CD5F53">
              <w:rPr>
                <w:b/>
                <w:bCs/>
                <w:color w:val="000000"/>
                <w:sz w:val="16"/>
                <w:szCs w:val="16"/>
                <w:lang w:val="en-GB"/>
              </w:rPr>
              <w:t>2.1.</w:t>
            </w:r>
            <w:r w:rsidRPr="000D302F">
              <w:rPr>
                <w:b/>
                <w:bCs/>
                <w:color w:val="000000"/>
                <w:sz w:val="16"/>
                <w:szCs w:val="16"/>
                <w:lang w:val="en-GB"/>
              </w:rPr>
              <w:t>2</w:t>
            </w:r>
            <w:r w:rsidR="003C174F" w:rsidRPr="000D302F">
              <w:rPr>
                <w:b/>
                <w:bCs/>
                <w:color w:val="000000"/>
                <w:sz w:val="16"/>
                <w:szCs w:val="16"/>
                <w:lang w:val="en-GB"/>
              </w:rPr>
              <w:t>.:</w:t>
            </w:r>
            <w:r w:rsidRPr="000D302F" w:rsidDel="17CD5F53">
              <w:rPr>
                <w:b/>
                <w:bCs/>
                <w:color w:val="000000"/>
                <w:sz w:val="16"/>
                <w:szCs w:val="16"/>
                <w:lang w:val="en-GB"/>
              </w:rPr>
              <w:t xml:space="preserve"> National disaster risk reduction strateg</w:t>
            </w:r>
            <w:r w:rsidRPr="000D302F">
              <w:rPr>
                <w:b/>
                <w:bCs/>
                <w:color w:val="000000"/>
                <w:sz w:val="16"/>
                <w:szCs w:val="16"/>
                <w:lang w:val="en-GB"/>
              </w:rPr>
              <w:t xml:space="preserve">y aligned with the Sendai Framework </w:t>
            </w:r>
            <w:r w:rsidRPr="000D302F" w:rsidDel="17CD5F53">
              <w:rPr>
                <w:b/>
                <w:bCs/>
                <w:color w:val="000000"/>
                <w:sz w:val="16"/>
                <w:szCs w:val="16"/>
                <w:lang w:val="en-GB"/>
              </w:rPr>
              <w:t>and</w:t>
            </w:r>
            <w:r w:rsidRPr="000D302F">
              <w:rPr>
                <w:b/>
                <w:bCs/>
                <w:color w:val="000000"/>
                <w:sz w:val="16"/>
                <w:szCs w:val="16"/>
                <w:lang w:val="en-GB"/>
              </w:rPr>
              <w:t xml:space="preserve"> operationali</w:t>
            </w:r>
            <w:r w:rsidR="003C174F" w:rsidRPr="000D302F">
              <w:rPr>
                <w:b/>
                <w:bCs/>
                <w:color w:val="000000"/>
                <w:sz w:val="16"/>
                <w:szCs w:val="16"/>
                <w:lang w:val="en-GB"/>
              </w:rPr>
              <w:t>z</w:t>
            </w:r>
            <w:r w:rsidRPr="000D302F">
              <w:rPr>
                <w:b/>
                <w:bCs/>
                <w:color w:val="000000"/>
                <w:sz w:val="16"/>
                <w:szCs w:val="16"/>
                <w:lang w:val="en-GB"/>
              </w:rPr>
              <w:t>ed.</w:t>
            </w:r>
          </w:p>
          <w:p w14:paraId="3B0FA710" w14:textId="24556168" w:rsidR="00566569" w:rsidRPr="003C174F" w:rsidRDefault="00566569" w:rsidP="00566569">
            <w:pPr>
              <w:jc w:val="both"/>
              <w:textAlignment w:val="baseline"/>
              <w:rPr>
                <w:color w:val="000000" w:themeColor="text1"/>
                <w:sz w:val="16"/>
                <w:szCs w:val="16"/>
                <w:lang w:val="en-GB"/>
              </w:rPr>
            </w:pPr>
            <w:r w:rsidRPr="00074431" w:rsidDel="17CD5F53">
              <w:rPr>
                <w:color w:val="000000"/>
                <w:sz w:val="16"/>
                <w:szCs w:val="16"/>
              </w:rPr>
              <w:t>Baseline (2022</w:t>
            </w:r>
            <w:r w:rsidRPr="00074431" w:rsidDel="17CD5F53">
              <w:rPr>
                <w:color w:val="000000" w:themeColor="text1"/>
                <w:sz w:val="16"/>
                <w:szCs w:val="16"/>
              </w:rPr>
              <w:t>)</w:t>
            </w:r>
            <w:r w:rsidRPr="00074431" w:rsidDel="17CD5F53">
              <w:rPr>
                <w:color w:val="000000" w:themeColor="text1"/>
                <w:sz w:val="16"/>
                <w:szCs w:val="16"/>
                <w:lang w:val="en-GB"/>
              </w:rPr>
              <w:t>:</w:t>
            </w:r>
            <w:r w:rsidRPr="003C174F" w:rsidDel="17CD5F53">
              <w:rPr>
                <w:color w:val="000000" w:themeColor="text1"/>
                <w:sz w:val="16"/>
                <w:szCs w:val="16"/>
                <w:lang w:val="en-GB"/>
              </w:rPr>
              <w:t xml:space="preserve"> </w:t>
            </w:r>
            <w:r w:rsidR="00FC0131" w:rsidRPr="003C174F">
              <w:rPr>
                <w:color w:val="000000" w:themeColor="text1"/>
                <w:sz w:val="16"/>
                <w:szCs w:val="16"/>
                <w:lang w:val="en-GB"/>
              </w:rPr>
              <w:t>0%</w:t>
            </w:r>
            <w:r w:rsidR="006F1559" w:rsidRPr="003C174F" w:rsidDel="17CD5F53">
              <w:rPr>
                <w:color w:val="000000" w:themeColor="text1"/>
                <w:sz w:val="16"/>
                <w:szCs w:val="16"/>
                <w:lang w:val="en-GB"/>
              </w:rPr>
              <w:t xml:space="preserve"> </w:t>
            </w:r>
          </w:p>
          <w:p w14:paraId="6288EB2D" w14:textId="0D71F887" w:rsidR="00566569" w:rsidRPr="003C174F" w:rsidRDefault="00566569" w:rsidP="00566569">
            <w:pPr>
              <w:jc w:val="both"/>
              <w:textAlignment w:val="baseline"/>
              <w:rPr>
                <w:color w:val="000000" w:themeColor="text1"/>
                <w:sz w:val="16"/>
                <w:szCs w:val="16"/>
                <w:lang w:val="en-GB"/>
              </w:rPr>
            </w:pPr>
            <w:r w:rsidRPr="00074431" w:rsidDel="17CD5F53">
              <w:rPr>
                <w:color w:val="000000" w:themeColor="text1"/>
                <w:sz w:val="16"/>
                <w:szCs w:val="16"/>
              </w:rPr>
              <w:t>Target (2027)</w:t>
            </w:r>
            <w:r w:rsidRPr="00074431" w:rsidDel="17CD5F53">
              <w:rPr>
                <w:color w:val="000000" w:themeColor="text1"/>
                <w:sz w:val="16"/>
                <w:szCs w:val="16"/>
                <w:lang w:val="en-GB"/>
              </w:rPr>
              <w:t>:</w:t>
            </w:r>
            <w:r w:rsidRPr="003C174F" w:rsidDel="17CD5F53">
              <w:rPr>
                <w:color w:val="000000" w:themeColor="text1"/>
                <w:sz w:val="16"/>
                <w:szCs w:val="16"/>
                <w:lang w:val="en-GB"/>
              </w:rPr>
              <w:t xml:space="preserve"> </w:t>
            </w:r>
            <w:r w:rsidR="00FC0131" w:rsidRPr="003C174F">
              <w:rPr>
                <w:color w:val="000000" w:themeColor="text1"/>
                <w:sz w:val="16"/>
                <w:szCs w:val="16"/>
                <w:lang w:val="en-GB"/>
              </w:rPr>
              <w:t xml:space="preserve"> 70% operationali</w:t>
            </w:r>
            <w:r w:rsidR="003C174F">
              <w:rPr>
                <w:color w:val="000000" w:themeColor="text1"/>
                <w:sz w:val="16"/>
                <w:szCs w:val="16"/>
                <w:lang w:val="en-GB"/>
              </w:rPr>
              <w:t>z</w:t>
            </w:r>
            <w:r w:rsidR="00FC0131" w:rsidRPr="003C174F">
              <w:rPr>
                <w:color w:val="000000" w:themeColor="text1"/>
                <w:sz w:val="16"/>
                <w:szCs w:val="16"/>
                <w:lang w:val="en-GB"/>
              </w:rPr>
              <w:t>ed</w:t>
            </w:r>
          </w:p>
          <w:p w14:paraId="39B2F96F" w14:textId="68580000" w:rsidR="00566569" w:rsidRPr="003C174F" w:rsidRDefault="00566569" w:rsidP="00566569">
            <w:pPr>
              <w:jc w:val="both"/>
              <w:textAlignment w:val="baseline"/>
              <w:rPr>
                <w:color w:val="000000"/>
                <w:sz w:val="16"/>
                <w:szCs w:val="16"/>
                <w:lang w:val="en-GB"/>
              </w:rPr>
            </w:pPr>
            <w:r w:rsidRPr="00074431" w:rsidDel="17CD5F53">
              <w:rPr>
                <w:color w:val="000000"/>
                <w:sz w:val="16"/>
                <w:szCs w:val="16"/>
              </w:rPr>
              <w:t>Data source</w:t>
            </w:r>
            <w:r w:rsidRPr="00074431" w:rsidDel="17CD5F53">
              <w:rPr>
                <w:color w:val="000000"/>
                <w:sz w:val="16"/>
                <w:szCs w:val="16"/>
                <w:lang w:val="en-GB"/>
              </w:rPr>
              <w:t>:</w:t>
            </w:r>
            <w:r w:rsidRPr="003C174F" w:rsidDel="17CD5F53">
              <w:rPr>
                <w:color w:val="000000"/>
                <w:sz w:val="16"/>
                <w:szCs w:val="16"/>
                <w:lang w:val="en-GB"/>
              </w:rPr>
              <w:t xml:space="preserve"> National Disaster Platform </w:t>
            </w:r>
            <w:r w:rsidR="003C174F">
              <w:rPr>
                <w:color w:val="000000"/>
                <w:sz w:val="16"/>
                <w:szCs w:val="16"/>
                <w:lang w:val="en-GB"/>
              </w:rPr>
              <w:t>r</w:t>
            </w:r>
            <w:r w:rsidRPr="003C174F">
              <w:rPr>
                <w:color w:val="000000"/>
                <w:sz w:val="16"/>
                <w:szCs w:val="16"/>
                <w:lang w:val="en-GB"/>
              </w:rPr>
              <w:t>eports</w:t>
            </w:r>
          </w:p>
          <w:p w14:paraId="0CE77A49" w14:textId="075A0A9A" w:rsidR="00566569" w:rsidRPr="00952B94" w:rsidRDefault="00566569" w:rsidP="00952B94">
            <w:pPr>
              <w:jc w:val="both"/>
              <w:textAlignment w:val="baseline"/>
              <w:rPr>
                <w:color w:val="000000"/>
                <w:sz w:val="16"/>
                <w:szCs w:val="16"/>
                <w:lang w:val="en-GB"/>
              </w:rPr>
            </w:pPr>
            <w:r w:rsidRPr="00074431" w:rsidDel="17CD5F53">
              <w:rPr>
                <w:color w:val="000000"/>
                <w:sz w:val="16"/>
                <w:szCs w:val="16"/>
              </w:rPr>
              <w:t>Frequency</w:t>
            </w:r>
            <w:r w:rsidRPr="003C174F" w:rsidDel="17CD5F53">
              <w:rPr>
                <w:color w:val="000000"/>
                <w:sz w:val="16"/>
                <w:szCs w:val="16"/>
                <w:lang w:val="en-GB"/>
              </w:rPr>
              <w:t>: Annual</w:t>
            </w:r>
          </w:p>
        </w:tc>
        <w:tc>
          <w:tcPr>
            <w:tcW w:w="1701" w:type="dxa"/>
            <w:vMerge w:val="restart"/>
          </w:tcPr>
          <w:p w14:paraId="274AF59F" w14:textId="6F603883" w:rsidR="00566569" w:rsidRPr="00952B94" w:rsidRDefault="00566569" w:rsidP="00566569">
            <w:pPr>
              <w:spacing w:after="60"/>
              <w:textAlignment w:val="baseline"/>
              <w:rPr>
                <w:sz w:val="16"/>
                <w:szCs w:val="16"/>
                <w:lang w:val="en-GB" w:eastAsia="en-GB"/>
              </w:rPr>
            </w:pPr>
            <w:r w:rsidRPr="00952B94">
              <w:rPr>
                <w:sz w:val="16"/>
                <w:szCs w:val="16"/>
                <w:lang w:val="en-GB" w:eastAsia="en-GB"/>
              </w:rPr>
              <w:t xml:space="preserve">Ministries of </w:t>
            </w:r>
            <w:r w:rsidR="003C174F">
              <w:rPr>
                <w:sz w:val="16"/>
                <w:szCs w:val="16"/>
                <w:lang w:val="en-GB" w:eastAsia="en-GB"/>
              </w:rPr>
              <w:t>p</w:t>
            </w:r>
            <w:r w:rsidRPr="00952B94">
              <w:rPr>
                <w:sz w:val="16"/>
                <w:szCs w:val="16"/>
                <w:lang w:val="en-GB" w:eastAsia="en-GB"/>
              </w:rPr>
              <w:t xml:space="preserve">lanning, </w:t>
            </w:r>
            <w:r w:rsidR="003C174F">
              <w:rPr>
                <w:sz w:val="16"/>
                <w:szCs w:val="16"/>
                <w:lang w:val="en-GB" w:eastAsia="en-GB"/>
              </w:rPr>
              <w:t>e</w:t>
            </w:r>
            <w:r w:rsidRPr="00952B94">
              <w:rPr>
                <w:sz w:val="16"/>
                <w:szCs w:val="16"/>
                <w:lang w:val="en-GB" w:eastAsia="en-GB"/>
              </w:rPr>
              <w:t xml:space="preserve">nvironment, </w:t>
            </w:r>
            <w:r w:rsidR="003C174F">
              <w:rPr>
                <w:sz w:val="16"/>
                <w:szCs w:val="16"/>
                <w:lang w:val="en-GB" w:eastAsia="en-GB"/>
              </w:rPr>
              <w:t>a</w:t>
            </w:r>
            <w:r w:rsidRPr="00952B94">
              <w:rPr>
                <w:sz w:val="16"/>
                <w:szCs w:val="16"/>
                <w:lang w:val="en-GB" w:eastAsia="en-GB"/>
              </w:rPr>
              <w:t xml:space="preserve">griculture and </w:t>
            </w:r>
            <w:r w:rsidR="003C174F">
              <w:rPr>
                <w:sz w:val="16"/>
                <w:szCs w:val="16"/>
                <w:lang w:val="en-GB" w:eastAsia="en-GB"/>
              </w:rPr>
              <w:t>f</w:t>
            </w:r>
            <w:r w:rsidRPr="00952B94">
              <w:rPr>
                <w:sz w:val="16"/>
                <w:szCs w:val="16"/>
                <w:lang w:val="en-GB" w:eastAsia="en-GB"/>
              </w:rPr>
              <w:t xml:space="preserve">isheries </w:t>
            </w:r>
          </w:p>
          <w:p w14:paraId="01BDA9F6" w14:textId="77777777" w:rsidR="00566569" w:rsidRPr="00952B94" w:rsidRDefault="00566569" w:rsidP="00566569">
            <w:pPr>
              <w:spacing w:after="60"/>
              <w:textAlignment w:val="baseline"/>
              <w:rPr>
                <w:sz w:val="16"/>
                <w:szCs w:val="16"/>
                <w:lang w:val="en-GB" w:eastAsia="en-GB"/>
              </w:rPr>
            </w:pPr>
            <w:r w:rsidRPr="00952B94">
              <w:rPr>
                <w:sz w:val="16"/>
                <w:szCs w:val="16"/>
                <w:lang w:val="en-GB" w:eastAsia="en-GB"/>
              </w:rPr>
              <w:t>AfDB</w:t>
            </w:r>
          </w:p>
          <w:p w14:paraId="642DE3A2" w14:textId="76E31AB8" w:rsidR="00566569" w:rsidRPr="00952B94" w:rsidRDefault="00566569" w:rsidP="00566569">
            <w:pPr>
              <w:spacing w:after="60"/>
              <w:textAlignment w:val="baseline"/>
              <w:rPr>
                <w:sz w:val="16"/>
                <w:szCs w:val="16"/>
                <w:lang w:eastAsia="en-GB"/>
              </w:rPr>
            </w:pPr>
            <w:r w:rsidRPr="00952B94">
              <w:rPr>
                <w:sz w:val="16"/>
                <w:szCs w:val="16"/>
                <w:lang w:eastAsia="en-GB"/>
              </w:rPr>
              <w:t>World Bank</w:t>
            </w:r>
          </w:p>
          <w:p w14:paraId="238DE862" w14:textId="770B6C73" w:rsidR="00913BD7" w:rsidRPr="00952B94" w:rsidRDefault="00913BD7" w:rsidP="00566569">
            <w:pPr>
              <w:spacing w:after="60"/>
              <w:textAlignment w:val="baseline"/>
              <w:rPr>
                <w:sz w:val="16"/>
                <w:szCs w:val="16"/>
                <w:lang w:eastAsia="en-GB"/>
              </w:rPr>
            </w:pPr>
            <w:r w:rsidRPr="00952B94">
              <w:rPr>
                <w:sz w:val="16"/>
                <w:szCs w:val="16"/>
                <w:lang w:eastAsia="en-GB"/>
              </w:rPr>
              <w:t>FAO</w:t>
            </w:r>
          </w:p>
          <w:p w14:paraId="428879CF" w14:textId="77777777" w:rsidR="00566569" w:rsidRPr="00952B94" w:rsidRDefault="00566569" w:rsidP="00913BD7">
            <w:pPr>
              <w:spacing w:after="60"/>
              <w:textAlignment w:val="baseline"/>
              <w:rPr>
                <w:sz w:val="16"/>
                <w:szCs w:val="16"/>
                <w:lang w:eastAsia="en-GB"/>
              </w:rPr>
            </w:pPr>
          </w:p>
        </w:tc>
        <w:tc>
          <w:tcPr>
            <w:tcW w:w="1843" w:type="dxa"/>
            <w:vMerge w:val="restart"/>
            <w:tcBorders>
              <w:bottom w:val="single" w:sz="4" w:space="0" w:color="auto"/>
            </w:tcBorders>
          </w:tcPr>
          <w:p w14:paraId="08B5D9F6" w14:textId="77777777" w:rsidR="00566569" w:rsidRPr="00952B94" w:rsidRDefault="00566569" w:rsidP="00566569">
            <w:pPr>
              <w:textAlignment w:val="baseline"/>
              <w:rPr>
                <w:sz w:val="16"/>
                <w:szCs w:val="16"/>
                <w:lang w:val="en-GB" w:eastAsia="en-GB"/>
              </w:rPr>
            </w:pPr>
            <w:r w:rsidRPr="00952B94">
              <w:rPr>
                <w:b/>
                <w:bCs/>
                <w:sz w:val="16"/>
                <w:szCs w:val="16"/>
                <w:lang w:val="en-GB" w:eastAsia="en-GB"/>
              </w:rPr>
              <w:t xml:space="preserve">Regular:  </w:t>
            </w:r>
            <w:r w:rsidRPr="00952B94">
              <w:rPr>
                <w:sz w:val="16"/>
                <w:szCs w:val="16"/>
                <w:lang w:val="en-GB" w:eastAsia="en-GB"/>
              </w:rPr>
              <w:t>$400,000</w:t>
            </w:r>
          </w:p>
          <w:p w14:paraId="43776B17" w14:textId="77777777" w:rsidR="00566569" w:rsidRPr="00952B94" w:rsidRDefault="00566569" w:rsidP="00566569">
            <w:pPr>
              <w:textAlignment w:val="baseline"/>
              <w:rPr>
                <w:sz w:val="16"/>
                <w:szCs w:val="16"/>
                <w:lang w:val="en-GB"/>
              </w:rPr>
            </w:pPr>
          </w:p>
          <w:p w14:paraId="57541816" w14:textId="77777777" w:rsidR="00566569" w:rsidRPr="00952B94" w:rsidRDefault="00566569" w:rsidP="00566569">
            <w:pPr>
              <w:textAlignment w:val="baseline"/>
              <w:rPr>
                <w:sz w:val="16"/>
                <w:szCs w:val="16"/>
                <w:lang w:val="en-GB" w:eastAsia="en-GB"/>
              </w:rPr>
            </w:pPr>
            <w:r w:rsidRPr="00952B94">
              <w:rPr>
                <w:b/>
                <w:bCs/>
                <w:sz w:val="16"/>
                <w:szCs w:val="16"/>
                <w:lang w:val="en-GB"/>
              </w:rPr>
              <w:t>Other:</w:t>
            </w:r>
            <w:r w:rsidRPr="00952B94">
              <w:rPr>
                <w:sz w:val="16"/>
                <w:szCs w:val="16"/>
                <w:lang w:val="en-GB"/>
              </w:rPr>
              <w:t xml:space="preserve">      $9,500,000</w:t>
            </w:r>
          </w:p>
        </w:tc>
      </w:tr>
      <w:tr w:rsidR="00566569" w:rsidRPr="00952B94" w14:paraId="4B602596" w14:textId="77777777" w:rsidTr="00952B94">
        <w:tc>
          <w:tcPr>
            <w:tcW w:w="2405" w:type="dxa"/>
            <w:gridSpan w:val="2"/>
            <w:vMerge/>
            <w:tcBorders>
              <w:bottom w:val="single" w:sz="4" w:space="0" w:color="auto"/>
            </w:tcBorders>
          </w:tcPr>
          <w:p w14:paraId="66F8E703" w14:textId="77777777" w:rsidR="00566569" w:rsidRPr="00952B94" w:rsidRDefault="00566569" w:rsidP="00566569">
            <w:pPr>
              <w:textAlignment w:val="baseline"/>
              <w:rPr>
                <w:sz w:val="16"/>
                <w:szCs w:val="16"/>
                <w:lang w:val="en-GB" w:eastAsia="en-GB"/>
              </w:rPr>
            </w:pPr>
          </w:p>
        </w:tc>
        <w:tc>
          <w:tcPr>
            <w:tcW w:w="1985" w:type="dxa"/>
            <w:vMerge/>
            <w:tcBorders>
              <w:bottom w:val="single" w:sz="4" w:space="0" w:color="auto"/>
            </w:tcBorders>
          </w:tcPr>
          <w:p w14:paraId="75C33FDE" w14:textId="77777777" w:rsidR="00566569" w:rsidRPr="00952B94" w:rsidRDefault="00566569" w:rsidP="00566569">
            <w:pPr>
              <w:textAlignment w:val="baseline"/>
              <w:rPr>
                <w:sz w:val="16"/>
                <w:szCs w:val="16"/>
                <w:lang w:val="en-GB" w:eastAsia="en-GB"/>
              </w:rPr>
            </w:pPr>
          </w:p>
        </w:tc>
        <w:tc>
          <w:tcPr>
            <w:tcW w:w="6095" w:type="dxa"/>
            <w:tcBorders>
              <w:bottom w:val="single" w:sz="4" w:space="0" w:color="auto"/>
            </w:tcBorders>
          </w:tcPr>
          <w:p w14:paraId="5E76296C" w14:textId="56079E2A" w:rsidR="00566569" w:rsidRPr="00952B94" w:rsidRDefault="003C174F" w:rsidP="00566569">
            <w:pPr>
              <w:spacing w:after="120"/>
              <w:jc w:val="both"/>
              <w:textAlignment w:val="baseline"/>
              <w:rPr>
                <w:b/>
                <w:bCs/>
                <w:sz w:val="16"/>
                <w:szCs w:val="16"/>
                <w:lang w:val="en-GB" w:eastAsia="en-GB"/>
              </w:rPr>
            </w:pPr>
            <w:r>
              <w:rPr>
                <w:b/>
                <w:bCs/>
                <w:sz w:val="16"/>
                <w:szCs w:val="16"/>
                <w:lang w:val="en-GB" w:eastAsia="en-GB"/>
              </w:rPr>
              <w:t xml:space="preserve">Output </w:t>
            </w:r>
            <w:r w:rsidR="00566569" w:rsidRPr="00952B94">
              <w:rPr>
                <w:b/>
                <w:bCs/>
                <w:sz w:val="16"/>
                <w:szCs w:val="16"/>
                <w:lang w:val="en-GB" w:eastAsia="en-GB"/>
              </w:rPr>
              <w:t>2.2</w:t>
            </w:r>
            <w:r>
              <w:rPr>
                <w:b/>
                <w:bCs/>
                <w:sz w:val="16"/>
                <w:szCs w:val="16"/>
                <w:lang w:val="en-GB" w:eastAsia="en-GB"/>
              </w:rPr>
              <w:t>.:</w:t>
            </w:r>
            <w:r w:rsidR="00566569" w:rsidRPr="00952B94">
              <w:rPr>
                <w:b/>
                <w:bCs/>
                <w:sz w:val="16"/>
                <w:szCs w:val="16"/>
                <w:lang w:val="en-GB" w:eastAsia="en-GB"/>
              </w:rPr>
              <w:t xml:space="preserve"> </w:t>
            </w:r>
            <w:r w:rsidR="00D653EA" w:rsidRPr="00952B94">
              <w:rPr>
                <w:b/>
                <w:bCs/>
                <w:sz w:val="16"/>
                <w:szCs w:val="16"/>
                <w:lang w:val="en-GB" w:eastAsia="en-GB"/>
              </w:rPr>
              <w:t>Natural resources protected and managed to enhance sustainable productivity and livelihoods</w:t>
            </w:r>
            <w:r>
              <w:rPr>
                <w:b/>
                <w:bCs/>
                <w:sz w:val="16"/>
                <w:szCs w:val="16"/>
                <w:lang w:val="en-GB" w:eastAsia="en-GB"/>
              </w:rPr>
              <w:t>.</w:t>
            </w:r>
          </w:p>
          <w:p w14:paraId="76200526" w14:textId="77777777" w:rsidR="00566569" w:rsidRPr="00952B94" w:rsidRDefault="00566569" w:rsidP="00566569">
            <w:pPr>
              <w:jc w:val="both"/>
              <w:textAlignment w:val="baseline"/>
              <w:rPr>
                <w:b/>
                <w:bCs/>
                <w:sz w:val="16"/>
                <w:szCs w:val="16"/>
                <w:lang w:val="en-GB" w:eastAsia="en-GB"/>
              </w:rPr>
            </w:pPr>
            <w:r w:rsidRPr="00952B94">
              <w:rPr>
                <w:b/>
                <w:bCs/>
                <w:sz w:val="16"/>
                <w:szCs w:val="16"/>
                <w:lang w:val="en-GB" w:eastAsia="en-GB"/>
              </w:rPr>
              <w:t>Indicators:</w:t>
            </w:r>
          </w:p>
          <w:p w14:paraId="457278BE" w14:textId="28796868" w:rsidR="00566569" w:rsidRPr="000D302F" w:rsidRDefault="00566569" w:rsidP="00566569">
            <w:pPr>
              <w:jc w:val="both"/>
              <w:textAlignment w:val="baseline"/>
              <w:rPr>
                <w:b/>
                <w:bCs/>
                <w:color w:val="000000"/>
                <w:sz w:val="16"/>
                <w:szCs w:val="16"/>
                <w:lang w:val="en-GB" w:eastAsia="en-GB"/>
              </w:rPr>
            </w:pPr>
            <w:r w:rsidRPr="000D302F">
              <w:rPr>
                <w:b/>
                <w:bCs/>
                <w:sz w:val="16"/>
                <w:szCs w:val="16"/>
                <w:lang w:val="en-GB" w:eastAsia="en-GB"/>
              </w:rPr>
              <w:t>2.2.1</w:t>
            </w:r>
            <w:r w:rsidR="003C174F" w:rsidRPr="000D302F">
              <w:rPr>
                <w:b/>
                <w:bCs/>
                <w:sz w:val="16"/>
                <w:szCs w:val="16"/>
                <w:lang w:val="en-GB" w:eastAsia="en-GB"/>
              </w:rPr>
              <w:t>.</w:t>
            </w:r>
            <w:r w:rsidRPr="000D302F">
              <w:rPr>
                <w:b/>
                <w:bCs/>
                <w:sz w:val="16"/>
                <w:szCs w:val="16"/>
                <w:lang w:val="en-GB" w:eastAsia="en-GB"/>
              </w:rPr>
              <w:t xml:space="preserve">: </w:t>
            </w:r>
            <w:r w:rsidRPr="000D302F">
              <w:rPr>
                <w:b/>
                <w:bCs/>
                <w:color w:val="000000"/>
                <w:sz w:val="16"/>
                <w:szCs w:val="16"/>
                <w:lang w:val="en-GB" w:eastAsia="en-GB"/>
              </w:rPr>
              <w:t>Area of terrestrial and marine protected areas under improved management practices</w:t>
            </w:r>
            <w:r w:rsidR="00910388" w:rsidRPr="000D302F">
              <w:rPr>
                <w:b/>
                <w:bCs/>
                <w:color w:val="000000"/>
                <w:sz w:val="16"/>
                <w:szCs w:val="16"/>
                <w:lang w:val="en-GB" w:eastAsia="en-GB"/>
              </w:rPr>
              <w:t>.</w:t>
            </w:r>
          </w:p>
          <w:p w14:paraId="538EE744" w14:textId="77777777" w:rsidR="00566569" w:rsidRPr="003C174F" w:rsidRDefault="00566569" w:rsidP="00566569">
            <w:pPr>
              <w:jc w:val="both"/>
              <w:textAlignment w:val="baseline"/>
              <w:rPr>
                <w:sz w:val="16"/>
                <w:szCs w:val="16"/>
                <w:lang w:val="en-GB" w:eastAsia="en-GB"/>
              </w:rPr>
            </w:pPr>
            <w:r w:rsidRPr="00074431">
              <w:rPr>
                <w:sz w:val="16"/>
                <w:szCs w:val="16"/>
                <w:lang w:eastAsia="en-GB"/>
              </w:rPr>
              <w:t>Baseline (2021)</w:t>
            </w:r>
            <w:r w:rsidRPr="003C174F">
              <w:rPr>
                <w:sz w:val="16"/>
                <w:szCs w:val="16"/>
                <w:lang w:val="en-GB" w:eastAsia="en-GB"/>
              </w:rPr>
              <w:t xml:space="preserve">: 0 </w:t>
            </w:r>
          </w:p>
          <w:p w14:paraId="2C4AF82B" w14:textId="77777777" w:rsidR="00566569" w:rsidRPr="003C174F" w:rsidRDefault="00566569" w:rsidP="00566569">
            <w:pPr>
              <w:jc w:val="both"/>
              <w:textAlignment w:val="baseline"/>
              <w:rPr>
                <w:sz w:val="16"/>
                <w:szCs w:val="16"/>
                <w:lang w:val="en-GB" w:eastAsia="en-GB"/>
              </w:rPr>
            </w:pPr>
            <w:r w:rsidRPr="00074431">
              <w:rPr>
                <w:sz w:val="16"/>
                <w:szCs w:val="16"/>
                <w:lang w:eastAsia="en-GB"/>
              </w:rPr>
              <w:t>Target</w:t>
            </w:r>
            <w:r w:rsidRPr="00074431">
              <w:rPr>
                <w:sz w:val="16"/>
                <w:szCs w:val="16"/>
                <w:lang w:val="en-GB" w:eastAsia="en-GB"/>
              </w:rPr>
              <w:t xml:space="preserve"> (2027)</w:t>
            </w:r>
            <w:r w:rsidRPr="003C174F">
              <w:rPr>
                <w:sz w:val="16"/>
                <w:szCs w:val="16"/>
                <w:lang w:val="en-GB" w:eastAsia="en-GB"/>
              </w:rPr>
              <w:t>: 50% of national park, 5% of Exclusive Economic Zone</w:t>
            </w:r>
          </w:p>
          <w:p w14:paraId="531F42A4" w14:textId="77777777" w:rsidR="00566569" w:rsidRPr="003C174F" w:rsidRDefault="00566569" w:rsidP="00566569">
            <w:pPr>
              <w:jc w:val="both"/>
              <w:textAlignment w:val="baseline"/>
              <w:rPr>
                <w:sz w:val="16"/>
                <w:szCs w:val="16"/>
                <w:lang w:val="en-GB" w:eastAsia="en-GB"/>
              </w:rPr>
            </w:pPr>
            <w:r w:rsidRPr="00074431">
              <w:rPr>
                <w:sz w:val="16"/>
                <w:szCs w:val="16"/>
                <w:lang w:eastAsia="en-GB"/>
              </w:rPr>
              <w:t>Data source</w:t>
            </w:r>
            <w:r w:rsidRPr="00074431">
              <w:rPr>
                <w:sz w:val="16"/>
                <w:szCs w:val="16"/>
                <w:lang w:val="en-GB" w:eastAsia="en-GB"/>
              </w:rPr>
              <w:t>:</w:t>
            </w:r>
            <w:r w:rsidRPr="003C174F">
              <w:rPr>
                <w:sz w:val="16"/>
                <w:szCs w:val="16"/>
                <w:lang w:val="en-GB" w:eastAsia="en-GB"/>
              </w:rPr>
              <w:t xml:space="preserve"> GEF Project Reports </w:t>
            </w:r>
          </w:p>
          <w:p w14:paraId="714C702E" w14:textId="77777777" w:rsidR="00566569" w:rsidRPr="003C174F" w:rsidRDefault="00566569" w:rsidP="00566569">
            <w:pPr>
              <w:spacing w:after="120"/>
              <w:jc w:val="both"/>
              <w:textAlignment w:val="baseline"/>
              <w:rPr>
                <w:sz w:val="16"/>
                <w:szCs w:val="16"/>
                <w:lang w:val="en-GB" w:eastAsia="en-GB"/>
              </w:rPr>
            </w:pPr>
            <w:r w:rsidRPr="00074431">
              <w:rPr>
                <w:sz w:val="16"/>
                <w:szCs w:val="16"/>
                <w:lang w:eastAsia="en-GB"/>
              </w:rPr>
              <w:t>Frequency</w:t>
            </w:r>
            <w:r w:rsidRPr="00074431">
              <w:rPr>
                <w:sz w:val="16"/>
                <w:szCs w:val="16"/>
                <w:lang w:val="en-GB" w:eastAsia="en-GB"/>
              </w:rPr>
              <w:t>:</w:t>
            </w:r>
            <w:r w:rsidRPr="003C174F">
              <w:rPr>
                <w:sz w:val="16"/>
                <w:szCs w:val="16"/>
                <w:lang w:val="en-GB" w:eastAsia="en-GB"/>
              </w:rPr>
              <w:t xml:space="preserve"> Annual</w:t>
            </w:r>
          </w:p>
          <w:p w14:paraId="1C78966A" w14:textId="7D679E5C" w:rsidR="00566569" w:rsidRPr="000D302F" w:rsidRDefault="00566569" w:rsidP="00566569">
            <w:pPr>
              <w:jc w:val="both"/>
              <w:textAlignment w:val="baseline"/>
              <w:rPr>
                <w:b/>
                <w:bCs/>
                <w:strike/>
                <w:color w:val="000000"/>
                <w:sz w:val="16"/>
                <w:szCs w:val="16"/>
                <w:lang w:val="en-GB" w:eastAsia="en-GB"/>
              </w:rPr>
            </w:pPr>
            <w:r w:rsidRPr="000D302F">
              <w:rPr>
                <w:b/>
                <w:bCs/>
                <w:sz w:val="16"/>
                <w:szCs w:val="16"/>
                <w:lang w:val="en-GB" w:eastAsia="en-GB"/>
              </w:rPr>
              <w:t>2.2.2</w:t>
            </w:r>
            <w:r w:rsidR="003C174F" w:rsidRPr="000D302F">
              <w:rPr>
                <w:b/>
                <w:bCs/>
                <w:sz w:val="16"/>
                <w:szCs w:val="16"/>
                <w:lang w:val="en-GB" w:eastAsia="en-GB"/>
              </w:rPr>
              <w:t>.</w:t>
            </w:r>
            <w:r w:rsidRPr="000D302F">
              <w:rPr>
                <w:b/>
                <w:bCs/>
                <w:sz w:val="16"/>
                <w:szCs w:val="16"/>
                <w:lang w:val="en-GB" w:eastAsia="en-GB"/>
              </w:rPr>
              <w:t xml:space="preserve">: </w:t>
            </w:r>
            <w:bookmarkStart w:id="9" w:name="_Hlk114678418"/>
            <w:r w:rsidR="00E320F9" w:rsidRPr="000D302F">
              <w:rPr>
                <w:b/>
                <w:bCs/>
                <w:sz w:val="16"/>
                <w:szCs w:val="16"/>
                <w:lang w:val="en-GB" w:eastAsia="en-GB"/>
              </w:rPr>
              <w:t>V</w:t>
            </w:r>
            <w:r w:rsidR="0033742B" w:rsidRPr="000D302F">
              <w:rPr>
                <w:b/>
                <w:bCs/>
                <w:sz w:val="16"/>
                <w:szCs w:val="16"/>
                <w:lang w:val="en-GB" w:eastAsia="en-GB"/>
              </w:rPr>
              <w:t xml:space="preserve">olume of investment </w:t>
            </w:r>
            <w:r w:rsidR="000D378B" w:rsidRPr="000D302F">
              <w:rPr>
                <w:b/>
                <w:bCs/>
                <w:sz w:val="16"/>
                <w:szCs w:val="16"/>
                <w:lang w:val="en-GB" w:eastAsia="en-GB"/>
              </w:rPr>
              <w:t>leverage</w:t>
            </w:r>
            <w:r w:rsidR="00E320F9" w:rsidRPr="000D302F">
              <w:rPr>
                <w:b/>
                <w:bCs/>
                <w:sz w:val="16"/>
                <w:szCs w:val="16"/>
                <w:lang w:val="en-GB" w:eastAsia="en-GB"/>
              </w:rPr>
              <w:t>d</w:t>
            </w:r>
            <w:r w:rsidR="000D378B" w:rsidRPr="000D302F">
              <w:rPr>
                <w:b/>
                <w:bCs/>
                <w:sz w:val="16"/>
                <w:szCs w:val="16"/>
                <w:lang w:val="en-GB" w:eastAsia="en-GB"/>
              </w:rPr>
              <w:t xml:space="preserve"> to</w:t>
            </w:r>
            <w:r w:rsidR="00E164C3" w:rsidRPr="000D302F">
              <w:rPr>
                <w:b/>
                <w:bCs/>
                <w:sz w:val="16"/>
                <w:szCs w:val="16"/>
                <w:lang w:val="en-GB" w:eastAsia="en-GB"/>
              </w:rPr>
              <w:t xml:space="preserve"> support</w:t>
            </w:r>
            <w:r w:rsidRPr="000D302F">
              <w:rPr>
                <w:b/>
                <w:bCs/>
                <w:color w:val="000000"/>
                <w:sz w:val="16"/>
                <w:szCs w:val="16"/>
                <w:lang w:val="en-GB" w:eastAsia="en-GB"/>
              </w:rPr>
              <w:t xml:space="preserve"> </w:t>
            </w:r>
            <w:bookmarkEnd w:id="9"/>
            <w:r w:rsidR="009F38BB" w:rsidRPr="000D302F">
              <w:rPr>
                <w:b/>
                <w:bCs/>
                <w:color w:val="000000"/>
                <w:sz w:val="16"/>
                <w:szCs w:val="16"/>
                <w:lang w:val="en-GB" w:eastAsia="en-GB"/>
              </w:rPr>
              <w:t>green recovery</w:t>
            </w:r>
            <w:r w:rsidR="003C174F" w:rsidRPr="000D302F">
              <w:rPr>
                <w:b/>
                <w:bCs/>
                <w:color w:val="000000"/>
                <w:sz w:val="16"/>
                <w:szCs w:val="16"/>
                <w:lang w:val="en-GB" w:eastAsia="en-GB"/>
              </w:rPr>
              <w:t>.</w:t>
            </w:r>
            <w:r w:rsidRPr="000D302F">
              <w:rPr>
                <w:b/>
                <w:bCs/>
                <w:color w:val="000000"/>
                <w:sz w:val="16"/>
                <w:szCs w:val="16"/>
                <w:lang w:val="en-GB" w:eastAsia="en-GB"/>
              </w:rPr>
              <w:t xml:space="preserve"> </w:t>
            </w:r>
          </w:p>
          <w:p w14:paraId="592F242B" w14:textId="77777777" w:rsidR="00566569" w:rsidRPr="003C174F" w:rsidRDefault="00566569" w:rsidP="00566569">
            <w:pPr>
              <w:jc w:val="both"/>
              <w:textAlignment w:val="baseline"/>
              <w:rPr>
                <w:color w:val="000000"/>
                <w:sz w:val="16"/>
                <w:szCs w:val="16"/>
                <w:lang w:val="en-GB" w:eastAsia="en-GB"/>
              </w:rPr>
            </w:pPr>
            <w:r w:rsidRPr="00074431">
              <w:rPr>
                <w:color w:val="000000"/>
                <w:sz w:val="16"/>
                <w:szCs w:val="16"/>
                <w:lang w:eastAsia="en-GB"/>
              </w:rPr>
              <w:t>Baseline (2022)</w:t>
            </w:r>
            <w:r w:rsidRPr="003C174F">
              <w:rPr>
                <w:color w:val="000000"/>
                <w:sz w:val="16"/>
                <w:szCs w:val="16"/>
                <w:lang w:val="en-GB" w:eastAsia="en-GB"/>
              </w:rPr>
              <w:t>: 0</w:t>
            </w:r>
          </w:p>
          <w:p w14:paraId="008B604A" w14:textId="77777777" w:rsidR="00566569" w:rsidRPr="003C174F" w:rsidRDefault="00566569" w:rsidP="00566569">
            <w:pPr>
              <w:jc w:val="both"/>
              <w:textAlignment w:val="baseline"/>
              <w:rPr>
                <w:color w:val="000000"/>
                <w:sz w:val="16"/>
                <w:szCs w:val="16"/>
                <w:lang w:val="en-GB" w:eastAsia="en-GB"/>
              </w:rPr>
            </w:pPr>
            <w:r w:rsidRPr="00074431">
              <w:rPr>
                <w:color w:val="000000"/>
                <w:sz w:val="16"/>
                <w:szCs w:val="16"/>
                <w:lang w:eastAsia="en-GB"/>
              </w:rPr>
              <w:t xml:space="preserve">Target </w:t>
            </w:r>
            <w:r w:rsidRPr="00074431">
              <w:rPr>
                <w:color w:val="000000"/>
                <w:sz w:val="16"/>
                <w:szCs w:val="16"/>
                <w:lang w:val="en-GB" w:eastAsia="en-GB"/>
              </w:rPr>
              <w:t>(2027):</w:t>
            </w:r>
            <w:r w:rsidRPr="003C174F">
              <w:rPr>
                <w:color w:val="000000"/>
                <w:sz w:val="16"/>
                <w:szCs w:val="16"/>
                <w:lang w:val="en-GB" w:eastAsia="en-GB"/>
              </w:rPr>
              <w:t xml:space="preserve">  $1,000,000</w:t>
            </w:r>
          </w:p>
          <w:p w14:paraId="7DF9A21D" w14:textId="39CE86ED" w:rsidR="00566569" w:rsidRPr="003C174F" w:rsidRDefault="00566569" w:rsidP="00566569">
            <w:pPr>
              <w:jc w:val="both"/>
              <w:textAlignment w:val="baseline"/>
              <w:rPr>
                <w:sz w:val="16"/>
                <w:szCs w:val="16"/>
                <w:lang w:val="en-GB" w:eastAsia="en-GB"/>
              </w:rPr>
            </w:pPr>
            <w:r w:rsidRPr="00074431">
              <w:rPr>
                <w:sz w:val="16"/>
                <w:szCs w:val="16"/>
                <w:lang w:eastAsia="en-GB"/>
              </w:rPr>
              <w:t>Data source</w:t>
            </w:r>
            <w:r w:rsidRPr="00074431">
              <w:rPr>
                <w:sz w:val="16"/>
                <w:szCs w:val="16"/>
                <w:lang w:val="en-GB" w:eastAsia="en-GB"/>
              </w:rPr>
              <w:t>:</w:t>
            </w:r>
            <w:r w:rsidRPr="003C174F">
              <w:rPr>
                <w:sz w:val="16"/>
                <w:szCs w:val="16"/>
                <w:lang w:val="en-GB" w:eastAsia="en-GB"/>
              </w:rPr>
              <w:t xml:space="preserve"> Trust </w:t>
            </w:r>
            <w:r w:rsidR="003C174F">
              <w:rPr>
                <w:sz w:val="16"/>
                <w:szCs w:val="16"/>
                <w:lang w:val="en-GB" w:eastAsia="en-GB"/>
              </w:rPr>
              <w:t>f</w:t>
            </w:r>
            <w:r w:rsidRPr="003C174F">
              <w:rPr>
                <w:sz w:val="16"/>
                <w:szCs w:val="16"/>
                <w:lang w:val="en-GB" w:eastAsia="en-GB"/>
              </w:rPr>
              <w:t>und accounts</w:t>
            </w:r>
          </w:p>
          <w:p w14:paraId="1603C6AD" w14:textId="27BA058C" w:rsidR="00566569" w:rsidRPr="00952B94" w:rsidRDefault="00566569" w:rsidP="00BE1222">
            <w:pPr>
              <w:spacing w:after="120"/>
              <w:jc w:val="both"/>
              <w:textAlignment w:val="baseline"/>
              <w:rPr>
                <w:sz w:val="16"/>
                <w:szCs w:val="16"/>
                <w:lang w:val="en-GB" w:eastAsia="en-GB"/>
              </w:rPr>
            </w:pPr>
            <w:r w:rsidRPr="00074431">
              <w:rPr>
                <w:sz w:val="16"/>
                <w:szCs w:val="16"/>
                <w:lang w:eastAsia="en-GB"/>
              </w:rPr>
              <w:t>Frequency</w:t>
            </w:r>
            <w:r w:rsidRPr="00074431">
              <w:rPr>
                <w:sz w:val="16"/>
                <w:szCs w:val="16"/>
                <w:lang w:val="en-GB" w:eastAsia="en-GB"/>
              </w:rPr>
              <w:t>:</w:t>
            </w:r>
            <w:r w:rsidRPr="003C174F">
              <w:rPr>
                <w:sz w:val="16"/>
                <w:szCs w:val="16"/>
                <w:lang w:val="en-GB" w:eastAsia="en-GB"/>
              </w:rPr>
              <w:t xml:space="preserve"> Annual</w:t>
            </w:r>
          </w:p>
        </w:tc>
        <w:tc>
          <w:tcPr>
            <w:tcW w:w="1701" w:type="dxa"/>
            <w:vMerge/>
          </w:tcPr>
          <w:p w14:paraId="29E9A541" w14:textId="77777777" w:rsidR="00566569" w:rsidRPr="00952B94" w:rsidRDefault="00566569" w:rsidP="00566569">
            <w:pPr>
              <w:spacing w:after="60"/>
              <w:jc w:val="both"/>
              <w:textAlignment w:val="baseline"/>
              <w:rPr>
                <w:sz w:val="16"/>
                <w:szCs w:val="16"/>
                <w:lang w:val="en-GB" w:eastAsia="en-GB"/>
              </w:rPr>
            </w:pPr>
          </w:p>
        </w:tc>
        <w:tc>
          <w:tcPr>
            <w:tcW w:w="1843" w:type="dxa"/>
            <w:vMerge/>
            <w:tcBorders>
              <w:bottom w:val="single" w:sz="4" w:space="0" w:color="auto"/>
            </w:tcBorders>
          </w:tcPr>
          <w:p w14:paraId="03757041" w14:textId="77777777" w:rsidR="00566569" w:rsidRPr="00952B94" w:rsidRDefault="00566569" w:rsidP="00566569">
            <w:pPr>
              <w:textAlignment w:val="baseline"/>
              <w:rPr>
                <w:sz w:val="16"/>
                <w:szCs w:val="16"/>
                <w:lang w:val="en-GB" w:eastAsia="en-GB"/>
              </w:rPr>
            </w:pPr>
          </w:p>
        </w:tc>
      </w:tr>
      <w:tr w:rsidR="00566569" w:rsidRPr="00952B94" w14:paraId="5599C6CA" w14:textId="77777777" w:rsidTr="00952B94">
        <w:tc>
          <w:tcPr>
            <w:tcW w:w="2405" w:type="dxa"/>
            <w:gridSpan w:val="2"/>
            <w:vMerge/>
            <w:tcBorders>
              <w:bottom w:val="single" w:sz="4" w:space="0" w:color="auto"/>
            </w:tcBorders>
          </w:tcPr>
          <w:p w14:paraId="428EB945" w14:textId="77777777" w:rsidR="00566569" w:rsidRPr="00952B94" w:rsidRDefault="00566569" w:rsidP="00566569">
            <w:pPr>
              <w:jc w:val="both"/>
              <w:rPr>
                <w:sz w:val="16"/>
                <w:szCs w:val="16"/>
                <w:lang w:val="en-GB" w:eastAsia="en-GB"/>
              </w:rPr>
            </w:pPr>
          </w:p>
        </w:tc>
        <w:tc>
          <w:tcPr>
            <w:tcW w:w="1985" w:type="dxa"/>
            <w:vMerge/>
            <w:tcBorders>
              <w:bottom w:val="single" w:sz="4" w:space="0" w:color="auto"/>
            </w:tcBorders>
          </w:tcPr>
          <w:p w14:paraId="7866545E" w14:textId="77777777" w:rsidR="00566569" w:rsidRPr="00952B94" w:rsidRDefault="00566569" w:rsidP="00566569">
            <w:pPr>
              <w:jc w:val="both"/>
              <w:rPr>
                <w:sz w:val="16"/>
                <w:szCs w:val="16"/>
                <w:lang w:val="en-GB" w:eastAsia="en-GB"/>
              </w:rPr>
            </w:pPr>
          </w:p>
        </w:tc>
        <w:tc>
          <w:tcPr>
            <w:tcW w:w="6095" w:type="dxa"/>
            <w:tcBorders>
              <w:bottom w:val="single" w:sz="4" w:space="0" w:color="auto"/>
            </w:tcBorders>
          </w:tcPr>
          <w:p w14:paraId="08BFA538" w14:textId="54760BFF" w:rsidR="00566569" w:rsidRPr="00952B94" w:rsidRDefault="003C174F" w:rsidP="00566569">
            <w:pPr>
              <w:spacing w:after="120"/>
              <w:jc w:val="both"/>
              <w:rPr>
                <w:b/>
                <w:bCs/>
                <w:sz w:val="16"/>
                <w:szCs w:val="16"/>
                <w:lang w:val="en-GB" w:eastAsia="en-GB"/>
              </w:rPr>
            </w:pPr>
            <w:r>
              <w:rPr>
                <w:b/>
                <w:bCs/>
                <w:sz w:val="16"/>
                <w:szCs w:val="16"/>
                <w:lang w:val="en-GB" w:eastAsia="en-GB"/>
              </w:rPr>
              <w:t xml:space="preserve">Output </w:t>
            </w:r>
            <w:r w:rsidR="00566569" w:rsidRPr="00952B94">
              <w:rPr>
                <w:b/>
                <w:bCs/>
                <w:sz w:val="16"/>
                <w:szCs w:val="16"/>
                <w:lang w:val="en-GB" w:eastAsia="en-GB"/>
              </w:rPr>
              <w:t>2.3</w:t>
            </w:r>
            <w:r>
              <w:rPr>
                <w:b/>
                <w:bCs/>
                <w:sz w:val="16"/>
                <w:szCs w:val="16"/>
                <w:lang w:val="en-GB" w:eastAsia="en-GB"/>
              </w:rPr>
              <w:t>.:</w:t>
            </w:r>
            <w:r w:rsidR="00566569" w:rsidRPr="00952B94">
              <w:rPr>
                <w:b/>
                <w:bCs/>
                <w:sz w:val="16"/>
                <w:szCs w:val="16"/>
                <w:lang w:val="en-GB" w:eastAsia="en-GB"/>
              </w:rPr>
              <w:t xml:space="preserve"> </w:t>
            </w:r>
            <w:r w:rsidR="00566569" w:rsidRPr="00952B94">
              <w:rPr>
                <w:b/>
                <w:bCs/>
                <w:color w:val="000000"/>
                <w:sz w:val="16"/>
                <w:szCs w:val="16"/>
                <w:lang w:val="en-GB" w:eastAsia="en-GB"/>
              </w:rPr>
              <w:t>Investment</w:t>
            </w:r>
            <w:r>
              <w:rPr>
                <w:b/>
                <w:bCs/>
                <w:color w:val="000000"/>
                <w:sz w:val="16"/>
                <w:szCs w:val="16"/>
                <w:lang w:val="en-GB" w:eastAsia="en-GB"/>
              </w:rPr>
              <w:t>s</w:t>
            </w:r>
            <w:r w:rsidR="00566569" w:rsidRPr="00952B94">
              <w:rPr>
                <w:b/>
                <w:bCs/>
                <w:color w:val="000000"/>
                <w:sz w:val="16"/>
                <w:szCs w:val="16"/>
                <w:lang w:val="en-GB" w:eastAsia="en-GB"/>
              </w:rPr>
              <w:t xml:space="preserve"> in renewable energy</w:t>
            </w:r>
            <w:r w:rsidR="001D39CD" w:rsidRPr="00952B94">
              <w:rPr>
                <w:b/>
                <w:bCs/>
                <w:color w:val="000000"/>
                <w:sz w:val="16"/>
                <w:szCs w:val="16"/>
                <w:lang w:val="en-GB" w:eastAsia="en-GB"/>
              </w:rPr>
              <w:t xml:space="preserve"> enhanced</w:t>
            </w:r>
            <w:r w:rsidR="0048311C" w:rsidRPr="00952B94">
              <w:rPr>
                <w:b/>
                <w:bCs/>
                <w:color w:val="000000"/>
                <w:sz w:val="16"/>
                <w:szCs w:val="16"/>
                <w:lang w:val="en-GB" w:eastAsia="en-GB"/>
              </w:rPr>
              <w:t xml:space="preserve"> for</w:t>
            </w:r>
            <w:r w:rsidR="00282370" w:rsidRPr="00952B94">
              <w:rPr>
                <w:b/>
                <w:bCs/>
                <w:color w:val="000000"/>
                <w:sz w:val="16"/>
                <w:szCs w:val="16"/>
                <w:lang w:val="en-GB" w:eastAsia="en-GB"/>
              </w:rPr>
              <w:t xml:space="preserve"> improved</w:t>
            </w:r>
            <w:r w:rsidR="00566569" w:rsidRPr="00952B94">
              <w:rPr>
                <w:b/>
                <w:bCs/>
                <w:color w:val="000000"/>
                <w:sz w:val="16"/>
                <w:szCs w:val="16"/>
                <w:lang w:val="en-GB" w:eastAsia="en-GB"/>
              </w:rPr>
              <w:t xml:space="preserve"> access to clean energy for poor households and businesses.</w:t>
            </w:r>
          </w:p>
          <w:p w14:paraId="3B320D9E" w14:textId="77777777" w:rsidR="00566569" w:rsidRPr="00952B94" w:rsidRDefault="00566569" w:rsidP="00566569">
            <w:pPr>
              <w:jc w:val="both"/>
              <w:rPr>
                <w:b/>
                <w:bCs/>
                <w:sz w:val="16"/>
                <w:szCs w:val="16"/>
                <w:lang w:val="en-GB" w:eastAsia="en-GB"/>
              </w:rPr>
            </w:pPr>
            <w:r w:rsidRPr="00952B94">
              <w:rPr>
                <w:b/>
                <w:bCs/>
                <w:sz w:val="16"/>
                <w:szCs w:val="16"/>
                <w:lang w:val="en-GB" w:eastAsia="en-GB"/>
              </w:rPr>
              <w:t>Indicators:</w:t>
            </w:r>
          </w:p>
          <w:p w14:paraId="0A4129B0" w14:textId="0834ED6B" w:rsidR="00566569" w:rsidRPr="000D302F" w:rsidRDefault="00566569" w:rsidP="00566569">
            <w:pPr>
              <w:jc w:val="both"/>
              <w:rPr>
                <w:b/>
                <w:bCs/>
                <w:sz w:val="16"/>
                <w:szCs w:val="16"/>
                <w:lang w:val="en-GB" w:eastAsia="en-GB"/>
              </w:rPr>
            </w:pPr>
            <w:r w:rsidRPr="000D302F">
              <w:rPr>
                <w:b/>
                <w:bCs/>
                <w:sz w:val="16"/>
                <w:szCs w:val="16"/>
                <w:lang w:val="en-GB" w:eastAsia="en-GB"/>
              </w:rPr>
              <w:t>2.3.1</w:t>
            </w:r>
            <w:r w:rsidR="003C174F" w:rsidRPr="000D302F">
              <w:rPr>
                <w:b/>
                <w:bCs/>
                <w:sz w:val="16"/>
                <w:szCs w:val="16"/>
                <w:lang w:val="en-GB" w:eastAsia="en-GB"/>
              </w:rPr>
              <w:t>.</w:t>
            </w:r>
            <w:r w:rsidRPr="000D302F">
              <w:rPr>
                <w:b/>
                <w:bCs/>
                <w:sz w:val="16"/>
                <w:szCs w:val="16"/>
                <w:lang w:val="en-GB" w:eastAsia="en-GB"/>
              </w:rPr>
              <w:t xml:space="preserve">: </w:t>
            </w:r>
            <w:bookmarkStart w:id="10" w:name="_Hlk114678591"/>
            <w:r w:rsidRPr="000D302F">
              <w:rPr>
                <w:b/>
                <w:bCs/>
                <w:sz w:val="16"/>
                <w:szCs w:val="16"/>
                <w:lang w:val="en-GB" w:eastAsia="en-GB"/>
              </w:rPr>
              <w:t>Number of legal, technical</w:t>
            </w:r>
            <w:r w:rsidR="003C174F" w:rsidRPr="000D302F">
              <w:rPr>
                <w:b/>
                <w:bCs/>
                <w:sz w:val="16"/>
                <w:szCs w:val="16"/>
                <w:lang w:val="en-GB" w:eastAsia="en-GB"/>
              </w:rPr>
              <w:t>,</w:t>
            </w:r>
            <w:r w:rsidRPr="000D302F">
              <w:rPr>
                <w:b/>
                <w:bCs/>
                <w:sz w:val="16"/>
                <w:szCs w:val="16"/>
                <w:lang w:val="en-GB" w:eastAsia="en-GB"/>
              </w:rPr>
              <w:t xml:space="preserve"> and regulatory instruments developed and adopted to de-risk investment in </w:t>
            </w:r>
            <w:bookmarkEnd w:id="10"/>
            <w:r w:rsidRPr="000D302F">
              <w:rPr>
                <w:b/>
                <w:bCs/>
                <w:sz w:val="16"/>
                <w:szCs w:val="16"/>
                <w:lang w:val="en-GB" w:eastAsia="en-GB"/>
              </w:rPr>
              <w:t>renewable energy.</w:t>
            </w:r>
          </w:p>
          <w:p w14:paraId="00E8FCC3" w14:textId="77777777" w:rsidR="00566569" w:rsidRPr="003C174F" w:rsidRDefault="00566569" w:rsidP="00566569">
            <w:pPr>
              <w:rPr>
                <w:sz w:val="16"/>
                <w:szCs w:val="16"/>
                <w:lang w:val="en-GB" w:eastAsia="en-GB"/>
              </w:rPr>
            </w:pPr>
            <w:r w:rsidRPr="00074431">
              <w:rPr>
                <w:sz w:val="16"/>
                <w:szCs w:val="16"/>
                <w:lang w:eastAsia="en-GB"/>
              </w:rPr>
              <w:t>Baseline (2022)</w:t>
            </w:r>
            <w:r w:rsidRPr="003C174F">
              <w:rPr>
                <w:sz w:val="16"/>
                <w:szCs w:val="16"/>
                <w:lang w:val="en-GB" w:eastAsia="en-GB"/>
              </w:rPr>
              <w:t xml:space="preserve">: 2 </w:t>
            </w:r>
          </w:p>
          <w:p w14:paraId="053584AF" w14:textId="77777777" w:rsidR="00566569" w:rsidRPr="003C174F" w:rsidRDefault="00566569" w:rsidP="00566569">
            <w:pPr>
              <w:rPr>
                <w:sz w:val="16"/>
                <w:szCs w:val="16"/>
                <w:lang w:val="en-GB" w:eastAsia="en-GB"/>
              </w:rPr>
            </w:pPr>
            <w:r w:rsidRPr="00074431">
              <w:rPr>
                <w:sz w:val="16"/>
                <w:szCs w:val="16"/>
                <w:lang w:eastAsia="en-GB"/>
              </w:rPr>
              <w:t>Target (2027)</w:t>
            </w:r>
            <w:r w:rsidRPr="003C174F">
              <w:rPr>
                <w:sz w:val="16"/>
                <w:szCs w:val="16"/>
                <w:lang w:val="en-GB" w:eastAsia="en-GB"/>
              </w:rPr>
              <w:t xml:space="preserve">: 4 </w:t>
            </w:r>
          </w:p>
          <w:p w14:paraId="712FD7C2" w14:textId="77777777" w:rsidR="00566569" w:rsidRPr="003C174F" w:rsidRDefault="00566569" w:rsidP="00566569">
            <w:pPr>
              <w:rPr>
                <w:sz w:val="16"/>
                <w:szCs w:val="16"/>
                <w:lang w:val="en-GB" w:eastAsia="en-GB"/>
              </w:rPr>
            </w:pPr>
            <w:r w:rsidRPr="00074431">
              <w:rPr>
                <w:sz w:val="16"/>
                <w:szCs w:val="16"/>
                <w:lang w:eastAsia="en-GB"/>
              </w:rPr>
              <w:t>Data source</w:t>
            </w:r>
            <w:r w:rsidRPr="00074431">
              <w:rPr>
                <w:sz w:val="16"/>
                <w:szCs w:val="16"/>
                <w:lang w:val="en-GB" w:eastAsia="en-GB"/>
              </w:rPr>
              <w:t>:</w:t>
            </w:r>
            <w:r w:rsidRPr="003C174F">
              <w:rPr>
                <w:sz w:val="16"/>
                <w:szCs w:val="16"/>
                <w:lang w:val="en-GB" w:eastAsia="en-GB"/>
              </w:rPr>
              <w:t xml:space="preserve"> State Gazette</w:t>
            </w:r>
          </w:p>
          <w:p w14:paraId="53751CED" w14:textId="77777777" w:rsidR="00566569" w:rsidRPr="003C174F" w:rsidRDefault="00566569" w:rsidP="00566569">
            <w:pPr>
              <w:spacing w:after="120"/>
              <w:rPr>
                <w:sz w:val="16"/>
                <w:szCs w:val="16"/>
                <w:lang w:val="en-GB" w:eastAsia="en-GB"/>
              </w:rPr>
            </w:pPr>
            <w:r w:rsidRPr="00074431">
              <w:rPr>
                <w:sz w:val="16"/>
                <w:szCs w:val="16"/>
                <w:lang w:eastAsia="en-GB"/>
              </w:rPr>
              <w:t>Frequency</w:t>
            </w:r>
            <w:r w:rsidRPr="00074431">
              <w:rPr>
                <w:sz w:val="16"/>
                <w:szCs w:val="16"/>
                <w:lang w:val="en-GB" w:eastAsia="en-GB"/>
              </w:rPr>
              <w:t>:</w:t>
            </w:r>
            <w:r w:rsidRPr="003C174F">
              <w:rPr>
                <w:sz w:val="16"/>
                <w:szCs w:val="16"/>
                <w:lang w:val="en-GB" w:eastAsia="en-GB"/>
              </w:rPr>
              <w:t xml:space="preserve"> Annual</w:t>
            </w:r>
          </w:p>
          <w:p w14:paraId="4EE39CD1" w14:textId="552773EC" w:rsidR="00566569" w:rsidRPr="000D302F" w:rsidRDefault="00566569" w:rsidP="00566569">
            <w:pPr>
              <w:jc w:val="both"/>
              <w:rPr>
                <w:b/>
                <w:bCs/>
                <w:sz w:val="16"/>
                <w:szCs w:val="16"/>
                <w:lang w:val="en-GB"/>
              </w:rPr>
            </w:pPr>
            <w:r w:rsidRPr="000D302F">
              <w:rPr>
                <w:b/>
                <w:bCs/>
                <w:sz w:val="16"/>
                <w:szCs w:val="16"/>
                <w:lang w:val="en-GB" w:eastAsia="en-GB"/>
              </w:rPr>
              <w:t>2.3.2</w:t>
            </w:r>
            <w:r w:rsidR="003C174F" w:rsidRPr="000D302F">
              <w:rPr>
                <w:b/>
                <w:bCs/>
                <w:sz w:val="16"/>
                <w:szCs w:val="16"/>
                <w:lang w:val="en-GB" w:eastAsia="en-GB"/>
              </w:rPr>
              <w:t>.</w:t>
            </w:r>
            <w:r w:rsidRPr="000D302F">
              <w:rPr>
                <w:b/>
                <w:bCs/>
                <w:sz w:val="16"/>
                <w:szCs w:val="16"/>
                <w:lang w:val="en-GB" w:eastAsia="en-GB"/>
              </w:rPr>
              <w:t xml:space="preserve">: Percentage of renewable energy in the </w:t>
            </w:r>
            <w:r w:rsidR="003C174F" w:rsidRPr="000D302F">
              <w:rPr>
                <w:b/>
                <w:bCs/>
                <w:sz w:val="16"/>
                <w:szCs w:val="16"/>
                <w:lang w:val="en-GB" w:eastAsia="en-GB"/>
              </w:rPr>
              <w:t xml:space="preserve">national </w:t>
            </w:r>
            <w:r w:rsidRPr="000D302F">
              <w:rPr>
                <w:b/>
                <w:bCs/>
                <w:sz w:val="16"/>
                <w:szCs w:val="16"/>
                <w:lang w:val="en-GB" w:eastAsia="en-GB"/>
              </w:rPr>
              <w:t>electricity matrix</w:t>
            </w:r>
            <w:r w:rsidR="003C174F" w:rsidRPr="000D302F">
              <w:rPr>
                <w:b/>
                <w:bCs/>
                <w:sz w:val="16"/>
                <w:szCs w:val="16"/>
                <w:lang w:val="en-GB" w:eastAsia="en-GB"/>
              </w:rPr>
              <w:t>.</w:t>
            </w:r>
            <w:r w:rsidRPr="000D302F">
              <w:rPr>
                <w:b/>
                <w:bCs/>
                <w:sz w:val="16"/>
                <w:szCs w:val="16"/>
                <w:lang w:val="en-GB" w:eastAsia="en-GB"/>
              </w:rPr>
              <w:t xml:space="preserve"> </w:t>
            </w:r>
          </w:p>
          <w:p w14:paraId="0D03ED46" w14:textId="77777777" w:rsidR="00566569" w:rsidRPr="003C174F" w:rsidRDefault="00566569" w:rsidP="00566569">
            <w:pPr>
              <w:jc w:val="both"/>
              <w:rPr>
                <w:sz w:val="16"/>
                <w:szCs w:val="16"/>
                <w:lang w:val="en-GB" w:eastAsia="en-GB"/>
              </w:rPr>
            </w:pPr>
            <w:r w:rsidRPr="00074431">
              <w:rPr>
                <w:sz w:val="16"/>
                <w:szCs w:val="16"/>
                <w:lang w:eastAsia="en-GB"/>
              </w:rPr>
              <w:t>Baseline (2021)</w:t>
            </w:r>
            <w:r w:rsidRPr="003C174F">
              <w:rPr>
                <w:sz w:val="16"/>
                <w:szCs w:val="16"/>
                <w:lang w:val="en-GB" w:eastAsia="en-GB"/>
              </w:rPr>
              <w:t xml:space="preserve">: 5% </w:t>
            </w:r>
          </w:p>
          <w:p w14:paraId="6AB246C2" w14:textId="77777777" w:rsidR="00566569" w:rsidRPr="003C174F" w:rsidRDefault="00566569" w:rsidP="00566569">
            <w:pPr>
              <w:jc w:val="both"/>
              <w:rPr>
                <w:sz w:val="16"/>
                <w:szCs w:val="16"/>
                <w:lang w:val="en-GB" w:eastAsia="en-GB"/>
              </w:rPr>
            </w:pPr>
            <w:r w:rsidRPr="00074431">
              <w:rPr>
                <w:sz w:val="16"/>
                <w:szCs w:val="16"/>
                <w:lang w:eastAsia="en-GB"/>
              </w:rPr>
              <w:lastRenderedPageBreak/>
              <w:t>Target (2027)</w:t>
            </w:r>
            <w:r w:rsidRPr="00074431">
              <w:rPr>
                <w:sz w:val="16"/>
                <w:szCs w:val="16"/>
                <w:lang w:val="en-GB" w:eastAsia="en-GB"/>
              </w:rPr>
              <w:t>:</w:t>
            </w:r>
            <w:r w:rsidRPr="003C174F">
              <w:rPr>
                <w:sz w:val="16"/>
                <w:szCs w:val="16"/>
                <w:lang w:val="en-GB" w:eastAsia="en-GB"/>
              </w:rPr>
              <w:t xml:space="preserve">  30%</w:t>
            </w:r>
          </w:p>
          <w:p w14:paraId="54516062" w14:textId="0A894FEE" w:rsidR="00566569" w:rsidRPr="003C174F" w:rsidRDefault="00566569" w:rsidP="00566569">
            <w:pPr>
              <w:jc w:val="both"/>
              <w:rPr>
                <w:sz w:val="16"/>
                <w:szCs w:val="16"/>
                <w:lang w:val="en-GB" w:eastAsia="en-GB"/>
              </w:rPr>
            </w:pPr>
            <w:r w:rsidRPr="00074431">
              <w:rPr>
                <w:sz w:val="16"/>
                <w:szCs w:val="16"/>
                <w:lang w:eastAsia="en-GB"/>
              </w:rPr>
              <w:t>Data source</w:t>
            </w:r>
            <w:r w:rsidRPr="00074431">
              <w:rPr>
                <w:sz w:val="16"/>
                <w:szCs w:val="16"/>
                <w:lang w:val="en-GB" w:eastAsia="en-GB"/>
              </w:rPr>
              <w:t>:</w:t>
            </w:r>
            <w:r w:rsidRPr="003C174F">
              <w:rPr>
                <w:sz w:val="16"/>
                <w:szCs w:val="16"/>
                <w:lang w:val="en-GB" w:eastAsia="en-GB"/>
              </w:rPr>
              <w:t xml:space="preserve"> EMAE and donor reports</w:t>
            </w:r>
          </w:p>
          <w:p w14:paraId="50EB7C9F" w14:textId="77777777" w:rsidR="00566569" w:rsidRPr="00952B94" w:rsidRDefault="00566569" w:rsidP="00566569">
            <w:pPr>
              <w:jc w:val="both"/>
              <w:rPr>
                <w:sz w:val="16"/>
                <w:szCs w:val="16"/>
                <w:lang w:val="en-GB" w:eastAsia="en-GB"/>
              </w:rPr>
            </w:pPr>
            <w:r w:rsidRPr="00074431">
              <w:rPr>
                <w:sz w:val="16"/>
                <w:szCs w:val="16"/>
                <w:lang w:eastAsia="en-GB"/>
              </w:rPr>
              <w:t>Frequency</w:t>
            </w:r>
            <w:r w:rsidRPr="00074431">
              <w:rPr>
                <w:sz w:val="16"/>
                <w:szCs w:val="16"/>
                <w:lang w:val="en-GB" w:eastAsia="en-GB"/>
              </w:rPr>
              <w:t>:</w:t>
            </w:r>
            <w:r w:rsidRPr="003C174F">
              <w:rPr>
                <w:sz w:val="16"/>
                <w:szCs w:val="16"/>
                <w:lang w:val="en-GB" w:eastAsia="en-GB"/>
              </w:rPr>
              <w:t xml:space="preserve"> Annual</w:t>
            </w:r>
          </w:p>
        </w:tc>
        <w:tc>
          <w:tcPr>
            <w:tcW w:w="1701" w:type="dxa"/>
            <w:vMerge/>
            <w:tcBorders>
              <w:bottom w:val="single" w:sz="4" w:space="0" w:color="auto"/>
            </w:tcBorders>
          </w:tcPr>
          <w:p w14:paraId="7518C49D" w14:textId="77777777" w:rsidR="00566569" w:rsidRPr="00952B94" w:rsidRDefault="00566569" w:rsidP="00566569">
            <w:pPr>
              <w:spacing w:after="60"/>
              <w:rPr>
                <w:sz w:val="16"/>
                <w:szCs w:val="16"/>
                <w:lang w:val="en-GB" w:eastAsia="en-GB"/>
              </w:rPr>
            </w:pPr>
          </w:p>
        </w:tc>
        <w:tc>
          <w:tcPr>
            <w:tcW w:w="1843" w:type="dxa"/>
            <w:vMerge/>
            <w:tcBorders>
              <w:bottom w:val="single" w:sz="4" w:space="0" w:color="auto"/>
            </w:tcBorders>
          </w:tcPr>
          <w:p w14:paraId="523BA79B" w14:textId="77777777" w:rsidR="00566569" w:rsidRPr="00952B94" w:rsidRDefault="00566569" w:rsidP="00566569">
            <w:pPr>
              <w:jc w:val="both"/>
              <w:rPr>
                <w:sz w:val="16"/>
                <w:szCs w:val="16"/>
                <w:lang w:val="en-GB" w:eastAsia="en-GB"/>
              </w:rPr>
            </w:pPr>
          </w:p>
        </w:tc>
      </w:tr>
      <w:tr w:rsidR="00566569" w:rsidRPr="00952B94" w14:paraId="5912E08E" w14:textId="77777777" w:rsidTr="00952B94">
        <w:tblPrEx>
          <w:tblBorders>
            <w:insideH w:val="single" w:sz="6" w:space="0" w:color="auto"/>
            <w:insideV w:val="single" w:sz="6" w:space="0" w:color="auto"/>
          </w:tblBorders>
          <w:tblCellMar>
            <w:left w:w="0" w:type="dxa"/>
            <w:right w:w="0" w:type="dxa"/>
          </w:tblCellMar>
        </w:tblPrEx>
        <w:tc>
          <w:tcPr>
            <w:tcW w:w="14029" w:type="dxa"/>
            <w:gridSpan w:val="6"/>
            <w:shd w:val="clear" w:color="auto" w:fill="DBE5F1"/>
          </w:tcPr>
          <w:p w14:paraId="076C194A" w14:textId="3EB2C45F" w:rsidR="00566569" w:rsidRPr="00952B94" w:rsidRDefault="00566569" w:rsidP="00566569">
            <w:pPr>
              <w:spacing w:after="120"/>
              <w:textAlignment w:val="baseline"/>
              <w:rPr>
                <w:sz w:val="16"/>
                <w:szCs w:val="16"/>
                <w:lang w:val="en-GB" w:eastAsia="en-GB"/>
              </w:rPr>
            </w:pPr>
            <w:r w:rsidRPr="00952B94">
              <w:rPr>
                <w:b/>
                <w:bCs/>
                <w:sz w:val="16"/>
                <w:szCs w:val="16"/>
                <w:lang w:val="en-GB" w:eastAsia="en-GB"/>
              </w:rPr>
              <w:t xml:space="preserve">NATIONAL PRIORITY OR GOAL: </w:t>
            </w:r>
            <w:r w:rsidR="003C174F">
              <w:rPr>
                <w:sz w:val="16"/>
                <w:szCs w:val="16"/>
                <w:lang w:val="en-GB" w:eastAsia="en-GB"/>
              </w:rPr>
              <w:t>I</w:t>
            </w:r>
            <w:r w:rsidRPr="00952B94">
              <w:rPr>
                <w:sz w:val="16"/>
                <w:szCs w:val="16"/>
                <w:lang w:val="en-GB" w:eastAsia="en-GB"/>
              </w:rPr>
              <w:t>mprove productive sectors, while protect</w:t>
            </w:r>
            <w:r w:rsidR="003C174F">
              <w:rPr>
                <w:sz w:val="16"/>
                <w:szCs w:val="16"/>
                <w:lang w:val="en-GB" w:eastAsia="en-GB"/>
              </w:rPr>
              <w:t>ing</w:t>
            </w:r>
            <w:r w:rsidRPr="00952B94">
              <w:rPr>
                <w:sz w:val="16"/>
                <w:szCs w:val="16"/>
                <w:lang w:val="en-GB" w:eastAsia="en-GB"/>
              </w:rPr>
              <w:t xml:space="preserve"> jobs and promot</w:t>
            </w:r>
            <w:r w:rsidR="003C174F">
              <w:rPr>
                <w:sz w:val="16"/>
                <w:szCs w:val="16"/>
                <w:lang w:val="en-GB" w:eastAsia="en-GB"/>
              </w:rPr>
              <w:t>ing</w:t>
            </w:r>
            <w:r w:rsidRPr="00952B94">
              <w:rPr>
                <w:sz w:val="16"/>
                <w:szCs w:val="16"/>
                <w:lang w:val="en-GB" w:eastAsia="en-GB"/>
              </w:rPr>
              <w:t xml:space="preserve"> decent work.</w:t>
            </w:r>
            <w:r w:rsidR="00D2245D" w:rsidRPr="00952B94">
              <w:t xml:space="preserve"> </w:t>
            </w:r>
            <w:r w:rsidR="00D2245D" w:rsidRPr="00952B94">
              <w:rPr>
                <w:sz w:val="16"/>
                <w:szCs w:val="16"/>
                <w:lang w:val="en-GB" w:eastAsia="en-GB"/>
              </w:rPr>
              <w:t>(PNARME Objective 3)</w:t>
            </w:r>
          </w:p>
        </w:tc>
      </w:tr>
      <w:tr w:rsidR="00566569" w:rsidRPr="00952B94" w14:paraId="0A97765D" w14:textId="77777777" w:rsidTr="00952B94">
        <w:tblPrEx>
          <w:tblBorders>
            <w:insideH w:val="single" w:sz="6" w:space="0" w:color="auto"/>
            <w:insideV w:val="single" w:sz="6" w:space="0" w:color="auto"/>
          </w:tblBorders>
          <w:tblCellMar>
            <w:left w:w="0" w:type="dxa"/>
            <w:right w:w="0" w:type="dxa"/>
          </w:tblCellMar>
        </w:tblPrEx>
        <w:tc>
          <w:tcPr>
            <w:tcW w:w="14029" w:type="dxa"/>
            <w:gridSpan w:val="6"/>
            <w:shd w:val="clear" w:color="auto" w:fill="DBE5F1"/>
          </w:tcPr>
          <w:p w14:paraId="443D9C06" w14:textId="2207EA56" w:rsidR="00566569" w:rsidRPr="00952B94" w:rsidRDefault="00566569" w:rsidP="00566569">
            <w:pPr>
              <w:spacing w:after="120"/>
              <w:textAlignment w:val="baseline"/>
              <w:rPr>
                <w:sz w:val="16"/>
                <w:szCs w:val="16"/>
                <w:lang w:val="en-GB" w:eastAsia="en-GB"/>
              </w:rPr>
            </w:pPr>
            <w:r w:rsidRPr="00952B94">
              <w:rPr>
                <w:b/>
                <w:bCs/>
                <w:sz w:val="16"/>
                <w:szCs w:val="16"/>
                <w:lang w:val="en-GB" w:eastAsia="en-GB"/>
              </w:rPr>
              <w:t xml:space="preserve">COOPERATION FRAMEWORK OUTCOME INVOLVING UNDP #3: </w:t>
            </w:r>
            <w:r w:rsidRPr="00952B94">
              <w:rPr>
                <w:sz w:val="16"/>
                <w:szCs w:val="16"/>
                <w:lang w:eastAsia="en-GB"/>
              </w:rPr>
              <w:t>By 2027, national stakeholders generate substantially more decent jobs in an environmentally friendly blue and green economy</w:t>
            </w:r>
            <w:r w:rsidR="003C174F">
              <w:rPr>
                <w:sz w:val="16"/>
                <w:szCs w:val="16"/>
                <w:lang w:eastAsia="en-GB"/>
              </w:rPr>
              <w:t>.</w:t>
            </w:r>
            <w:r w:rsidRPr="00952B94">
              <w:rPr>
                <w:sz w:val="16"/>
                <w:szCs w:val="16"/>
                <w:lang w:val="en-GB" w:eastAsia="en-GB"/>
              </w:rPr>
              <w:t> </w:t>
            </w:r>
          </w:p>
        </w:tc>
      </w:tr>
      <w:tr w:rsidR="00566569" w:rsidRPr="00952B94" w14:paraId="142822B7" w14:textId="77777777" w:rsidTr="00952B94">
        <w:tblPrEx>
          <w:tblBorders>
            <w:insideH w:val="single" w:sz="6" w:space="0" w:color="auto"/>
            <w:insideV w:val="single" w:sz="6" w:space="0" w:color="auto"/>
          </w:tblBorders>
          <w:tblCellMar>
            <w:left w:w="0" w:type="dxa"/>
            <w:right w:w="0" w:type="dxa"/>
          </w:tblCellMar>
        </w:tblPrEx>
        <w:tc>
          <w:tcPr>
            <w:tcW w:w="14029" w:type="dxa"/>
            <w:gridSpan w:val="6"/>
            <w:shd w:val="clear" w:color="auto" w:fill="DBE5F1"/>
          </w:tcPr>
          <w:p w14:paraId="6FA47BA4" w14:textId="23BCE8F7" w:rsidR="00566569" w:rsidRPr="00952B94" w:rsidRDefault="00566569" w:rsidP="00566569">
            <w:pPr>
              <w:spacing w:after="120"/>
              <w:textAlignment w:val="baseline"/>
              <w:rPr>
                <w:rFonts w:eastAsia="Arial Nova"/>
                <w:sz w:val="16"/>
                <w:szCs w:val="16"/>
                <w:lang w:val="en-GB"/>
              </w:rPr>
            </w:pPr>
            <w:r w:rsidRPr="00952B94">
              <w:rPr>
                <w:b/>
                <w:bCs/>
                <w:sz w:val="16"/>
                <w:szCs w:val="16"/>
                <w:lang w:val="en-GB" w:eastAsia="en-GB"/>
              </w:rPr>
              <w:t xml:space="preserve">RELATED STRATEGIC PLAN OUTCOME 2: </w:t>
            </w:r>
            <w:r w:rsidRPr="00952B94">
              <w:rPr>
                <w:sz w:val="16"/>
                <w:szCs w:val="16"/>
                <w:lang w:val="en-GB"/>
              </w:rPr>
              <w:t>Structural transformation accelerated, particularly green, inclusive</w:t>
            </w:r>
            <w:r w:rsidR="003C174F">
              <w:rPr>
                <w:sz w:val="16"/>
                <w:szCs w:val="16"/>
                <w:lang w:val="en-GB"/>
              </w:rPr>
              <w:t>,</w:t>
            </w:r>
            <w:r w:rsidRPr="00952B94">
              <w:rPr>
                <w:sz w:val="16"/>
                <w:szCs w:val="16"/>
                <w:lang w:val="en-GB"/>
              </w:rPr>
              <w:t xml:space="preserve"> and digital transitions.</w:t>
            </w:r>
          </w:p>
        </w:tc>
      </w:tr>
      <w:tr w:rsidR="00566569" w:rsidRPr="00952B94" w14:paraId="10C175B5" w14:textId="77777777" w:rsidTr="00952B94">
        <w:tblPrEx>
          <w:tblBorders>
            <w:insideH w:val="single" w:sz="6" w:space="0" w:color="auto"/>
            <w:insideV w:val="single" w:sz="6" w:space="0" w:color="auto"/>
          </w:tblBorders>
          <w:tblCellMar>
            <w:left w:w="0" w:type="dxa"/>
            <w:right w:w="0" w:type="dxa"/>
          </w:tblCellMar>
        </w:tblPrEx>
        <w:tc>
          <w:tcPr>
            <w:tcW w:w="2405" w:type="dxa"/>
            <w:gridSpan w:val="2"/>
            <w:vMerge w:val="restart"/>
            <w:shd w:val="clear" w:color="auto" w:fill="auto"/>
          </w:tcPr>
          <w:p w14:paraId="12FCFFBC" w14:textId="0BD7730C" w:rsidR="00566569" w:rsidRPr="00952B94" w:rsidRDefault="004A5A34" w:rsidP="00566569">
            <w:pPr>
              <w:textAlignment w:val="baseline"/>
              <w:rPr>
                <w:b/>
                <w:bCs/>
                <w:sz w:val="16"/>
                <w:szCs w:val="16"/>
                <w:lang w:eastAsia="en-GB"/>
              </w:rPr>
            </w:pPr>
            <w:r>
              <w:rPr>
                <w:b/>
                <w:bCs/>
                <w:sz w:val="16"/>
                <w:szCs w:val="16"/>
                <w:lang w:eastAsia="en-GB"/>
              </w:rPr>
              <w:t xml:space="preserve">Indicator </w:t>
            </w:r>
            <w:r w:rsidR="00566569" w:rsidRPr="00952B94">
              <w:rPr>
                <w:b/>
                <w:bCs/>
                <w:sz w:val="16"/>
                <w:szCs w:val="16"/>
                <w:lang w:eastAsia="en-GB"/>
              </w:rPr>
              <w:t>3.1</w:t>
            </w:r>
            <w:r>
              <w:rPr>
                <w:b/>
                <w:bCs/>
                <w:sz w:val="16"/>
                <w:szCs w:val="16"/>
                <w:lang w:eastAsia="en-GB"/>
              </w:rPr>
              <w:t>.:</w:t>
            </w:r>
            <w:r w:rsidR="00566569" w:rsidRPr="00952B94">
              <w:rPr>
                <w:b/>
                <w:bCs/>
                <w:sz w:val="16"/>
                <w:szCs w:val="16"/>
                <w:lang w:eastAsia="en-GB"/>
              </w:rPr>
              <w:t xml:space="preserve"> </w:t>
            </w:r>
            <w:r w:rsidR="00E73708" w:rsidRPr="00952B94">
              <w:rPr>
                <w:b/>
                <w:bCs/>
                <w:sz w:val="16"/>
                <w:szCs w:val="16"/>
                <w:lang w:eastAsia="en-GB"/>
              </w:rPr>
              <w:t>Proportion of informal employment in total employment</w:t>
            </w:r>
          </w:p>
          <w:p w14:paraId="0EEB9A87" w14:textId="6CACF673" w:rsidR="00566569" w:rsidRPr="00952B94" w:rsidRDefault="00566569" w:rsidP="00566569">
            <w:pPr>
              <w:textAlignment w:val="baseline"/>
              <w:rPr>
                <w:sz w:val="16"/>
                <w:szCs w:val="16"/>
                <w:lang w:eastAsia="en-GB"/>
              </w:rPr>
            </w:pPr>
            <w:r w:rsidRPr="00952B94">
              <w:rPr>
                <w:b/>
                <w:bCs/>
                <w:sz w:val="16"/>
                <w:szCs w:val="16"/>
                <w:lang w:eastAsia="en-GB"/>
              </w:rPr>
              <w:t xml:space="preserve">Baseline: </w:t>
            </w:r>
            <w:r w:rsidR="00E73708" w:rsidRPr="00952B94">
              <w:rPr>
                <w:sz w:val="16"/>
                <w:szCs w:val="16"/>
                <w:lang w:eastAsia="en-GB"/>
              </w:rPr>
              <w:t xml:space="preserve">68.3% </w:t>
            </w:r>
            <w:r w:rsidR="00687F49" w:rsidRPr="00952B94">
              <w:rPr>
                <w:sz w:val="16"/>
                <w:szCs w:val="16"/>
                <w:lang w:eastAsia="en-GB"/>
              </w:rPr>
              <w:t>(</w:t>
            </w:r>
            <w:r w:rsidR="00451F23" w:rsidRPr="00952B94">
              <w:rPr>
                <w:sz w:val="16"/>
                <w:szCs w:val="16"/>
                <w:lang w:eastAsia="en-GB"/>
              </w:rPr>
              <w:t>2020</w:t>
            </w:r>
            <w:r w:rsidR="00687F49" w:rsidRPr="00952B94">
              <w:rPr>
                <w:sz w:val="16"/>
                <w:szCs w:val="16"/>
                <w:lang w:eastAsia="en-GB"/>
              </w:rPr>
              <w:t>)</w:t>
            </w:r>
          </w:p>
          <w:p w14:paraId="7F93EE9A" w14:textId="5A12278D" w:rsidR="00566569" w:rsidRPr="00952B94" w:rsidRDefault="00566569" w:rsidP="00566569">
            <w:pPr>
              <w:textAlignment w:val="baseline"/>
              <w:rPr>
                <w:sz w:val="16"/>
                <w:szCs w:val="16"/>
                <w:lang w:eastAsia="en-GB"/>
              </w:rPr>
            </w:pPr>
            <w:r w:rsidRPr="00952B94">
              <w:rPr>
                <w:b/>
                <w:bCs/>
                <w:sz w:val="16"/>
                <w:szCs w:val="16"/>
                <w:lang w:eastAsia="en-GB"/>
              </w:rPr>
              <w:t>Target:</w:t>
            </w:r>
            <w:r w:rsidRPr="00952B94">
              <w:rPr>
                <w:sz w:val="16"/>
                <w:szCs w:val="16"/>
                <w:lang w:eastAsia="en-GB"/>
              </w:rPr>
              <w:t xml:space="preserve"> </w:t>
            </w:r>
            <w:r w:rsidR="00AC425A" w:rsidRPr="00952B94">
              <w:rPr>
                <w:sz w:val="16"/>
                <w:szCs w:val="16"/>
                <w:lang w:eastAsia="en-GB"/>
              </w:rPr>
              <w:t>55% (2027)</w:t>
            </w:r>
          </w:p>
          <w:p w14:paraId="693587AC" w14:textId="77777777" w:rsidR="00566569" w:rsidRPr="00952B94" w:rsidRDefault="00566569" w:rsidP="00566569">
            <w:pPr>
              <w:textAlignment w:val="baseline"/>
              <w:rPr>
                <w:b/>
                <w:bCs/>
                <w:sz w:val="16"/>
                <w:szCs w:val="16"/>
                <w:lang w:eastAsia="en-GB"/>
              </w:rPr>
            </w:pPr>
          </w:p>
          <w:p w14:paraId="45A2C9E5" w14:textId="659082D5" w:rsidR="00566569" w:rsidRPr="00952B94" w:rsidRDefault="004A5A34" w:rsidP="00566569">
            <w:pPr>
              <w:textAlignment w:val="baseline"/>
              <w:rPr>
                <w:b/>
                <w:bCs/>
                <w:sz w:val="16"/>
                <w:szCs w:val="16"/>
                <w:lang w:eastAsia="en-GB"/>
              </w:rPr>
            </w:pPr>
            <w:r>
              <w:rPr>
                <w:b/>
                <w:bCs/>
                <w:sz w:val="16"/>
                <w:szCs w:val="16"/>
                <w:lang w:eastAsia="en-GB"/>
              </w:rPr>
              <w:t xml:space="preserve">Indicator </w:t>
            </w:r>
            <w:r w:rsidR="00566569" w:rsidRPr="00952B94">
              <w:rPr>
                <w:b/>
                <w:bCs/>
                <w:sz w:val="16"/>
                <w:szCs w:val="16"/>
                <w:lang w:eastAsia="en-GB"/>
              </w:rPr>
              <w:t>3.3</w:t>
            </w:r>
            <w:r>
              <w:rPr>
                <w:b/>
                <w:bCs/>
                <w:sz w:val="16"/>
                <w:szCs w:val="16"/>
                <w:lang w:eastAsia="en-GB"/>
              </w:rPr>
              <w:t>.:</w:t>
            </w:r>
            <w:r w:rsidR="00566569" w:rsidRPr="00952B94">
              <w:rPr>
                <w:b/>
                <w:bCs/>
                <w:sz w:val="16"/>
                <w:szCs w:val="16"/>
                <w:lang w:eastAsia="en-GB"/>
              </w:rPr>
              <w:t xml:space="preserve"> Tourism </w:t>
            </w:r>
            <w:r w:rsidR="00E73708" w:rsidRPr="00952B94">
              <w:rPr>
                <w:b/>
                <w:bCs/>
                <w:sz w:val="16"/>
                <w:szCs w:val="16"/>
                <w:lang w:eastAsia="en-GB"/>
              </w:rPr>
              <w:t>direct GDP as a percentage of total GDP</w:t>
            </w:r>
            <w:r w:rsidR="00566569" w:rsidRPr="00952B94">
              <w:rPr>
                <w:b/>
                <w:bCs/>
                <w:sz w:val="16"/>
                <w:szCs w:val="16"/>
                <w:lang w:eastAsia="en-GB"/>
              </w:rPr>
              <w:t>.</w:t>
            </w:r>
          </w:p>
          <w:p w14:paraId="11282C10" w14:textId="77777777" w:rsidR="00566569" w:rsidRPr="00952B94" w:rsidRDefault="00566569" w:rsidP="00566569">
            <w:pPr>
              <w:textAlignment w:val="baseline"/>
              <w:rPr>
                <w:b/>
                <w:bCs/>
                <w:sz w:val="16"/>
                <w:szCs w:val="16"/>
                <w:lang w:eastAsia="en-GB"/>
              </w:rPr>
            </w:pPr>
            <w:r w:rsidRPr="00952B94">
              <w:rPr>
                <w:b/>
                <w:bCs/>
                <w:sz w:val="16"/>
                <w:szCs w:val="16"/>
                <w:lang w:eastAsia="en-GB"/>
              </w:rPr>
              <w:t xml:space="preserve">Baseline: </w:t>
            </w:r>
            <w:r w:rsidRPr="00952B94">
              <w:rPr>
                <w:sz w:val="16"/>
                <w:szCs w:val="16"/>
                <w:lang w:eastAsia="en-GB"/>
              </w:rPr>
              <w:t>14.2% (2016)</w:t>
            </w:r>
          </w:p>
          <w:p w14:paraId="4D2F1B6F" w14:textId="77777777" w:rsidR="00566569" w:rsidRPr="00952B94" w:rsidRDefault="00566569" w:rsidP="00566569">
            <w:pPr>
              <w:textAlignment w:val="baseline"/>
              <w:rPr>
                <w:b/>
                <w:bCs/>
                <w:sz w:val="16"/>
                <w:szCs w:val="16"/>
                <w:lang w:eastAsia="en-GB"/>
              </w:rPr>
            </w:pPr>
            <w:r w:rsidRPr="00952B94">
              <w:rPr>
                <w:b/>
                <w:bCs/>
                <w:sz w:val="16"/>
                <w:szCs w:val="16"/>
                <w:lang w:eastAsia="en-GB"/>
              </w:rPr>
              <w:t xml:space="preserve">Target: </w:t>
            </w:r>
            <w:r w:rsidRPr="00952B94">
              <w:rPr>
                <w:sz w:val="16"/>
                <w:szCs w:val="16"/>
                <w:lang w:eastAsia="en-GB"/>
              </w:rPr>
              <w:t>25% (2027)</w:t>
            </w:r>
          </w:p>
          <w:p w14:paraId="233C3EF4" w14:textId="77777777" w:rsidR="00566569" w:rsidRPr="00952B94" w:rsidRDefault="00566569" w:rsidP="00566569">
            <w:pPr>
              <w:textAlignment w:val="baseline"/>
              <w:rPr>
                <w:b/>
                <w:bCs/>
                <w:sz w:val="16"/>
                <w:szCs w:val="16"/>
                <w:lang w:eastAsia="en-GB"/>
              </w:rPr>
            </w:pPr>
          </w:p>
          <w:p w14:paraId="5947D102" w14:textId="4016F67F" w:rsidR="00566569" w:rsidRPr="00952B94" w:rsidRDefault="004A5A34" w:rsidP="00566569">
            <w:pPr>
              <w:textAlignment w:val="baseline"/>
              <w:rPr>
                <w:b/>
                <w:bCs/>
                <w:sz w:val="16"/>
                <w:szCs w:val="16"/>
                <w:lang w:eastAsia="en-GB"/>
              </w:rPr>
            </w:pPr>
            <w:r>
              <w:rPr>
                <w:b/>
                <w:bCs/>
                <w:sz w:val="16"/>
                <w:szCs w:val="16"/>
                <w:lang w:eastAsia="en-GB"/>
              </w:rPr>
              <w:t xml:space="preserve">Indicator </w:t>
            </w:r>
            <w:r w:rsidR="00566569" w:rsidRPr="00952B94">
              <w:rPr>
                <w:b/>
                <w:bCs/>
                <w:sz w:val="16"/>
                <w:szCs w:val="16"/>
                <w:lang w:eastAsia="en-GB"/>
              </w:rPr>
              <w:t>3.4</w:t>
            </w:r>
            <w:r>
              <w:rPr>
                <w:b/>
                <w:bCs/>
                <w:sz w:val="16"/>
                <w:szCs w:val="16"/>
                <w:lang w:eastAsia="en-GB"/>
              </w:rPr>
              <w:t>.:</w:t>
            </w:r>
            <w:r w:rsidR="00566569" w:rsidRPr="00952B94">
              <w:rPr>
                <w:b/>
                <w:bCs/>
                <w:sz w:val="16"/>
                <w:szCs w:val="16"/>
                <w:lang w:eastAsia="en-GB"/>
              </w:rPr>
              <w:t xml:space="preserve"> </w:t>
            </w:r>
            <w:r w:rsidR="00E73708" w:rsidRPr="00952B94">
              <w:rPr>
                <w:b/>
                <w:bCs/>
                <w:sz w:val="16"/>
                <w:szCs w:val="16"/>
                <w:lang w:eastAsia="en-GB"/>
              </w:rPr>
              <w:t>Proportion of youth (aged 15–24 years) not in education, employment, or training</w:t>
            </w:r>
          </w:p>
          <w:p w14:paraId="332A26AC" w14:textId="2D440AA4" w:rsidR="00566569" w:rsidRPr="00952B94" w:rsidRDefault="00566569" w:rsidP="00566569">
            <w:pPr>
              <w:textAlignment w:val="baseline"/>
              <w:rPr>
                <w:b/>
                <w:bCs/>
                <w:sz w:val="16"/>
                <w:szCs w:val="16"/>
                <w:lang w:eastAsia="en-GB"/>
              </w:rPr>
            </w:pPr>
            <w:r w:rsidRPr="00952B94">
              <w:rPr>
                <w:b/>
                <w:bCs/>
                <w:sz w:val="16"/>
                <w:szCs w:val="16"/>
                <w:lang w:eastAsia="en-GB"/>
              </w:rPr>
              <w:t xml:space="preserve">Baseline: </w:t>
            </w:r>
            <w:r w:rsidR="00E73708" w:rsidRPr="00952B94">
              <w:rPr>
                <w:sz w:val="16"/>
                <w:szCs w:val="16"/>
                <w:lang w:eastAsia="en-GB"/>
              </w:rPr>
              <w:t>22.6%</w:t>
            </w:r>
            <w:r w:rsidR="00D71B73" w:rsidRPr="00952B94">
              <w:rPr>
                <w:sz w:val="16"/>
                <w:szCs w:val="16"/>
                <w:lang w:eastAsia="en-GB"/>
              </w:rPr>
              <w:t xml:space="preserve"> (</w:t>
            </w:r>
            <w:r w:rsidR="00117B12" w:rsidRPr="00952B94">
              <w:rPr>
                <w:sz w:val="16"/>
                <w:szCs w:val="16"/>
                <w:lang w:eastAsia="en-GB"/>
              </w:rPr>
              <w:t>2016</w:t>
            </w:r>
            <w:r w:rsidR="00D71B73" w:rsidRPr="00952B94">
              <w:rPr>
                <w:sz w:val="16"/>
                <w:szCs w:val="16"/>
                <w:lang w:eastAsia="en-GB"/>
              </w:rPr>
              <w:t>)</w:t>
            </w:r>
          </w:p>
          <w:p w14:paraId="5AD9E0C3" w14:textId="55F6E74B" w:rsidR="00566569" w:rsidRPr="00952B94" w:rsidRDefault="00566569" w:rsidP="00566569">
            <w:pPr>
              <w:textAlignment w:val="baseline"/>
              <w:rPr>
                <w:sz w:val="16"/>
                <w:szCs w:val="16"/>
                <w:lang w:eastAsia="en-GB"/>
              </w:rPr>
            </w:pPr>
            <w:r w:rsidRPr="00952B94">
              <w:rPr>
                <w:b/>
                <w:bCs/>
                <w:sz w:val="16"/>
                <w:szCs w:val="16"/>
                <w:lang w:eastAsia="en-GB"/>
              </w:rPr>
              <w:t xml:space="preserve">Target: </w:t>
            </w:r>
            <w:r w:rsidR="004066F7" w:rsidRPr="00952B94">
              <w:rPr>
                <w:sz w:val="16"/>
                <w:szCs w:val="16"/>
                <w:lang w:eastAsia="en-GB"/>
              </w:rPr>
              <w:t>18% (2027)</w:t>
            </w:r>
          </w:p>
          <w:p w14:paraId="0A1E9145" w14:textId="77777777" w:rsidR="003E68A5" w:rsidRPr="00952B94" w:rsidRDefault="003E68A5" w:rsidP="00566569">
            <w:pPr>
              <w:textAlignment w:val="baseline"/>
              <w:rPr>
                <w:sz w:val="16"/>
                <w:szCs w:val="16"/>
                <w:lang w:eastAsia="en-GB"/>
              </w:rPr>
            </w:pPr>
          </w:p>
          <w:p w14:paraId="3BDEECF3" w14:textId="48523D79" w:rsidR="003E68A5" w:rsidRPr="00952B94" w:rsidRDefault="003E68A5" w:rsidP="003E68A5">
            <w:pPr>
              <w:textAlignment w:val="baseline"/>
              <w:rPr>
                <w:b/>
                <w:bCs/>
                <w:sz w:val="16"/>
                <w:szCs w:val="16"/>
                <w:lang w:eastAsia="en-GB"/>
              </w:rPr>
            </w:pPr>
            <w:r w:rsidRPr="00952B94">
              <w:rPr>
                <w:b/>
                <w:bCs/>
                <w:sz w:val="16"/>
                <w:szCs w:val="16"/>
                <w:lang w:eastAsia="en-GB"/>
              </w:rPr>
              <w:t xml:space="preserve"> </w:t>
            </w:r>
            <w:r w:rsidR="004A5A34">
              <w:rPr>
                <w:b/>
                <w:bCs/>
                <w:sz w:val="16"/>
                <w:szCs w:val="16"/>
                <w:lang w:eastAsia="en-GB"/>
              </w:rPr>
              <w:t xml:space="preserve">Indicator </w:t>
            </w:r>
            <w:r w:rsidR="005B09B9" w:rsidRPr="00952B94">
              <w:rPr>
                <w:b/>
                <w:bCs/>
                <w:sz w:val="16"/>
                <w:szCs w:val="16"/>
                <w:lang w:eastAsia="en-GB"/>
              </w:rPr>
              <w:t>3.6</w:t>
            </w:r>
            <w:r w:rsidR="004A5A34">
              <w:rPr>
                <w:b/>
                <w:bCs/>
                <w:sz w:val="16"/>
                <w:szCs w:val="16"/>
                <w:lang w:eastAsia="en-GB"/>
              </w:rPr>
              <w:t>.:</w:t>
            </w:r>
            <w:r w:rsidR="005B09B9" w:rsidRPr="00952B94">
              <w:rPr>
                <w:b/>
                <w:bCs/>
                <w:sz w:val="16"/>
                <w:szCs w:val="16"/>
                <w:lang w:eastAsia="en-GB"/>
              </w:rPr>
              <w:t xml:space="preserve"> </w:t>
            </w:r>
            <w:r w:rsidRPr="00952B94">
              <w:rPr>
                <w:b/>
                <w:bCs/>
                <w:sz w:val="16"/>
                <w:szCs w:val="16"/>
                <w:lang w:eastAsia="en-GB"/>
              </w:rPr>
              <w:t>Green and blue economy contribution to GDP (in %)</w:t>
            </w:r>
          </w:p>
          <w:p w14:paraId="723503C9" w14:textId="6DF4A224" w:rsidR="003E68A5" w:rsidRPr="00952B94" w:rsidRDefault="003E68A5" w:rsidP="003E68A5">
            <w:pPr>
              <w:textAlignment w:val="baseline"/>
              <w:rPr>
                <w:b/>
                <w:bCs/>
                <w:sz w:val="16"/>
                <w:szCs w:val="16"/>
                <w:lang w:eastAsia="en-GB"/>
              </w:rPr>
            </w:pPr>
            <w:r w:rsidRPr="00952B94">
              <w:rPr>
                <w:b/>
                <w:bCs/>
                <w:sz w:val="16"/>
                <w:szCs w:val="16"/>
                <w:lang w:eastAsia="en-GB"/>
              </w:rPr>
              <w:t>Baseline:</w:t>
            </w:r>
            <w:r w:rsidR="008D619F" w:rsidRPr="00952B94">
              <w:rPr>
                <w:b/>
                <w:bCs/>
                <w:sz w:val="16"/>
                <w:szCs w:val="16"/>
                <w:lang w:eastAsia="en-GB"/>
              </w:rPr>
              <w:t xml:space="preserve"> </w:t>
            </w:r>
            <w:r w:rsidR="008D619F" w:rsidRPr="00952B94">
              <w:rPr>
                <w:sz w:val="16"/>
                <w:szCs w:val="16"/>
                <w:lang w:eastAsia="en-GB"/>
              </w:rPr>
              <w:t>24.9% (2019)</w:t>
            </w:r>
          </w:p>
          <w:p w14:paraId="731A725E" w14:textId="75CB5F81" w:rsidR="003E68A5" w:rsidRPr="00952B94" w:rsidRDefault="003E68A5" w:rsidP="003E68A5">
            <w:pPr>
              <w:textAlignment w:val="baseline"/>
              <w:rPr>
                <w:b/>
                <w:bCs/>
                <w:sz w:val="16"/>
                <w:szCs w:val="16"/>
                <w:lang w:eastAsia="en-GB"/>
              </w:rPr>
            </w:pPr>
            <w:r w:rsidRPr="00952B94">
              <w:rPr>
                <w:b/>
                <w:bCs/>
                <w:sz w:val="16"/>
                <w:szCs w:val="16"/>
                <w:lang w:eastAsia="en-GB"/>
              </w:rPr>
              <w:t xml:space="preserve">Target: </w:t>
            </w:r>
            <w:r w:rsidR="005869E2" w:rsidRPr="00952B94">
              <w:rPr>
                <w:sz w:val="16"/>
                <w:szCs w:val="16"/>
                <w:lang w:eastAsia="en-GB"/>
              </w:rPr>
              <w:t>60% (2027)</w:t>
            </w:r>
          </w:p>
        </w:tc>
        <w:tc>
          <w:tcPr>
            <w:tcW w:w="1985" w:type="dxa"/>
            <w:vMerge w:val="restart"/>
            <w:shd w:val="clear" w:color="auto" w:fill="auto"/>
          </w:tcPr>
          <w:p w14:paraId="58A270D7"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INE, Census</w:t>
            </w:r>
          </w:p>
          <w:p w14:paraId="6ACFC923"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4064262C" w14:textId="68EE4AD7"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5D193389" w14:textId="77777777" w:rsidR="00566569" w:rsidRPr="00952B94" w:rsidRDefault="00566569" w:rsidP="00566569">
            <w:pPr>
              <w:textAlignment w:val="baseline"/>
              <w:rPr>
                <w:sz w:val="16"/>
                <w:szCs w:val="16"/>
                <w:lang w:val="en-GB" w:eastAsia="en-GB"/>
              </w:rPr>
            </w:pPr>
          </w:p>
          <w:p w14:paraId="2ADAE889" w14:textId="77777777" w:rsidR="00566569" w:rsidRPr="00952B94" w:rsidRDefault="00566569" w:rsidP="00566569">
            <w:pPr>
              <w:rPr>
                <w:b/>
                <w:bCs/>
                <w:color w:val="000000"/>
                <w:sz w:val="16"/>
                <w:szCs w:val="16"/>
                <w:lang w:val="en-GB"/>
              </w:rPr>
            </w:pPr>
          </w:p>
          <w:p w14:paraId="2B179A7A"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Central Bank</w:t>
            </w:r>
          </w:p>
          <w:p w14:paraId="438DF178"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37755672" w14:textId="1ABF284B"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2B8222B1" w14:textId="77777777" w:rsidR="00566569" w:rsidRPr="00952B94" w:rsidRDefault="00566569" w:rsidP="00566569">
            <w:pPr>
              <w:textAlignment w:val="baseline"/>
              <w:rPr>
                <w:sz w:val="16"/>
                <w:szCs w:val="16"/>
                <w:lang w:val="en-GB" w:eastAsia="en-GB"/>
              </w:rPr>
            </w:pPr>
          </w:p>
          <w:p w14:paraId="3A799A85" w14:textId="77777777" w:rsidR="00566569" w:rsidRPr="00952B94" w:rsidRDefault="00566569" w:rsidP="00566569">
            <w:pPr>
              <w:textAlignment w:val="baseline"/>
              <w:rPr>
                <w:sz w:val="16"/>
                <w:szCs w:val="16"/>
                <w:lang w:val="en-GB" w:eastAsia="en-GB"/>
              </w:rPr>
            </w:pPr>
          </w:p>
          <w:p w14:paraId="6629BF53"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INE</w:t>
            </w:r>
          </w:p>
          <w:p w14:paraId="6A9DB947"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3FD9C8BC" w14:textId="110264F4"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4B1BFE8B" w14:textId="77777777" w:rsidR="003E68A5" w:rsidRPr="00952B94" w:rsidRDefault="003E68A5" w:rsidP="003E68A5">
            <w:pPr>
              <w:textAlignment w:val="baseline"/>
              <w:rPr>
                <w:sz w:val="16"/>
                <w:szCs w:val="16"/>
                <w:lang w:val="en-GB" w:eastAsia="en-GB"/>
              </w:rPr>
            </w:pPr>
          </w:p>
          <w:p w14:paraId="1CF7C9EA" w14:textId="77777777" w:rsidR="003E68A5" w:rsidRPr="00952B94" w:rsidRDefault="003E68A5" w:rsidP="003E68A5">
            <w:pPr>
              <w:textAlignment w:val="baseline"/>
              <w:rPr>
                <w:sz w:val="16"/>
                <w:szCs w:val="16"/>
                <w:lang w:val="en-GB" w:eastAsia="en-GB"/>
              </w:rPr>
            </w:pPr>
          </w:p>
          <w:p w14:paraId="3A8B88CD" w14:textId="77777777" w:rsidR="003E68A5" w:rsidRPr="00952B94" w:rsidRDefault="003E68A5" w:rsidP="003E68A5">
            <w:pPr>
              <w:textAlignment w:val="baseline"/>
              <w:rPr>
                <w:sz w:val="16"/>
                <w:szCs w:val="16"/>
                <w:lang w:val="en-GB" w:eastAsia="en-GB"/>
              </w:rPr>
            </w:pPr>
          </w:p>
          <w:p w14:paraId="597C7393" w14:textId="6909DDB6" w:rsidR="003E68A5" w:rsidRPr="00952B94" w:rsidRDefault="003E68A5" w:rsidP="003E68A5">
            <w:pPr>
              <w:textAlignment w:val="baseline"/>
              <w:rPr>
                <w:sz w:val="16"/>
                <w:szCs w:val="16"/>
                <w:lang w:val="en-GB" w:eastAsia="en-GB"/>
              </w:rPr>
            </w:pPr>
            <w:r w:rsidRPr="00952B94">
              <w:rPr>
                <w:b/>
                <w:bCs/>
                <w:sz w:val="16"/>
                <w:szCs w:val="16"/>
                <w:lang w:val="en-GB" w:eastAsia="en-GB"/>
              </w:rPr>
              <w:t>Data source:</w:t>
            </w:r>
            <w:r w:rsidRPr="00952B94">
              <w:rPr>
                <w:sz w:val="16"/>
                <w:szCs w:val="16"/>
                <w:lang w:val="en-GB" w:eastAsia="en-GB"/>
              </w:rPr>
              <w:t xml:space="preserve">  INE</w:t>
            </w:r>
          </w:p>
          <w:p w14:paraId="166AABD7" w14:textId="77777777" w:rsidR="003E68A5" w:rsidRPr="00952B94" w:rsidRDefault="003E68A5" w:rsidP="003E68A5">
            <w:pPr>
              <w:textAlignment w:val="baseline"/>
              <w:rPr>
                <w:sz w:val="16"/>
                <w:szCs w:val="16"/>
                <w:lang w:val="en-GB" w:eastAsia="en-GB"/>
              </w:rPr>
            </w:pPr>
            <w:r w:rsidRPr="00952B94">
              <w:rPr>
                <w:b/>
                <w:bCs/>
                <w:sz w:val="16"/>
                <w:szCs w:val="16"/>
                <w:lang w:val="en-GB" w:eastAsia="en-GB"/>
              </w:rPr>
              <w:t>Frequency:</w:t>
            </w:r>
            <w:r w:rsidRPr="00952B94">
              <w:rPr>
                <w:sz w:val="16"/>
                <w:szCs w:val="16"/>
                <w:lang w:val="en-GB" w:eastAsia="en-GB"/>
              </w:rPr>
              <w:t xml:space="preserve">    Annual</w:t>
            </w:r>
          </w:p>
          <w:p w14:paraId="20F6BC60" w14:textId="363C73FC" w:rsidR="00566569" w:rsidRPr="00952B94" w:rsidRDefault="003E68A5" w:rsidP="003E68A5">
            <w:pPr>
              <w:textAlignment w:val="baseline"/>
              <w:rPr>
                <w:sz w:val="16"/>
                <w:szCs w:val="16"/>
                <w:lang w:val="en-GB" w:eastAsia="en-GB"/>
              </w:rPr>
            </w:pPr>
            <w:r w:rsidRPr="00952B94">
              <w:rPr>
                <w:b/>
                <w:bCs/>
                <w:sz w:val="16"/>
                <w:szCs w:val="16"/>
                <w:lang w:val="en-GB" w:eastAsia="en-GB"/>
              </w:rPr>
              <w:t>Responsible:</w:t>
            </w:r>
            <w:r w:rsidRPr="00952B94">
              <w:rPr>
                <w:sz w:val="16"/>
                <w:szCs w:val="16"/>
                <w:lang w:val="en-GB" w:eastAsia="en-GB"/>
              </w:rPr>
              <w:t xml:space="preserve">  </w:t>
            </w:r>
            <w:r w:rsidR="0014068C" w:rsidRPr="00952B94">
              <w:rPr>
                <w:sz w:val="16"/>
                <w:szCs w:val="16"/>
                <w:lang w:val="en-GB" w:eastAsia="en-GB"/>
              </w:rPr>
              <w:t>TBC</w:t>
            </w:r>
          </w:p>
        </w:tc>
        <w:tc>
          <w:tcPr>
            <w:tcW w:w="6095" w:type="dxa"/>
            <w:shd w:val="clear" w:color="auto" w:fill="auto"/>
          </w:tcPr>
          <w:p w14:paraId="34A56DD1" w14:textId="49C2E37F" w:rsidR="00566569" w:rsidRPr="00952B94" w:rsidRDefault="004A5A34" w:rsidP="00566569">
            <w:pPr>
              <w:spacing w:after="120"/>
              <w:jc w:val="both"/>
              <w:textAlignment w:val="baseline"/>
              <w:rPr>
                <w:sz w:val="16"/>
                <w:szCs w:val="16"/>
                <w:lang w:val="en-GB" w:eastAsia="en-GB"/>
              </w:rPr>
            </w:pPr>
            <w:r>
              <w:rPr>
                <w:rFonts w:ascii="Times New Roman Bold" w:hAnsi="Times New Roman Bold" w:cs="Times New Roman Bold"/>
                <w:b/>
                <w:bCs/>
                <w:sz w:val="16"/>
                <w:szCs w:val="16"/>
                <w:lang w:val="en-GB" w:eastAsia="en-GB"/>
              </w:rPr>
              <w:t xml:space="preserve">Output </w:t>
            </w:r>
            <w:r w:rsidR="00566569" w:rsidRPr="00952B94">
              <w:rPr>
                <w:rFonts w:ascii="Times New Roman Bold" w:hAnsi="Times New Roman Bold" w:cs="Times New Roman Bold"/>
                <w:b/>
                <w:bCs/>
                <w:sz w:val="16"/>
                <w:szCs w:val="16"/>
                <w:lang w:val="en-GB" w:eastAsia="en-GB"/>
              </w:rPr>
              <w:t>3.1</w:t>
            </w:r>
            <w:r>
              <w:rPr>
                <w:rFonts w:ascii="Times New Roman Bold" w:hAnsi="Times New Roman Bold" w:cs="Times New Roman Bold"/>
                <w:b/>
                <w:bCs/>
                <w:sz w:val="16"/>
                <w:szCs w:val="16"/>
                <w:lang w:val="en-GB" w:eastAsia="en-GB"/>
              </w:rPr>
              <w:t>.:</w:t>
            </w:r>
            <w:r w:rsidR="00566569" w:rsidRPr="00952B94">
              <w:rPr>
                <w:rFonts w:ascii="Times New Roman Bold" w:hAnsi="Times New Roman Bold" w:cs="Times New Roman Bold"/>
                <w:b/>
                <w:bCs/>
                <w:sz w:val="16"/>
                <w:szCs w:val="16"/>
                <w:lang w:val="en-GB" w:eastAsia="en-GB"/>
              </w:rPr>
              <w:t xml:space="preserve"> </w:t>
            </w:r>
            <w:r w:rsidR="00910388" w:rsidRPr="00952B94">
              <w:rPr>
                <w:rFonts w:ascii="Times New Roman Bold" w:hAnsi="Times New Roman Bold" w:cs="Times New Roman Bold"/>
                <w:b/>
                <w:bCs/>
                <w:sz w:val="16"/>
                <w:szCs w:val="16"/>
                <w:lang w:val="en-GB" w:eastAsia="en-GB"/>
              </w:rPr>
              <w:t>S</w:t>
            </w:r>
            <w:r w:rsidR="00C2006D" w:rsidRPr="00952B94">
              <w:rPr>
                <w:rFonts w:ascii="Times New Roman Bold" w:hAnsi="Times New Roman Bold" w:cs="Times New Roman Bold"/>
                <w:b/>
                <w:bCs/>
                <w:sz w:val="16"/>
                <w:szCs w:val="16"/>
                <w:lang w:val="en-GB" w:eastAsia="en-GB"/>
              </w:rPr>
              <w:t>olutions</w:t>
            </w:r>
            <w:r w:rsidR="00040D91" w:rsidRPr="00952B94">
              <w:rPr>
                <w:rFonts w:ascii="Times New Roman Bold" w:hAnsi="Times New Roman Bold" w:cs="Times New Roman Bold"/>
                <w:b/>
                <w:bCs/>
                <w:sz w:val="16"/>
                <w:szCs w:val="16"/>
                <w:lang w:val="en-GB" w:eastAsia="en-GB"/>
              </w:rPr>
              <w:t xml:space="preserve"> for </w:t>
            </w:r>
            <w:r w:rsidR="00910388" w:rsidRPr="00952B94">
              <w:rPr>
                <w:b/>
                <w:bCs/>
                <w:sz w:val="16"/>
                <w:szCs w:val="16"/>
                <w:lang w:val="en-GB" w:eastAsia="en-GB"/>
              </w:rPr>
              <w:t>g</w:t>
            </w:r>
            <w:r w:rsidR="00566569" w:rsidRPr="00952B94">
              <w:rPr>
                <w:b/>
                <w:bCs/>
                <w:sz w:val="16"/>
                <w:szCs w:val="16"/>
                <w:lang w:val="en-GB" w:eastAsia="en-GB"/>
              </w:rPr>
              <w:t>ender-sensitive and resilient economic transformation</w:t>
            </w:r>
            <w:r w:rsidR="00040D91" w:rsidRPr="00952B94">
              <w:rPr>
                <w:b/>
                <w:bCs/>
                <w:sz w:val="16"/>
                <w:szCs w:val="16"/>
                <w:lang w:val="en-GB" w:eastAsia="en-GB"/>
              </w:rPr>
              <w:t xml:space="preserve"> enabled to</w:t>
            </w:r>
            <w:r w:rsidR="00566569" w:rsidRPr="00952B94">
              <w:rPr>
                <w:b/>
                <w:bCs/>
                <w:sz w:val="16"/>
                <w:szCs w:val="16"/>
                <w:lang w:val="en-GB" w:eastAsia="en-GB"/>
              </w:rPr>
              <w:t xml:space="preserve"> increase productivity, add-value and increase market penetration for local products.</w:t>
            </w:r>
          </w:p>
          <w:p w14:paraId="4972B494" w14:textId="77777777" w:rsidR="00566569" w:rsidRPr="00952B94" w:rsidRDefault="00566569" w:rsidP="00566569">
            <w:pPr>
              <w:spacing w:line="259" w:lineRule="auto"/>
              <w:jc w:val="both"/>
              <w:rPr>
                <w:b/>
                <w:bCs/>
                <w:sz w:val="16"/>
                <w:szCs w:val="16"/>
                <w:lang w:eastAsia="en-GB"/>
              </w:rPr>
            </w:pPr>
            <w:r w:rsidRPr="00952B94">
              <w:rPr>
                <w:b/>
                <w:bCs/>
                <w:sz w:val="16"/>
                <w:szCs w:val="16"/>
                <w:lang w:eastAsia="en-GB"/>
              </w:rPr>
              <w:t>Indicators:</w:t>
            </w:r>
          </w:p>
          <w:p w14:paraId="508680CF" w14:textId="441E62C5" w:rsidR="00566569" w:rsidRPr="00371F4A" w:rsidRDefault="00566569" w:rsidP="00566569">
            <w:pPr>
              <w:jc w:val="both"/>
              <w:textAlignment w:val="baseline"/>
              <w:rPr>
                <w:b/>
                <w:bCs/>
                <w:sz w:val="16"/>
                <w:szCs w:val="16"/>
                <w:lang w:val="en-GB" w:eastAsia="en-GB"/>
              </w:rPr>
            </w:pPr>
            <w:r w:rsidRPr="00371F4A">
              <w:rPr>
                <w:b/>
                <w:bCs/>
                <w:sz w:val="16"/>
                <w:szCs w:val="16"/>
                <w:lang w:val="en-GB" w:eastAsia="en-GB"/>
              </w:rPr>
              <w:t>3.1.1</w:t>
            </w:r>
            <w:r w:rsidR="004A5A34" w:rsidRPr="00371F4A">
              <w:rPr>
                <w:b/>
                <w:bCs/>
                <w:sz w:val="16"/>
                <w:szCs w:val="16"/>
                <w:lang w:val="en-GB" w:eastAsia="en-GB"/>
              </w:rPr>
              <w:t>.:</w:t>
            </w:r>
            <w:r w:rsidRPr="00371F4A">
              <w:rPr>
                <w:b/>
                <w:bCs/>
                <w:sz w:val="16"/>
                <w:szCs w:val="16"/>
                <w:lang w:val="en-GB" w:eastAsia="en-GB"/>
              </w:rPr>
              <w:t xml:space="preserve"> Number of </w:t>
            </w:r>
            <w:r w:rsidR="00762097" w:rsidRPr="00371F4A">
              <w:rPr>
                <w:b/>
                <w:bCs/>
                <w:sz w:val="16"/>
                <w:szCs w:val="16"/>
                <w:lang w:val="en-GB" w:eastAsia="en-GB"/>
              </w:rPr>
              <w:t xml:space="preserve">innovative and </w:t>
            </w:r>
            <w:r w:rsidRPr="00371F4A">
              <w:rPr>
                <w:b/>
                <w:bCs/>
                <w:sz w:val="16"/>
                <w:szCs w:val="16"/>
                <w:lang w:val="en-GB" w:eastAsia="en-GB"/>
              </w:rPr>
              <w:t>inclusive business solutions adopted to increase productivity in the blue, green or circular economy.</w:t>
            </w:r>
          </w:p>
          <w:p w14:paraId="53086661" w14:textId="77777777" w:rsidR="00566569" w:rsidRPr="004A5A34" w:rsidRDefault="00566569" w:rsidP="00566569">
            <w:pPr>
              <w:jc w:val="both"/>
              <w:textAlignment w:val="baseline"/>
              <w:rPr>
                <w:sz w:val="16"/>
                <w:szCs w:val="16"/>
                <w:lang w:val="en-GB" w:eastAsia="en-GB"/>
              </w:rPr>
            </w:pPr>
            <w:r w:rsidRPr="00074431">
              <w:rPr>
                <w:sz w:val="16"/>
                <w:szCs w:val="16"/>
                <w:lang w:val="en-GB" w:eastAsia="en-GB"/>
              </w:rPr>
              <w:t>Baseline (2022)</w:t>
            </w:r>
            <w:r w:rsidRPr="004A5A34">
              <w:rPr>
                <w:sz w:val="16"/>
                <w:szCs w:val="16"/>
                <w:lang w:val="en-GB" w:eastAsia="en-GB"/>
              </w:rPr>
              <w:t xml:space="preserve">: 99 </w:t>
            </w:r>
          </w:p>
          <w:p w14:paraId="044C87A2" w14:textId="77777777" w:rsidR="00566569" w:rsidRPr="004A5A34" w:rsidRDefault="00566569" w:rsidP="00566569">
            <w:pPr>
              <w:jc w:val="both"/>
              <w:textAlignment w:val="baseline"/>
              <w:rPr>
                <w:sz w:val="16"/>
                <w:szCs w:val="16"/>
                <w:lang w:val="en-GB" w:eastAsia="en-GB"/>
              </w:rPr>
            </w:pPr>
            <w:r w:rsidRPr="00074431">
              <w:rPr>
                <w:sz w:val="16"/>
                <w:szCs w:val="16"/>
                <w:lang w:val="en-GB" w:eastAsia="en-GB"/>
              </w:rPr>
              <w:t>Target (2027)</w:t>
            </w:r>
            <w:r w:rsidRPr="004A5A34">
              <w:rPr>
                <w:sz w:val="16"/>
                <w:szCs w:val="16"/>
                <w:lang w:val="en-GB" w:eastAsia="en-GB"/>
              </w:rPr>
              <w:t>: 300 (30% women owned businesses)</w:t>
            </w:r>
          </w:p>
          <w:p w14:paraId="06FC1704" w14:textId="67AD2E3D" w:rsidR="00566569" w:rsidRPr="004A5A34" w:rsidRDefault="00566569" w:rsidP="00566569">
            <w:pPr>
              <w:jc w:val="both"/>
              <w:textAlignment w:val="baseline"/>
              <w:rPr>
                <w:sz w:val="16"/>
                <w:szCs w:val="16"/>
                <w:lang w:val="en-GB" w:eastAsia="en-GB"/>
              </w:rPr>
            </w:pPr>
            <w:r w:rsidRPr="00074431">
              <w:rPr>
                <w:sz w:val="16"/>
                <w:szCs w:val="16"/>
                <w:lang w:val="en-GB" w:eastAsia="en-GB"/>
              </w:rPr>
              <w:t>Data source:</w:t>
            </w:r>
            <w:r w:rsidRPr="004A5A34">
              <w:rPr>
                <w:sz w:val="16"/>
                <w:szCs w:val="16"/>
                <w:lang w:val="en-GB" w:eastAsia="en-GB"/>
              </w:rPr>
              <w:t> Project </w:t>
            </w:r>
            <w:r w:rsidR="004A5A34">
              <w:rPr>
                <w:sz w:val="16"/>
                <w:szCs w:val="16"/>
                <w:lang w:val="en-GB" w:eastAsia="en-GB"/>
              </w:rPr>
              <w:t>p</w:t>
            </w:r>
            <w:r w:rsidRPr="004A5A34">
              <w:rPr>
                <w:sz w:val="16"/>
                <w:szCs w:val="16"/>
                <w:lang w:val="en-GB" w:eastAsia="en-GB"/>
              </w:rPr>
              <w:t xml:space="preserve">rogress </w:t>
            </w:r>
            <w:r w:rsidR="004A5A34">
              <w:rPr>
                <w:sz w:val="16"/>
                <w:szCs w:val="16"/>
                <w:lang w:val="en-GB" w:eastAsia="en-GB"/>
              </w:rPr>
              <w:t>r</w:t>
            </w:r>
            <w:r w:rsidRPr="004A5A34">
              <w:rPr>
                <w:sz w:val="16"/>
                <w:szCs w:val="16"/>
                <w:lang w:val="en-GB" w:eastAsia="en-GB"/>
              </w:rPr>
              <w:t xml:space="preserve">eports </w:t>
            </w:r>
          </w:p>
          <w:p w14:paraId="100B9AAB" w14:textId="4794CCEC" w:rsidR="00566569" w:rsidRPr="004A5A34" w:rsidRDefault="00566569" w:rsidP="00566569">
            <w:pPr>
              <w:spacing w:after="120"/>
              <w:jc w:val="both"/>
              <w:textAlignment w:val="baseline"/>
              <w:rPr>
                <w:sz w:val="16"/>
                <w:szCs w:val="16"/>
                <w:lang w:eastAsia="en-GB"/>
              </w:rPr>
            </w:pPr>
            <w:r w:rsidRPr="00074431">
              <w:rPr>
                <w:sz w:val="16"/>
                <w:szCs w:val="16"/>
                <w:lang w:val="en-GB" w:eastAsia="en-GB"/>
              </w:rPr>
              <w:t>Frequency:</w:t>
            </w:r>
            <w:r w:rsidRPr="004A5A34">
              <w:rPr>
                <w:sz w:val="16"/>
                <w:szCs w:val="16"/>
                <w:lang w:val="en-GB" w:eastAsia="en-GB"/>
              </w:rPr>
              <w:t xml:space="preserve"> Annual</w:t>
            </w:r>
          </w:p>
          <w:p w14:paraId="28395E06" w14:textId="62FEBBDD" w:rsidR="00566569" w:rsidRPr="004A5A34" w:rsidRDefault="00566569" w:rsidP="00F26D9D">
            <w:pPr>
              <w:textAlignment w:val="baseline"/>
              <w:rPr>
                <w:sz w:val="16"/>
                <w:szCs w:val="16"/>
                <w:lang w:eastAsia="en-GB"/>
              </w:rPr>
            </w:pPr>
            <w:r w:rsidRPr="00371F4A">
              <w:rPr>
                <w:b/>
                <w:bCs/>
                <w:sz w:val="16"/>
                <w:szCs w:val="16"/>
                <w:lang w:eastAsia="en-GB"/>
              </w:rPr>
              <w:t>3.1.2</w:t>
            </w:r>
            <w:r w:rsidR="004A5A34" w:rsidRPr="00371F4A">
              <w:rPr>
                <w:b/>
                <w:bCs/>
                <w:sz w:val="16"/>
                <w:szCs w:val="16"/>
                <w:lang w:eastAsia="en-GB"/>
              </w:rPr>
              <w:t>.:</w:t>
            </w:r>
            <w:r w:rsidR="00F26D9D" w:rsidRPr="00371F4A">
              <w:rPr>
                <w:b/>
                <w:bCs/>
                <w:sz w:val="16"/>
                <w:szCs w:val="16"/>
                <w:lang w:eastAsia="en-GB"/>
              </w:rPr>
              <w:t xml:space="preserve"> </w:t>
            </w:r>
            <w:r w:rsidR="000F19B3" w:rsidRPr="00371F4A">
              <w:rPr>
                <w:b/>
                <w:bCs/>
                <w:sz w:val="16"/>
                <w:szCs w:val="16"/>
                <w:lang w:eastAsia="en-GB"/>
              </w:rPr>
              <w:t xml:space="preserve">Number </w:t>
            </w:r>
            <w:r w:rsidR="00D14866" w:rsidRPr="00371F4A">
              <w:rPr>
                <w:b/>
                <w:bCs/>
                <w:sz w:val="16"/>
                <w:szCs w:val="16"/>
                <w:lang w:eastAsia="en-GB"/>
              </w:rPr>
              <w:t xml:space="preserve">of people </w:t>
            </w:r>
            <w:r w:rsidR="0002713F" w:rsidRPr="00371F4A">
              <w:rPr>
                <w:b/>
                <w:bCs/>
                <w:sz w:val="16"/>
                <w:szCs w:val="16"/>
                <w:lang w:eastAsia="en-GB"/>
              </w:rPr>
              <w:t xml:space="preserve">benefiting </w:t>
            </w:r>
            <w:r w:rsidR="00057577" w:rsidRPr="00371F4A">
              <w:rPr>
                <w:b/>
                <w:bCs/>
                <w:sz w:val="16"/>
                <w:szCs w:val="16"/>
                <w:lang w:eastAsia="en-GB"/>
              </w:rPr>
              <w:t>from</w:t>
            </w:r>
            <w:r w:rsidR="00D14866" w:rsidRPr="00371F4A">
              <w:rPr>
                <w:b/>
                <w:bCs/>
                <w:sz w:val="16"/>
                <w:szCs w:val="16"/>
                <w:lang w:eastAsia="en-GB"/>
              </w:rPr>
              <w:t xml:space="preserve"> natural resources </w:t>
            </w:r>
            <w:r w:rsidR="0016492F" w:rsidRPr="00371F4A">
              <w:rPr>
                <w:b/>
                <w:bCs/>
                <w:sz w:val="16"/>
                <w:szCs w:val="16"/>
                <w:lang w:eastAsia="en-GB"/>
              </w:rPr>
              <w:t>management</w:t>
            </w:r>
            <w:r w:rsidR="00762F9A" w:rsidRPr="00371F4A">
              <w:rPr>
                <w:b/>
                <w:bCs/>
                <w:sz w:val="16"/>
                <w:szCs w:val="16"/>
                <w:lang w:eastAsia="en-GB"/>
              </w:rPr>
              <w:t xml:space="preserve"> solutions</w:t>
            </w:r>
            <w:r w:rsidR="00842F92" w:rsidRPr="00371F4A">
              <w:rPr>
                <w:b/>
                <w:bCs/>
                <w:sz w:val="16"/>
                <w:szCs w:val="16"/>
                <w:lang w:eastAsia="en-GB"/>
              </w:rPr>
              <w:t xml:space="preserve"> disaggregated by sex</w:t>
            </w:r>
            <w:r w:rsidR="004A5A34" w:rsidRPr="00074431">
              <w:rPr>
                <w:sz w:val="16"/>
                <w:szCs w:val="16"/>
                <w:lang w:eastAsia="en-GB"/>
              </w:rPr>
              <w:t>.</w:t>
            </w:r>
          </w:p>
          <w:p w14:paraId="3BD8E618" w14:textId="77777777" w:rsidR="00566569" w:rsidRPr="004A5A34" w:rsidRDefault="00566569" w:rsidP="00566569">
            <w:pPr>
              <w:jc w:val="both"/>
              <w:textAlignment w:val="baseline"/>
              <w:rPr>
                <w:sz w:val="16"/>
                <w:szCs w:val="16"/>
                <w:lang w:val="en-GB" w:eastAsia="en-GB"/>
              </w:rPr>
            </w:pPr>
            <w:r w:rsidRPr="00074431">
              <w:rPr>
                <w:sz w:val="16"/>
                <w:szCs w:val="16"/>
                <w:lang w:val="en-GB" w:eastAsia="en-GB"/>
              </w:rPr>
              <w:t>Baseline (2021):</w:t>
            </w:r>
            <w:r w:rsidRPr="004A5A34">
              <w:rPr>
                <w:sz w:val="16"/>
                <w:szCs w:val="16"/>
                <w:lang w:val="en-GB" w:eastAsia="en-GB"/>
              </w:rPr>
              <w:t xml:space="preserve"> 980</w:t>
            </w:r>
          </w:p>
          <w:p w14:paraId="0AFFFF5D" w14:textId="1D20624B" w:rsidR="00566569" w:rsidRPr="004A5A34" w:rsidRDefault="00566569" w:rsidP="00566569">
            <w:pPr>
              <w:jc w:val="both"/>
              <w:textAlignment w:val="baseline"/>
              <w:rPr>
                <w:sz w:val="16"/>
                <w:szCs w:val="16"/>
                <w:lang w:val="en-GB" w:eastAsia="en-GB"/>
              </w:rPr>
            </w:pPr>
            <w:r w:rsidRPr="00074431">
              <w:rPr>
                <w:sz w:val="16"/>
                <w:szCs w:val="16"/>
                <w:lang w:val="en-GB" w:eastAsia="en-GB"/>
              </w:rPr>
              <w:t>Target (2027):</w:t>
            </w:r>
            <w:r w:rsidRPr="004A5A34">
              <w:rPr>
                <w:sz w:val="16"/>
                <w:szCs w:val="16"/>
                <w:lang w:val="en-GB" w:eastAsia="en-GB"/>
              </w:rPr>
              <w:t xml:space="preserve"> </w:t>
            </w:r>
            <w:r w:rsidR="00D14866" w:rsidRPr="004A5A34">
              <w:rPr>
                <w:sz w:val="16"/>
                <w:szCs w:val="16"/>
                <w:lang w:val="en-GB" w:eastAsia="en-GB"/>
              </w:rPr>
              <w:t>3</w:t>
            </w:r>
            <w:r w:rsidRPr="004A5A34">
              <w:rPr>
                <w:sz w:val="16"/>
                <w:szCs w:val="16"/>
                <w:lang w:val="en-GB" w:eastAsia="en-GB"/>
              </w:rPr>
              <w:t>,000 (30% women)</w:t>
            </w:r>
          </w:p>
          <w:p w14:paraId="19F441B1" w14:textId="0E434BFB" w:rsidR="00566569" w:rsidRPr="004A5A34" w:rsidRDefault="00566569" w:rsidP="00566569">
            <w:pPr>
              <w:spacing w:line="259" w:lineRule="auto"/>
              <w:jc w:val="both"/>
              <w:rPr>
                <w:sz w:val="16"/>
                <w:szCs w:val="16"/>
                <w:lang w:val="en-GB" w:eastAsia="en-GB"/>
              </w:rPr>
            </w:pPr>
            <w:r w:rsidRPr="00074431">
              <w:rPr>
                <w:sz w:val="16"/>
                <w:szCs w:val="16"/>
                <w:lang w:val="en-GB" w:eastAsia="en-GB"/>
              </w:rPr>
              <w:t>Data source:</w:t>
            </w:r>
            <w:r w:rsidRPr="004A5A34">
              <w:rPr>
                <w:sz w:val="16"/>
                <w:szCs w:val="16"/>
                <w:lang w:val="en-GB" w:eastAsia="en-GB"/>
              </w:rPr>
              <w:t> Project </w:t>
            </w:r>
            <w:r w:rsidR="004A5A34">
              <w:rPr>
                <w:sz w:val="16"/>
                <w:szCs w:val="16"/>
                <w:lang w:val="en-GB" w:eastAsia="en-GB"/>
              </w:rPr>
              <w:t>p</w:t>
            </w:r>
            <w:r w:rsidRPr="004A5A34">
              <w:rPr>
                <w:sz w:val="16"/>
                <w:szCs w:val="16"/>
                <w:lang w:val="en-GB" w:eastAsia="en-GB"/>
              </w:rPr>
              <w:t xml:space="preserve">rogress and </w:t>
            </w:r>
            <w:r w:rsidR="004A5A34">
              <w:rPr>
                <w:sz w:val="16"/>
                <w:szCs w:val="16"/>
                <w:lang w:val="en-GB" w:eastAsia="en-GB"/>
              </w:rPr>
              <w:t>i</w:t>
            </w:r>
            <w:r w:rsidRPr="004A5A34">
              <w:rPr>
                <w:sz w:val="16"/>
                <w:szCs w:val="16"/>
                <w:lang w:val="en-GB" w:eastAsia="en-GB"/>
              </w:rPr>
              <w:t>ncubator reports</w:t>
            </w:r>
          </w:p>
          <w:p w14:paraId="4A88F1E6" w14:textId="10DB4939" w:rsidR="00566569" w:rsidRPr="00952B94" w:rsidRDefault="00566569" w:rsidP="00566569">
            <w:pPr>
              <w:jc w:val="both"/>
              <w:textAlignment w:val="baseline"/>
              <w:rPr>
                <w:sz w:val="16"/>
                <w:szCs w:val="16"/>
                <w:lang w:val="en-GB" w:eastAsia="en-GB"/>
              </w:rPr>
            </w:pPr>
            <w:r w:rsidRPr="00074431">
              <w:rPr>
                <w:sz w:val="16"/>
                <w:szCs w:val="16"/>
                <w:lang w:val="en-GB" w:eastAsia="en-GB"/>
              </w:rPr>
              <w:t>Frequency:</w:t>
            </w:r>
            <w:r w:rsidRPr="004A5A34">
              <w:rPr>
                <w:sz w:val="16"/>
                <w:szCs w:val="16"/>
                <w:lang w:val="en-GB" w:eastAsia="en-GB"/>
              </w:rPr>
              <w:t xml:space="preserve"> Ann</w:t>
            </w:r>
            <w:r w:rsidRPr="00952B94">
              <w:rPr>
                <w:sz w:val="16"/>
                <w:szCs w:val="16"/>
                <w:lang w:val="en-GB" w:eastAsia="en-GB"/>
              </w:rPr>
              <w:t>ual</w:t>
            </w:r>
          </w:p>
        </w:tc>
        <w:tc>
          <w:tcPr>
            <w:tcW w:w="1701" w:type="dxa"/>
            <w:vMerge w:val="restart"/>
            <w:shd w:val="clear" w:color="auto" w:fill="auto"/>
          </w:tcPr>
          <w:p w14:paraId="7DB71D3C" w14:textId="6BBA6470" w:rsidR="000F60E2" w:rsidRPr="00952B94" w:rsidRDefault="00566569" w:rsidP="00566569">
            <w:pPr>
              <w:spacing w:after="120"/>
              <w:textAlignment w:val="baseline"/>
              <w:rPr>
                <w:sz w:val="16"/>
                <w:szCs w:val="16"/>
                <w:lang w:eastAsia="en-GB"/>
              </w:rPr>
            </w:pPr>
            <w:r w:rsidRPr="00952B94">
              <w:rPr>
                <w:sz w:val="16"/>
                <w:szCs w:val="16"/>
                <w:lang w:eastAsia="en-GB"/>
              </w:rPr>
              <w:t xml:space="preserve">Ministries of </w:t>
            </w:r>
            <w:r w:rsidR="003C174F">
              <w:rPr>
                <w:sz w:val="16"/>
                <w:szCs w:val="16"/>
                <w:lang w:eastAsia="en-GB"/>
              </w:rPr>
              <w:t>a</w:t>
            </w:r>
            <w:r w:rsidRPr="00952B94">
              <w:rPr>
                <w:sz w:val="16"/>
                <w:szCs w:val="16"/>
                <w:lang w:eastAsia="en-GB"/>
              </w:rPr>
              <w:t xml:space="preserve">griculture, </w:t>
            </w:r>
            <w:r w:rsidR="003C174F">
              <w:rPr>
                <w:sz w:val="16"/>
                <w:szCs w:val="16"/>
                <w:lang w:eastAsia="en-GB"/>
              </w:rPr>
              <w:t>e</w:t>
            </w:r>
            <w:r w:rsidRPr="00952B94">
              <w:rPr>
                <w:sz w:val="16"/>
                <w:szCs w:val="16"/>
                <w:lang w:eastAsia="en-GB"/>
              </w:rPr>
              <w:t xml:space="preserve">ntrepreneurship, </w:t>
            </w:r>
            <w:r w:rsidR="003C174F">
              <w:rPr>
                <w:sz w:val="16"/>
                <w:szCs w:val="16"/>
                <w:lang w:eastAsia="en-GB"/>
              </w:rPr>
              <w:t>t</w:t>
            </w:r>
            <w:r w:rsidRPr="00952B94">
              <w:rPr>
                <w:sz w:val="16"/>
                <w:szCs w:val="16"/>
                <w:lang w:eastAsia="en-GB"/>
              </w:rPr>
              <w:t xml:space="preserve">rade and </w:t>
            </w:r>
            <w:r w:rsidR="003C174F">
              <w:rPr>
                <w:sz w:val="16"/>
                <w:szCs w:val="16"/>
                <w:lang w:eastAsia="en-GB"/>
              </w:rPr>
              <w:t>i</w:t>
            </w:r>
            <w:r w:rsidRPr="00952B94">
              <w:rPr>
                <w:sz w:val="16"/>
                <w:szCs w:val="16"/>
                <w:lang w:eastAsia="en-GB"/>
              </w:rPr>
              <w:t xml:space="preserve">ndustry, </w:t>
            </w:r>
            <w:r w:rsidR="003C174F">
              <w:rPr>
                <w:sz w:val="16"/>
                <w:szCs w:val="16"/>
                <w:lang w:eastAsia="en-GB"/>
              </w:rPr>
              <w:t>e</w:t>
            </w:r>
            <w:r w:rsidRPr="00952B94">
              <w:rPr>
                <w:sz w:val="16"/>
                <w:szCs w:val="16"/>
                <w:lang w:eastAsia="en-GB"/>
              </w:rPr>
              <w:t xml:space="preserve">nvironment and </w:t>
            </w:r>
            <w:r w:rsidR="003C174F">
              <w:rPr>
                <w:sz w:val="16"/>
                <w:szCs w:val="16"/>
                <w:lang w:eastAsia="en-GB"/>
              </w:rPr>
              <w:t>t</w:t>
            </w:r>
            <w:r w:rsidRPr="00952B94">
              <w:rPr>
                <w:sz w:val="16"/>
                <w:szCs w:val="16"/>
                <w:lang w:eastAsia="en-GB"/>
              </w:rPr>
              <w:t>ourism</w:t>
            </w:r>
          </w:p>
          <w:p w14:paraId="72E0D68A" w14:textId="603B5753" w:rsidR="00566569" w:rsidRPr="00E76F8F" w:rsidRDefault="00566569" w:rsidP="00566569">
            <w:pPr>
              <w:spacing w:after="120"/>
              <w:textAlignment w:val="baseline"/>
              <w:rPr>
                <w:sz w:val="16"/>
                <w:szCs w:val="16"/>
                <w:lang w:val="pt-PT" w:eastAsia="en-GB"/>
              </w:rPr>
            </w:pPr>
            <w:r w:rsidRPr="00E76F8F">
              <w:rPr>
                <w:sz w:val="16"/>
                <w:szCs w:val="16"/>
                <w:lang w:val="pt-PT" w:eastAsia="en-GB"/>
              </w:rPr>
              <w:t>E</w:t>
            </w:r>
            <w:r w:rsidR="003C174F" w:rsidRPr="00E76F8F">
              <w:rPr>
                <w:sz w:val="16"/>
                <w:szCs w:val="16"/>
                <w:lang w:val="pt-PT" w:eastAsia="en-GB"/>
              </w:rPr>
              <w:t xml:space="preserve">uropean </w:t>
            </w:r>
            <w:r w:rsidRPr="00E76F8F">
              <w:rPr>
                <w:sz w:val="16"/>
                <w:szCs w:val="16"/>
                <w:lang w:val="pt-PT" w:eastAsia="en-GB"/>
              </w:rPr>
              <w:t>U</w:t>
            </w:r>
            <w:r w:rsidR="003C174F" w:rsidRPr="00E76F8F">
              <w:rPr>
                <w:sz w:val="16"/>
                <w:szCs w:val="16"/>
                <w:lang w:val="pt-PT" w:eastAsia="en-GB"/>
              </w:rPr>
              <w:t>nion</w:t>
            </w:r>
          </w:p>
          <w:p w14:paraId="36934EE4" w14:textId="77777777" w:rsidR="00566569" w:rsidRPr="00E76F8F" w:rsidRDefault="00566569" w:rsidP="00566569">
            <w:pPr>
              <w:spacing w:after="120"/>
              <w:textAlignment w:val="baseline"/>
              <w:rPr>
                <w:sz w:val="16"/>
                <w:szCs w:val="16"/>
                <w:lang w:val="pt-PT" w:eastAsia="en-GB"/>
              </w:rPr>
            </w:pPr>
            <w:r w:rsidRPr="00E76F8F">
              <w:rPr>
                <w:sz w:val="16"/>
                <w:szCs w:val="16"/>
                <w:lang w:val="pt-PT" w:eastAsia="en-GB"/>
              </w:rPr>
              <w:t>AfDB</w:t>
            </w:r>
          </w:p>
          <w:p w14:paraId="623C9A1D" w14:textId="77777777" w:rsidR="003C174F" w:rsidRPr="00E76F8F" w:rsidRDefault="00566569" w:rsidP="00566569">
            <w:pPr>
              <w:spacing w:after="120"/>
              <w:textAlignment w:val="baseline"/>
              <w:rPr>
                <w:sz w:val="16"/>
                <w:szCs w:val="16"/>
                <w:lang w:val="pt-PT" w:eastAsia="en-GB"/>
              </w:rPr>
            </w:pPr>
            <w:r w:rsidRPr="00E76F8F">
              <w:rPr>
                <w:sz w:val="16"/>
                <w:szCs w:val="16"/>
                <w:lang w:val="pt-PT" w:eastAsia="en-GB"/>
              </w:rPr>
              <w:t>IFAD</w:t>
            </w:r>
          </w:p>
          <w:p w14:paraId="7ACC53A3" w14:textId="3708A8B3" w:rsidR="000F60E2" w:rsidRPr="00E76F8F" w:rsidRDefault="000F60E2" w:rsidP="00566569">
            <w:pPr>
              <w:spacing w:after="120"/>
              <w:textAlignment w:val="baseline"/>
              <w:rPr>
                <w:sz w:val="16"/>
                <w:szCs w:val="16"/>
                <w:lang w:val="pt-PT" w:eastAsia="en-GB"/>
              </w:rPr>
            </w:pPr>
            <w:r w:rsidRPr="00E76F8F">
              <w:rPr>
                <w:sz w:val="16"/>
                <w:szCs w:val="16"/>
                <w:lang w:val="pt-PT" w:eastAsia="en-GB"/>
              </w:rPr>
              <w:t>FAO</w:t>
            </w:r>
          </w:p>
          <w:p w14:paraId="7A7BD645" w14:textId="701EBD04" w:rsidR="000F60E2" w:rsidRPr="00E76F8F" w:rsidRDefault="000F60E2" w:rsidP="00566569">
            <w:pPr>
              <w:spacing w:after="120"/>
              <w:textAlignment w:val="baseline"/>
              <w:rPr>
                <w:sz w:val="16"/>
                <w:szCs w:val="16"/>
                <w:lang w:val="pt-PT" w:eastAsia="en-GB"/>
              </w:rPr>
            </w:pPr>
            <w:r w:rsidRPr="00E76F8F">
              <w:rPr>
                <w:sz w:val="16"/>
                <w:szCs w:val="16"/>
                <w:lang w:val="pt-PT" w:eastAsia="en-GB"/>
              </w:rPr>
              <w:t>ILO</w:t>
            </w:r>
          </w:p>
          <w:p w14:paraId="7460D00A" w14:textId="13608101" w:rsidR="000F60E2" w:rsidRPr="00952B94" w:rsidRDefault="000F60E2" w:rsidP="00566569">
            <w:pPr>
              <w:spacing w:after="120"/>
              <w:textAlignment w:val="baseline"/>
              <w:rPr>
                <w:sz w:val="16"/>
                <w:szCs w:val="16"/>
                <w:lang w:val="pt-PT" w:eastAsia="en-GB"/>
              </w:rPr>
            </w:pPr>
            <w:r w:rsidRPr="00952B94">
              <w:rPr>
                <w:sz w:val="16"/>
                <w:szCs w:val="16"/>
                <w:lang w:val="pt-PT" w:eastAsia="en-GB"/>
              </w:rPr>
              <w:t>WFP</w:t>
            </w:r>
          </w:p>
        </w:tc>
        <w:tc>
          <w:tcPr>
            <w:tcW w:w="1843" w:type="dxa"/>
            <w:vMerge w:val="restart"/>
            <w:shd w:val="clear" w:color="auto" w:fill="auto"/>
          </w:tcPr>
          <w:p w14:paraId="411A1621" w14:textId="77777777" w:rsidR="00566569" w:rsidRPr="00952B94" w:rsidRDefault="00566569" w:rsidP="00566569">
            <w:pPr>
              <w:spacing w:line="259" w:lineRule="auto"/>
              <w:rPr>
                <w:sz w:val="16"/>
                <w:szCs w:val="16"/>
                <w:lang w:val="en-GB" w:eastAsia="en-GB"/>
              </w:rPr>
            </w:pPr>
            <w:r w:rsidRPr="00952B94">
              <w:rPr>
                <w:b/>
                <w:bCs/>
                <w:sz w:val="16"/>
                <w:szCs w:val="16"/>
                <w:lang w:val="pt-PT" w:eastAsia="en-GB"/>
              </w:rPr>
              <w:t xml:space="preserve"> </w:t>
            </w:r>
            <w:r w:rsidRPr="00952B94">
              <w:rPr>
                <w:b/>
                <w:bCs/>
                <w:sz w:val="16"/>
                <w:szCs w:val="16"/>
                <w:lang w:eastAsia="en-GB"/>
              </w:rPr>
              <w:t xml:space="preserve">Regular: </w:t>
            </w:r>
            <w:r w:rsidRPr="00952B94">
              <w:rPr>
                <w:sz w:val="16"/>
                <w:szCs w:val="16"/>
                <w:lang w:val="en-GB" w:eastAsia="en-GB"/>
              </w:rPr>
              <w:t>$1,765 000</w:t>
            </w:r>
          </w:p>
          <w:p w14:paraId="20CFCBA1" w14:textId="77777777" w:rsidR="00566569" w:rsidRPr="00952B94" w:rsidRDefault="00566569" w:rsidP="00566569">
            <w:pPr>
              <w:spacing w:line="259" w:lineRule="auto"/>
              <w:rPr>
                <w:b/>
                <w:bCs/>
                <w:sz w:val="16"/>
                <w:szCs w:val="16"/>
                <w:lang w:val="en-GB" w:eastAsia="en-GB"/>
              </w:rPr>
            </w:pPr>
          </w:p>
          <w:p w14:paraId="5EC39895" w14:textId="77777777" w:rsidR="00566569" w:rsidRPr="00952B94" w:rsidRDefault="00566569" w:rsidP="00566569">
            <w:pPr>
              <w:textAlignment w:val="baseline"/>
              <w:rPr>
                <w:sz w:val="16"/>
                <w:szCs w:val="16"/>
                <w:lang w:val="en-GB" w:eastAsia="en-GB"/>
              </w:rPr>
            </w:pPr>
            <w:r w:rsidRPr="00952B94">
              <w:rPr>
                <w:b/>
                <w:bCs/>
                <w:sz w:val="16"/>
                <w:szCs w:val="16"/>
                <w:lang w:val="en-GB" w:eastAsia="en-GB"/>
              </w:rPr>
              <w:t xml:space="preserve"> Other:     </w:t>
            </w:r>
            <w:r w:rsidRPr="00952B94">
              <w:rPr>
                <w:sz w:val="16"/>
                <w:szCs w:val="16"/>
                <w:lang w:val="en-GB" w:eastAsia="en-GB"/>
              </w:rPr>
              <w:t>$5,500,000</w:t>
            </w:r>
          </w:p>
        </w:tc>
      </w:tr>
      <w:tr w:rsidR="00566569" w:rsidRPr="00952B94" w14:paraId="70EAB911" w14:textId="77777777" w:rsidTr="00952B94">
        <w:tblPrEx>
          <w:tblBorders>
            <w:insideH w:val="single" w:sz="6" w:space="0" w:color="auto"/>
            <w:insideV w:val="single" w:sz="6" w:space="0" w:color="auto"/>
          </w:tblBorders>
          <w:tblCellMar>
            <w:left w:w="0" w:type="dxa"/>
            <w:right w:w="0" w:type="dxa"/>
          </w:tblCellMar>
        </w:tblPrEx>
        <w:tc>
          <w:tcPr>
            <w:tcW w:w="2405" w:type="dxa"/>
            <w:gridSpan w:val="2"/>
            <w:vMerge/>
            <w:shd w:val="clear" w:color="auto" w:fill="auto"/>
          </w:tcPr>
          <w:p w14:paraId="68CD519B" w14:textId="77777777" w:rsidR="00566569" w:rsidRPr="00952B94" w:rsidRDefault="00566569" w:rsidP="00566569">
            <w:pPr>
              <w:textAlignment w:val="baseline"/>
              <w:rPr>
                <w:b/>
                <w:bCs/>
                <w:sz w:val="16"/>
                <w:szCs w:val="16"/>
                <w:lang w:eastAsia="en-GB"/>
              </w:rPr>
            </w:pPr>
          </w:p>
        </w:tc>
        <w:tc>
          <w:tcPr>
            <w:tcW w:w="1985" w:type="dxa"/>
            <w:vMerge/>
            <w:shd w:val="clear" w:color="auto" w:fill="auto"/>
          </w:tcPr>
          <w:p w14:paraId="27C091A2" w14:textId="77777777" w:rsidR="00566569" w:rsidRPr="00952B94" w:rsidRDefault="00566569" w:rsidP="00566569">
            <w:pPr>
              <w:rPr>
                <w:b/>
                <w:bCs/>
                <w:color w:val="000000"/>
                <w:sz w:val="16"/>
                <w:szCs w:val="16"/>
                <w:lang w:val="en-GB"/>
              </w:rPr>
            </w:pPr>
          </w:p>
        </w:tc>
        <w:tc>
          <w:tcPr>
            <w:tcW w:w="6095" w:type="dxa"/>
            <w:shd w:val="clear" w:color="auto" w:fill="auto"/>
          </w:tcPr>
          <w:p w14:paraId="219FC407" w14:textId="1E19F2C4" w:rsidR="00566569" w:rsidRPr="00862D4B" w:rsidRDefault="004A5A34" w:rsidP="00566569">
            <w:pPr>
              <w:spacing w:after="120"/>
              <w:jc w:val="both"/>
              <w:textAlignment w:val="baseline"/>
              <w:rPr>
                <w:rFonts w:ascii="Times New Roman Bold" w:hAnsi="Times New Roman Bold" w:cs="Times New Roman Bold"/>
                <w:sz w:val="16"/>
                <w:szCs w:val="16"/>
                <w:lang w:val="en-GB" w:eastAsia="en-GB"/>
              </w:rPr>
            </w:pPr>
            <w:r w:rsidRPr="00862D4B">
              <w:rPr>
                <w:rFonts w:ascii="Times New Roman Bold" w:hAnsi="Times New Roman Bold" w:cs="Times New Roman Bold"/>
                <w:sz w:val="16"/>
                <w:szCs w:val="16"/>
                <w:lang w:val="en-GB" w:eastAsia="en-GB"/>
              </w:rPr>
              <w:t xml:space="preserve">Output </w:t>
            </w:r>
            <w:r w:rsidR="00566569" w:rsidRPr="00862D4B">
              <w:rPr>
                <w:rFonts w:ascii="Times New Roman Bold" w:hAnsi="Times New Roman Bold" w:cs="Times New Roman Bold"/>
                <w:sz w:val="16"/>
                <w:szCs w:val="16"/>
                <w:lang w:val="en-GB" w:eastAsia="en-GB"/>
              </w:rPr>
              <w:t>3.2</w:t>
            </w:r>
            <w:r w:rsidRPr="00862D4B">
              <w:rPr>
                <w:rFonts w:ascii="Times New Roman Bold" w:hAnsi="Times New Roman Bold" w:cs="Times New Roman Bold"/>
                <w:sz w:val="16"/>
                <w:szCs w:val="16"/>
                <w:lang w:val="en-GB" w:eastAsia="en-GB"/>
              </w:rPr>
              <w:t>.:</w:t>
            </w:r>
            <w:r w:rsidR="00566569" w:rsidRPr="00862D4B">
              <w:rPr>
                <w:rFonts w:ascii="Times New Roman Bold" w:hAnsi="Times New Roman Bold" w:cs="Times New Roman Bold"/>
                <w:sz w:val="16"/>
                <w:szCs w:val="16"/>
                <w:lang w:val="en-GB" w:eastAsia="en-GB"/>
              </w:rPr>
              <w:t xml:space="preserve"> Micro</w:t>
            </w:r>
            <w:r w:rsidRPr="00862D4B">
              <w:rPr>
                <w:rFonts w:ascii="Times New Roman Bold" w:hAnsi="Times New Roman Bold" w:cs="Times New Roman Bold"/>
                <w:sz w:val="16"/>
                <w:szCs w:val="16"/>
                <w:lang w:val="en-GB" w:eastAsia="en-GB"/>
              </w:rPr>
              <w:t>-</w:t>
            </w:r>
            <w:r w:rsidR="00566569" w:rsidRPr="00862D4B">
              <w:rPr>
                <w:rFonts w:ascii="Times New Roman Bold" w:hAnsi="Times New Roman Bold" w:cs="Times New Roman Bold"/>
                <w:sz w:val="16"/>
                <w:szCs w:val="16"/>
                <w:lang w:val="en-GB" w:eastAsia="en-GB"/>
              </w:rPr>
              <w:t xml:space="preserve"> and small enterprises</w:t>
            </w:r>
            <w:r w:rsidR="001310F8" w:rsidRPr="00862D4B">
              <w:rPr>
                <w:rFonts w:ascii="Times New Roman Bold" w:hAnsi="Times New Roman Bold" w:cs="Times New Roman Bold"/>
                <w:sz w:val="16"/>
                <w:szCs w:val="16"/>
                <w:lang w:val="en-GB" w:eastAsia="en-GB"/>
              </w:rPr>
              <w:t xml:space="preserve"> enabled to access</w:t>
            </w:r>
            <w:r w:rsidR="007F7DDE" w:rsidRPr="00862D4B">
              <w:rPr>
                <w:rFonts w:ascii="Times New Roman Bold" w:hAnsi="Times New Roman Bold" w:cs="Times New Roman Bold"/>
                <w:sz w:val="16"/>
                <w:szCs w:val="16"/>
                <w:lang w:val="en-GB" w:eastAsia="en-GB"/>
              </w:rPr>
              <w:t xml:space="preserve"> and</w:t>
            </w:r>
            <w:r w:rsidR="00566569" w:rsidRPr="00862D4B">
              <w:rPr>
                <w:rFonts w:ascii="Times New Roman Bold" w:hAnsi="Times New Roman Bold" w:cs="Times New Roman Bold"/>
                <w:sz w:val="16"/>
                <w:szCs w:val="16"/>
                <w:lang w:val="en-GB" w:eastAsia="en-GB"/>
              </w:rPr>
              <w:t xml:space="preserve"> use business development services to create more decent jobs</w:t>
            </w:r>
            <w:r w:rsidR="007F7DDE" w:rsidRPr="00862D4B">
              <w:rPr>
                <w:rFonts w:ascii="Times New Roman Bold" w:hAnsi="Times New Roman Bold" w:cs="Times New Roman Bold"/>
                <w:sz w:val="16"/>
                <w:szCs w:val="16"/>
                <w:lang w:val="en-GB" w:eastAsia="en-GB"/>
              </w:rPr>
              <w:t>,</w:t>
            </w:r>
            <w:r w:rsidR="00566569" w:rsidRPr="00862D4B">
              <w:rPr>
                <w:rFonts w:ascii="Times New Roman Bold" w:hAnsi="Times New Roman Bold" w:cs="Times New Roman Bold"/>
                <w:sz w:val="16"/>
                <w:szCs w:val="16"/>
                <w:lang w:val="en-GB" w:eastAsia="en-GB"/>
              </w:rPr>
              <w:t xml:space="preserve"> especially for women and youth. </w:t>
            </w:r>
          </w:p>
          <w:p w14:paraId="093001A9" w14:textId="77777777" w:rsidR="00566569" w:rsidRPr="00371F4A" w:rsidRDefault="00566569" w:rsidP="00566569">
            <w:pPr>
              <w:jc w:val="both"/>
              <w:textAlignment w:val="baseline"/>
              <w:rPr>
                <w:b/>
                <w:bCs/>
                <w:sz w:val="16"/>
                <w:szCs w:val="16"/>
                <w:lang w:val="en-GB" w:eastAsia="en-GB"/>
              </w:rPr>
            </w:pPr>
            <w:r w:rsidRPr="00371F4A">
              <w:rPr>
                <w:b/>
                <w:bCs/>
                <w:sz w:val="16"/>
                <w:szCs w:val="16"/>
                <w:lang w:val="en-GB" w:eastAsia="en-GB"/>
              </w:rPr>
              <w:t>Indicators:</w:t>
            </w:r>
          </w:p>
          <w:p w14:paraId="11BC5DF4" w14:textId="68AC1EB0" w:rsidR="00566569" w:rsidRPr="00371F4A" w:rsidRDefault="00566569" w:rsidP="00566569">
            <w:pPr>
              <w:jc w:val="both"/>
              <w:textAlignment w:val="baseline"/>
              <w:rPr>
                <w:b/>
                <w:bCs/>
                <w:sz w:val="16"/>
                <w:szCs w:val="16"/>
                <w:lang w:val="en-GB" w:eastAsia="en-GB"/>
              </w:rPr>
            </w:pPr>
            <w:r w:rsidRPr="00371F4A">
              <w:rPr>
                <w:b/>
                <w:bCs/>
                <w:sz w:val="16"/>
                <w:szCs w:val="16"/>
                <w:lang w:val="en-GB" w:eastAsia="en-GB"/>
              </w:rPr>
              <w:t>3.2.1</w:t>
            </w:r>
            <w:r w:rsidR="004A5A34" w:rsidRPr="00371F4A">
              <w:rPr>
                <w:b/>
                <w:bCs/>
                <w:sz w:val="16"/>
                <w:szCs w:val="16"/>
                <w:lang w:val="en-GB" w:eastAsia="en-GB"/>
              </w:rPr>
              <w:t>.</w:t>
            </w:r>
            <w:r w:rsidRPr="00371F4A">
              <w:rPr>
                <w:b/>
                <w:bCs/>
                <w:sz w:val="16"/>
                <w:szCs w:val="16"/>
                <w:lang w:val="en-GB" w:eastAsia="en-GB"/>
              </w:rPr>
              <w:t>: Number of micro</w:t>
            </w:r>
            <w:r w:rsidR="004A5A34" w:rsidRPr="00371F4A">
              <w:rPr>
                <w:b/>
                <w:bCs/>
                <w:sz w:val="16"/>
                <w:szCs w:val="16"/>
                <w:lang w:val="en-GB" w:eastAsia="en-GB"/>
              </w:rPr>
              <w:t>-</w:t>
            </w:r>
            <w:r w:rsidRPr="00371F4A">
              <w:rPr>
                <w:b/>
                <w:bCs/>
                <w:sz w:val="16"/>
                <w:szCs w:val="16"/>
                <w:lang w:val="en-GB" w:eastAsia="en-GB"/>
              </w:rPr>
              <w:t xml:space="preserve"> and small businesses </w:t>
            </w:r>
            <w:r w:rsidR="004A5A34" w:rsidRPr="00371F4A">
              <w:rPr>
                <w:b/>
                <w:bCs/>
                <w:sz w:val="16"/>
                <w:szCs w:val="16"/>
                <w:lang w:val="en-GB" w:eastAsia="en-GB"/>
              </w:rPr>
              <w:t xml:space="preserve">that have access to </w:t>
            </w:r>
            <w:r w:rsidRPr="00371F4A">
              <w:rPr>
                <w:b/>
                <w:bCs/>
                <w:sz w:val="16"/>
                <w:szCs w:val="16"/>
                <w:lang w:val="en-GB" w:eastAsia="en-GB"/>
              </w:rPr>
              <w:t>financial services</w:t>
            </w:r>
            <w:r w:rsidR="004A5A34" w:rsidRPr="00371F4A">
              <w:rPr>
                <w:b/>
                <w:bCs/>
                <w:sz w:val="16"/>
                <w:szCs w:val="16"/>
                <w:lang w:val="en-GB" w:eastAsia="en-GB"/>
              </w:rPr>
              <w:t>.</w:t>
            </w:r>
            <w:r w:rsidRPr="00371F4A">
              <w:rPr>
                <w:b/>
                <w:bCs/>
                <w:sz w:val="16"/>
                <w:szCs w:val="16"/>
                <w:lang w:val="en-GB" w:eastAsia="en-GB"/>
              </w:rPr>
              <w:t xml:space="preserve"> </w:t>
            </w:r>
          </w:p>
          <w:p w14:paraId="026D1DE8" w14:textId="1E9EDC01" w:rsidR="00566569" w:rsidRPr="00862D4B" w:rsidRDefault="00566569" w:rsidP="00566569">
            <w:pPr>
              <w:jc w:val="both"/>
              <w:textAlignment w:val="baseline"/>
              <w:rPr>
                <w:sz w:val="16"/>
                <w:szCs w:val="16"/>
                <w:lang w:val="en-GB" w:eastAsia="en-GB"/>
              </w:rPr>
            </w:pPr>
            <w:r w:rsidRPr="00862D4B">
              <w:rPr>
                <w:sz w:val="16"/>
                <w:szCs w:val="16"/>
                <w:lang w:val="en-GB" w:eastAsia="en-GB"/>
              </w:rPr>
              <w:t>Baseline (2021):</w:t>
            </w:r>
            <w:r w:rsidR="004A5A34" w:rsidRPr="00862D4B">
              <w:rPr>
                <w:sz w:val="16"/>
                <w:szCs w:val="16"/>
                <w:lang w:val="en-GB" w:eastAsia="en-GB"/>
              </w:rPr>
              <w:t xml:space="preserve"> </w:t>
            </w:r>
            <w:r w:rsidRPr="00862D4B">
              <w:rPr>
                <w:sz w:val="16"/>
                <w:szCs w:val="16"/>
                <w:lang w:val="en-GB" w:eastAsia="en-GB"/>
              </w:rPr>
              <w:t>114</w:t>
            </w:r>
          </w:p>
          <w:p w14:paraId="2F20EC9A" w14:textId="77777777" w:rsidR="00566569" w:rsidRPr="00862D4B" w:rsidRDefault="00566569" w:rsidP="00566569">
            <w:pPr>
              <w:jc w:val="both"/>
              <w:textAlignment w:val="baseline"/>
              <w:rPr>
                <w:sz w:val="16"/>
                <w:szCs w:val="16"/>
                <w:lang w:val="en-GB" w:eastAsia="en-GB"/>
              </w:rPr>
            </w:pPr>
            <w:r w:rsidRPr="00862D4B">
              <w:rPr>
                <w:sz w:val="16"/>
                <w:szCs w:val="16"/>
                <w:lang w:val="en-GB" w:eastAsia="en-GB"/>
              </w:rPr>
              <w:t xml:space="preserve">Target (2027): 500 (50% women, 50% youth) </w:t>
            </w:r>
          </w:p>
          <w:p w14:paraId="1D21A6F1" w14:textId="6F045D22" w:rsidR="00566569" w:rsidRPr="00862D4B" w:rsidRDefault="00566569" w:rsidP="00566569">
            <w:pPr>
              <w:jc w:val="both"/>
              <w:textAlignment w:val="baseline"/>
              <w:rPr>
                <w:sz w:val="16"/>
                <w:szCs w:val="16"/>
                <w:lang w:val="en-GB" w:eastAsia="en-GB"/>
              </w:rPr>
            </w:pPr>
            <w:r w:rsidRPr="00862D4B">
              <w:rPr>
                <w:sz w:val="16"/>
                <w:szCs w:val="16"/>
                <w:lang w:val="en-GB" w:eastAsia="en-GB"/>
              </w:rPr>
              <w:t xml:space="preserve">Data source: Project </w:t>
            </w:r>
            <w:r w:rsidR="004A5A34" w:rsidRPr="00862D4B">
              <w:rPr>
                <w:sz w:val="16"/>
                <w:szCs w:val="16"/>
                <w:lang w:val="en-GB" w:eastAsia="en-GB"/>
              </w:rPr>
              <w:t>p</w:t>
            </w:r>
            <w:r w:rsidRPr="00862D4B">
              <w:rPr>
                <w:sz w:val="16"/>
                <w:szCs w:val="16"/>
                <w:lang w:val="en-GB" w:eastAsia="en-GB"/>
              </w:rPr>
              <w:t xml:space="preserve">rogress </w:t>
            </w:r>
            <w:r w:rsidR="004A5A34" w:rsidRPr="00862D4B">
              <w:rPr>
                <w:sz w:val="16"/>
                <w:szCs w:val="16"/>
                <w:lang w:val="en-GB" w:eastAsia="en-GB"/>
              </w:rPr>
              <w:t>r</w:t>
            </w:r>
            <w:r w:rsidRPr="00862D4B">
              <w:rPr>
                <w:sz w:val="16"/>
                <w:szCs w:val="16"/>
                <w:lang w:val="en-GB" w:eastAsia="en-GB"/>
              </w:rPr>
              <w:t xml:space="preserve">eports </w:t>
            </w:r>
          </w:p>
          <w:p w14:paraId="2F0E319C" w14:textId="77777777" w:rsidR="00566569" w:rsidRPr="00862D4B" w:rsidRDefault="00566569" w:rsidP="00566569">
            <w:pPr>
              <w:spacing w:after="120"/>
              <w:jc w:val="both"/>
              <w:textAlignment w:val="baseline"/>
              <w:rPr>
                <w:sz w:val="16"/>
                <w:szCs w:val="16"/>
                <w:lang w:val="en-GB" w:eastAsia="en-GB"/>
              </w:rPr>
            </w:pPr>
            <w:r w:rsidRPr="00862D4B">
              <w:rPr>
                <w:sz w:val="16"/>
                <w:szCs w:val="16"/>
                <w:lang w:val="en-GB" w:eastAsia="en-GB"/>
              </w:rPr>
              <w:t>Frequency: Annual​</w:t>
            </w:r>
          </w:p>
          <w:p w14:paraId="4E920124" w14:textId="43904CA7" w:rsidR="00566569" w:rsidRPr="00371F4A" w:rsidRDefault="00566569" w:rsidP="00566569">
            <w:pPr>
              <w:jc w:val="both"/>
              <w:rPr>
                <w:rFonts w:ascii="Times New Roman Bold" w:hAnsi="Times New Roman Bold" w:cs="Times New Roman Bold"/>
                <w:b/>
                <w:bCs/>
                <w:sz w:val="16"/>
                <w:szCs w:val="16"/>
                <w:lang w:val="en-GB" w:eastAsia="en-GB"/>
              </w:rPr>
            </w:pPr>
            <w:r w:rsidRPr="00371F4A">
              <w:rPr>
                <w:rFonts w:ascii="Times New Roman Bold" w:hAnsi="Times New Roman Bold" w:cs="Times New Roman Bold"/>
                <w:b/>
                <w:bCs/>
                <w:sz w:val="16"/>
                <w:szCs w:val="16"/>
                <w:lang w:val="en-GB" w:eastAsia="en-GB"/>
              </w:rPr>
              <w:t>3.2.2</w:t>
            </w:r>
            <w:r w:rsidR="004A5A34" w:rsidRPr="00371F4A">
              <w:rPr>
                <w:rFonts w:ascii="Times New Roman Bold" w:hAnsi="Times New Roman Bold" w:cs="Times New Roman Bold"/>
                <w:b/>
                <w:bCs/>
                <w:sz w:val="16"/>
                <w:szCs w:val="16"/>
                <w:lang w:val="en-GB" w:eastAsia="en-GB"/>
              </w:rPr>
              <w:t>.</w:t>
            </w:r>
            <w:r w:rsidRPr="00371F4A">
              <w:rPr>
                <w:rFonts w:ascii="Times New Roman Bold" w:hAnsi="Times New Roman Bold" w:cs="Times New Roman Bold"/>
                <w:b/>
                <w:bCs/>
                <w:sz w:val="16"/>
                <w:szCs w:val="16"/>
                <w:lang w:val="en-GB" w:eastAsia="en-GB"/>
              </w:rPr>
              <w:t xml:space="preserve">: </w:t>
            </w:r>
            <w:r w:rsidRPr="00371F4A">
              <w:rPr>
                <w:rFonts w:ascii="Times New Roman Bold" w:hAnsi="Times New Roman Bold" w:cs="Times New Roman Bold"/>
                <w:b/>
                <w:bCs/>
                <w:sz w:val="16"/>
                <w:szCs w:val="16"/>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w:t>
            </w:r>
            <w:r w:rsidRPr="00371F4A">
              <w:rPr>
                <w:rFonts w:ascii="Times New Roman Bold" w:hAnsi="Times New Roman Bold" w:cs="Times New Roman Bold"/>
                <w:b/>
                <w:bCs/>
                <w:sz w:val="16"/>
                <w:szCs w:val="16"/>
                <w:lang w:val="en-GB" w:eastAsia="en-GB"/>
              </w:rPr>
              <w:t xml:space="preserve"> of decent jobs created by micro</w:t>
            </w:r>
            <w:r w:rsidR="004A5A34" w:rsidRPr="00371F4A">
              <w:rPr>
                <w:rFonts w:ascii="Times New Roman Bold" w:hAnsi="Times New Roman Bold" w:cs="Times New Roman Bold"/>
                <w:b/>
                <w:bCs/>
                <w:sz w:val="16"/>
                <w:szCs w:val="16"/>
                <w:lang w:val="en-GB" w:eastAsia="en-GB"/>
              </w:rPr>
              <w:t>-</w:t>
            </w:r>
            <w:r w:rsidRPr="00371F4A">
              <w:rPr>
                <w:rFonts w:ascii="Times New Roman Bold" w:hAnsi="Times New Roman Bold" w:cs="Times New Roman Bold"/>
                <w:b/>
                <w:bCs/>
                <w:sz w:val="16"/>
                <w:szCs w:val="16"/>
                <w:lang w:val="en-GB" w:eastAsia="en-GB"/>
              </w:rPr>
              <w:t xml:space="preserve"> and small businesses</w:t>
            </w:r>
            <w:r w:rsidR="004A5A34" w:rsidRPr="00371F4A">
              <w:rPr>
                <w:rFonts w:ascii="Times New Roman Bold" w:hAnsi="Times New Roman Bold" w:cs="Times New Roman Bold"/>
                <w:b/>
                <w:bCs/>
                <w:sz w:val="16"/>
                <w:szCs w:val="16"/>
                <w:lang w:val="en-GB" w:eastAsia="en-GB"/>
              </w:rPr>
              <w:t>.</w:t>
            </w:r>
            <w:r w:rsidRPr="00371F4A">
              <w:rPr>
                <w:rFonts w:ascii="Times New Roman Bold" w:hAnsi="Times New Roman Bold" w:cs="Times New Roman Bold"/>
                <w:b/>
                <w:bCs/>
                <w:sz w:val="16"/>
                <w:szCs w:val="16"/>
                <w:lang w:val="en-GB" w:eastAsia="en-GB"/>
              </w:rPr>
              <w:t xml:space="preserve"> </w:t>
            </w:r>
          </w:p>
          <w:p w14:paraId="5242A941" w14:textId="77777777" w:rsidR="00566569" w:rsidRPr="00862D4B" w:rsidRDefault="00566569" w:rsidP="00566569">
            <w:pPr>
              <w:jc w:val="both"/>
              <w:rPr>
                <w:rFonts w:cs="Times New Roman Bold"/>
                <w:sz w:val="16"/>
                <w:szCs w:val="16"/>
                <w:lang w:val="en-GB" w:eastAsia="en-GB"/>
              </w:rPr>
            </w:pPr>
            <w:r w:rsidRPr="00862D4B">
              <w:rPr>
                <w:rFonts w:cs="Times New Roman Bold"/>
                <w:sz w:val="16"/>
                <w:szCs w:val="16"/>
                <w:lang w:val="en-GB" w:eastAsia="en-GB"/>
              </w:rPr>
              <w:t>Baseline (2021): 215</w:t>
            </w:r>
          </w:p>
          <w:p w14:paraId="62640105" w14:textId="77777777" w:rsidR="00566569" w:rsidRPr="00862D4B" w:rsidRDefault="00566569" w:rsidP="00566569">
            <w:pPr>
              <w:jc w:val="both"/>
              <w:rPr>
                <w:rFonts w:cs="Times New Roman Bold"/>
                <w:sz w:val="16"/>
                <w:szCs w:val="16"/>
                <w:lang w:val="en-GB" w:eastAsia="en-GB"/>
              </w:rPr>
            </w:pPr>
            <w:r w:rsidRPr="00862D4B">
              <w:rPr>
                <w:rFonts w:cs="Times New Roman Bold"/>
                <w:sz w:val="16"/>
                <w:szCs w:val="16"/>
                <w:lang w:val="en-GB" w:eastAsia="en-GB"/>
              </w:rPr>
              <w:t>Target (2027): 800</w:t>
            </w:r>
          </w:p>
          <w:p w14:paraId="318817ED" w14:textId="77777777" w:rsidR="00566569" w:rsidRPr="00862D4B" w:rsidRDefault="00566569" w:rsidP="00566569">
            <w:pPr>
              <w:jc w:val="both"/>
              <w:rPr>
                <w:rFonts w:cs="Times New Roman Bold"/>
                <w:sz w:val="16"/>
                <w:szCs w:val="16"/>
                <w:lang w:val="en-GB" w:eastAsia="en-GB"/>
              </w:rPr>
            </w:pPr>
            <w:r w:rsidRPr="00862D4B">
              <w:rPr>
                <w:rFonts w:cs="Times New Roman Bold"/>
                <w:sz w:val="16"/>
                <w:szCs w:val="16"/>
                <w:lang w:val="en-GB" w:eastAsia="en-GB"/>
              </w:rPr>
              <w:t>Data source: Project reports</w:t>
            </w:r>
          </w:p>
          <w:p w14:paraId="2C26E63C" w14:textId="202043F1" w:rsidR="00566569" w:rsidRPr="00862D4B" w:rsidRDefault="00566569" w:rsidP="00952B94">
            <w:pPr>
              <w:spacing w:after="120"/>
              <w:jc w:val="both"/>
              <w:rPr>
                <w:rFonts w:cs="Times New Roman Bold"/>
                <w:sz w:val="16"/>
                <w:szCs w:val="16"/>
                <w:lang w:val="en-GB" w:eastAsia="en-GB"/>
              </w:rPr>
            </w:pPr>
            <w:r w:rsidRPr="00862D4B">
              <w:rPr>
                <w:rFonts w:cs="Times New Roman Bold"/>
                <w:sz w:val="16"/>
                <w:szCs w:val="16"/>
                <w:lang w:val="en-GB" w:eastAsia="en-GB"/>
              </w:rPr>
              <w:t>Frequency: Annual</w:t>
            </w:r>
          </w:p>
        </w:tc>
        <w:tc>
          <w:tcPr>
            <w:tcW w:w="1701" w:type="dxa"/>
            <w:vMerge/>
            <w:shd w:val="clear" w:color="auto" w:fill="auto"/>
          </w:tcPr>
          <w:p w14:paraId="6B5B66E8" w14:textId="77777777" w:rsidR="00566569" w:rsidRPr="00952B94" w:rsidRDefault="00566569" w:rsidP="00566569">
            <w:pPr>
              <w:spacing w:after="120"/>
              <w:textAlignment w:val="baseline"/>
              <w:rPr>
                <w:sz w:val="16"/>
                <w:szCs w:val="16"/>
                <w:lang w:eastAsia="en-GB"/>
              </w:rPr>
            </w:pPr>
          </w:p>
        </w:tc>
        <w:tc>
          <w:tcPr>
            <w:tcW w:w="1843" w:type="dxa"/>
            <w:vMerge/>
            <w:shd w:val="clear" w:color="auto" w:fill="auto"/>
          </w:tcPr>
          <w:p w14:paraId="2C87CDB1" w14:textId="77777777" w:rsidR="00566569" w:rsidRPr="00952B94" w:rsidRDefault="00566569" w:rsidP="00566569">
            <w:pPr>
              <w:spacing w:line="259" w:lineRule="auto"/>
              <w:rPr>
                <w:b/>
                <w:bCs/>
                <w:sz w:val="16"/>
                <w:szCs w:val="16"/>
                <w:lang w:eastAsia="en-GB"/>
              </w:rPr>
            </w:pPr>
          </w:p>
        </w:tc>
      </w:tr>
      <w:tr w:rsidR="00566569" w:rsidRPr="00952B94" w14:paraId="49EA7D81" w14:textId="77777777" w:rsidTr="00952B94">
        <w:tblPrEx>
          <w:tblBorders>
            <w:insideH w:val="single" w:sz="6" w:space="0" w:color="auto"/>
            <w:insideV w:val="single" w:sz="6" w:space="0" w:color="auto"/>
          </w:tblBorders>
          <w:tblCellMar>
            <w:left w:w="0" w:type="dxa"/>
            <w:right w:w="0" w:type="dxa"/>
          </w:tblCellMar>
        </w:tblPrEx>
        <w:tc>
          <w:tcPr>
            <w:tcW w:w="2405" w:type="dxa"/>
            <w:gridSpan w:val="2"/>
            <w:vMerge/>
            <w:shd w:val="clear" w:color="auto" w:fill="auto"/>
            <w:vAlign w:val="center"/>
          </w:tcPr>
          <w:p w14:paraId="77CAC319" w14:textId="77777777" w:rsidR="00566569" w:rsidRPr="00952B94" w:rsidRDefault="00566569" w:rsidP="00566569">
            <w:pPr>
              <w:jc w:val="both"/>
              <w:rPr>
                <w:sz w:val="16"/>
                <w:szCs w:val="16"/>
                <w:lang w:eastAsia="en-GB"/>
              </w:rPr>
            </w:pPr>
          </w:p>
        </w:tc>
        <w:tc>
          <w:tcPr>
            <w:tcW w:w="1985" w:type="dxa"/>
            <w:vMerge/>
            <w:shd w:val="clear" w:color="auto" w:fill="auto"/>
            <w:vAlign w:val="center"/>
          </w:tcPr>
          <w:p w14:paraId="38AB9516" w14:textId="77777777" w:rsidR="00566569" w:rsidRPr="00952B94" w:rsidRDefault="00566569" w:rsidP="00566569">
            <w:pPr>
              <w:jc w:val="both"/>
              <w:rPr>
                <w:sz w:val="16"/>
                <w:szCs w:val="16"/>
                <w:lang w:val="en-GB" w:eastAsia="en-GB"/>
              </w:rPr>
            </w:pPr>
          </w:p>
        </w:tc>
        <w:tc>
          <w:tcPr>
            <w:tcW w:w="6095" w:type="dxa"/>
            <w:shd w:val="clear" w:color="auto" w:fill="auto"/>
          </w:tcPr>
          <w:p w14:paraId="29834256" w14:textId="1575DAD0" w:rsidR="00566569" w:rsidRPr="00074431" w:rsidRDefault="008F2803" w:rsidP="00566569">
            <w:pPr>
              <w:spacing w:after="120"/>
              <w:jc w:val="both"/>
              <w:textAlignment w:val="baseline"/>
              <w:rPr>
                <w:rFonts w:ascii="Times New Roman Bold" w:hAnsi="Times New Roman Bold" w:cs="Times New Roman Bold"/>
                <w:b/>
                <w:bCs/>
                <w:color w:val="000000"/>
                <w:sz w:val="16"/>
                <w:szCs w:val="16"/>
                <w:lang w:val="en-GB" w:eastAsia="en-GB"/>
              </w:rPr>
            </w:pPr>
            <w:r w:rsidRPr="00074431">
              <w:rPr>
                <w:rFonts w:ascii="Times New Roman Bold" w:hAnsi="Times New Roman Bold" w:cs="Times New Roman Bold"/>
                <w:b/>
                <w:bCs/>
                <w:color w:val="000000"/>
                <w:sz w:val="16"/>
                <w:szCs w:val="16"/>
                <w:lang w:val="en-GB" w:eastAsia="en-GB"/>
              </w:rPr>
              <w:t xml:space="preserve">Output </w:t>
            </w:r>
            <w:r w:rsidR="00566569" w:rsidRPr="00074431">
              <w:rPr>
                <w:rFonts w:ascii="Times New Roman Bold" w:hAnsi="Times New Roman Bold" w:cs="Times New Roman Bold"/>
                <w:b/>
                <w:bCs/>
                <w:color w:val="000000"/>
                <w:sz w:val="16"/>
                <w:szCs w:val="16"/>
                <w:lang w:val="en-GB" w:eastAsia="en-GB"/>
              </w:rPr>
              <w:t>3.3</w:t>
            </w:r>
            <w:r w:rsidRPr="00074431">
              <w:rPr>
                <w:rFonts w:ascii="Times New Roman Bold" w:hAnsi="Times New Roman Bold" w:cs="Times New Roman Bold"/>
                <w:b/>
                <w:bCs/>
                <w:color w:val="000000"/>
                <w:sz w:val="16"/>
                <w:szCs w:val="16"/>
                <w:lang w:val="en-GB" w:eastAsia="en-GB"/>
              </w:rPr>
              <w:t>.:</w:t>
            </w:r>
            <w:r w:rsidR="00566569" w:rsidRPr="00074431">
              <w:rPr>
                <w:rFonts w:ascii="Times New Roman Bold" w:hAnsi="Times New Roman Bold" w:cs="Times New Roman Bold"/>
                <w:b/>
                <w:bCs/>
                <w:color w:val="000000"/>
                <w:sz w:val="16"/>
                <w:szCs w:val="16"/>
                <w:lang w:val="en-GB" w:eastAsia="en-GB"/>
              </w:rPr>
              <w:t xml:space="preserve"> Institutional capacit</w:t>
            </w:r>
            <w:r>
              <w:rPr>
                <w:rFonts w:ascii="Times New Roman Bold" w:hAnsi="Times New Roman Bold" w:cs="Times New Roman Bold"/>
                <w:b/>
                <w:bCs/>
                <w:color w:val="000000"/>
                <w:sz w:val="16"/>
                <w:szCs w:val="16"/>
                <w:lang w:val="en-GB" w:eastAsia="en-GB"/>
              </w:rPr>
              <w:t>ies</w:t>
            </w:r>
            <w:r w:rsidR="00566569" w:rsidRPr="00074431">
              <w:rPr>
                <w:rFonts w:ascii="Times New Roman Bold" w:hAnsi="Times New Roman Bold" w:cs="Times New Roman Bold"/>
                <w:b/>
                <w:bCs/>
                <w:color w:val="000000"/>
                <w:sz w:val="16"/>
                <w:szCs w:val="16"/>
                <w:lang w:val="en-GB" w:eastAsia="en-GB"/>
              </w:rPr>
              <w:t xml:space="preserve"> for reform of the legal and regulatory environment for businesses and regional economic integration strengthened.</w:t>
            </w:r>
          </w:p>
          <w:p w14:paraId="2B94B2D0" w14:textId="77777777" w:rsidR="00566569" w:rsidRPr="00074431" w:rsidRDefault="00566569" w:rsidP="00566569">
            <w:pPr>
              <w:jc w:val="both"/>
              <w:textAlignment w:val="baseline"/>
              <w:rPr>
                <w:rFonts w:ascii="Times New Roman Bold" w:hAnsi="Times New Roman Bold" w:cs="Times New Roman Bold"/>
                <w:b/>
                <w:bCs/>
                <w:color w:val="000000"/>
                <w:sz w:val="16"/>
                <w:szCs w:val="16"/>
                <w:lang w:val="en-GB" w:eastAsia="en-GB"/>
              </w:rPr>
            </w:pPr>
            <w:r w:rsidRPr="00074431">
              <w:rPr>
                <w:rFonts w:ascii="Times New Roman Bold" w:hAnsi="Times New Roman Bold" w:cs="Times New Roman Bold"/>
                <w:b/>
                <w:bCs/>
                <w:color w:val="000000"/>
                <w:sz w:val="16"/>
                <w:szCs w:val="16"/>
                <w:lang w:val="en-GB" w:eastAsia="en-GB"/>
              </w:rPr>
              <w:t>Indicators:</w:t>
            </w:r>
          </w:p>
          <w:p w14:paraId="029C99AD" w14:textId="69B8845A" w:rsidR="00566569" w:rsidRPr="00074431" w:rsidRDefault="00566569" w:rsidP="00566569">
            <w:pPr>
              <w:jc w:val="both"/>
              <w:rPr>
                <w:rFonts w:ascii="Times New Roman Bold" w:hAnsi="Times New Roman Bold" w:cs="Times New Roman Bold"/>
                <w:sz w:val="16"/>
                <w:szCs w:val="16"/>
                <w:lang w:val="en-GB" w:eastAsia="en-GB"/>
              </w:rPr>
            </w:pPr>
            <w:r w:rsidRPr="00074431">
              <w:rPr>
                <w:rFonts w:ascii="Times New Roman Bold" w:hAnsi="Times New Roman Bold" w:cs="Times New Roman Bold"/>
                <w:sz w:val="16"/>
                <w:szCs w:val="16"/>
                <w:lang w:val="en-GB" w:eastAsia="en-GB"/>
              </w:rPr>
              <w:t>3.3.1</w:t>
            </w:r>
            <w:r w:rsidR="008F2803" w:rsidRPr="00074431">
              <w:rPr>
                <w:rFonts w:ascii="Times New Roman Bold" w:hAnsi="Times New Roman Bold" w:cs="Times New Roman Bold"/>
                <w:sz w:val="16"/>
                <w:szCs w:val="16"/>
                <w:lang w:val="en-GB" w:eastAsia="en-GB"/>
              </w:rPr>
              <w:t>.</w:t>
            </w:r>
            <w:r w:rsidRPr="00074431">
              <w:rPr>
                <w:rFonts w:ascii="Times New Roman Bold" w:hAnsi="Times New Roman Bold" w:cs="Times New Roman Bold"/>
                <w:sz w:val="16"/>
                <w:szCs w:val="16"/>
                <w:lang w:val="en-GB" w:eastAsia="en-GB"/>
              </w:rPr>
              <w:t>: Number of informal sector operators formalized</w:t>
            </w:r>
            <w:r w:rsidR="008F2803">
              <w:rPr>
                <w:rFonts w:ascii="Times New Roman Bold" w:hAnsi="Times New Roman Bold" w:cs="Times New Roman Bold"/>
                <w:sz w:val="16"/>
                <w:szCs w:val="16"/>
                <w:lang w:val="en-GB" w:eastAsia="en-GB"/>
              </w:rPr>
              <w:t>.</w:t>
            </w:r>
            <w:r w:rsidRPr="00074431">
              <w:rPr>
                <w:rFonts w:ascii="Times New Roman Bold" w:hAnsi="Times New Roman Bold" w:cs="Times New Roman Bold"/>
                <w:sz w:val="16"/>
                <w:szCs w:val="16"/>
                <w:lang w:val="en-GB" w:eastAsia="en-GB"/>
              </w:rPr>
              <w:t xml:space="preserve"> </w:t>
            </w:r>
          </w:p>
          <w:p w14:paraId="4CC03998" w14:textId="77777777" w:rsidR="00566569" w:rsidRPr="00074431" w:rsidRDefault="00566569" w:rsidP="00566569">
            <w:pPr>
              <w:jc w:val="both"/>
              <w:rPr>
                <w:rFonts w:cs="Times New Roman Bold"/>
                <w:sz w:val="16"/>
                <w:szCs w:val="16"/>
                <w:lang w:val="en-GB" w:eastAsia="en-GB"/>
              </w:rPr>
            </w:pPr>
            <w:r w:rsidRPr="00074431">
              <w:rPr>
                <w:rFonts w:cs="Times New Roman Bold"/>
                <w:sz w:val="16"/>
                <w:szCs w:val="16"/>
                <w:lang w:val="en-GB" w:eastAsia="en-GB"/>
              </w:rPr>
              <w:t>Baseline (2021): 30</w:t>
            </w:r>
          </w:p>
          <w:p w14:paraId="056E5B75" w14:textId="77777777" w:rsidR="00566569" w:rsidRPr="00074431" w:rsidRDefault="00566569" w:rsidP="00566569">
            <w:pPr>
              <w:jc w:val="both"/>
              <w:rPr>
                <w:rFonts w:cs="Times New Roman Bold"/>
                <w:sz w:val="16"/>
                <w:szCs w:val="16"/>
                <w:lang w:val="en-GB" w:eastAsia="en-GB"/>
              </w:rPr>
            </w:pPr>
            <w:r w:rsidRPr="00074431">
              <w:rPr>
                <w:rFonts w:cs="Times New Roman Bold"/>
                <w:sz w:val="16"/>
                <w:szCs w:val="16"/>
                <w:lang w:val="en-GB" w:eastAsia="en-GB"/>
              </w:rPr>
              <w:t xml:space="preserve">Target (2027): 500 </w:t>
            </w:r>
          </w:p>
          <w:p w14:paraId="75B75CCF" w14:textId="77777777" w:rsidR="00566569" w:rsidRPr="00074431" w:rsidRDefault="00566569" w:rsidP="00566569">
            <w:pPr>
              <w:jc w:val="both"/>
              <w:rPr>
                <w:rFonts w:cs="Times New Roman Bold"/>
                <w:sz w:val="16"/>
                <w:szCs w:val="16"/>
                <w:lang w:val="en-GB" w:eastAsia="en-GB"/>
              </w:rPr>
            </w:pPr>
            <w:r w:rsidRPr="00074431">
              <w:rPr>
                <w:rFonts w:cs="Times New Roman Bold"/>
                <w:sz w:val="16"/>
                <w:szCs w:val="16"/>
                <w:lang w:val="en-GB" w:eastAsia="en-GB"/>
              </w:rPr>
              <w:t>Data source: INE and business registries</w:t>
            </w:r>
          </w:p>
          <w:p w14:paraId="16707214" w14:textId="4B94A239" w:rsidR="00566569" w:rsidRPr="00074431" w:rsidRDefault="00566569" w:rsidP="00566569">
            <w:pPr>
              <w:spacing w:after="120"/>
              <w:jc w:val="both"/>
              <w:rPr>
                <w:rFonts w:cs="Times New Roman Bold"/>
                <w:sz w:val="16"/>
                <w:szCs w:val="16"/>
                <w:lang w:val="en-GB" w:eastAsia="en-GB"/>
              </w:rPr>
            </w:pPr>
            <w:r w:rsidRPr="00074431">
              <w:rPr>
                <w:rFonts w:cs="Times New Roman Bold"/>
                <w:sz w:val="16"/>
                <w:szCs w:val="16"/>
                <w:lang w:val="en-GB" w:eastAsia="en-GB"/>
              </w:rPr>
              <w:t>Frequency: Annual</w:t>
            </w:r>
          </w:p>
          <w:p w14:paraId="72D52CEC" w14:textId="655821F8" w:rsidR="00566569" w:rsidRPr="00952B94" w:rsidRDefault="00566569" w:rsidP="00566569">
            <w:pPr>
              <w:jc w:val="both"/>
              <w:textAlignment w:val="baseline"/>
              <w:rPr>
                <w:b/>
                <w:bCs/>
                <w:sz w:val="16"/>
                <w:szCs w:val="16"/>
                <w:lang w:val="en-GB" w:eastAsia="en-GB"/>
              </w:rPr>
            </w:pPr>
            <w:r w:rsidRPr="00BE1222">
              <w:rPr>
                <w:b/>
                <w:bCs/>
                <w:sz w:val="16"/>
                <w:szCs w:val="16"/>
                <w:lang w:val="en-GB" w:eastAsia="en-GB"/>
              </w:rPr>
              <w:t>3.3.2</w:t>
            </w:r>
            <w:r w:rsidR="008F2803" w:rsidRPr="00BE1222">
              <w:rPr>
                <w:b/>
                <w:bCs/>
                <w:sz w:val="16"/>
                <w:szCs w:val="16"/>
                <w:lang w:val="en-GB" w:eastAsia="en-GB"/>
              </w:rPr>
              <w:t>.</w:t>
            </w:r>
            <w:r w:rsidRPr="00BE1222">
              <w:rPr>
                <w:b/>
                <w:bCs/>
                <w:sz w:val="16"/>
                <w:szCs w:val="16"/>
                <w:lang w:val="en-GB" w:eastAsia="en-GB"/>
              </w:rPr>
              <w:t>: Number of regulatory frameworks adopted that enhance the business environment</w:t>
            </w:r>
            <w:r w:rsidR="008F2803">
              <w:rPr>
                <w:sz w:val="16"/>
                <w:szCs w:val="16"/>
                <w:lang w:val="en-GB" w:eastAsia="en-GB"/>
              </w:rPr>
              <w:t>.</w:t>
            </w:r>
          </w:p>
          <w:p w14:paraId="77295AC2" w14:textId="77777777" w:rsidR="00566569" w:rsidRPr="008F2803" w:rsidRDefault="00566569" w:rsidP="00566569">
            <w:pPr>
              <w:jc w:val="both"/>
              <w:textAlignment w:val="baseline"/>
              <w:rPr>
                <w:rFonts w:cs="Times New Roman Bold"/>
                <w:sz w:val="16"/>
                <w:szCs w:val="16"/>
                <w:lang w:val="en-GB" w:eastAsia="en-GB"/>
              </w:rPr>
            </w:pPr>
            <w:r w:rsidRPr="00074431">
              <w:rPr>
                <w:rFonts w:cs="Times New Roman Bold"/>
                <w:sz w:val="16"/>
                <w:szCs w:val="16"/>
                <w:lang w:val="en-GB" w:eastAsia="en-GB"/>
              </w:rPr>
              <w:t>Baseline (2022):</w:t>
            </w:r>
            <w:r w:rsidRPr="008F2803">
              <w:rPr>
                <w:rFonts w:cs="Times New Roman Bold"/>
                <w:sz w:val="16"/>
                <w:szCs w:val="16"/>
                <w:lang w:val="en-GB" w:eastAsia="en-GB"/>
              </w:rPr>
              <w:t xml:space="preserve"> 2</w:t>
            </w:r>
          </w:p>
          <w:p w14:paraId="088BBC97" w14:textId="77777777" w:rsidR="00566569" w:rsidRPr="008F2803" w:rsidRDefault="00566569" w:rsidP="00566569">
            <w:pPr>
              <w:jc w:val="both"/>
              <w:textAlignment w:val="baseline"/>
              <w:rPr>
                <w:rFonts w:cs="Times New Roman Bold"/>
                <w:sz w:val="16"/>
                <w:szCs w:val="16"/>
                <w:lang w:val="en-GB" w:eastAsia="en-GB"/>
              </w:rPr>
            </w:pPr>
            <w:r w:rsidRPr="00074431">
              <w:rPr>
                <w:rFonts w:cs="Times New Roman Bold"/>
                <w:sz w:val="16"/>
                <w:szCs w:val="16"/>
                <w:lang w:val="en-GB" w:eastAsia="en-GB"/>
              </w:rPr>
              <w:lastRenderedPageBreak/>
              <w:t>Target (2027):</w:t>
            </w:r>
            <w:r w:rsidRPr="008F2803">
              <w:rPr>
                <w:rFonts w:cs="Times New Roman Bold"/>
                <w:sz w:val="16"/>
                <w:szCs w:val="16"/>
                <w:lang w:val="en-GB" w:eastAsia="en-GB"/>
              </w:rPr>
              <w:t xml:space="preserve"> 6</w:t>
            </w:r>
          </w:p>
          <w:p w14:paraId="73CEA6EC" w14:textId="77777777" w:rsidR="00566569" w:rsidRPr="008F2803" w:rsidRDefault="00566569" w:rsidP="00566569">
            <w:pPr>
              <w:jc w:val="both"/>
              <w:textAlignment w:val="baseline"/>
              <w:rPr>
                <w:rFonts w:cs="Times New Roman Bold"/>
                <w:sz w:val="16"/>
                <w:szCs w:val="16"/>
                <w:lang w:val="en-GB" w:eastAsia="en-GB"/>
              </w:rPr>
            </w:pPr>
            <w:r w:rsidRPr="00074431">
              <w:rPr>
                <w:rFonts w:cs="Times New Roman Bold"/>
                <w:sz w:val="16"/>
                <w:szCs w:val="16"/>
                <w:lang w:val="en-GB" w:eastAsia="en-GB"/>
              </w:rPr>
              <w:t>Data source:</w:t>
            </w:r>
            <w:r w:rsidRPr="008F2803">
              <w:rPr>
                <w:rFonts w:cs="Times New Roman Bold"/>
                <w:sz w:val="16"/>
                <w:szCs w:val="16"/>
                <w:lang w:val="en-GB" w:eastAsia="en-GB"/>
              </w:rPr>
              <w:t xml:space="preserve"> National Gazette </w:t>
            </w:r>
          </w:p>
          <w:p w14:paraId="000E9725" w14:textId="0593E75E" w:rsidR="00566569" w:rsidRPr="00952B94" w:rsidRDefault="00566569" w:rsidP="00566569">
            <w:pPr>
              <w:jc w:val="both"/>
              <w:textAlignment w:val="baseline"/>
              <w:rPr>
                <w:rFonts w:cs="Times New Roman Bold"/>
                <w:sz w:val="16"/>
                <w:szCs w:val="16"/>
                <w:lang w:val="en-GB" w:eastAsia="en-GB"/>
              </w:rPr>
            </w:pPr>
            <w:r w:rsidRPr="00074431">
              <w:rPr>
                <w:rFonts w:cs="Times New Roman Bold"/>
                <w:sz w:val="16"/>
                <w:szCs w:val="16"/>
                <w:lang w:val="en-GB" w:eastAsia="en-GB"/>
              </w:rPr>
              <w:t>Frequency</w:t>
            </w:r>
            <w:r w:rsidRPr="008F2803">
              <w:rPr>
                <w:rFonts w:cs="Times New Roman Bold"/>
                <w:sz w:val="16"/>
                <w:szCs w:val="16"/>
                <w:lang w:val="en-GB" w:eastAsia="en-GB"/>
              </w:rPr>
              <w:t>: Annual</w:t>
            </w:r>
          </w:p>
        </w:tc>
        <w:tc>
          <w:tcPr>
            <w:tcW w:w="1701" w:type="dxa"/>
            <w:vMerge/>
            <w:shd w:val="clear" w:color="auto" w:fill="auto"/>
          </w:tcPr>
          <w:p w14:paraId="4AC916D8" w14:textId="77777777" w:rsidR="00566569" w:rsidRPr="00952B94" w:rsidRDefault="00566569" w:rsidP="00566569">
            <w:pPr>
              <w:spacing w:after="60"/>
              <w:rPr>
                <w:sz w:val="16"/>
                <w:szCs w:val="16"/>
                <w:lang w:val="en-GB" w:eastAsia="en-GB"/>
              </w:rPr>
            </w:pPr>
          </w:p>
        </w:tc>
        <w:tc>
          <w:tcPr>
            <w:tcW w:w="1843" w:type="dxa"/>
            <w:vMerge/>
            <w:shd w:val="clear" w:color="auto" w:fill="auto"/>
          </w:tcPr>
          <w:p w14:paraId="1F7E4359" w14:textId="77777777" w:rsidR="00566569" w:rsidRPr="00952B94" w:rsidRDefault="00566569" w:rsidP="00566569">
            <w:pPr>
              <w:textAlignment w:val="baseline"/>
              <w:rPr>
                <w:b/>
                <w:bCs/>
                <w:sz w:val="16"/>
                <w:szCs w:val="16"/>
                <w:lang w:eastAsia="en-GB"/>
              </w:rPr>
            </w:pPr>
          </w:p>
        </w:tc>
      </w:tr>
      <w:tr w:rsidR="00566569" w:rsidRPr="00952B94" w14:paraId="291CCE87" w14:textId="77777777" w:rsidTr="0020690D">
        <w:tblPrEx>
          <w:tblCellMar>
            <w:left w:w="0" w:type="dxa"/>
            <w:right w:w="0" w:type="dxa"/>
          </w:tblCellMar>
        </w:tblPrEx>
        <w:trPr>
          <w:trHeight w:val="15"/>
        </w:trPr>
        <w:tc>
          <w:tcPr>
            <w:tcW w:w="14029" w:type="dxa"/>
            <w:gridSpan w:val="6"/>
            <w:shd w:val="clear" w:color="auto" w:fill="DBE5F1"/>
          </w:tcPr>
          <w:p w14:paraId="43DDA557" w14:textId="011C2115" w:rsidR="00566569" w:rsidRPr="00952B94" w:rsidRDefault="00566569" w:rsidP="00566569">
            <w:pPr>
              <w:spacing w:after="120"/>
              <w:textAlignment w:val="baseline"/>
              <w:rPr>
                <w:color w:val="000000"/>
                <w:sz w:val="16"/>
                <w:szCs w:val="16"/>
              </w:rPr>
            </w:pPr>
            <w:r w:rsidRPr="00952B94">
              <w:rPr>
                <w:b/>
                <w:bCs/>
                <w:color w:val="000000"/>
                <w:sz w:val="16"/>
                <w:szCs w:val="16"/>
                <w:lang w:val="en-GB"/>
              </w:rPr>
              <w:t xml:space="preserve">NATIONAL PRIORITY OR GOAL: </w:t>
            </w:r>
            <w:r w:rsidRPr="00952B94">
              <w:rPr>
                <w:color w:val="000000"/>
                <w:sz w:val="16"/>
                <w:szCs w:val="16"/>
                <w:lang w:val="en-GB"/>
              </w:rPr>
              <w:t>Inclusive governance, equitable service delivery, and rights-based development empower</w:t>
            </w:r>
            <w:r w:rsidR="008F2803">
              <w:rPr>
                <w:color w:val="000000"/>
                <w:sz w:val="16"/>
                <w:szCs w:val="16"/>
                <w:lang w:val="en-GB"/>
              </w:rPr>
              <w:t>s</w:t>
            </w:r>
            <w:r w:rsidRPr="00952B94">
              <w:rPr>
                <w:color w:val="000000"/>
                <w:sz w:val="16"/>
                <w:szCs w:val="16"/>
                <w:lang w:val="en-GB"/>
              </w:rPr>
              <w:t xml:space="preserve"> local communities and strengthen</w:t>
            </w:r>
            <w:r w:rsidR="008F2803">
              <w:rPr>
                <w:color w:val="000000"/>
                <w:sz w:val="16"/>
                <w:szCs w:val="16"/>
                <w:lang w:val="en-GB"/>
              </w:rPr>
              <w:t>s</w:t>
            </w:r>
            <w:r w:rsidRPr="00952B94">
              <w:rPr>
                <w:color w:val="000000"/>
                <w:sz w:val="16"/>
                <w:szCs w:val="16"/>
                <w:lang w:val="en-GB"/>
              </w:rPr>
              <w:t xml:space="preserve"> social cohesion and resilience.</w:t>
            </w:r>
            <w:r w:rsidR="00D2245D" w:rsidRPr="00952B94">
              <w:t xml:space="preserve"> </w:t>
            </w:r>
            <w:r w:rsidR="00D2245D" w:rsidRPr="00952B94">
              <w:rPr>
                <w:color w:val="000000"/>
                <w:sz w:val="16"/>
                <w:szCs w:val="16"/>
                <w:lang w:val="en-GB"/>
              </w:rPr>
              <w:t>(PNARME Objective 5)</w:t>
            </w:r>
          </w:p>
        </w:tc>
      </w:tr>
      <w:tr w:rsidR="00566569" w:rsidRPr="00952B94" w14:paraId="19A2D706" w14:textId="77777777" w:rsidTr="00952B94">
        <w:tblPrEx>
          <w:tblCellMar>
            <w:left w:w="0" w:type="dxa"/>
            <w:right w:w="0" w:type="dxa"/>
          </w:tblCellMar>
        </w:tblPrEx>
        <w:tc>
          <w:tcPr>
            <w:tcW w:w="14029" w:type="dxa"/>
            <w:gridSpan w:val="6"/>
            <w:shd w:val="clear" w:color="auto" w:fill="DBE5F1"/>
          </w:tcPr>
          <w:p w14:paraId="512BD54D" w14:textId="1C090501" w:rsidR="00566569" w:rsidRPr="00952B94" w:rsidRDefault="00566569" w:rsidP="00566569">
            <w:pPr>
              <w:spacing w:after="120"/>
              <w:textAlignment w:val="baseline"/>
              <w:rPr>
                <w:sz w:val="16"/>
                <w:szCs w:val="16"/>
              </w:rPr>
            </w:pPr>
            <w:r w:rsidRPr="00952B94">
              <w:rPr>
                <w:b/>
                <w:bCs/>
                <w:color w:val="000000"/>
                <w:sz w:val="16"/>
                <w:szCs w:val="16"/>
                <w:lang w:val="en-GB"/>
              </w:rPr>
              <w:t xml:space="preserve">COOPERATION FRAMEWORK </w:t>
            </w:r>
            <w:r w:rsidRPr="00952B94">
              <w:rPr>
                <w:b/>
                <w:bCs/>
                <w:sz w:val="16"/>
                <w:szCs w:val="16"/>
                <w:lang w:val="en-GB" w:eastAsia="en-GB"/>
              </w:rPr>
              <w:t>OUTCOME INVOLVING UNDP #4</w:t>
            </w:r>
            <w:r w:rsidRPr="00952B94">
              <w:rPr>
                <w:b/>
                <w:bCs/>
                <w:color w:val="000000"/>
                <w:sz w:val="16"/>
                <w:szCs w:val="16"/>
                <w:lang w:val="en-GB"/>
              </w:rPr>
              <w:t xml:space="preserve">: </w:t>
            </w:r>
            <w:r w:rsidRPr="00952B94">
              <w:rPr>
                <w:color w:val="000000"/>
                <w:sz w:val="16"/>
                <w:szCs w:val="16"/>
              </w:rPr>
              <w:t>By 2027, people benefit from transparent, responsive and gender-sensitive institutions</w:t>
            </w:r>
            <w:r w:rsidR="008F2803">
              <w:rPr>
                <w:color w:val="000000"/>
                <w:sz w:val="16"/>
                <w:szCs w:val="16"/>
              </w:rPr>
              <w:t>.</w:t>
            </w:r>
            <w:r w:rsidRPr="00952B94">
              <w:rPr>
                <w:color w:val="000000"/>
                <w:sz w:val="16"/>
                <w:szCs w:val="16"/>
              </w:rPr>
              <w:t> </w:t>
            </w:r>
          </w:p>
        </w:tc>
      </w:tr>
      <w:tr w:rsidR="00566569" w:rsidRPr="00952B94" w14:paraId="35F5279E" w14:textId="77777777" w:rsidTr="00952B94">
        <w:tblPrEx>
          <w:tblCellMar>
            <w:left w:w="0" w:type="dxa"/>
            <w:right w:w="0" w:type="dxa"/>
          </w:tblCellMar>
        </w:tblPrEx>
        <w:tc>
          <w:tcPr>
            <w:tcW w:w="14029" w:type="dxa"/>
            <w:gridSpan w:val="6"/>
            <w:shd w:val="clear" w:color="auto" w:fill="DBE5F1"/>
          </w:tcPr>
          <w:p w14:paraId="171FB1D0" w14:textId="65535735" w:rsidR="00566569" w:rsidRPr="00952B94" w:rsidRDefault="00566569" w:rsidP="00566569">
            <w:pPr>
              <w:spacing w:after="120"/>
              <w:textAlignment w:val="baseline"/>
              <w:rPr>
                <w:sz w:val="16"/>
                <w:szCs w:val="16"/>
              </w:rPr>
            </w:pPr>
            <w:r w:rsidRPr="00952B94">
              <w:rPr>
                <w:b/>
                <w:bCs/>
                <w:color w:val="000000"/>
                <w:sz w:val="16"/>
                <w:szCs w:val="16"/>
                <w:lang w:val="en-GB"/>
              </w:rPr>
              <w:t>RELATED STRATEGIC PLAN OUTCOME 2:</w:t>
            </w:r>
            <w:r w:rsidRPr="00952B94">
              <w:rPr>
                <w:color w:val="0000FF"/>
                <w:sz w:val="16"/>
                <w:szCs w:val="16"/>
                <w:lang w:val="en-GB"/>
              </w:rPr>
              <w:t> </w:t>
            </w:r>
            <w:bookmarkStart w:id="11" w:name="_Hlk77050292"/>
            <w:r w:rsidRPr="00952B94">
              <w:rPr>
                <w:rFonts w:eastAsia="Calibri"/>
                <w:bCs/>
                <w:sz w:val="16"/>
                <w:szCs w:val="16"/>
              </w:rPr>
              <w:t xml:space="preserve">Structural transformation </w:t>
            </w:r>
            <w:r w:rsidR="008F2803">
              <w:rPr>
                <w:rFonts w:eastAsia="Calibri"/>
                <w:bCs/>
                <w:sz w:val="16"/>
                <w:szCs w:val="16"/>
              </w:rPr>
              <w:t xml:space="preserve">is </w:t>
            </w:r>
            <w:r w:rsidRPr="00952B94">
              <w:rPr>
                <w:rFonts w:eastAsia="Calibri"/>
                <w:bCs/>
                <w:sz w:val="16"/>
                <w:szCs w:val="16"/>
              </w:rPr>
              <w:t>accelerated, particularly green, inclusive, and digital transitions</w:t>
            </w:r>
            <w:bookmarkEnd w:id="11"/>
            <w:r w:rsidR="008F2803">
              <w:rPr>
                <w:rFonts w:eastAsia="Calibri"/>
                <w:bCs/>
                <w:sz w:val="16"/>
                <w:szCs w:val="16"/>
              </w:rPr>
              <w:t>.</w:t>
            </w:r>
          </w:p>
        </w:tc>
      </w:tr>
      <w:tr w:rsidR="00566569" w:rsidRPr="00952B94" w14:paraId="3D3E476A" w14:textId="77777777" w:rsidTr="00952B94">
        <w:tblPrEx>
          <w:tblCellMar>
            <w:left w:w="0" w:type="dxa"/>
            <w:right w:w="0" w:type="dxa"/>
          </w:tblCellMar>
        </w:tblPrEx>
        <w:tc>
          <w:tcPr>
            <w:tcW w:w="2250" w:type="dxa"/>
            <w:vMerge w:val="restart"/>
            <w:tcBorders>
              <w:bottom w:val="single" w:sz="4" w:space="0" w:color="auto"/>
            </w:tcBorders>
            <w:shd w:val="clear" w:color="auto" w:fill="auto"/>
          </w:tcPr>
          <w:p w14:paraId="2274F0A5" w14:textId="2BC5AFF8" w:rsidR="00566569" w:rsidRPr="00952B94" w:rsidRDefault="008F2803" w:rsidP="00566569">
            <w:pPr>
              <w:textAlignment w:val="baseline"/>
              <w:rPr>
                <w:b/>
                <w:bCs/>
                <w:sz w:val="16"/>
                <w:szCs w:val="16"/>
              </w:rPr>
            </w:pPr>
            <w:r>
              <w:rPr>
                <w:b/>
                <w:bCs/>
                <w:sz w:val="16"/>
                <w:szCs w:val="16"/>
              </w:rPr>
              <w:t xml:space="preserve">Indicator </w:t>
            </w:r>
            <w:r w:rsidR="00566569" w:rsidRPr="00952B94">
              <w:rPr>
                <w:b/>
                <w:bCs/>
                <w:sz w:val="16"/>
                <w:szCs w:val="16"/>
              </w:rPr>
              <w:t>4.1</w:t>
            </w:r>
            <w:r>
              <w:rPr>
                <w:b/>
                <w:bCs/>
                <w:sz w:val="16"/>
                <w:szCs w:val="16"/>
              </w:rPr>
              <w:t>.:</w:t>
            </w:r>
            <w:r w:rsidR="00566569" w:rsidRPr="00952B94">
              <w:rPr>
                <w:b/>
                <w:bCs/>
                <w:sz w:val="16"/>
                <w:szCs w:val="16"/>
              </w:rPr>
              <w:t xml:space="preserve"> </w:t>
            </w:r>
            <w:r w:rsidR="00E73708" w:rsidRPr="00952B94">
              <w:rPr>
                <w:b/>
                <w:bCs/>
                <w:sz w:val="16"/>
                <w:szCs w:val="16"/>
              </w:rPr>
              <w:t xml:space="preserve">Statistical capacity indicator for </w:t>
            </w:r>
            <w:r>
              <w:rPr>
                <w:b/>
                <w:bCs/>
                <w:sz w:val="16"/>
                <w:szCs w:val="16"/>
              </w:rPr>
              <w:t>SDG</w:t>
            </w:r>
            <w:r w:rsidR="00E73708" w:rsidRPr="00952B94">
              <w:rPr>
                <w:b/>
                <w:bCs/>
                <w:sz w:val="16"/>
                <w:szCs w:val="16"/>
              </w:rPr>
              <w:t xml:space="preserve"> monitoring </w:t>
            </w:r>
          </w:p>
          <w:p w14:paraId="7B40A582" w14:textId="77777777" w:rsidR="00566569" w:rsidRPr="00952B94" w:rsidRDefault="00566569" w:rsidP="00566569">
            <w:pPr>
              <w:textAlignment w:val="baseline"/>
              <w:rPr>
                <w:b/>
                <w:bCs/>
                <w:sz w:val="16"/>
                <w:szCs w:val="16"/>
              </w:rPr>
            </w:pPr>
            <w:r w:rsidRPr="00952B94">
              <w:rPr>
                <w:b/>
                <w:bCs/>
                <w:sz w:val="16"/>
                <w:szCs w:val="16"/>
              </w:rPr>
              <w:t xml:space="preserve">Baseline: </w:t>
            </w:r>
            <w:r w:rsidRPr="00952B94">
              <w:rPr>
                <w:sz w:val="16"/>
                <w:szCs w:val="16"/>
              </w:rPr>
              <w:t>48% (2018)</w:t>
            </w:r>
          </w:p>
          <w:p w14:paraId="7A1A5593" w14:textId="77777777" w:rsidR="00566569" w:rsidRPr="00952B94" w:rsidRDefault="00566569" w:rsidP="00566569">
            <w:pPr>
              <w:textAlignment w:val="baseline"/>
              <w:rPr>
                <w:sz w:val="16"/>
                <w:szCs w:val="16"/>
              </w:rPr>
            </w:pPr>
            <w:r w:rsidRPr="00952B94">
              <w:rPr>
                <w:b/>
                <w:bCs/>
                <w:sz w:val="16"/>
                <w:szCs w:val="16"/>
              </w:rPr>
              <w:t xml:space="preserve">Target: </w:t>
            </w:r>
            <w:r w:rsidRPr="00952B94">
              <w:rPr>
                <w:sz w:val="16"/>
                <w:szCs w:val="16"/>
              </w:rPr>
              <w:t>60% (2027)</w:t>
            </w:r>
          </w:p>
          <w:p w14:paraId="5F51D13A" w14:textId="77777777" w:rsidR="00566569" w:rsidRPr="00952B94" w:rsidRDefault="00566569" w:rsidP="00566569">
            <w:pPr>
              <w:textAlignment w:val="baseline"/>
              <w:rPr>
                <w:b/>
                <w:bCs/>
                <w:sz w:val="16"/>
                <w:szCs w:val="16"/>
              </w:rPr>
            </w:pPr>
          </w:p>
          <w:p w14:paraId="60D47C67" w14:textId="59FC833A" w:rsidR="00566569" w:rsidRPr="00952B94" w:rsidRDefault="008F2803" w:rsidP="00566569">
            <w:pPr>
              <w:textAlignment w:val="baseline"/>
              <w:rPr>
                <w:b/>
                <w:bCs/>
                <w:sz w:val="16"/>
                <w:szCs w:val="16"/>
              </w:rPr>
            </w:pPr>
            <w:r>
              <w:rPr>
                <w:b/>
                <w:bCs/>
                <w:sz w:val="16"/>
                <w:szCs w:val="16"/>
              </w:rPr>
              <w:t xml:space="preserve">Indicator </w:t>
            </w:r>
            <w:r w:rsidR="00566569" w:rsidRPr="00952B94">
              <w:rPr>
                <w:b/>
                <w:bCs/>
                <w:sz w:val="16"/>
                <w:szCs w:val="16"/>
              </w:rPr>
              <w:t>4.2</w:t>
            </w:r>
            <w:r>
              <w:rPr>
                <w:b/>
                <w:bCs/>
                <w:sz w:val="16"/>
                <w:szCs w:val="16"/>
              </w:rPr>
              <w:t>.:</w:t>
            </w:r>
            <w:r w:rsidR="00566569" w:rsidRPr="00952B94">
              <w:rPr>
                <w:b/>
                <w:bCs/>
                <w:sz w:val="16"/>
                <w:szCs w:val="16"/>
              </w:rPr>
              <w:t xml:space="preserve"> </w:t>
            </w:r>
            <w:r w:rsidR="00E73708" w:rsidRPr="00952B94">
              <w:rPr>
                <w:b/>
                <w:bCs/>
                <w:sz w:val="16"/>
                <w:szCs w:val="16"/>
              </w:rPr>
              <w:t xml:space="preserve">Percentage of </w:t>
            </w:r>
            <w:r w:rsidR="00BB099C">
              <w:rPr>
                <w:b/>
                <w:bCs/>
                <w:sz w:val="16"/>
                <w:szCs w:val="16"/>
              </w:rPr>
              <w:t>j</w:t>
            </w:r>
            <w:r w:rsidR="00E73708" w:rsidRPr="00952B94">
              <w:rPr>
                <w:b/>
                <w:bCs/>
                <w:sz w:val="16"/>
                <w:szCs w:val="16"/>
              </w:rPr>
              <w:t xml:space="preserve">udiciary institutions </w:t>
            </w:r>
            <w:r w:rsidR="00BB099C">
              <w:rPr>
                <w:b/>
                <w:bCs/>
                <w:sz w:val="16"/>
                <w:szCs w:val="16"/>
              </w:rPr>
              <w:t xml:space="preserve">have </w:t>
            </w:r>
            <w:r w:rsidR="00E73708" w:rsidRPr="00952B94">
              <w:rPr>
                <w:b/>
                <w:bCs/>
                <w:sz w:val="16"/>
                <w:szCs w:val="16"/>
              </w:rPr>
              <w:t>capacity to process cases digitally</w:t>
            </w:r>
          </w:p>
          <w:p w14:paraId="52B56F8E" w14:textId="7C140C92" w:rsidR="00566569" w:rsidRPr="00952B94" w:rsidRDefault="00566569" w:rsidP="00566569">
            <w:pPr>
              <w:textAlignment w:val="baseline"/>
              <w:rPr>
                <w:b/>
                <w:bCs/>
                <w:sz w:val="16"/>
                <w:szCs w:val="16"/>
              </w:rPr>
            </w:pPr>
            <w:r w:rsidRPr="00952B94">
              <w:rPr>
                <w:b/>
                <w:bCs/>
                <w:sz w:val="16"/>
                <w:szCs w:val="16"/>
              </w:rPr>
              <w:t xml:space="preserve">Baseline: </w:t>
            </w:r>
            <w:r w:rsidRPr="00952B94">
              <w:rPr>
                <w:sz w:val="16"/>
                <w:szCs w:val="16"/>
              </w:rPr>
              <w:t>0</w:t>
            </w:r>
            <w:r w:rsidR="004066F7" w:rsidRPr="00952B94">
              <w:rPr>
                <w:sz w:val="16"/>
                <w:szCs w:val="16"/>
              </w:rPr>
              <w:t>%</w:t>
            </w:r>
            <w:r w:rsidRPr="00952B94">
              <w:rPr>
                <w:sz w:val="16"/>
                <w:szCs w:val="16"/>
              </w:rPr>
              <w:t xml:space="preserve"> (2022)</w:t>
            </w:r>
          </w:p>
          <w:p w14:paraId="15858942" w14:textId="77777777" w:rsidR="00566569" w:rsidRPr="00952B94" w:rsidRDefault="00566569" w:rsidP="00566569">
            <w:pPr>
              <w:textAlignment w:val="baseline"/>
              <w:rPr>
                <w:b/>
                <w:bCs/>
                <w:sz w:val="16"/>
                <w:szCs w:val="16"/>
              </w:rPr>
            </w:pPr>
            <w:r w:rsidRPr="00952B94">
              <w:rPr>
                <w:b/>
                <w:bCs/>
                <w:sz w:val="16"/>
                <w:szCs w:val="16"/>
              </w:rPr>
              <w:t xml:space="preserve">Target: </w:t>
            </w:r>
            <w:r w:rsidRPr="00952B94">
              <w:rPr>
                <w:sz w:val="16"/>
                <w:szCs w:val="16"/>
              </w:rPr>
              <w:t>90% (2027)</w:t>
            </w:r>
          </w:p>
          <w:p w14:paraId="398B7D68" w14:textId="43864145" w:rsidR="00566569" w:rsidRPr="00952B94" w:rsidRDefault="00566569" w:rsidP="00566569">
            <w:pPr>
              <w:textAlignment w:val="baseline"/>
              <w:rPr>
                <w:sz w:val="16"/>
                <w:szCs w:val="16"/>
              </w:rPr>
            </w:pPr>
          </w:p>
        </w:tc>
        <w:tc>
          <w:tcPr>
            <w:tcW w:w="2140" w:type="dxa"/>
            <w:gridSpan w:val="2"/>
            <w:vMerge w:val="restart"/>
            <w:tcBorders>
              <w:bottom w:val="single" w:sz="4" w:space="0" w:color="auto"/>
            </w:tcBorders>
            <w:shd w:val="clear" w:color="auto" w:fill="auto"/>
          </w:tcPr>
          <w:p w14:paraId="3756DDFA"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INE</w:t>
            </w:r>
          </w:p>
          <w:p w14:paraId="1A8EA43A"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6D3F07D4" w14:textId="3496F44B" w:rsidR="00566569" w:rsidRPr="00952B94" w:rsidRDefault="00566569" w:rsidP="00566569">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p w14:paraId="261C4A27" w14:textId="77777777" w:rsidR="00566569" w:rsidRPr="00952B94" w:rsidRDefault="00566569" w:rsidP="00566569">
            <w:pPr>
              <w:rPr>
                <w:b/>
                <w:bCs/>
                <w:color w:val="000000"/>
                <w:sz w:val="16"/>
                <w:szCs w:val="16"/>
                <w:lang w:val="en-GB"/>
              </w:rPr>
            </w:pPr>
          </w:p>
          <w:p w14:paraId="265570A5" w14:textId="77777777" w:rsidR="00566569" w:rsidRPr="00952B94" w:rsidRDefault="00566569" w:rsidP="00566569">
            <w:pPr>
              <w:rPr>
                <w:b/>
                <w:bCs/>
                <w:color w:val="000000"/>
                <w:sz w:val="16"/>
                <w:szCs w:val="16"/>
                <w:lang w:val="en-GB"/>
              </w:rPr>
            </w:pPr>
          </w:p>
          <w:p w14:paraId="36CF1F71" w14:textId="77777777" w:rsidR="00566569" w:rsidRPr="00952B94" w:rsidRDefault="00566569" w:rsidP="00566569">
            <w:pPr>
              <w:rPr>
                <w:b/>
                <w:bCs/>
                <w:color w:val="000000"/>
                <w:sz w:val="16"/>
                <w:szCs w:val="16"/>
                <w:lang w:val="en-GB"/>
              </w:rPr>
            </w:pPr>
          </w:p>
          <w:p w14:paraId="42F6000D" w14:textId="77777777" w:rsidR="00566569" w:rsidRPr="00952B94" w:rsidRDefault="00566569" w:rsidP="00566569">
            <w:pPr>
              <w:rPr>
                <w:color w:val="000000"/>
                <w:sz w:val="16"/>
                <w:szCs w:val="16"/>
                <w:lang w:val="en-GB"/>
              </w:rPr>
            </w:pPr>
            <w:r w:rsidRPr="00952B94">
              <w:rPr>
                <w:b/>
                <w:bCs/>
                <w:color w:val="000000"/>
                <w:sz w:val="16"/>
                <w:szCs w:val="16"/>
                <w:lang w:val="en-GB"/>
              </w:rPr>
              <w:t>Data source:</w:t>
            </w:r>
            <w:r w:rsidRPr="00952B94">
              <w:rPr>
                <w:sz w:val="16"/>
                <w:szCs w:val="16"/>
              </w:rPr>
              <w:t xml:space="preserve">  Annual Report Courts/Public Prosecutor's Office</w:t>
            </w:r>
          </w:p>
          <w:p w14:paraId="726CCFEE" w14:textId="77777777" w:rsidR="00566569" w:rsidRPr="00952B94" w:rsidRDefault="00566569" w:rsidP="00566569">
            <w:pPr>
              <w:rPr>
                <w:color w:val="000000"/>
                <w:sz w:val="16"/>
                <w:szCs w:val="16"/>
                <w:lang w:val="en-GB"/>
              </w:rPr>
            </w:pPr>
            <w:r w:rsidRPr="00952B94">
              <w:rPr>
                <w:b/>
                <w:bCs/>
                <w:color w:val="000000"/>
                <w:sz w:val="16"/>
                <w:szCs w:val="16"/>
                <w:lang w:val="en-GB"/>
              </w:rPr>
              <w:t>Frequency:</w:t>
            </w:r>
            <w:r w:rsidRPr="00952B94">
              <w:rPr>
                <w:color w:val="000000"/>
                <w:sz w:val="16"/>
                <w:szCs w:val="16"/>
                <w:lang w:val="en-GB"/>
              </w:rPr>
              <w:t xml:space="preserve">    Annual</w:t>
            </w:r>
          </w:p>
          <w:p w14:paraId="6EBEAC17" w14:textId="5C6D0E63" w:rsidR="00566569" w:rsidRPr="00952B94" w:rsidRDefault="00566569" w:rsidP="00E73708">
            <w:pPr>
              <w:rPr>
                <w:color w:val="000000"/>
                <w:sz w:val="16"/>
                <w:szCs w:val="16"/>
                <w:lang w:val="en-GB"/>
              </w:rPr>
            </w:pPr>
            <w:r w:rsidRPr="00952B94">
              <w:rPr>
                <w:b/>
                <w:bCs/>
                <w:color w:val="000000"/>
                <w:sz w:val="16"/>
                <w:szCs w:val="16"/>
                <w:lang w:val="en-GB"/>
              </w:rPr>
              <w:t xml:space="preserve">Responsible:  </w:t>
            </w:r>
            <w:r w:rsidR="0014068C" w:rsidRPr="00952B94">
              <w:rPr>
                <w:color w:val="000000"/>
                <w:sz w:val="16"/>
                <w:szCs w:val="16"/>
                <w:lang w:val="en-GB"/>
              </w:rPr>
              <w:t>TBC</w:t>
            </w:r>
          </w:p>
        </w:tc>
        <w:tc>
          <w:tcPr>
            <w:tcW w:w="6095" w:type="dxa"/>
            <w:tcBorders>
              <w:bottom w:val="single" w:sz="4" w:space="0" w:color="auto"/>
            </w:tcBorders>
            <w:shd w:val="clear" w:color="auto" w:fill="auto"/>
          </w:tcPr>
          <w:p w14:paraId="23DCD9E1" w14:textId="47432282" w:rsidR="00566569" w:rsidRPr="00952B94" w:rsidRDefault="00BB099C" w:rsidP="00566569">
            <w:pPr>
              <w:spacing w:after="120"/>
              <w:jc w:val="both"/>
              <w:textAlignment w:val="baseline"/>
              <w:rPr>
                <w:rFonts w:ascii="Times New Roman Bold" w:hAnsi="Times New Roman Bold" w:cs="Times New Roman Bold"/>
                <w:b/>
                <w:bCs/>
                <w:sz w:val="16"/>
                <w:szCs w:val="16"/>
              </w:rPr>
            </w:pPr>
            <w:r>
              <w:rPr>
                <w:rFonts w:ascii="Times New Roman Bold" w:hAnsi="Times New Roman Bold" w:cs="Times New Roman Bold"/>
                <w:b/>
                <w:bCs/>
                <w:sz w:val="16"/>
                <w:szCs w:val="16"/>
              </w:rPr>
              <w:t xml:space="preserve">Output </w:t>
            </w:r>
            <w:r w:rsidR="00566569" w:rsidRPr="00952B94">
              <w:rPr>
                <w:rFonts w:ascii="Times New Roman Bold" w:hAnsi="Times New Roman Bold" w:cs="Times New Roman Bold"/>
                <w:b/>
                <w:bCs/>
                <w:sz w:val="16"/>
                <w:szCs w:val="16"/>
              </w:rPr>
              <w:t>4.1</w:t>
            </w:r>
            <w:r>
              <w:rPr>
                <w:rFonts w:ascii="Times New Roman Bold" w:hAnsi="Times New Roman Bold" w:cs="Times New Roman Bold"/>
                <w:b/>
                <w:bCs/>
                <w:sz w:val="16"/>
                <w:szCs w:val="16"/>
              </w:rPr>
              <w:t>.:</w:t>
            </w:r>
            <w:r w:rsidR="00566569" w:rsidRPr="00952B94">
              <w:rPr>
                <w:rFonts w:ascii="Times New Roman Bold" w:hAnsi="Times New Roman Bold" w:cs="Times New Roman Bold"/>
                <w:b/>
                <w:bCs/>
                <w:sz w:val="16"/>
                <w:szCs w:val="16"/>
              </w:rPr>
              <w:t> Justice and rule of law institutions have the capacity to deliver resilient, gender-sensitive, human rights</w:t>
            </w:r>
            <w:r>
              <w:rPr>
                <w:rFonts w:ascii="Times New Roman Bold" w:hAnsi="Times New Roman Bold" w:cs="Times New Roman Bold"/>
                <w:b/>
                <w:bCs/>
                <w:sz w:val="16"/>
                <w:szCs w:val="16"/>
              </w:rPr>
              <w:t>-</w:t>
            </w:r>
            <w:r w:rsidR="00566569" w:rsidRPr="00952B94">
              <w:rPr>
                <w:rFonts w:ascii="Times New Roman Bold" w:hAnsi="Times New Roman Bold" w:cs="Times New Roman Bold"/>
                <w:b/>
                <w:bCs/>
                <w:sz w:val="16"/>
                <w:szCs w:val="16"/>
              </w:rPr>
              <w:t>based and inclusive services, especially for vulnerable women and children</w:t>
            </w:r>
            <w:r w:rsidR="007539F7" w:rsidRPr="00952B94">
              <w:rPr>
                <w:rFonts w:ascii="Times New Roman Bold" w:hAnsi="Times New Roman Bold" w:cs="Times New Roman Bold"/>
                <w:b/>
                <w:bCs/>
                <w:sz w:val="16"/>
                <w:szCs w:val="16"/>
              </w:rPr>
              <w:t xml:space="preserve"> and people </w:t>
            </w:r>
            <w:r>
              <w:rPr>
                <w:rFonts w:ascii="Times New Roman Bold" w:hAnsi="Times New Roman Bold" w:cs="Times New Roman Bold"/>
                <w:b/>
                <w:bCs/>
                <w:sz w:val="16"/>
                <w:szCs w:val="16"/>
              </w:rPr>
              <w:t xml:space="preserve">living </w:t>
            </w:r>
            <w:r w:rsidR="007539F7" w:rsidRPr="00952B94">
              <w:rPr>
                <w:rFonts w:ascii="Times New Roman Bold" w:hAnsi="Times New Roman Bold" w:cs="Times New Roman Bold"/>
                <w:b/>
                <w:bCs/>
                <w:sz w:val="16"/>
                <w:szCs w:val="16"/>
              </w:rPr>
              <w:t>with disabilities</w:t>
            </w:r>
            <w:r>
              <w:rPr>
                <w:rFonts w:ascii="Times New Roman Bold" w:hAnsi="Times New Roman Bold" w:cs="Times New Roman Bold"/>
                <w:b/>
                <w:bCs/>
                <w:sz w:val="16"/>
                <w:szCs w:val="16"/>
              </w:rPr>
              <w:t>.</w:t>
            </w:r>
          </w:p>
          <w:p w14:paraId="6A9F5963" w14:textId="77777777" w:rsidR="00566569" w:rsidRPr="00952B94" w:rsidRDefault="00566569" w:rsidP="00566569">
            <w:pPr>
              <w:jc w:val="both"/>
              <w:textAlignment w:val="baseline"/>
              <w:rPr>
                <w:rFonts w:ascii="Times New Roman Bold" w:hAnsi="Times New Roman Bold" w:cs="Times New Roman Bold"/>
                <w:b/>
                <w:bCs/>
                <w:color w:val="000000"/>
                <w:sz w:val="16"/>
                <w:szCs w:val="16"/>
              </w:rPr>
            </w:pPr>
            <w:r w:rsidRPr="00952B94">
              <w:rPr>
                <w:rFonts w:ascii="Times New Roman Bold" w:hAnsi="Times New Roman Bold" w:cs="Times New Roman Bold"/>
                <w:b/>
                <w:bCs/>
                <w:color w:val="000000"/>
                <w:sz w:val="16"/>
                <w:szCs w:val="16"/>
              </w:rPr>
              <w:t>Indicators:</w:t>
            </w:r>
          </w:p>
          <w:p w14:paraId="7E352432" w14:textId="5591AE3E" w:rsidR="00566569" w:rsidRPr="00074431" w:rsidRDefault="00566569" w:rsidP="00566569">
            <w:pPr>
              <w:jc w:val="both"/>
              <w:textAlignment w:val="baseline"/>
              <w:rPr>
                <w:rFonts w:ascii="Times New Roman Bold" w:hAnsi="Times New Roman Bold" w:cs="Times New Roman Bold"/>
                <w:color w:val="000000"/>
                <w:sz w:val="16"/>
                <w:szCs w:val="16"/>
              </w:rPr>
            </w:pPr>
            <w:r w:rsidRPr="00074431">
              <w:rPr>
                <w:rFonts w:ascii="Times New Roman Bold" w:hAnsi="Times New Roman Bold" w:cs="Times New Roman Bold"/>
                <w:color w:val="000000"/>
                <w:sz w:val="16"/>
                <w:szCs w:val="16"/>
              </w:rPr>
              <w:t>4.1.1</w:t>
            </w:r>
            <w:r w:rsidR="00BB099C" w:rsidRPr="00074431">
              <w:rPr>
                <w:rFonts w:ascii="Times New Roman Bold" w:hAnsi="Times New Roman Bold" w:cs="Times New Roman Bold"/>
                <w:color w:val="000000"/>
                <w:sz w:val="16"/>
                <w:szCs w:val="16"/>
              </w:rPr>
              <w:t>.:</w:t>
            </w:r>
            <w:r w:rsidRPr="00074431">
              <w:rPr>
                <w:rFonts w:ascii="Times New Roman Bold" w:hAnsi="Times New Roman Bold" w:cs="Times New Roman Bold"/>
                <w:color w:val="000000"/>
                <w:sz w:val="16"/>
                <w:szCs w:val="16"/>
              </w:rPr>
              <w:t xml:space="preserve"> Percentage of criminal cases processed digitally and disaggregated by gender</w:t>
            </w:r>
            <w:r w:rsidR="007A5A5E" w:rsidRPr="00074431">
              <w:rPr>
                <w:rFonts w:ascii="Times New Roman Bold" w:hAnsi="Times New Roman Bold" w:cs="Times New Roman Bold"/>
                <w:color w:val="000000"/>
                <w:sz w:val="16"/>
                <w:szCs w:val="16"/>
              </w:rPr>
              <w:t>,</w:t>
            </w:r>
            <w:r w:rsidRPr="00074431">
              <w:rPr>
                <w:rFonts w:ascii="Times New Roman Bold" w:hAnsi="Times New Roman Bold" w:cs="Times New Roman Bold"/>
                <w:color w:val="000000"/>
                <w:sz w:val="16"/>
                <w:szCs w:val="16"/>
              </w:rPr>
              <w:t xml:space="preserve"> age, and location.</w:t>
            </w:r>
          </w:p>
          <w:p w14:paraId="57BA8E52" w14:textId="77777777" w:rsidR="00566569" w:rsidRPr="00BB099C" w:rsidRDefault="00566569" w:rsidP="00566569">
            <w:pPr>
              <w:jc w:val="both"/>
              <w:textAlignment w:val="baseline"/>
              <w:rPr>
                <w:rFonts w:cs="Times New Roman Bold"/>
                <w:sz w:val="16"/>
                <w:szCs w:val="16"/>
                <w:lang w:val="en-CA"/>
              </w:rPr>
            </w:pPr>
            <w:r w:rsidRPr="00074431">
              <w:rPr>
                <w:rFonts w:cs="Times New Roman Bold"/>
                <w:color w:val="000000"/>
                <w:sz w:val="16"/>
                <w:szCs w:val="16"/>
                <w:lang w:val="en-CA"/>
              </w:rPr>
              <w:t>Baseline (</w:t>
            </w:r>
            <w:r w:rsidRPr="00074431">
              <w:rPr>
                <w:rFonts w:eastAsia="Times New Roman Bold" w:cs="Times New Roman Bold"/>
                <w:color w:val="000000"/>
                <w:sz w:val="16"/>
                <w:szCs w:val="16"/>
                <w:lang w:val="en-CA"/>
              </w:rPr>
              <w:t>2022</w:t>
            </w:r>
            <w:r w:rsidRPr="00074431">
              <w:rPr>
                <w:rFonts w:cs="Times New Roman Bold"/>
                <w:color w:val="000000"/>
                <w:sz w:val="16"/>
                <w:szCs w:val="16"/>
                <w:lang w:val="en-CA"/>
              </w:rPr>
              <w:t>)</w:t>
            </w:r>
            <w:r w:rsidRPr="00BB099C">
              <w:rPr>
                <w:rFonts w:cs="Times New Roman Bold"/>
                <w:color w:val="000000"/>
                <w:sz w:val="16"/>
                <w:szCs w:val="16"/>
                <w:lang w:val="en-CA"/>
              </w:rPr>
              <w:t>: 0 </w:t>
            </w:r>
          </w:p>
          <w:p w14:paraId="2AF2B8E1" w14:textId="1E0237D8" w:rsidR="00566569" w:rsidRPr="00BB099C" w:rsidRDefault="00566569" w:rsidP="00566569">
            <w:pPr>
              <w:jc w:val="both"/>
              <w:textAlignment w:val="baseline"/>
              <w:rPr>
                <w:rFonts w:cs="Times New Roman Bold"/>
                <w:sz w:val="16"/>
                <w:szCs w:val="16"/>
                <w:lang w:val="en-CA"/>
              </w:rPr>
            </w:pPr>
            <w:r w:rsidRPr="00074431">
              <w:rPr>
                <w:rFonts w:cs="Times New Roman Bold"/>
                <w:color w:val="000000"/>
                <w:sz w:val="16"/>
                <w:szCs w:val="16"/>
                <w:lang w:val="en-CA"/>
              </w:rPr>
              <w:t>Target (2027):</w:t>
            </w:r>
            <w:r w:rsidRPr="00BB099C">
              <w:rPr>
                <w:rFonts w:cs="Times New Roman Bold"/>
                <w:color w:val="000000"/>
                <w:sz w:val="16"/>
                <w:szCs w:val="16"/>
                <w:lang w:val="en-CA"/>
              </w:rPr>
              <w:t xml:space="preserve"> </w:t>
            </w:r>
            <w:r w:rsidR="006E0A7F" w:rsidRPr="00BB099C">
              <w:rPr>
                <w:rFonts w:cs="Times New Roman Bold"/>
                <w:color w:val="000000"/>
                <w:sz w:val="16"/>
                <w:szCs w:val="16"/>
                <w:lang w:val="en-CA"/>
              </w:rPr>
              <w:t>5</w:t>
            </w:r>
            <w:r w:rsidRPr="00BB099C">
              <w:rPr>
                <w:rFonts w:cs="Times New Roman Bold"/>
                <w:color w:val="000000"/>
                <w:sz w:val="16"/>
                <w:szCs w:val="16"/>
                <w:lang w:val="en-CA"/>
              </w:rPr>
              <w:t xml:space="preserve">0%   </w:t>
            </w:r>
          </w:p>
          <w:p w14:paraId="3CAB6874" w14:textId="77777777" w:rsidR="00566569" w:rsidRPr="00BB099C" w:rsidRDefault="00566569" w:rsidP="00566569">
            <w:pPr>
              <w:jc w:val="both"/>
              <w:textAlignment w:val="baseline"/>
              <w:rPr>
                <w:rFonts w:cs="Times New Roman Bold"/>
                <w:sz w:val="16"/>
                <w:szCs w:val="16"/>
                <w:lang w:val="en-CA"/>
              </w:rPr>
            </w:pPr>
            <w:r w:rsidRPr="00074431">
              <w:rPr>
                <w:rFonts w:cs="Times New Roman Bold"/>
                <w:color w:val="000000"/>
                <w:sz w:val="16"/>
                <w:szCs w:val="16"/>
              </w:rPr>
              <w:t>Data source:</w:t>
            </w:r>
            <w:r w:rsidRPr="00BB099C">
              <w:rPr>
                <w:rFonts w:cs="Times New Roman Bold"/>
                <w:color w:val="000000"/>
                <w:sz w:val="16"/>
                <w:szCs w:val="16"/>
              </w:rPr>
              <w:t xml:space="preserve"> Courts and Attorney General's Office.</w:t>
            </w:r>
          </w:p>
          <w:p w14:paraId="16D30661" w14:textId="77777777" w:rsidR="00566569" w:rsidRPr="00BB099C" w:rsidRDefault="00566569" w:rsidP="00566569">
            <w:pPr>
              <w:jc w:val="both"/>
              <w:textAlignment w:val="baseline"/>
              <w:rPr>
                <w:rFonts w:cs="Times New Roman Bold"/>
                <w:sz w:val="16"/>
                <w:szCs w:val="16"/>
                <w:lang w:val="en-CA"/>
              </w:rPr>
            </w:pPr>
            <w:r w:rsidRPr="00074431">
              <w:rPr>
                <w:rFonts w:cs="Times New Roman Bold"/>
                <w:color w:val="000000"/>
                <w:sz w:val="16"/>
                <w:szCs w:val="16"/>
              </w:rPr>
              <w:t>Frequency</w:t>
            </w:r>
            <w:r w:rsidRPr="00BB099C">
              <w:rPr>
                <w:rFonts w:cs="Times New Roman Bold"/>
                <w:color w:val="000000"/>
                <w:sz w:val="16"/>
                <w:szCs w:val="16"/>
              </w:rPr>
              <w:t xml:space="preserve">: </w:t>
            </w:r>
            <w:r w:rsidRPr="00BB099C">
              <w:rPr>
                <w:rFonts w:cs="Times New Roman Bold"/>
                <w:color w:val="000000"/>
                <w:sz w:val="16"/>
                <w:szCs w:val="16"/>
                <w:lang w:val="en-CA"/>
              </w:rPr>
              <w:t>Annual</w:t>
            </w:r>
          </w:p>
          <w:p w14:paraId="38A881B8" w14:textId="77777777" w:rsidR="00566569" w:rsidRPr="00BB099C" w:rsidRDefault="00566569" w:rsidP="00566569">
            <w:pPr>
              <w:jc w:val="both"/>
              <w:rPr>
                <w:rFonts w:ascii="Times New Roman Bold" w:hAnsi="Times New Roman Bold" w:cs="Times New Roman Bold"/>
                <w:b/>
                <w:bCs/>
                <w:color w:val="000000"/>
                <w:sz w:val="16"/>
                <w:szCs w:val="16"/>
                <w:lang w:val="en-CA"/>
              </w:rPr>
            </w:pPr>
          </w:p>
          <w:p w14:paraId="33853873" w14:textId="758FB847" w:rsidR="00566569" w:rsidRPr="00074431" w:rsidRDefault="00566569" w:rsidP="00566569">
            <w:pPr>
              <w:jc w:val="both"/>
              <w:textAlignment w:val="baseline"/>
              <w:rPr>
                <w:rFonts w:ascii="Times New Roman Bold" w:hAnsi="Times New Roman Bold" w:cs="Times New Roman Bold"/>
                <w:color w:val="000000"/>
                <w:sz w:val="16"/>
                <w:szCs w:val="16"/>
              </w:rPr>
            </w:pPr>
            <w:r w:rsidRPr="00074431">
              <w:rPr>
                <w:rFonts w:ascii="Times New Roman Bold" w:hAnsi="Times New Roman Bold" w:cs="Times New Roman Bold"/>
                <w:color w:val="000000"/>
                <w:sz w:val="16"/>
                <w:szCs w:val="16"/>
              </w:rPr>
              <w:t>4.1.2</w:t>
            </w:r>
            <w:r w:rsidR="00BB099C" w:rsidRPr="00BB099C">
              <w:rPr>
                <w:rFonts w:ascii="Times New Roman Bold" w:hAnsi="Times New Roman Bold" w:cs="Times New Roman Bold"/>
                <w:color w:val="000000"/>
                <w:sz w:val="16"/>
                <w:szCs w:val="16"/>
              </w:rPr>
              <w:t>.</w:t>
            </w:r>
            <w:r w:rsidRPr="00074431">
              <w:rPr>
                <w:rFonts w:ascii="Times New Roman Bold" w:hAnsi="Times New Roman Bold" w:cs="Times New Roman Bold"/>
                <w:color w:val="000000"/>
                <w:sz w:val="16"/>
                <w:szCs w:val="16"/>
              </w:rPr>
              <w:t>: Number of international human rights treaties ratified</w:t>
            </w:r>
            <w:r w:rsidR="00BB099C">
              <w:rPr>
                <w:rFonts w:ascii="Times New Roman Bold" w:hAnsi="Times New Roman Bold" w:cs="Times New Roman Bold"/>
                <w:color w:val="000000"/>
                <w:sz w:val="16"/>
                <w:szCs w:val="16"/>
              </w:rPr>
              <w:t xml:space="preserve">, </w:t>
            </w:r>
            <w:r w:rsidRPr="00074431">
              <w:rPr>
                <w:rFonts w:ascii="Times New Roman Bold" w:hAnsi="Times New Roman Bold" w:cs="Times New Roman Bold"/>
                <w:color w:val="000000"/>
                <w:sz w:val="16"/>
                <w:szCs w:val="16"/>
              </w:rPr>
              <w:t>domesticated</w:t>
            </w:r>
            <w:r w:rsidR="004979C3" w:rsidRPr="00074431">
              <w:rPr>
                <w:rFonts w:ascii="Times New Roman Bold" w:hAnsi="Times New Roman Bold" w:cs="Times New Roman Bold"/>
                <w:color w:val="000000"/>
                <w:sz w:val="16"/>
                <w:szCs w:val="16"/>
              </w:rPr>
              <w:t>, disseminated and implemented</w:t>
            </w:r>
            <w:r w:rsidRPr="00074431">
              <w:rPr>
                <w:rFonts w:ascii="Times New Roman Bold" w:hAnsi="Times New Roman Bold" w:cs="Times New Roman Bold"/>
                <w:color w:val="000000"/>
                <w:sz w:val="16"/>
                <w:szCs w:val="16"/>
              </w:rPr>
              <w:t>.</w:t>
            </w:r>
          </w:p>
          <w:p w14:paraId="18D36DFE" w14:textId="77777777" w:rsidR="00566569" w:rsidRPr="00BB099C" w:rsidRDefault="00566569" w:rsidP="00566569">
            <w:pPr>
              <w:spacing w:line="259" w:lineRule="auto"/>
              <w:jc w:val="both"/>
              <w:rPr>
                <w:color w:val="000000"/>
                <w:sz w:val="16"/>
                <w:szCs w:val="16"/>
                <w:lang w:val="en-CA"/>
              </w:rPr>
            </w:pPr>
            <w:r w:rsidRPr="00074431">
              <w:rPr>
                <w:color w:val="000000"/>
                <w:sz w:val="16"/>
                <w:szCs w:val="16"/>
                <w:lang w:val="en-CA"/>
              </w:rPr>
              <w:t>Baseline (2022):</w:t>
            </w:r>
            <w:r w:rsidRPr="00BB099C">
              <w:rPr>
                <w:color w:val="000000"/>
                <w:sz w:val="16"/>
                <w:szCs w:val="16"/>
                <w:lang w:val="en-CA"/>
              </w:rPr>
              <w:t xml:space="preserve"> 2</w:t>
            </w:r>
          </w:p>
          <w:p w14:paraId="022F776E" w14:textId="67F4926A" w:rsidR="00566569" w:rsidRPr="00BB099C" w:rsidRDefault="00566569" w:rsidP="00566569">
            <w:pPr>
              <w:spacing w:line="259" w:lineRule="auto"/>
              <w:jc w:val="both"/>
              <w:rPr>
                <w:color w:val="000000"/>
                <w:sz w:val="16"/>
                <w:szCs w:val="16"/>
                <w:lang w:val="en-CA"/>
              </w:rPr>
            </w:pPr>
            <w:r w:rsidRPr="00074431">
              <w:rPr>
                <w:color w:val="000000"/>
                <w:sz w:val="16"/>
                <w:szCs w:val="16"/>
                <w:lang w:val="en-CA"/>
              </w:rPr>
              <w:t>Target (2027):</w:t>
            </w:r>
            <w:r w:rsidRPr="00BB099C">
              <w:rPr>
                <w:color w:val="000000"/>
                <w:sz w:val="16"/>
                <w:szCs w:val="16"/>
                <w:lang w:val="en-CA"/>
              </w:rPr>
              <w:t xml:space="preserve">  </w:t>
            </w:r>
            <w:r w:rsidR="004979C3" w:rsidRPr="00BB099C">
              <w:rPr>
                <w:color w:val="000000"/>
                <w:sz w:val="16"/>
                <w:szCs w:val="16"/>
                <w:lang w:val="en-CA"/>
              </w:rPr>
              <w:t>7</w:t>
            </w:r>
          </w:p>
          <w:p w14:paraId="72055561" w14:textId="259D80F1" w:rsidR="00566569" w:rsidRPr="00BB099C" w:rsidRDefault="00566569" w:rsidP="00566569">
            <w:pPr>
              <w:jc w:val="both"/>
              <w:rPr>
                <w:color w:val="000000"/>
                <w:sz w:val="16"/>
                <w:szCs w:val="16"/>
                <w:highlight w:val="yellow"/>
              </w:rPr>
            </w:pPr>
            <w:r w:rsidRPr="00074431">
              <w:rPr>
                <w:color w:val="000000"/>
                <w:sz w:val="16"/>
                <w:szCs w:val="16"/>
              </w:rPr>
              <w:t>Data source:</w:t>
            </w:r>
            <w:r w:rsidRPr="00BB099C">
              <w:rPr>
                <w:color w:val="000000"/>
                <w:sz w:val="16"/>
                <w:szCs w:val="16"/>
              </w:rPr>
              <w:t xml:space="preserve"> Annual </w:t>
            </w:r>
            <w:r w:rsidR="00BB099C">
              <w:rPr>
                <w:color w:val="000000"/>
                <w:sz w:val="16"/>
                <w:szCs w:val="16"/>
              </w:rPr>
              <w:t>r</w:t>
            </w:r>
            <w:r w:rsidRPr="00BB099C">
              <w:rPr>
                <w:color w:val="000000"/>
                <w:sz w:val="16"/>
                <w:szCs w:val="16"/>
              </w:rPr>
              <w:t>eport</w:t>
            </w:r>
          </w:p>
          <w:p w14:paraId="69EFAA89" w14:textId="419D5F06" w:rsidR="00566569" w:rsidRPr="00952B94" w:rsidRDefault="00566569" w:rsidP="002A6557">
            <w:pPr>
              <w:jc w:val="both"/>
              <w:rPr>
                <w:sz w:val="16"/>
                <w:szCs w:val="16"/>
              </w:rPr>
            </w:pPr>
            <w:r w:rsidRPr="00074431">
              <w:rPr>
                <w:color w:val="000000"/>
                <w:sz w:val="16"/>
                <w:szCs w:val="16"/>
              </w:rPr>
              <w:t>Frequency:</w:t>
            </w:r>
            <w:r w:rsidRPr="00BB099C">
              <w:rPr>
                <w:color w:val="000000"/>
                <w:sz w:val="16"/>
                <w:szCs w:val="16"/>
              </w:rPr>
              <w:t xml:space="preserve"> Annual</w:t>
            </w:r>
          </w:p>
        </w:tc>
        <w:tc>
          <w:tcPr>
            <w:tcW w:w="1701" w:type="dxa"/>
            <w:vMerge w:val="restart"/>
            <w:tcBorders>
              <w:bottom w:val="single" w:sz="4" w:space="0" w:color="auto"/>
            </w:tcBorders>
            <w:shd w:val="clear" w:color="auto" w:fill="auto"/>
          </w:tcPr>
          <w:p w14:paraId="2A6E3F1C" w14:textId="0A3FF6DC" w:rsidR="00566569" w:rsidRPr="00952B94" w:rsidRDefault="00566569" w:rsidP="00566569">
            <w:pPr>
              <w:spacing w:after="120"/>
              <w:rPr>
                <w:sz w:val="16"/>
                <w:szCs w:val="16"/>
              </w:rPr>
            </w:pPr>
            <w:r w:rsidRPr="00952B94">
              <w:rPr>
                <w:sz w:val="16"/>
                <w:szCs w:val="16"/>
              </w:rPr>
              <w:t xml:space="preserve">Ministries of </w:t>
            </w:r>
            <w:r w:rsidR="00BB099C">
              <w:rPr>
                <w:sz w:val="16"/>
                <w:szCs w:val="16"/>
              </w:rPr>
              <w:t>j</w:t>
            </w:r>
            <w:r w:rsidRPr="00952B94">
              <w:rPr>
                <w:sz w:val="16"/>
                <w:szCs w:val="16"/>
              </w:rPr>
              <w:t xml:space="preserve">ustice and </w:t>
            </w:r>
            <w:r w:rsidR="00BB099C">
              <w:rPr>
                <w:sz w:val="16"/>
                <w:szCs w:val="16"/>
              </w:rPr>
              <w:t>f</w:t>
            </w:r>
            <w:r w:rsidRPr="00952B94">
              <w:rPr>
                <w:sz w:val="16"/>
                <w:szCs w:val="16"/>
              </w:rPr>
              <w:t xml:space="preserve">oreign </w:t>
            </w:r>
            <w:r w:rsidR="00BB099C">
              <w:rPr>
                <w:sz w:val="16"/>
                <w:szCs w:val="16"/>
              </w:rPr>
              <w:t>a</w:t>
            </w:r>
            <w:r w:rsidRPr="00952B94">
              <w:rPr>
                <w:sz w:val="16"/>
                <w:szCs w:val="16"/>
              </w:rPr>
              <w:t>ffairs</w:t>
            </w:r>
          </w:p>
          <w:p w14:paraId="6277D9E1" w14:textId="0E871B47" w:rsidR="00566569" w:rsidRPr="00952B94" w:rsidRDefault="00566569" w:rsidP="00566569">
            <w:pPr>
              <w:spacing w:after="120"/>
              <w:rPr>
                <w:sz w:val="16"/>
                <w:szCs w:val="16"/>
              </w:rPr>
            </w:pPr>
            <w:r w:rsidRPr="00952B94">
              <w:rPr>
                <w:sz w:val="16"/>
                <w:szCs w:val="16"/>
              </w:rPr>
              <w:t xml:space="preserve">Judiciary, </w:t>
            </w:r>
            <w:r w:rsidR="00BB099C">
              <w:rPr>
                <w:sz w:val="16"/>
                <w:szCs w:val="16"/>
              </w:rPr>
              <w:t>c</w:t>
            </w:r>
            <w:r w:rsidRPr="00952B94">
              <w:rPr>
                <w:sz w:val="16"/>
                <w:szCs w:val="16"/>
              </w:rPr>
              <w:t xml:space="preserve">ourts and </w:t>
            </w:r>
            <w:r w:rsidR="00BB099C">
              <w:rPr>
                <w:sz w:val="16"/>
                <w:szCs w:val="16"/>
              </w:rPr>
              <w:t>p</w:t>
            </w:r>
            <w:r w:rsidRPr="00952B94">
              <w:rPr>
                <w:sz w:val="16"/>
                <w:szCs w:val="16"/>
              </w:rPr>
              <w:t>olice</w:t>
            </w:r>
          </w:p>
          <w:p w14:paraId="2AEE7C3C" w14:textId="77777777" w:rsidR="00566569" w:rsidRPr="00952B94" w:rsidRDefault="00566569" w:rsidP="00566569">
            <w:pPr>
              <w:spacing w:after="120"/>
              <w:rPr>
                <w:sz w:val="16"/>
                <w:szCs w:val="16"/>
              </w:rPr>
            </w:pPr>
            <w:r w:rsidRPr="00952B94">
              <w:rPr>
                <w:sz w:val="16"/>
                <w:szCs w:val="16"/>
              </w:rPr>
              <w:t>Court of Auditors</w:t>
            </w:r>
          </w:p>
          <w:p w14:paraId="1A20C811" w14:textId="77777777" w:rsidR="00566569" w:rsidRPr="00952B94" w:rsidRDefault="00566569" w:rsidP="00566569">
            <w:pPr>
              <w:spacing w:after="120"/>
              <w:rPr>
                <w:sz w:val="16"/>
                <w:szCs w:val="16"/>
              </w:rPr>
            </w:pPr>
            <w:r w:rsidRPr="00952B94">
              <w:rPr>
                <w:sz w:val="16"/>
                <w:szCs w:val="16"/>
              </w:rPr>
              <w:t>National Assembly</w:t>
            </w:r>
          </w:p>
          <w:p w14:paraId="76A7E57A" w14:textId="77777777" w:rsidR="00566569" w:rsidRPr="00952B94" w:rsidRDefault="00566569" w:rsidP="00566569">
            <w:pPr>
              <w:spacing w:after="120"/>
              <w:rPr>
                <w:sz w:val="16"/>
                <w:szCs w:val="16"/>
              </w:rPr>
            </w:pPr>
            <w:r w:rsidRPr="00952B94">
              <w:rPr>
                <w:sz w:val="16"/>
                <w:szCs w:val="16"/>
              </w:rPr>
              <w:t xml:space="preserve">Youth Parliament </w:t>
            </w:r>
          </w:p>
          <w:p w14:paraId="221B6718" w14:textId="6322CE4F" w:rsidR="00566569" w:rsidRPr="00952B94" w:rsidRDefault="00566569" w:rsidP="00566569">
            <w:pPr>
              <w:spacing w:after="120"/>
              <w:rPr>
                <w:sz w:val="16"/>
                <w:szCs w:val="16"/>
              </w:rPr>
            </w:pPr>
            <w:r w:rsidRPr="00952B94">
              <w:rPr>
                <w:sz w:val="16"/>
                <w:szCs w:val="16"/>
              </w:rPr>
              <w:t>General Inspect</w:t>
            </w:r>
            <w:r w:rsidR="00F11AF5" w:rsidRPr="00952B94">
              <w:rPr>
                <w:sz w:val="16"/>
                <w:szCs w:val="16"/>
              </w:rPr>
              <w:t>orate</w:t>
            </w:r>
            <w:r w:rsidRPr="00952B94">
              <w:rPr>
                <w:sz w:val="16"/>
                <w:szCs w:val="16"/>
              </w:rPr>
              <w:t xml:space="preserve"> of Finance </w:t>
            </w:r>
          </w:p>
          <w:p w14:paraId="104EBB3E" w14:textId="34BE5F67" w:rsidR="00566569" w:rsidRPr="00952B94" w:rsidRDefault="00566569" w:rsidP="00566569">
            <w:pPr>
              <w:spacing w:after="120"/>
              <w:rPr>
                <w:sz w:val="16"/>
                <w:szCs w:val="16"/>
              </w:rPr>
            </w:pPr>
            <w:r w:rsidRPr="00952B94">
              <w:rPr>
                <w:sz w:val="16"/>
                <w:szCs w:val="16"/>
              </w:rPr>
              <w:t>INE</w:t>
            </w:r>
          </w:p>
          <w:p w14:paraId="5BEDDD0A" w14:textId="0BBDADC9" w:rsidR="00207E5C" w:rsidRPr="00952B94" w:rsidRDefault="00207E5C" w:rsidP="00566569">
            <w:pPr>
              <w:spacing w:after="120"/>
              <w:rPr>
                <w:sz w:val="16"/>
                <w:szCs w:val="16"/>
              </w:rPr>
            </w:pPr>
            <w:r w:rsidRPr="00952B94">
              <w:rPr>
                <w:sz w:val="16"/>
                <w:szCs w:val="16"/>
              </w:rPr>
              <w:t>AfDB</w:t>
            </w:r>
          </w:p>
          <w:p w14:paraId="65BE89F0" w14:textId="5AB118F4" w:rsidR="004918D7" w:rsidRPr="00952B94" w:rsidRDefault="00A77E44" w:rsidP="00566569">
            <w:pPr>
              <w:spacing w:after="120"/>
              <w:rPr>
                <w:sz w:val="16"/>
                <w:szCs w:val="16"/>
              </w:rPr>
            </w:pPr>
            <w:r w:rsidRPr="00952B94">
              <w:rPr>
                <w:sz w:val="16"/>
                <w:szCs w:val="16"/>
              </w:rPr>
              <w:t>UNICEF</w:t>
            </w:r>
          </w:p>
          <w:p w14:paraId="5717222E" w14:textId="23DCB039" w:rsidR="00207E5C" w:rsidRDefault="00207E5C" w:rsidP="00952B94">
            <w:pPr>
              <w:rPr>
                <w:sz w:val="16"/>
                <w:szCs w:val="16"/>
              </w:rPr>
            </w:pPr>
            <w:r w:rsidRPr="00952B94">
              <w:rPr>
                <w:sz w:val="16"/>
                <w:szCs w:val="16"/>
              </w:rPr>
              <w:t>UNFPA</w:t>
            </w:r>
          </w:p>
          <w:p w14:paraId="64613FA4" w14:textId="77777777" w:rsidR="00AD5C53" w:rsidRPr="00952B94" w:rsidRDefault="00AD5C53" w:rsidP="00952B94">
            <w:pPr>
              <w:rPr>
                <w:sz w:val="16"/>
                <w:szCs w:val="16"/>
              </w:rPr>
            </w:pPr>
          </w:p>
          <w:p w14:paraId="79D48870" w14:textId="065ED374" w:rsidR="00A77E44" w:rsidRPr="00952B94" w:rsidRDefault="00A77E44" w:rsidP="00566569">
            <w:pPr>
              <w:spacing w:after="120"/>
              <w:rPr>
                <w:sz w:val="16"/>
                <w:szCs w:val="16"/>
              </w:rPr>
            </w:pPr>
            <w:r w:rsidRPr="00952B94">
              <w:rPr>
                <w:sz w:val="16"/>
                <w:szCs w:val="16"/>
              </w:rPr>
              <w:t>UN</w:t>
            </w:r>
            <w:r w:rsidR="00AD5C53">
              <w:rPr>
                <w:sz w:val="16"/>
                <w:szCs w:val="16"/>
              </w:rPr>
              <w:t xml:space="preserve"> </w:t>
            </w:r>
            <w:r w:rsidRPr="00952B94">
              <w:rPr>
                <w:sz w:val="16"/>
                <w:szCs w:val="16"/>
              </w:rPr>
              <w:t>Women</w:t>
            </w:r>
          </w:p>
          <w:p w14:paraId="581C48DE" w14:textId="3C599856" w:rsidR="00207E5C" w:rsidRPr="00952B94" w:rsidRDefault="00207E5C" w:rsidP="00566569">
            <w:pPr>
              <w:spacing w:after="120"/>
              <w:rPr>
                <w:sz w:val="16"/>
                <w:szCs w:val="16"/>
              </w:rPr>
            </w:pPr>
            <w:r w:rsidRPr="00952B94">
              <w:rPr>
                <w:sz w:val="16"/>
                <w:szCs w:val="16"/>
              </w:rPr>
              <w:t>WHO</w:t>
            </w:r>
          </w:p>
          <w:p w14:paraId="075D2834" w14:textId="77777777" w:rsidR="00566569" w:rsidRPr="00952B94" w:rsidRDefault="00566569" w:rsidP="00952B94">
            <w:pPr>
              <w:rPr>
                <w:sz w:val="16"/>
                <w:szCs w:val="16"/>
              </w:rPr>
            </w:pPr>
          </w:p>
        </w:tc>
        <w:tc>
          <w:tcPr>
            <w:tcW w:w="1843" w:type="dxa"/>
            <w:vMerge w:val="restart"/>
            <w:shd w:val="clear" w:color="auto" w:fill="auto"/>
          </w:tcPr>
          <w:p w14:paraId="1BDBFB34" w14:textId="77777777" w:rsidR="00566569" w:rsidRPr="00952B94" w:rsidRDefault="00566569" w:rsidP="00566569">
            <w:pPr>
              <w:textAlignment w:val="baseline"/>
              <w:rPr>
                <w:color w:val="000000"/>
                <w:sz w:val="16"/>
                <w:szCs w:val="16"/>
              </w:rPr>
            </w:pPr>
            <w:r w:rsidRPr="00952B94">
              <w:rPr>
                <w:b/>
                <w:bCs/>
                <w:color w:val="000000"/>
                <w:sz w:val="16"/>
                <w:szCs w:val="16"/>
              </w:rPr>
              <w:t xml:space="preserve">Regular: </w:t>
            </w:r>
            <w:r w:rsidRPr="00952B94">
              <w:rPr>
                <w:color w:val="000000"/>
                <w:sz w:val="16"/>
                <w:szCs w:val="16"/>
              </w:rPr>
              <w:t>$1,250,000</w:t>
            </w:r>
          </w:p>
          <w:p w14:paraId="6140C917" w14:textId="257904E4" w:rsidR="00566569" w:rsidRPr="00952B94" w:rsidRDefault="00566569" w:rsidP="00566569">
            <w:pPr>
              <w:spacing w:line="257" w:lineRule="auto"/>
              <w:textAlignment w:val="baseline"/>
              <w:rPr>
                <w:rFonts w:eastAsia="Calibri"/>
                <w:b/>
                <w:bCs/>
                <w:sz w:val="16"/>
                <w:szCs w:val="16"/>
              </w:rPr>
            </w:pPr>
          </w:p>
          <w:p w14:paraId="0D6F50F9" w14:textId="77777777" w:rsidR="00566569" w:rsidRPr="00952B94" w:rsidRDefault="00566569" w:rsidP="00566569">
            <w:pPr>
              <w:spacing w:line="257" w:lineRule="auto"/>
              <w:textAlignment w:val="baseline"/>
              <w:rPr>
                <w:rFonts w:eastAsia="Calibri"/>
                <w:b/>
                <w:bCs/>
                <w:sz w:val="16"/>
                <w:szCs w:val="16"/>
              </w:rPr>
            </w:pPr>
            <w:r w:rsidRPr="00952B94">
              <w:rPr>
                <w:rFonts w:eastAsia="Calibri"/>
                <w:b/>
                <w:bCs/>
                <w:sz w:val="16"/>
                <w:szCs w:val="16"/>
              </w:rPr>
              <w:t xml:space="preserve">Other:     </w:t>
            </w:r>
            <w:r w:rsidRPr="00952B94">
              <w:rPr>
                <w:rFonts w:eastAsia="Calibri"/>
                <w:sz w:val="16"/>
                <w:szCs w:val="16"/>
              </w:rPr>
              <w:t>$2,785,000</w:t>
            </w:r>
          </w:p>
          <w:p w14:paraId="4B19F0F8" w14:textId="77777777" w:rsidR="00566569" w:rsidRPr="00952B94" w:rsidRDefault="00566569" w:rsidP="00952B94">
            <w:pPr>
              <w:spacing w:line="257" w:lineRule="auto"/>
              <w:textAlignment w:val="baseline"/>
              <w:rPr>
                <w:rFonts w:eastAsia="Calibri"/>
                <w:b/>
                <w:bCs/>
                <w:sz w:val="16"/>
                <w:szCs w:val="16"/>
              </w:rPr>
            </w:pPr>
          </w:p>
        </w:tc>
      </w:tr>
      <w:tr w:rsidR="00566569" w:rsidRPr="00952B94" w14:paraId="524EE806" w14:textId="77777777" w:rsidTr="00952B94">
        <w:tblPrEx>
          <w:tblCellMar>
            <w:left w:w="0" w:type="dxa"/>
            <w:right w:w="0" w:type="dxa"/>
          </w:tblCellMar>
        </w:tblPrEx>
        <w:tc>
          <w:tcPr>
            <w:tcW w:w="2250" w:type="dxa"/>
            <w:vMerge/>
            <w:tcBorders>
              <w:bottom w:val="single" w:sz="4" w:space="0" w:color="auto"/>
            </w:tcBorders>
            <w:shd w:val="clear" w:color="auto" w:fill="auto"/>
          </w:tcPr>
          <w:p w14:paraId="194687E0" w14:textId="77777777" w:rsidR="00566569" w:rsidRPr="00952B94" w:rsidRDefault="00566569" w:rsidP="00566569">
            <w:pPr>
              <w:textAlignment w:val="baseline"/>
              <w:rPr>
                <w:sz w:val="16"/>
                <w:szCs w:val="16"/>
              </w:rPr>
            </w:pPr>
          </w:p>
        </w:tc>
        <w:tc>
          <w:tcPr>
            <w:tcW w:w="2140" w:type="dxa"/>
            <w:gridSpan w:val="2"/>
            <w:vMerge/>
            <w:tcBorders>
              <w:bottom w:val="single" w:sz="4" w:space="0" w:color="auto"/>
            </w:tcBorders>
            <w:shd w:val="clear" w:color="auto" w:fill="auto"/>
          </w:tcPr>
          <w:p w14:paraId="41D75219" w14:textId="77777777" w:rsidR="00566569" w:rsidRPr="00952B94" w:rsidRDefault="00566569" w:rsidP="00566569">
            <w:pPr>
              <w:textAlignment w:val="baseline"/>
              <w:rPr>
                <w:color w:val="000000"/>
                <w:sz w:val="16"/>
                <w:szCs w:val="16"/>
              </w:rPr>
            </w:pPr>
          </w:p>
        </w:tc>
        <w:tc>
          <w:tcPr>
            <w:tcW w:w="6095" w:type="dxa"/>
            <w:tcBorders>
              <w:bottom w:val="single" w:sz="4" w:space="0" w:color="auto"/>
            </w:tcBorders>
            <w:shd w:val="clear" w:color="auto" w:fill="auto"/>
          </w:tcPr>
          <w:p w14:paraId="7C756BFC" w14:textId="71CD17E2" w:rsidR="00566569" w:rsidRPr="00952B94" w:rsidRDefault="00566569" w:rsidP="00566569">
            <w:pPr>
              <w:spacing w:after="120"/>
              <w:jc w:val="both"/>
              <w:rPr>
                <w:rFonts w:ascii="Times New Roman Bold" w:hAnsi="Times New Roman Bold" w:cs="Times New Roman Bold"/>
                <w:b/>
                <w:bCs/>
                <w:sz w:val="16"/>
                <w:szCs w:val="16"/>
              </w:rPr>
            </w:pPr>
            <w:r w:rsidRPr="00952B94">
              <w:rPr>
                <w:b/>
                <w:bCs/>
                <w:sz w:val="16"/>
                <w:szCs w:val="16"/>
              </w:rPr>
              <w:t>Output 4.2</w:t>
            </w:r>
            <w:r w:rsidR="00BB099C">
              <w:rPr>
                <w:b/>
                <w:bCs/>
                <w:sz w:val="16"/>
                <w:szCs w:val="16"/>
              </w:rPr>
              <w:t>.:</w:t>
            </w:r>
            <w:r w:rsidRPr="00952B94">
              <w:rPr>
                <w:b/>
                <w:bCs/>
                <w:sz w:val="16"/>
                <w:szCs w:val="16"/>
              </w:rPr>
              <w:t> </w:t>
            </w:r>
            <w:r w:rsidRPr="00952B94">
              <w:rPr>
                <w:rFonts w:ascii="Times New Roman Bold" w:hAnsi="Times New Roman Bold" w:cs="Times New Roman Bold"/>
                <w:b/>
                <w:bCs/>
                <w:sz w:val="16"/>
                <w:szCs w:val="16"/>
              </w:rPr>
              <w:t>National institutions strengthened to produce and use quality, disaggregated and gender-sensitive data in dialogue and for evidence-based policymaking, resource mobilization, planning</w:t>
            </w:r>
            <w:r w:rsidR="003558D0">
              <w:rPr>
                <w:rFonts w:ascii="Times New Roman Bold" w:hAnsi="Times New Roman Bold" w:cs="Times New Roman Bold"/>
                <w:b/>
                <w:bCs/>
                <w:sz w:val="16"/>
                <w:szCs w:val="16"/>
              </w:rPr>
              <w:t>,</w:t>
            </w:r>
            <w:r w:rsidRPr="00952B94">
              <w:rPr>
                <w:rFonts w:ascii="Times New Roman Bold" w:hAnsi="Times New Roman Bold" w:cs="Times New Roman Bold"/>
                <w:b/>
                <w:bCs/>
                <w:sz w:val="16"/>
                <w:szCs w:val="16"/>
              </w:rPr>
              <w:t xml:space="preserve"> and internal and external control.</w:t>
            </w:r>
          </w:p>
          <w:p w14:paraId="3FBC99C2" w14:textId="77777777" w:rsidR="00566569" w:rsidRPr="00952B94" w:rsidRDefault="00566569" w:rsidP="00566569">
            <w:pPr>
              <w:jc w:val="both"/>
              <w:rPr>
                <w:rFonts w:ascii="Times New Roman Bold" w:hAnsi="Times New Roman Bold" w:cs="Times New Roman Bold"/>
                <w:b/>
                <w:bCs/>
                <w:sz w:val="16"/>
                <w:szCs w:val="16"/>
                <w:lang w:val="en-GB"/>
              </w:rPr>
            </w:pPr>
            <w:r w:rsidRPr="00952B94">
              <w:rPr>
                <w:rFonts w:ascii="Times New Roman Bold" w:hAnsi="Times New Roman Bold" w:cs="Times New Roman Bold"/>
                <w:b/>
                <w:bCs/>
                <w:sz w:val="16"/>
                <w:szCs w:val="16"/>
                <w:lang w:val="en-GB"/>
              </w:rPr>
              <w:t>Indicators:</w:t>
            </w:r>
          </w:p>
          <w:p w14:paraId="41638104" w14:textId="32129533" w:rsidR="00566569" w:rsidRPr="00BB099C" w:rsidRDefault="00566569" w:rsidP="00566569">
            <w:pPr>
              <w:jc w:val="both"/>
              <w:rPr>
                <w:rFonts w:ascii="Times New Roman Bold" w:hAnsi="Times New Roman Bold" w:cs="Times New Roman Bold"/>
                <w:color w:val="000000"/>
                <w:sz w:val="16"/>
                <w:szCs w:val="16"/>
                <w:highlight w:val="yellow"/>
              </w:rPr>
            </w:pPr>
            <w:r w:rsidRPr="00074431">
              <w:rPr>
                <w:rFonts w:ascii="Times New Roman Bold" w:hAnsi="Times New Roman Bold" w:cs="Times New Roman Bold"/>
                <w:sz w:val="16"/>
                <w:szCs w:val="16"/>
                <w:lang w:val="en-GB"/>
              </w:rPr>
              <w:t>4.2.1</w:t>
            </w:r>
            <w:r w:rsidR="00BB099C">
              <w:rPr>
                <w:rFonts w:ascii="Times New Roman Bold" w:hAnsi="Times New Roman Bold" w:cs="Times New Roman Bold"/>
                <w:sz w:val="16"/>
                <w:szCs w:val="16"/>
                <w:lang w:val="en-GB"/>
              </w:rPr>
              <w:t>.</w:t>
            </w:r>
            <w:r w:rsidRPr="00074431">
              <w:rPr>
                <w:rFonts w:ascii="Times New Roman Bold" w:hAnsi="Times New Roman Bold" w:cs="Times New Roman Bold"/>
                <w:sz w:val="16"/>
                <w:szCs w:val="16"/>
                <w:lang w:val="en-GB"/>
              </w:rPr>
              <w:t>:</w:t>
            </w:r>
            <w:r w:rsidRPr="00074431">
              <w:rPr>
                <w:rFonts w:ascii="Times New Roman Bold" w:hAnsi="Times New Roman Bold" w:cs="Times New Roman Bold"/>
                <w:sz w:val="16"/>
                <w:szCs w:val="16"/>
              </w:rPr>
              <w:t xml:space="preserve"> Number of national institutions using digital technologies and services for improved service delivery </w:t>
            </w:r>
          </w:p>
          <w:p w14:paraId="2159529E" w14:textId="77777777" w:rsidR="00566569" w:rsidRPr="00BB099C" w:rsidRDefault="00566569" w:rsidP="00566569">
            <w:pPr>
              <w:jc w:val="both"/>
              <w:textAlignment w:val="baseline"/>
              <w:rPr>
                <w:rFonts w:cs="Times New Roman Bold"/>
                <w:color w:val="000000"/>
                <w:sz w:val="16"/>
                <w:szCs w:val="16"/>
              </w:rPr>
            </w:pPr>
            <w:r w:rsidRPr="00074431">
              <w:rPr>
                <w:rFonts w:cs="Times New Roman Bold"/>
                <w:color w:val="000000"/>
                <w:sz w:val="16"/>
                <w:szCs w:val="16"/>
                <w:lang w:val="en-GB"/>
              </w:rPr>
              <w:t>Baseline (2022)</w:t>
            </w:r>
            <w:r w:rsidRPr="00BB099C">
              <w:rPr>
                <w:rFonts w:cs="Times New Roman Bold"/>
                <w:color w:val="000000"/>
                <w:sz w:val="16"/>
                <w:szCs w:val="16"/>
                <w:lang w:val="en-GB"/>
              </w:rPr>
              <w:t>:1</w:t>
            </w:r>
          </w:p>
          <w:p w14:paraId="7AC33AE8" w14:textId="085BDC61" w:rsidR="00566569" w:rsidRPr="00BB099C" w:rsidRDefault="00566569" w:rsidP="00566569">
            <w:pPr>
              <w:jc w:val="both"/>
              <w:textAlignment w:val="baseline"/>
              <w:rPr>
                <w:rFonts w:cs="Times New Roman Bold"/>
                <w:sz w:val="16"/>
                <w:szCs w:val="16"/>
              </w:rPr>
            </w:pPr>
            <w:r w:rsidRPr="00074431">
              <w:rPr>
                <w:rFonts w:cs="Times New Roman Bold"/>
                <w:color w:val="000000"/>
                <w:sz w:val="16"/>
                <w:szCs w:val="16"/>
                <w:lang w:val="en-GB"/>
              </w:rPr>
              <w:t>Target (2027):</w:t>
            </w:r>
            <w:r w:rsidR="00BD0D8A">
              <w:rPr>
                <w:rFonts w:cs="Times New Roman Bold"/>
                <w:color w:val="000000"/>
                <w:sz w:val="16"/>
                <w:szCs w:val="16"/>
                <w:lang w:val="en-GB"/>
              </w:rPr>
              <w:t xml:space="preserve"> </w:t>
            </w:r>
            <w:r w:rsidRPr="00BB099C">
              <w:rPr>
                <w:rFonts w:cs="Times New Roman Bold"/>
                <w:color w:val="000000"/>
                <w:sz w:val="16"/>
                <w:szCs w:val="16"/>
                <w:lang w:val="en-GB"/>
              </w:rPr>
              <w:t xml:space="preserve">10 ministries and institutions </w:t>
            </w:r>
          </w:p>
          <w:p w14:paraId="2EB7C95F" w14:textId="7EE2C53B" w:rsidR="00566569" w:rsidRPr="00BB099C" w:rsidRDefault="00566569" w:rsidP="00566569">
            <w:pPr>
              <w:jc w:val="both"/>
              <w:textAlignment w:val="baseline"/>
              <w:rPr>
                <w:rFonts w:cs="Times New Roman Bold"/>
                <w:color w:val="000000"/>
                <w:sz w:val="16"/>
                <w:szCs w:val="16"/>
              </w:rPr>
            </w:pPr>
            <w:r w:rsidRPr="00BB099C">
              <w:rPr>
                <w:rFonts w:cs="Times New Roman Bold"/>
                <w:color w:val="000000"/>
                <w:sz w:val="16"/>
                <w:szCs w:val="16"/>
              </w:rPr>
              <w:t xml:space="preserve">Data source: Project </w:t>
            </w:r>
            <w:r w:rsidR="00BB099C">
              <w:rPr>
                <w:rFonts w:cs="Times New Roman Bold"/>
                <w:color w:val="000000"/>
                <w:sz w:val="16"/>
                <w:szCs w:val="16"/>
              </w:rPr>
              <w:t>r</w:t>
            </w:r>
            <w:r w:rsidRPr="00BB099C">
              <w:rPr>
                <w:rFonts w:cs="Times New Roman Bold"/>
                <w:color w:val="000000"/>
                <w:sz w:val="16"/>
                <w:szCs w:val="16"/>
              </w:rPr>
              <w:t>eports</w:t>
            </w:r>
          </w:p>
          <w:p w14:paraId="5BB51B59" w14:textId="77777777" w:rsidR="00566569" w:rsidRPr="00BB099C" w:rsidRDefault="00566569" w:rsidP="00566569">
            <w:pPr>
              <w:spacing w:after="120"/>
              <w:jc w:val="both"/>
              <w:textAlignment w:val="baseline"/>
              <w:rPr>
                <w:rFonts w:cs="Times New Roman Bold"/>
                <w:sz w:val="16"/>
                <w:szCs w:val="16"/>
              </w:rPr>
            </w:pPr>
            <w:r w:rsidRPr="00BB099C">
              <w:rPr>
                <w:rFonts w:cs="Times New Roman Bold"/>
                <w:color w:val="000000"/>
                <w:sz w:val="16"/>
                <w:szCs w:val="16"/>
              </w:rPr>
              <w:t>Frequency: Annual</w:t>
            </w:r>
          </w:p>
          <w:p w14:paraId="4DE71D5E" w14:textId="349EDC6E" w:rsidR="00566569" w:rsidRPr="00BB099C" w:rsidRDefault="00566569" w:rsidP="00566569">
            <w:pPr>
              <w:spacing w:line="259" w:lineRule="auto"/>
              <w:jc w:val="both"/>
              <w:rPr>
                <w:rFonts w:ascii="Times New Roman Bold" w:hAnsi="Times New Roman Bold" w:cs="Times New Roman Bold"/>
                <w:b/>
                <w:color w:val="000000"/>
                <w:sz w:val="16"/>
                <w:szCs w:val="16"/>
              </w:rPr>
            </w:pPr>
            <w:r w:rsidRPr="00BB099C">
              <w:rPr>
                <w:rFonts w:ascii="Times New Roman Bold" w:hAnsi="Times New Roman Bold" w:cs="Times New Roman Bold"/>
                <w:b/>
                <w:bCs/>
                <w:color w:val="000000"/>
                <w:sz w:val="16"/>
                <w:szCs w:val="16"/>
              </w:rPr>
              <w:t>4.2.2</w:t>
            </w:r>
            <w:r w:rsidR="00BB099C">
              <w:rPr>
                <w:rFonts w:ascii="Times New Roman Bold" w:hAnsi="Times New Roman Bold" w:cs="Times New Roman Bold"/>
                <w:b/>
                <w:bCs/>
                <w:color w:val="000000"/>
                <w:sz w:val="16"/>
                <w:szCs w:val="16"/>
              </w:rPr>
              <w:t>.</w:t>
            </w:r>
            <w:r w:rsidRPr="00BB099C">
              <w:rPr>
                <w:rFonts w:ascii="Times New Roman Bold" w:hAnsi="Times New Roman Bold" w:cs="Times New Roman Bold"/>
                <w:b/>
                <w:bCs/>
                <w:color w:val="000000"/>
                <w:sz w:val="16"/>
                <w:szCs w:val="16"/>
              </w:rPr>
              <w:t>: Number of national resource mobilization strategies, plans and instruments supported by UNDP technical assistance</w:t>
            </w:r>
          </w:p>
          <w:p w14:paraId="365E788A" w14:textId="77777777" w:rsidR="00566569" w:rsidRPr="00BB099C" w:rsidRDefault="00566569" w:rsidP="00566569">
            <w:pPr>
              <w:jc w:val="both"/>
              <w:textAlignment w:val="baseline"/>
              <w:rPr>
                <w:rFonts w:cs="Times New Roman Bold"/>
                <w:color w:val="000000"/>
                <w:sz w:val="16"/>
                <w:szCs w:val="16"/>
              </w:rPr>
            </w:pPr>
            <w:r w:rsidRPr="00074431">
              <w:rPr>
                <w:rFonts w:cs="Times New Roman Bold"/>
                <w:color w:val="000000"/>
                <w:sz w:val="16"/>
                <w:szCs w:val="16"/>
              </w:rPr>
              <w:t>Baseline (2021)</w:t>
            </w:r>
            <w:r w:rsidRPr="00BB099C">
              <w:rPr>
                <w:rFonts w:cs="Times New Roman Bold"/>
                <w:color w:val="000000"/>
                <w:sz w:val="16"/>
                <w:szCs w:val="16"/>
              </w:rPr>
              <w:t>: 1</w:t>
            </w:r>
          </w:p>
          <w:p w14:paraId="6143145B" w14:textId="77777777" w:rsidR="00566569" w:rsidRPr="00BB099C" w:rsidRDefault="00566569" w:rsidP="00566569">
            <w:pPr>
              <w:jc w:val="both"/>
              <w:textAlignment w:val="baseline"/>
              <w:rPr>
                <w:rFonts w:cs="Times New Roman Bold"/>
                <w:sz w:val="16"/>
                <w:szCs w:val="16"/>
              </w:rPr>
            </w:pPr>
            <w:r w:rsidRPr="00074431">
              <w:rPr>
                <w:rFonts w:cs="Times New Roman Bold"/>
                <w:color w:val="000000"/>
                <w:sz w:val="16"/>
                <w:szCs w:val="16"/>
              </w:rPr>
              <w:t>Target (2027):</w:t>
            </w:r>
            <w:r w:rsidRPr="00BB099C">
              <w:rPr>
                <w:rFonts w:cs="Times New Roman Bold"/>
                <w:color w:val="000000"/>
                <w:sz w:val="16"/>
                <w:szCs w:val="16"/>
              </w:rPr>
              <w:t xml:space="preserve"> 5 </w:t>
            </w:r>
          </w:p>
          <w:p w14:paraId="6570D92C" w14:textId="0040FCD0" w:rsidR="00566569" w:rsidRPr="00BB099C" w:rsidRDefault="00566569" w:rsidP="00566569">
            <w:pPr>
              <w:jc w:val="both"/>
              <w:textAlignment w:val="baseline"/>
              <w:rPr>
                <w:rFonts w:cs="Times New Roman Bold"/>
                <w:color w:val="000000"/>
                <w:sz w:val="16"/>
                <w:szCs w:val="16"/>
              </w:rPr>
            </w:pPr>
            <w:r w:rsidRPr="00074431">
              <w:rPr>
                <w:rFonts w:cs="Times New Roman Bold"/>
                <w:color w:val="000000"/>
                <w:sz w:val="16"/>
                <w:szCs w:val="16"/>
              </w:rPr>
              <w:t>Data source:</w:t>
            </w:r>
            <w:r w:rsidRPr="00BB099C">
              <w:rPr>
                <w:rFonts w:cs="Times New Roman Bold"/>
                <w:color w:val="000000"/>
                <w:sz w:val="16"/>
                <w:szCs w:val="16"/>
              </w:rPr>
              <w:t xml:space="preserve"> International cooperation reports, minutes of aid coordination meetings, </w:t>
            </w:r>
            <w:r w:rsidR="00BB099C">
              <w:rPr>
                <w:rFonts w:cs="Times New Roman Bold"/>
                <w:color w:val="000000"/>
                <w:sz w:val="16"/>
                <w:szCs w:val="16"/>
              </w:rPr>
              <w:t>b</w:t>
            </w:r>
            <w:r w:rsidRPr="00BB099C">
              <w:rPr>
                <w:rFonts w:cs="Times New Roman Bold"/>
                <w:color w:val="000000"/>
                <w:sz w:val="16"/>
                <w:szCs w:val="16"/>
              </w:rPr>
              <w:t xml:space="preserve">eneficiary </w:t>
            </w:r>
            <w:r w:rsidR="00BB099C">
              <w:rPr>
                <w:rFonts w:cs="Times New Roman Bold"/>
                <w:color w:val="000000"/>
                <w:sz w:val="16"/>
                <w:szCs w:val="16"/>
              </w:rPr>
              <w:t>i</w:t>
            </w:r>
            <w:r w:rsidRPr="00BB099C">
              <w:rPr>
                <w:rFonts w:cs="Times New Roman Bold"/>
                <w:color w:val="000000"/>
                <w:sz w:val="16"/>
                <w:szCs w:val="16"/>
              </w:rPr>
              <w:t>nstitution</w:t>
            </w:r>
            <w:r w:rsidR="00BB099C">
              <w:rPr>
                <w:rFonts w:cs="Times New Roman Bold"/>
                <w:color w:val="000000"/>
                <w:sz w:val="16"/>
                <w:szCs w:val="16"/>
              </w:rPr>
              <w:t xml:space="preserve"> reports</w:t>
            </w:r>
          </w:p>
          <w:p w14:paraId="35485F53" w14:textId="77777777" w:rsidR="00566569" w:rsidRPr="00952B94" w:rsidRDefault="00566569" w:rsidP="00952B94">
            <w:pPr>
              <w:spacing w:after="60"/>
              <w:jc w:val="both"/>
              <w:textAlignment w:val="baseline"/>
              <w:rPr>
                <w:color w:val="000000"/>
                <w:sz w:val="16"/>
                <w:szCs w:val="16"/>
                <w:lang w:val="pt-PT"/>
              </w:rPr>
            </w:pPr>
            <w:r w:rsidRPr="00074431">
              <w:rPr>
                <w:rFonts w:cs="Times New Roman Bold"/>
                <w:color w:val="000000"/>
                <w:sz w:val="16"/>
                <w:szCs w:val="16"/>
              </w:rPr>
              <w:t>Frequency:</w:t>
            </w:r>
            <w:r w:rsidRPr="00BB099C">
              <w:rPr>
                <w:rFonts w:cs="Times New Roman Bold"/>
                <w:color w:val="000000"/>
                <w:sz w:val="16"/>
                <w:szCs w:val="16"/>
              </w:rPr>
              <w:t xml:space="preserve"> Annual</w:t>
            </w:r>
          </w:p>
        </w:tc>
        <w:tc>
          <w:tcPr>
            <w:tcW w:w="1701" w:type="dxa"/>
            <w:vMerge/>
            <w:tcBorders>
              <w:bottom w:val="single" w:sz="4" w:space="0" w:color="auto"/>
            </w:tcBorders>
            <w:vAlign w:val="center"/>
          </w:tcPr>
          <w:p w14:paraId="347DD409" w14:textId="77777777" w:rsidR="00566569" w:rsidRPr="00952B94" w:rsidRDefault="00566569" w:rsidP="00566569">
            <w:pPr>
              <w:rPr>
                <w:color w:val="000000"/>
                <w:sz w:val="16"/>
                <w:szCs w:val="16"/>
              </w:rPr>
            </w:pPr>
          </w:p>
        </w:tc>
        <w:tc>
          <w:tcPr>
            <w:tcW w:w="1843" w:type="dxa"/>
            <w:vMerge/>
            <w:tcBorders>
              <w:bottom w:val="single" w:sz="4" w:space="0" w:color="auto"/>
            </w:tcBorders>
            <w:shd w:val="clear" w:color="auto" w:fill="auto"/>
          </w:tcPr>
          <w:p w14:paraId="5A3C31CA" w14:textId="77777777" w:rsidR="00566569" w:rsidRPr="00952B94" w:rsidRDefault="00566569" w:rsidP="00566569">
            <w:pPr>
              <w:textAlignment w:val="baseline"/>
              <w:rPr>
                <w:color w:val="000000"/>
                <w:sz w:val="16"/>
                <w:szCs w:val="16"/>
              </w:rPr>
            </w:pPr>
          </w:p>
        </w:tc>
      </w:tr>
    </w:tbl>
    <w:p w14:paraId="7C3CCADB" w14:textId="5DC2A961" w:rsidR="00E1660D" w:rsidRPr="00D973B7" w:rsidRDefault="002A6557" w:rsidP="002A6557">
      <w:pPr>
        <w:jc w:val="center"/>
        <w:rPr>
          <w:b/>
          <w:bCs/>
          <w:color w:val="000000"/>
          <w:lang w:val="en-GB"/>
        </w:rPr>
      </w:pPr>
      <w:r>
        <w:rPr>
          <w:b/>
          <w:bCs/>
          <w:noProof/>
          <w:color w:val="000000"/>
          <w:lang w:val="en-GB"/>
        </w:rPr>
        <w:drawing>
          <wp:inline distT="0" distB="0" distL="0" distR="0" wp14:anchorId="151A49A5" wp14:editId="09F381AE">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1660D" w:rsidRPr="00D973B7" w:rsidSect="002A6557">
      <w:headerReference w:type="even" r:id="rId22"/>
      <w:headerReference w:type="default" r:id="rId23"/>
      <w:footerReference w:type="even" r:id="rId24"/>
      <w:footerReference w:type="default" r:id="rId25"/>
      <w:footerReference w:type="first" r:id="rId26"/>
      <w:pgSz w:w="15840" w:h="12240" w:orient="landscape"/>
      <w:pgMar w:top="1440" w:right="1151" w:bottom="1170"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869" w14:textId="77777777" w:rsidR="0093183E" w:rsidRDefault="0093183E">
      <w:r>
        <w:separator/>
      </w:r>
    </w:p>
  </w:endnote>
  <w:endnote w:type="continuationSeparator" w:id="0">
    <w:p w14:paraId="5652C72D" w14:textId="77777777" w:rsidR="0093183E" w:rsidRDefault="0093183E">
      <w:r>
        <w:continuationSeparator/>
      </w:r>
    </w:p>
  </w:endnote>
  <w:endnote w:type="continuationNotice" w:id="1">
    <w:p w14:paraId="3AD02A64" w14:textId="77777777" w:rsidR="0093183E" w:rsidRDefault="00931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2DF7" w14:textId="77777777" w:rsidR="0048675C" w:rsidRDefault="0048675C" w:rsidP="006954C9">
    <w:pPr>
      <w:pStyle w:val="Footer"/>
      <w:ind w:firstLine="900"/>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B76E" w14:textId="2729667C" w:rsidR="0048675C" w:rsidRPr="00713E07" w:rsidRDefault="0048675C" w:rsidP="00952B94">
    <w:pPr>
      <w:pStyle w:val="Footer"/>
      <w:ind w:right="940"/>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0048675C" w14:paraId="586875EB" w14:textId="77777777" w:rsidTr="00F25F9C">
      <w:tc>
        <w:tcPr>
          <w:tcW w:w="3280" w:type="dxa"/>
        </w:tcPr>
        <w:p w14:paraId="5964444A" w14:textId="7CCA739A" w:rsidR="0048675C" w:rsidRDefault="0048675C" w:rsidP="00F25F9C">
          <w:pPr>
            <w:pStyle w:val="Header"/>
            <w:ind w:left="-115"/>
          </w:pPr>
        </w:p>
      </w:tc>
      <w:tc>
        <w:tcPr>
          <w:tcW w:w="3280" w:type="dxa"/>
        </w:tcPr>
        <w:p w14:paraId="3DAE8213" w14:textId="52EED5FC" w:rsidR="0048675C" w:rsidRDefault="0048675C" w:rsidP="00F25F9C">
          <w:pPr>
            <w:pStyle w:val="Header"/>
            <w:jc w:val="center"/>
          </w:pPr>
        </w:p>
      </w:tc>
      <w:tc>
        <w:tcPr>
          <w:tcW w:w="3280" w:type="dxa"/>
        </w:tcPr>
        <w:p w14:paraId="539CC236" w14:textId="7A3E72AD" w:rsidR="0048675C" w:rsidRDefault="0048675C" w:rsidP="00F25F9C">
          <w:pPr>
            <w:pStyle w:val="Header"/>
            <w:ind w:right="-115"/>
            <w:jc w:val="right"/>
          </w:pPr>
        </w:p>
      </w:tc>
    </w:tr>
  </w:tbl>
  <w:p w14:paraId="1BD84B41" w14:textId="221A1799" w:rsidR="0048675C" w:rsidRDefault="0048675C" w:rsidP="00F25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44A" w14:textId="77777777" w:rsidR="00952B94" w:rsidRDefault="00952B94" w:rsidP="00952B94">
    <w:pPr>
      <w:pStyle w:val="Footer"/>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7C85" w14:textId="77777777" w:rsidR="00952B94" w:rsidRPr="00713E07" w:rsidRDefault="00952B94" w:rsidP="00952B94">
    <w:pPr>
      <w:pStyle w:val="Footer"/>
      <w:ind w:right="-412"/>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10"/>
      <w:gridCol w:w="4510"/>
      <w:gridCol w:w="4510"/>
    </w:tblGrid>
    <w:tr w:rsidR="0048675C" w14:paraId="76DFA47F" w14:textId="77777777" w:rsidTr="00C52143">
      <w:tc>
        <w:tcPr>
          <w:tcW w:w="4510" w:type="dxa"/>
        </w:tcPr>
        <w:p w14:paraId="03BF10B6" w14:textId="77777777" w:rsidR="0048675C" w:rsidRDefault="0048675C" w:rsidP="00C52143">
          <w:pPr>
            <w:pStyle w:val="Header"/>
            <w:ind w:left="-115"/>
          </w:pPr>
        </w:p>
      </w:tc>
      <w:tc>
        <w:tcPr>
          <w:tcW w:w="4510" w:type="dxa"/>
        </w:tcPr>
        <w:p w14:paraId="53F0C758" w14:textId="77777777" w:rsidR="0048675C" w:rsidRDefault="0048675C" w:rsidP="00C52143">
          <w:pPr>
            <w:pStyle w:val="Header"/>
            <w:jc w:val="center"/>
          </w:pPr>
        </w:p>
      </w:tc>
      <w:tc>
        <w:tcPr>
          <w:tcW w:w="4510" w:type="dxa"/>
        </w:tcPr>
        <w:p w14:paraId="571C61C5" w14:textId="77777777" w:rsidR="0048675C" w:rsidRDefault="0048675C" w:rsidP="00C52143">
          <w:pPr>
            <w:pStyle w:val="Header"/>
            <w:ind w:right="-115"/>
            <w:jc w:val="right"/>
          </w:pPr>
        </w:p>
      </w:tc>
    </w:tr>
  </w:tbl>
  <w:p w14:paraId="7CB6857C" w14:textId="77777777" w:rsidR="0048675C" w:rsidRDefault="0048675C" w:rsidP="00C5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9955" w14:textId="77777777" w:rsidR="0093183E" w:rsidRDefault="0093183E">
      <w:r>
        <w:separator/>
      </w:r>
    </w:p>
  </w:footnote>
  <w:footnote w:type="continuationSeparator" w:id="0">
    <w:p w14:paraId="65D22491" w14:textId="77777777" w:rsidR="0093183E" w:rsidRDefault="0093183E">
      <w:r>
        <w:continuationSeparator/>
      </w:r>
    </w:p>
  </w:footnote>
  <w:footnote w:type="continuationNotice" w:id="1">
    <w:p w14:paraId="0B5A4035" w14:textId="77777777" w:rsidR="0093183E" w:rsidRDefault="0093183E"/>
  </w:footnote>
  <w:footnote w:id="2">
    <w:p w14:paraId="2ECFC5C8" w14:textId="47126A51" w:rsidR="008952AA" w:rsidRPr="007F0309" w:rsidRDefault="008952AA" w:rsidP="008952AA">
      <w:pPr>
        <w:pStyle w:val="FootnoteText"/>
        <w:jc w:val="both"/>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Freedom House</w:t>
      </w:r>
      <w:r w:rsidR="00CF5803">
        <w:rPr>
          <w:rFonts w:ascii="Times New Roman" w:hAnsi="Times New Roman"/>
          <w:sz w:val="16"/>
          <w:szCs w:val="16"/>
        </w:rPr>
        <w:t>,</w:t>
      </w:r>
      <w:r w:rsidRPr="007F0309">
        <w:rPr>
          <w:rFonts w:ascii="Times New Roman" w:hAnsi="Times New Roman"/>
          <w:sz w:val="16"/>
          <w:szCs w:val="16"/>
        </w:rPr>
        <w:t xml:space="preserve"> </w:t>
      </w:r>
      <w:r w:rsidR="00CF5803">
        <w:rPr>
          <w:rFonts w:ascii="Times New Roman" w:hAnsi="Times New Roman"/>
          <w:sz w:val="16"/>
          <w:szCs w:val="16"/>
        </w:rPr>
        <w:t>(</w:t>
      </w:r>
      <w:r w:rsidRPr="007F0309">
        <w:rPr>
          <w:rFonts w:ascii="Times New Roman" w:hAnsi="Times New Roman"/>
          <w:sz w:val="16"/>
          <w:szCs w:val="16"/>
        </w:rPr>
        <w:t>2021</w:t>
      </w:r>
      <w:r w:rsidR="00CF5803">
        <w:rPr>
          <w:rFonts w:ascii="Times New Roman" w:hAnsi="Times New Roman"/>
          <w:sz w:val="16"/>
          <w:szCs w:val="16"/>
        </w:rPr>
        <w:t>)</w:t>
      </w:r>
      <w:r w:rsidR="00C92265">
        <w:rPr>
          <w:rFonts w:ascii="Times New Roman" w:hAnsi="Times New Roman"/>
          <w:sz w:val="16"/>
          <w:szCs w:val="16"/>
        </w:rPr>
        <w:t>. See</w:t>
      </w:r>
      <w:r w:rsidRPr="007F0309">
        <w:rPr>
          <w:rFonts w:ascii="Times New Roman" w:hAnsi="Times New Roman"/>
          <w:sz w:val="16"/>
          <w:szCs w:val="16"/>
        </w:rPr>
        <w:t xml:space="preserve"> </w:t>
      </w:r>
      <w:hyperlink r:id="rId1" w:history="1">
        <w:r w:rsidR="00C92265" w:rsidRPr="00EF1FF8">
          <w:rPr>
            <w:rStyle w:val="Hyperlink"/>
            <w:rFonts w:ascii="Times New Roman" w:hAnsi="Times New Roman"/>
            <w:sz w:val="16"/>
            <w:szCs w:val="16"/>
          </w:rPr>
          <w:t>https://freedomhouse.org/country/sao-tome-and-principe/freedom-world/2021</w:t>
        </w:r>
      </w:hyperlink>
      <w:r w:rsidR="00C92265">
        <w:rPr>
          <w:rFonts w:ascii="Times New Roman" w:hAnsi="Times New Roman"/>
          <w:sz w:val="16"/>
          <w:szCs w:val="16"/>
        </w:rPr>
        <w:t xml:space="preserve">. </w:t>
      </w:r>
    </w:p>
  </w:footnote>
  <w:footnote w:id="3">
    <w:p w14:paraId="73E34A17" w14:textId="2206212F" w:rsidR="008952AA" w:rsidRPr="007F0309" w:rsidRDefault="008952AA" w:rsidP="008952AA">
      <w:pPr>
        <w:pStyle w:val="FootnoteText"/>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UNDP</w:t>
      </w:r>
      <w:r w:rsidR="00A86965" w:rsidRPr="007F0309">
        <w:rPr>
          <w:rFonts w:ascii="Times New Roman" w:hAnsi="Times New Roman"/>
          <w:sz w:val="16"/>
          <w:szCs w:val="16"/>
        </w:rPr>
        <w:t>,</w:t>
      </w:r>
      <w:r w:rsidRPr="007F0309">
        <w:rPr>
          <w:rFonts w:ascii="Times New Roman" w:hAnsi="Times New Roman"/>
          <w:sz w:val="16"/>
          <w:szCs w:val="16"/>
        </w:rPr>
        <w:t xml:space="preserve"> </w:t>
      </w:r>
      <w:r w:rsidR="00CF5803">
        <w:rPr>
          <w:rFonts w:ascii="Times New Roman" w:hAnsi="Times New Roman"/>
          <w:sz w:val="16"/>
          <w:szCs w:val="16"/>
        </w:rPr>
        <w:t xml:space="preserve">2022 </w:t>
      </w:r>
      <w:r w:rsidRPr="007F0309">
        <w:rPr>
          <w:rFonts w:ascii="Times New Roman" w:hAnsi="Times New Roman"/>
          <w:sz w:val="16"/>
          <w:szCs w:val="16"/>
        </w:rPr>
        <w:t>HDR</w:t>
      </w:r>
      <w:r w:rsidR="00C92265">
        <w:rPr>
          <w:rFonts w:ascii="Times New Roman" w:hAnsi="Times New Roman"/>
          <w:sz w:val="16"/>
          <w:szCs w:val="16"/>
        </w:rPr>
        <w:t>.</w:t>
      </w:r>
    </w:p>
  </w:footnote>
  <w:footnote w:id="4">
    <w:p w14:paraId="719E5CA6" w14:textId="3C2A7C56" w:rsidR="008952AA" w:rsidRPr="007F0309" w:rsidRDefault="008952AA" w:rsidP="008952AA">
      <w:pPr>
        <w:pStyle w:val="FootnoteText"/>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Common Country Analysis (CCA)</w:t>
      </w:r>
      <w:r w:rsidR="00CF5803">
        <w:rPr>
          <w:rFonts w:ascii="Times New Roman" w:hAnsi="Times New Roman"/>
          <w:sz w:val="16"/>
          <w:szCs w:val="16"/>
        </w:rPr>
        <w:t xml:space="preserve"> 2022</w:t>
      </w:r>
      <w:r w:rsidR="00C92265">
        <w:rPr>
          <w:rFonts w:ascii="Times New Roman" w:hAnsi="Times New Roman"/>
          <w:sz w:val="16"/>
          <w:szCs w:val="16"/>
        </w:rPr>
        <w:t xml:space="preserve"> for </w:t>
      </w:r>
      <w:r w:rsidR="00CF5803" w:rsidRPr="00CF5803">
        <w:rPr>
          <w:rFonts w:ascii="Times New Roman" w:hAnsi="Times New Roman"/>
          <w:sz w:val="16"/>
          <w:szCs w:val="16"/>
        </w:rPr>
        <w:t>São Tomé and Príncipe</w:t>
      </w:r>
      <w:r w:rsidR="00CF5803">
        <w:rPr>
          <w:rFonts w:ascii="Times New Roman" w:hAnsi="Times New Roman"/>
          <w:sz w:val="16"/>
          <w:szCs w:val="16"/>
        </w:rPr>
        <w:t>.</w:t>
      </w:r>
    </w:p>
  </w:footnote>
  <w:footnote w:id="5">
    <w:p w14:paraId="051BA982" w14:textId="60BE8612" w:rsidR="007F0309" w:rsidRPr="007F0309" w:rsidRDefault="007F0309">
      <w:pPr>
        <w:pStyle w:val="FootnoteText"/>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World Bank</w:t>
      </w:r>
      <w:r w:rsidR="00CF5803">
        <w:rPr>
          <w:rFonts w:ascii="Times New Roman" w:hAnsi="Times New Roman"/>
          <w:sz w:val="16"/>
          <w:szCs w:val="16"/>
        </w:rPr>
        <w:t>,</w:t>
      </w:r>
      <w:r w:rsidRPr="007F0309">
        <w:rPr>
          <w:rFonts w:ascii="Times New Roman" w:hAnsi="Times New Roman"/>
          <w:sz w:val="16"/>
          <w:szCs w:val="16"/>
        </w:rPr>
        <w:t xml:space="preserve"> 2022</w:t>
      </w:r>
      <w:r w:rsidR="00CF5803">
        <w:rPr>
          <w:rFonts w:ascii="Times New Roman" w:hAnsi="Times New Roman"/>
          <w:sz w:val="16"/>
          <w:szCs w:val="16"/>
        </w:rPr>
        <w:t xml:space="preserve"> </w:t>
      </w:r>
      <w:r w:rsidRPr="007F0309">
        <w:rPr>
          <w:rFonts w:ascii="Times New Roman" w:hAnsi="Times New Roman"/>
          <w:sz w:val="16"/>
          <w:szCs w:val="16"/>
        </w:rPr>
        <w:t>World Development Ind</w:t>
      </w:r>
      <w:r w:rsidR="005B09B9">
        <w:rPr>
          <w:rFonts w:ascii="Times New Roman" w:hAnsi="Times New Roman"/>
          <w:sz w:val="16"/>
          <w:szCs w:val="16"/>
        </w:rPr>
        <w:t>icators</w:t>
      </w:r>
      <w:r w:rsidR="00CF5803">
        <w:rPr>
          <w:rFonts w:ascii="Times New Roman" w:hAnsi="Times New Roman"/>
          <w:sz w:val="16"/>
          <w:szCs w:val="16"/>
        </w:rPr>
        <w:t>.</w:t>
      </w:r>
    </w:p>
  </w:footnote>
  <w:footnote w:id="6">
    <w:p w14:paraId="635535BA" w14:textId="2C311EAB" w:rsidR="008952AA" w:rsidRPr="007F0309" w:rsidRDefault="008952AA" w:rsidP="008952AA">
      <w:pPr>
        <w:pStyle w:val="FootnoteText"/>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w:t>
      </w:r>
      <w:r w:rsidR="00BB099C">
        <w:rPr>
          <w:rFonts w:ascii="Times New Roman" w:hAnsi="Times New Roman"/>
          <w:sz w:val="16"/>
          <w:szCs w:val="16"/>
        </w:rPr>
        <w:t>National Institute of Statistics (</w:t>
      </w:r>
      <w:r w:rsidRPr="007F0309">
        <w:rPr>
          <w:rFonts w:ascii="Times New Roman" w:hAnsi="Times New Roman"/>
          <w:sz w:val="16"/>
          <w:szCs w:val="16"/>
        </w:rPr>
        <w:t>INE</w:t>
      </w:r>
      <w:r w:rsidR="00BB099C">
        <w:rPr>
          <w:rFonts w:ascii="Times New Roman" w:hAnsi="Times New Roman"/>
          <w:sz w:val="16"/>
          <w:szCs w:val="16"/>
        </w:rPr>
        <w:t xml:space="preserve">) </w:t>
      </w:r>
      <w:r w:rsidR="00CF5803">
        <w:rPr>
          <w:rFonts w:ascii="Times New Roman" w:hAnsi="Times New Roman"/>
          <w:sz w:val="16"/>
          <w:szCs w:val="16"/>
        </w:rPr>
        <w:t xml:space="preserve">2017 </w:t>
      </w:r>
      <w:r w:rsidR="004F0BA9" w:rsidRPr="007F0309">
        <w:rPr>
          <w:rFonts w:ascii="Times New Roman" w:hAnsi="Times New Roman"/>
          <w:sz w:val="16"/>
          <w:szCs w:val="16"/>
        </w:rPr>
        <w:t>Household Survey</w:t>
      </w:r>
      <w:r w:rsidR="00CF5803">
        <w:rPr>
          <w:rFonts w:ascii="Times New Roman" w:hAnsi="Times New Roman"/>
          <w:sz w:val="16"/>
          <w:szCs w:val="16"/>
        </w:rPr>
        <w:t>.</w:t>
      </w:r>
    </w:p>
  </w:footnote>
  <w:footnote w:id="7">
    <w:p w14:paraId="3188FD9D" w14:textId="0276F8F8" w:rsidR="00C500A0" w:rsidRPr="007F0309" w:rsidRDefault="00C500A0">
      <w:pPr>
        <w:pStyle w:val="FootnoteText"/>
        <w:rPr>
          <w:rFonts w:ascii="Times New Roman" w:hAnsi="Times New Roman"/>
          <w:sz w:val="16"/>
          <w:szCs w:val="16"/>
        </w:rPr>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World Bank, </w:t>
      </w:r>
      <w:r w:rsidR="00CF5803" w:rsidRPr="00CF5803">
        <w:rPr>
          <w:rFonts w:ascii="Times New Roman" w:hAnsi="Times New Roman"/>
          <w:sz w:val="16"/>
          <w:szCs w:val="16"/>
        </w:rPr>
        <w:t>São Tomé and Príncipe</w:t>
      </w:r>
      <w:r w:rsidR="00CF5803">
        <w:rPr>
          <w:rFonts w:ascii="Times New Roman" w:hAnsi="Times New Roman"/>
          <w:sz w:val="16"/>
          <w:szCs w:val="16"/>
        </w:rPr>
        <w:t xml:space="preserve"> 2021 </w:t>
      </w:r>
      <w:r w:rsidRPr="007F0309">
        <w:rPr>
          <w:rFonts w:ascii="Times New Roman" w:hAnsi="Times New Roman"/>
          <w:sz w:val="16"/>
          <w:szCs w:val="16"/>
        </w:rPr>
        <w:t>Systematic Country Diagnostic.</w:t>
      </w:r>
    </w:p>
  </w:footnote>
  <w:footnote w:id="8">
    <w:p w14:paraId="56FB104A" w14:textId="526D9168" w:rsidR="008952AA" w:rsidRPr="00620BB3" w:rsidRDefault="008952AA" w:rsidP="008952AA">
      <w:pPr>
        <w:pStyle w:val="FootnoteText"/>
      </w:pPr>
      <w:r w:rsidRPr="007F0309">
        <w:rPr>
          <w:rStyle w:val="FootnoteReference"/>
          <w:rFonts w:ascii="Times New Roman" w:hAnsi="Times New Roman"/>
          <w:sz w:val="16"/>
          <w:szCs w:val="16"/>
        </w:rPr>
        <w:footnoteRef/>
      </w:r>
      <w:r w:rsidRPr="007F0309">
        <w:rPr>
          <w:rFonts w:ascii="Times New Roman" w:hAnsi="Times New Roman"/>
          <w:sz w:val="16"/>
          <w:szCs w:val="16"/>
        </w:rPr>
        <w:t xml:space="preserve"> </w:t>
      </w:r>
      <w:r w:rsidR="00C500A0" w:rsidRPr="007F0309">
        <w:rPr>
          <w:rFonts w:ascii="Times New Roman" w:hAnsi="Times New Roman"/>
          <w:sz w:val="16"/>
          <w:szCs w:val="16"/>
        </w:rPr>
        <w:t xml:space="preserve">Independent </w:t>
      </w:r>
      <w:r w:rsidRPr="007F0309">
        <w:rPr>
          <w:rFonts w:ascii="Times New Roman" w:hAnsi="Times New Roman"/>
          <w:sz w:val="16"/>
          <w:szCs w:val="16"/>
        </w:rPr>
        <w:t xml:space="preserve">Evaluation of the UNDP Country Programme Document for </w:t>
      </w:r>
      <w:r w:rsidR="00F20299" w:rsidRPr="00CF5803">
        <w:rPr>
          <w:rFonts w:ascii="Times New Roman" w:hAnsi="Times New Roman"/>
          <w:sz w:val="16"/>
          <w:szCs w:val="16"/>
        </w:rPr>
        <w:t>São Tomé and Príncipe</w:t>
      </w:r>
      <w:r w:rsidR="00F20299">
        <w:rPr>
          <w:rFonts w:ascii="Times New Roman" w:hAnsi="Times New Roman"/>
          <w:sz w:val="16"/>
          <w:szCs w:val="16"/>
        </w:rPr>
        <w:t>,</w:t>
      </w:r>
      <w:r w:rsidRPr="007F0309">
        <w:rPr>
          <w:rFonts w:ascii="Times New Roman" w:hAnsi="Times New Roman"/>
          <w:sz w:val="16"/>
          <w:szCs w:val="16"/>
        </w:rPr>
        <w:t xml:space="preserve"> 2017-2022</w:t>
      </w:r>
      <w:r w:rsidR="00F20299">
        <w:rPr>
          <w:rFonts w:ascii="Times New Roman" w:hAnsi="Times New Roman"/>
          <w:sz w:val="16"/>
          <w:szCs w:val="16"/>
        </w:rPr>
        <w:t>.</w:t>
      </w:r>
    </w:p>
  </w:footnote>
  <w:footnote w:id="9">
    <w:p w14:paraId="08A20FA1" w14:textId="7A6B15E2" w:rsidR="0014068C" w:rsidRPr="00E76F8F" w:rsidRDefault="0014068C">
      <w:pPr>
        <w:pStyle w:val="FootnoteText"/>
        <w:rPr>
          <w:rFonts w:ascii="Times New Roman" w:hAnsi="Times New Roman"/>
        </w:rPr>
      </w:pPr>
      <w:r w:rsidRPr="0014068C">
        <w:rPr>
          <w:rStyle w:val="FootnoteReference"/>
          <w:rFonts w:ascii="Times New Roman" w:hAnsi="Times New Roman"/>
          <w:sz w:val="16"/>
          <w:szCs w:val="16"/>
        </w:rPr>
        <w:footnoteRef/>
      </w:r>
      <w:r w:rsidRPr="0014068C">
        <w:rPr>
          <w:rFonts w:ascii="Times New Roman" w:hAnsi="Times New Roman"/>
          <w:sz w:val="16"/>
          <w:szCs w:val="16"/>
        </w:rPr>
        <w:t xml:space="preserve"> </w:t>
      </w:r>
      <w:r w:rsidRPr="00E76F8F">
        <w:rPr>
          <w:rFonts w:ascii="Times New Roman" w:hAnsi="Times New Roman"/>
          <w:sz w:val="16"/>
          <w:szCs w:val="16"/>
        </w:rPr>
        <w:t xml:space="preserve">For all </w:t>
      </w:r>
      <w:r w:rsidR="003C174F" w:rsidRPr="00E76F8F">
        <w:rPr>
          <w:rFonts w:ascii="Times New Roman" w:hAnsi="Times New Roman"/>
          <w:sz w:val="16"/>
          <w:szCs w:val="16"/>
        </w:rPr>
        <w:t>country framework i</w:t>
      </w:r>
      <w:r w:rsidRPr="00E76F8F">
        <w:rPr>
          <w:rFonts w:ascii="Times New Roman" w:hAnsi="Times New Roman"/>
          <w:sz w:val="16"/>
          <w:szCs w:val="16"/>
        </w:rPr>
        <w:t>ndicators</w:t>
      </w:r>
      <w:r w:rsidR="003C174F" w:rsidRPr="00E76F8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0048675C" w14:paraId="1D97D059" w14:textId="77777777" w:rsidTr="00F25F9C">
      <w:tc>
        <w:tcPr>
          <w:tcW w:w="3280" w:type="dxa"/>
        </w:tcPr>
        <w:p w14:paraId="022F67E6" w14:textId="36F3BEB7" w:rsidR="0048675C" w:rsidRDefault="0048675C" w:rsidP="00F25F9C">
          <w:pPr>
            <w:pStyle w:val="Header"/>
            <w:ind w:left="-115"/>
          </w:pPr>
        </w:p>
      </w:tc>
      <w:tc>
        <w:tcPr>
          <w:tcW w:w="3280" w:type="dxa"/>
        </w:tcPr>
        <w:p w14:paraId="662E5F5D" w14:textId="208EB397" w:rsidR="0048675C" w:rsidRDefault="0048675C" w:rsidP="00F25F9C">
          <w:pPr>
            <w:pStyle w:val="Header"/>
            <w:jc w:val="center"/>
          </w:pPr>
        </w:p>
      </w:tc>
      <w:tc>
        <w:tcPr>
          <w:tcW w:w="3280" w:type="dxa"/>
        </w:tcPr>
        <w:p w14:paraId="59B8315A" w14:textId="2E73F155" w:rsidR="0048675C" w:rsidRDefault="0048675C" w:rsidP="00F25F9C">
          <w:pPr>
            <w:pStyle w:val="Header"/>
            <w:ind w:right="-115"/>
            <w:jc w:val="right"/>
          </w:pPr>
        </w:p>
      </w:tc>
    </w:tr>
  </w:tbl>
  <w:p w14:paraId="048701A2" w14:textId="54DE4B99" w:rsidR="0048675C" w:rsidRDefault="0048675C" w:rsidP="00F2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952B94" w:rsidRPr="00952B94" w14:paraId="2D12C8AD" w14:textId="77777777" w:rsidTr="001D729C">
      <w:trPr>
        <w:trHeight w:hRule="exact" w:val="864"/>
      </w:trPr>
      <w:tc>
        <w:tcPr>
          <w:tcW w:w="3948" w:type="dxa"/>
          <w:shd w:val="clear" w:color="auto" w:fill="auto"/>
          <w:vAlign w:val="bottom"/>
        </w:tcPr>
        <w:p w14:paraId="41DCA280" w14:textId="77777777" w:rsidR="00952B94" w:rsidRPr="00952B94" w:rsidRDefault="00952B94" w:rsidP="00952B94">
          <w:pPr>
            <w:tabs>
              <w:tab w:val="center" w:pos="4320"/>
              <w:tab w:val="right" w:pos="8640"/>
            </w:tabs>
            <w:spacing w:after="80"/>
            <w:rPr>
              <w:b/>
              <w:noProof/>
              <w:sz w:val="17"/>
            </w:rPr>
          </w:pPr>
        </w:p>
      </w:tc>
      <w:tc>
        <w:tcPr>
          <w:tcW w:w="4422" w:type="dxa"/>
          <w:shd w:val="clear" w:color="auto" w:fill="auto"/>
          <w:vAlign w:val="bottom"/>
        </w:tcPr>
        <w:p w14:paraId="4852D719" w14:textId="7BDB3883" w:rsidR="00952B94" w:rsidRPr="00952B94" w:rsidRDefault="00952B94" w:rsidP="00952B94">
          <w:pPr>
            <w:tabs>
              <w:tab w:val="center" w:pos="4320"/>
              <w:tab w:val="right" w:pos="8640"/>
            </w:tabs>
            <w:jc w:val="right"/>
            <w:rPr>
              <w:b/>
              <w:noProof/>
              <w:sz w:val="17"/>
            </w:rPr>
          </w:pPr>
          <w:r w:rsidRPr="00952B94">
            <w:rPr>
              <w:b/>
              <w:noProof/>
              <w:sz w:val="17"/>
            </w:rPr>
            <w:t>DP/DCP/</w:t>
          </w:r>
          <w:r>
            <w:rPr>
              <w:b/>
              <w:noProof/>
              <w:sz w:val="17"/>
            </w:rPr>
            <w:t>STP</w:t>
          </w:r>
          <w:r w:rsidRPr="00952B94">
            <w:rPr>
              <w:b/>
              <w:noProof/>
              <w:sz w:val="17"/>
            </w:rPr>
            <w:t>/4</w:t>
          </w:r>
        </w:p>
      </w:tc>
    </w:tr>
  </w:tbl>
  <w:p w14:paraId="0AD680B8" w14:textId="77777777" w:rsidR="006954C9" w:rsidRPr="00952B94" w:rsidRDefault="006954C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9432BD" w:rsidRPr="009432BD" w14:paraId="5993F90F" w14:textId="77777777" w:rsidTr="001D729C">
      <w:trPr>
        <w:trHeight w:hRule="exact" w:val="864"/>
      </w:trPr>
      <w:tc>
        <w:tcPr>
          <w:tcW w:w="1267" w:type="dxa"/>
          <w:tcBorders>
            <w:top w:val="nil"/>
            <w:left w:val="nil"/>
            <w:bottom w:val="nil"/>
            <w:right w:val="nil"/>
          </w:tcBorders>
          <w:vAlign w:val="bottom"/>
        </w:tcPr>
        <w:p w14:paraId="2EDB1C6A" w14:textId="77777777" w:rsidR="009432BD" w:rsidRPr="009432BD" w:rsidRDefault="009432BD" w:rsidP="009432BD">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26DDE0DB" w14:textId="77777777" w:rsidR="009432BD" w:rsidRPr="009432BD" w:rsidRDefault="009432BD" w:rsidP="009432BD">
          <w:pPr>
            <w:keepNext/>
            <w:keepLines/>
            <w:suppressAutoHyphens/>
            <w:spacing w:after="80" w:line="300" w:lineRule="exact"/>
            <w:outlineLvl w:val="0"/>
            <w:rPr>
              <w:spacing w:val="2"/>
              <w:w w:val="96"/>
              <w:kern w:val="14"/>
              <w:sz w:val="28"/>
              <w:lang w:val="en-GB"/>
            </w:rPr>
          </w:pPr>
          <w:r w:rsidRPr="009432BD">
            <w:rPr>
              <w:spacing w:val="2"/>
              <w:w w:val="96"/>
              <w:kern w:val="14"/>
              <w:sz w:val="28"/>
              <w:lang w:val="en-GB"/>
            </w:rPr>
            <w:t>United Nations</w:t>
          </w:r>
        </w:p>
      </w:tc>
      <w:tc>
        <w:tcPr>
          <w:tcW w:w="245" w:type="dxa"/>
          <w:tcBorders>
            <w:top w:val="nil"/>
            <w:left w:val="nil"/>
            <w:bottom w:val="nil"/>
            <w:right w:val="nil"/>
          </w:tcBorders>
          <w:vAlign w:val="bottom"/>
        </w:tcPr>
        <w:p w14:paraId="2907FCF0" w14:textId="77777777" w:rsidR="009432BD" w:rsidRPr="009432BD" w:rsidRDefault="009432BD" w:rsidP="009432BD">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327F52B0" w14:textId="47314578" w:rsidR="009432BD" w:rsidRPr="009432BD" w:rsidRDefault="009432BD" w:rsidP="009432BD">
          <w:pPr>
            <w:spacing w:after="80"/>
            <w:jc w:val="center"/>
            <w:rPr>
              <w:position w:val="-4"/>
            </w:rPr>
          </w:pPr>
          <w:r w:rsidRPr="009432BD">
            <w:rPr>
              <w:position w:val="-4"/>
              <w:sz w:val="40"/>
            </w:rPr>
            <w:t xml:space="preserve">                         DP</w:t>
          </w:r>
          <w:r w:rsidRPr="009432BD">
            <w:rPr>
              <w:position w:val="-4"/>
            </w:rPr>
            <w:t>/DCP/</w:t>
          </w:r>
          <w:r>
            <w:rPr>
              <w:position w:val="-4"/>
            </w:rPr>
            <w:t>STP</w:t>
          </w:r>
          <w:r w:rsidRPr="009432BD">
            <w:rPr>
              <w:position w:val="-4"/>
            </w:rPr>
            <w:t>/4</w:t>
          </w:r>
        </w:p>
      </w:tc>
    </w:tr>
    <w:tr w:rsidR="009432BD" w:rsidRPr="009432BD" w14:paraId="13AAFCBC" w14:textId="77777777" w:rsidTr="001D729C">
      <w:trPr>
        <w:trHeight w:hRule="exact" w:val="1936"/>
      </w:trPr>
      <w:tc>
        <w:tcPr>
          <w:tcW w:w="1267" w:type="dxa"/>
          <w:tcBorders>
            <w:top w:val="single" w:sz="4" w:space="0" w:color="auto"/>
            <w:left w:val="nil"/>
            <w:bottom w:val="single" w:sz="12" w:space="0" w:color="auto"/>
            <w:right w:val="nil"/>
          </w:tcBorders>
        </w:tcPr>
        <w:p w14:paraId="1CC6AD76" w14:textId="77777777" w:rsidR="009432BD" w:rsidRPr="009432BD" w:rsidRDefault="009432BD" w:rsidP="009432BD">
          <w:pPr>
            <w:widowControl w:val="0"/>
            <w:tabs>
              <w:tab w:val="center" w:pos="4320"/>
              <w:tab w:val="right" w:pos="8640"/>
            </w:tabs>
            <w:spacing w:before="109"/>
            <w:rPr>
              <w:rFonts w:ascii="Courier" w:hAnsi="Courier"/>
              <w:sz w:val="22"/>
            </w:rPr>
          </w:pPr>
          <w:r w:rsidRPr="009432BD">
            <w:rPr>
              <w:rFonts w:ascii="Courier" w:hAnsi="Courier"/>
              <w:sz w:val="22"/>
            </w:rPr>
            <w:t xml:space="preserve"> </w:t>
          </w:r>
          <w:r w:rsidRPr="009432BD">
            <w:rPr>
              <w:rFonts w:ascii="Courier" w:hAnsi="Courier"/>
              <w:noProof/>
              <w:sz w:val="22"/>
            </w:rPr>
            <w:drawing>
              <wp:inline distT="0" distB="0" distL="0" distR="0" wp14:anchorId="21AE6E79" wp14:editId="3BD0D7F2">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CF948C2" w14:textId="77777777" w:rsidR="009432BD" w:rsidRPr="009432BD" w:rsidRDefault="009432BD" w:rsidP="009432BD">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5268F97E" w14:textId="77777777" w:rsidR="009432BD" w:rsidRPr="009432BD" w:rsidRDefault="009432BD" w:rsidP="009432BD">
          <w:pPr>
            <w:keepNext/>
            <w:keepLines/>
            <w:tabs>
              <w:tab w:val="right" w:leader="dot" w:pos="360"/>
            </w:tabs>
            <w:suppressAutoHyphens/>
            <w:spacing w:before="109" w:line="330" w:lineRule="exact"/>
            <w:outlineLvl w:val="0"/>
            <w:rPr>
              <w:b/>
              <w:spacing w:val="-4"/>
              <w:w w:val="98"/>
              <w:kern w:val="14"/>
              <w:sz w:val="34"/>
              <w:lang w:val="en-GB"/>
            </w:rPr>
          </w:pPr>
          <w:r w:rsidRPr="009432BD">
            <w:rPr>
              <w:b/>
              <w:spacing w:val="-4"/>
              <w:w w:val="98"/>
              <w:kern w:val="14"/>
              <w:sz w:val="34"/>
              <w:lang w:val="en-GB"/>
            </w:rPr>
            <w:t>Executive Board of the</w:t>
          </w:r>
          <w:r w:rsidRPr="009432BD">
            <w:rPr>
              <w:b/>
              <w:spacing w:val="-4"/>
              <w:w w:val="98"/>
              <w:kern w:val="14"/>
              <w:sz w:val="34"/>
              <w:lang w:val="en-GB"/>
            </w:rPr>
            <w:br/>
            <w:t>United Nations Development</w:t>
          </w:r>
          <w:r w:rsidRPr="009432BD">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0382766" w14:textId="77777777" w:rsidR="009432BD" w:rsidRPr="009432BD" w:rsidRDefault="009432BD" w:rsidP="009432BD">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254C389E" w14:textId="77777777" w:rsidR="009432BD" w:rsidRPr="009432BD" w:rsidRDefault="009432BD" w:rsidP="009432BD">
          <w:pPr>
            <w:spacing w:before="240"/>
          </w:pPr>
          <w:r w:rsidRPr="009432BD">
            <w:t>Distr.: General</w:t>
          </w:r>
        </w:p>
        <w:p w14:paraId="7824C097" w14:textId="44D32E48" w:rsidR="009432BD" w:rsidRPr="009432BD" w:rsidRDefault="00490F75" w:rsidP="009432BD">
          <w:r>
            <w:t>7 November</w:t>
          </w:r>
          <w:r w:rsidR="009432BD" w:rsidRPr="009432BD">
            <w:t xml:space="preserve"> 2022</w:t>
          </w:r>
        </w:p>
        <w:p w14:paraId="34FD4DBA" w14:textId="77777777" w:rsidR="009432BD" w:rsidRPr="009432BD" w:rsidRDefault="009432BD" w:rsidP="009432BD"/>
        <w:p w14:paraId="749BAF8F" w14:textId="77777777" w:rsidR="009432BD" w:rsidRPr="009432BD" w:rsidRDefault="009432BD" w:rsidP="009432BD">
          <w:r w:rsidRPr="009432BD">
            <w:t>Original: English</w:t>
          </w:r>
        </w:p>
      </w:tc>
    </w:tr>
  </w:tbl>
  <w:p w14:paraId="5EFA98E6" w14:textId="77777777" w:rsidR="00B13D1B" w:rsidRPr="009432BD" w:rsidRDefault="00B13D1B">
    <w:pPr>
      <w:pStyle w:val="Header"/>
      <w:rPr>
        <w:sz w:val="6"/>
        <w:szCs w:val="6"/>
        <w:lang w:val="es-B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6954C9" w:rsidRPr="006954C9" w14:paraId="6D1B3128" w14:textId="77777777" w:rsidTr="001D729C">
      <w:trPr>
        <w:trHeight w:hRule="exact" w:val="864"/>
      </w:trPr>
      <w:tc>
        <w:tcPr>
          <w:tcW w:w="4128" w:type="dxa"/>
          <w:shd w:val="clear" w:color="auto" w:fill="auto"/>
          <w:vAlign w:val="bottom"/>
        </w:tcPr>
        <w:p w14:paraId="284E8AF5" w14:textId="37E5DC45" w:rsidR="006954C9" w:rsidRPr="006954C9" w:rsidRDefault="006954C9" w:rsidP="006954C9">
          <w:pPr>
            <w:tabs>
              <w:tab w:val="center" w:pos="4320"/>
              <w:tab w:val="right" w:pos="8640"/>
            </w:tabs>
            <w:spacing w:after="80"/>
            <w:rPr>
              <w:b/>
              <w:noProof/>
              <w:sz w:val="17"/>
            </w:rPr>
          </w:pPr>
          <w:bookmarkStart w:id="5" w:name="_Hlk72161445"/>
          <w:r w:rsidRPr="006954C9">
            <w:rPr>
              <w:b/>
              <w:noProof/>
              <w:sz w:val="17"/>
            </w:rPr>
            <w:t>DP/DCP/</w:t>
          </w:r>
          <w:r>
            <w:rPr>
              <w:b/>
              <w:noProof/>
              <w:sz w:val="17"/>
            </w:rPr>
            <w:t>STP</w:t>
          </w:r>
          <w:r w:rsidRPr="006954C9">
            <w:rPr>
              <w:b/>
              <w:noProof/>
              <w:sz w:val="17"/>
            </w:rPr>
            <w:t>/4</w:t>
          </w:r>
        </w:p>
      </w:tc>
      <w:tc>
        <w:tcPr>
          <w:tcW w:w="4692" w:type="dxa"/>
          <w:shd w:val="clear" w:color="auto" w:fill="auto"/>
          <w:vAlign w:val="bottom"/>
        </w:tcPr>
        <w:p w14:paraId="6835A581" w14:textId="77777777" w:rsidR="006954C9" w:rsidRPr="006954C9" w:rsidRDefault="006954C9" w:rsidP="006954C9">
          <w:pPr>
            <w:tabs>
              <w:tab w:val="center" w:pos="4320"/>
              <w:tab w:val="right" w:pos="8640"/>
            </w:tabs>
            <w:jc w:val="right"/>
            <w:rPr>
              <w:b/>
              <w:noProof/>
              <w:sz w:val="17"/>
            </w:rPr>
          </w:pPr>
        </w:p>
      </w:tc>
    </w:tr>
    <w:bookmarkEnd w:id="5"/>
  </w:tbl>
  <w:p w14:paraId="33F8140D" w14:textId="7CB5AE06" w:rsidR="0048675C" w:rsidRPr="006954C9" w:rsidRDefault="0048675C" w:rsidP="00F25F9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30F2" w14:textId="5CE65DE7" w:rsidR="0048675C" w:rsidRDefault="00E01832">
    <w:pPr>
      <w:pStyle w:val="Header"/>
    </w:pPr>
    <w:r>
      <w:rPr>
        <w:noProof/>
      </w:rPr>
      <mc:AlternateContent>
        <mc:Choice Requires="wps">
          <w:drawing>
            <wp:anchor distT="0" distB="0" distL="114300" distR="114300" simplePos="0" relativeHeight="251658240" behindDoc="0" locked="0" layoutInCell="0" allowOverlap="1" wp14:anchorId="07F81AF1" wp14:editId="29642841">
              <wp:simplePos x="0" y="0"/>
              <wp:positionH relativeFrom="column">
                <wp:posOffset>5715</wp:posOffset>
              </wp:positionH>
              <wp:positionV relativeFrom="paragraph">
                <wp:posOffset>-304800</wp:posOffset>
              </wp:positionV>
              <wp:extent cx="884555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0" cy="640080"/>
                      </a:xfrm>
                      <a:prstGeom prst="rect">
                        <a:avLst/>
                      </a:prstGeom>
                      <a:solidFill>
                        <a:srgbClr val="FFFFFF"/>
                      </a:solidFill>
                      <a:ln>
                        <a:noFill/>
                      </a:ln>
                    </wps:spPr>
                    <wps:txbx>
                      <w:txbxContent>
                        <w:tbl>
                          <w:tblPr>
                            <w:tblW w:w="140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02"/>
                          </w:tblGrid>
                          <w:tr w:rsidR="0048675C" w14:paraId="5C25C3CD" w14:textId="77777777" w:rsidTr="00952B94">
                            <w:trPr>
                              <w:trHeight w:hRule="exact" w:val="864"/>
                            </w:trPr>
                            <w:tc>
                              <w:tcPr>
                                <w:tcW w:w="4838" w:type="dxa"/>
                                <w:tcBorders>
                                  <w:bottom w:val="single" w:sz="4" w:space="0" w:color="auto"/>
                                </w:tcBorders>
                                <w:vAlign w:val="bottom"/>
                              </w:tcPr>
                              <w:p w14:paraId="0EF9BDDA" w14:textId="1A3E57F3" w:rsidR="0048675C" w:rsidRDefault="0048675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r w:rsidR="00B13D1B">
                                  <w:rPr>
                                    <w:rFonts w:ascii="Times New Roman" w:hAnsi="Times New Roman"/>
                                    <w:b/>
                                    <w:sz w:val="17"/>
                                    <w:szCs w:val="17"/>
                                    <w:lang w:val="en-US" w:eastAsia="en-US"/>
                                  </w:rPr>
                                  <w:t>STP/4</w:t>
                                </w:r>
                              </w:p>
                            </w:tc>
                            <w:tc>
                              <w:tcPr>
                                <w:tcW w:w="9202" w:type="dxa"/>
                                <w:tcBorders>
                                  <w:bottom w:val="single" w:sz="4" w:space="0" w:color="auto"/>
                                </w:tcBorders>
                                <w:vAlign w:val="bottom"/>
                              </w:tcPr>
                              <w:p w14:paraId="1DF5074C" w14:textId="77777777" w:rsidR="0048675C" w:rsidRDefault="0048675C">
                                <w:pPr>
                                  <w:pStyle w:val="Header"/>
                                  <w:rPr>
                                    <w:rFonts w:ascii="Times New Roman" w:hAnsi="Times New Roman"/>
                                    <w:sz w:val="17"/>
                                    <w:szCs w:val="17"/>
                                    <w:lang w:val="en-US" w:eastAsia="en-US"/>
                                  </w:rPr>
                                </w:pPr>
                              </w:p>
                            </w:tc>
                          </w:tr>
                        </w:tbl>
                        <w:p w14:paraId="2FD57D78" w14:textId="77777777" w:rsidR="0048675C" w:rsidRDefault="0048675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F81AF1" id="_x0000_t202" coordsize="21600,21600" o:spt="202" path="m,l,21600r21600,l21600,xe">
              <v:stroke joinstyle="miter"/>
              <v:path gradientshapeok="t" o:connecttype="rect"/>
            </v:shapetype>
            <v:shape id="Text Box 3" o:spid="_x0000_s1026" type="#_x0000_t202" style="position:absolute;margin-left:.45pt;margin-top:-24pt;width:69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" o:allowincell="f" stroked="f">
              <v:textbox inset="0,0,0,0">
                <w:txbxContent>
                  <w:tbl>
                    <w:tblPr>
                      <w:tblW w:w="140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02"/>
                    </w:tblGrid>
                    <w:tr w:rsidR="0048675C" w14:paraId="5C25C3CD" w14:textId="77777777" w:rsidTr="00952B94">
                      <w:trPr>
                        <w:trHeight w:hRule="exact" w:val="864"/>
                      </w:trPr>
                      <w:tc>
                        <w:tcPr>
                          <w:tcW w:w="4838" w:type="dxa"/>
                          <w:tcBorders>
                            <w:bottom w:val="single" w:sz="4" w:space="0" w:color="auto"/>
                          </w:tcBorders>
                          <w:vAlign w:val="bottom"/>
                        </w:tcPr>
                        <w:p w14:paraId="0EF9BDDA" w14:textId="1A3E57F3" w:rsidR="0048675C" w:rsidRDefault="0048675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r w:rsidR="00B13D1B">
                            <w:rPr>
                              <w:rFonts w:ascii="Times New Roman" w:hAnsi="Times New Roman"/>
                              <w:b/>
                              <w:sz w:val="17"/>
                              <w:szCs w:val="17"/>
                              <w:lang w:val="en-US" w:eastAsia="en-US"/>
                            </w:rPr>
                            <w:t>STP/4</w:t>
                          </w:r>
                        </w:p>
                      </w:tc>
                      <w:tc>
                        <w:tcPr>
                          <w:tcW w:w="9202" w:type="dxa"/>
                          <w:tcBorders>
                            <w:bottom w:val="single" w:sz="4" w:space="0" w:color="auto"/>
                          </w:tcBorders>
                          <w:vAlign w:val="bottom"/>
                        </w:tcPr>
                        <w:p w14:paraId="1DF5074C" w14:textId="77777777" w:rsidR="0048675C" w:rsidRDefault="0048675C">
                          <w:pPr>
                            <w:pStyle w:val="Header"/>
                            <w:rPr>
                              <w:rFonts w:ascii="Times New Roman" w:hAnsi="Times New Roman"/>
                              <w:sz w:val="17"/>
                              <w:szCs w:val="17"/>
                              <w:lang w:val="en-US" w:eastAsia="en-US"/>
                            </w:rPr>
                          </w:pPr>
                        </w:p>
                      </w:tc>
                    </w:tr>
                  </w:tbl>
                  <w:p w14:paraId="2FD57D78" w14:textId="77777777" w:rsidR="0048675C" w:rsidRDefault="0048675C"/>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282"/>
    </w:tblGrid>
    <w:tr w:rsidR="00952B94" w:rsidRPr="00952B94" w14:paraId="65557023" w14:textId="77777777" w:rsidTr="00952B94">
      <w:trPr>
        <w:trHeight w:hRule="exact" w:val="864"/>
      </w:trPr>
      <w:tc>
        <w:tcPr>
          <w:tcW w:w="4668" w:type="dxa"/>
          <w:shd w:val="clear" w:color="auto" w:fill="auto"/>
          <w:vAlign w:val="bottom"/>
        </w:tcPr>
        <w:p w14:paraId="6AF4126D" w14:textId="77777777" w:rsidR="00952B94" w:rsidRPr="00952B94" w:rsidRDefault="00952B94" w:rsidP="00952B94">
          <w:pPr>
            <w:tabs>
              <w:tab w:val="center" w:pos="4320"/>
              <w:tab w:val="right" w:pos="8640"/>
            </w:tabs>
            <w:spacing w:after="80"/>
            <w:rPr>
              <w:b/>
              <w:noProof/>
              <w:sz w:val="17"/>
            </w:rPr>
          </w:pPr>
        </w:p>
      </w:tc>
      <w:tc>
        <w:tcPr>
          <w:tcW w:w="9282" w:type="dxa"/>
          <w:shd w:val="clear" w:color="auto" w:fill="auto"/>
          <w:vAlign w:val="bottom"/>
        </w:tcPr>
        <w:p w14:paraId="3073CB92" w14:textId="77777777" w:rsidR="00952B94" w:rsidRPr="00952B94" w:rsidRDefault="00952B94" w:rsidP="00952B94">
          <w:pPr>
            <w:tabs>
              <w:tab w:val="center" w:pos="4320"/>
              <w:tab w:val="right" w:pos="8640"/>
            </w:tabs>
            <w:jc w:val="right"/>
            <w:rPr>
              <w:b/>
              <w:noProof/>
              <w:sz w:val="17"/>
            </w:rPr>
          </w:pPr>
          <w:r w:rsidRPr="00952B94">
            <w:rPr>
              <w:b/>
              <w:noProof/>
              <w:sz w:val="17"/>
            </w:rPr>
            <w:t>DP/DCP/</w:t>
          </w:r>
          <w:r>
            <w:rPr>
              <w:b/>
              <w:noProof/>
              <w:sz w:val="17"/>
            </w:rPr>
            <w:t>STP</w:t>
          </w:r>
          <w:r w:rsidRPr="00952B94">
            <w:rPr>
              <w:b/>
              <w:noProof/>
              <w:sz w:val="17"/>
            </w:rPr>
            <w:t>/4</w:t>
          </w:r>
        </w:p>
      </w:tc>
    </w:tr>
  </w:tbl>
  <w:p w14:paraId="19BBCF3A" w14:textId="77777777" w:rsidR="00952B94" w:rsidRPr="00952B94" w:rsidRDefault="00952B9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13E07"/>
    <w:multiLevelType w:val="hybridMultilevel"/>
    <w:tmpl w:val="97F62990"/>
    <w:lvl w:ilvl="0" w:tplc="3078B216">
      <w:start w:val="37"/>
      <w:numFmt w:val="decimal"/>
      <w:lvlText w:val="%1."/>
      <w:lvlJc w:val="left"/>
      <w:pPr>
        <w:ind w:left="1627"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C7263D"/>
    <w:multiLevelType w:val="hybridMultilevel"/>
    <w:tmpl w:val="575CEB6C"/>
    <w:lvl w:ilvl="0" w:tplc="2DFEB574">
      <w:start w:val="4"/>
      <w:numFmt w:val="upperRoman"/>
      <w:lvlText w:val="%1."/>
      <w:lvlJc w:val="left"/>
      <w:pPr>
        <w:ind w:left="19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F7C21"/>
    <w:multiLevelType w:val="hybridMultilevel"/>
    <w:tmpl w:val="10583BEA"/>
    <w:lvl w:ilvl="0" w:tplc="088EAF9C">
      <w:start w:val="1"/>
      <w:numFmt w:val="upperRoman"/>
      <w:lvlText w:val="%1."/>
      <w:lvlJc w:val="left"/>
      <w:pPr>
        <w:ind w:left="1080" w:hanging="72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C54D6"/>
    <w:multiLevelType w:val="hybridMultilevel"/>
    <w:tmpl w:val="0076F58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3D5640"/>
    <w:multiLevelType w:val="hybridMultilevel"/>
    <w:tmpl w:val="37761BD6"/>
    <w:lvl w:ilvl="0" w:tplc="281E6C1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81EEB"/>
    <w:multiLevelType w:val="hybridMultilevel"/>
    <w:tmpl w:val="37648662"/>
    <w:lvl w:ilvl="0" w:tplc="62643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1"/>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zMLIwNjawsDQxNDVX0lEKTi0uzszPAykwrQUAQD05oCwAAAA="/>
  </w:docVars>
  <w:rsids>
    <w:rsidRoot w:val="00C10832"/>
    <w:rsid w:val="00000FDA"/>
    <w:rsid w:val="00001252"/>
    <w:rsid w:val="00001612"/>
    <w:rsid w:val="00001730"/>
    <w:rsid w:val="00001DF7"/>
    <w:rsid w:val="0000399B"/>
    <w:rsid w:val="00004FB6"/>
    <w:rsid w:val="0000762C"/>
    <w:rsid w:val="00007DD8"/>
    <w:rsid w:val="00010D5B"/>
    <w:rsid w:val="00011470"/>
    <w:rsid w:val="00017906"/>
    <w:rsid w:val="000200AE"/>
    <w:rsid w:val="000211F3"/>
    <w:rsid w:val="000213FE"/>
    <w:rsid w:val="0002145C"/>
    <w:rsid w:val="000215F6"/>
    <w:rsid w:val="000243F2"/>
    <w:rsid w:val="0002464F"/>
    <w:rsid w:val="00025EFE"/>
    <w:rsid w:val="00026025"/>
    <w:rsid w:val="000262B6"/>
    <w:rsid w:val="000270CD"/>
    <w:rsid w:val="0002713F"/>
    <w:rsid w:val="00027F01"/>
    <w:rsid w:val="00032222"/>
    <w:rsid w:val="00032B5A"/>
    <w:rsid w:val="000346DB"/>
    <w:rsid w:val="00040B2D"/>
    <w:rsid w:val="00040D91"/>
    <w:rsid w:val="00042B7E"/>
    <w:rsid w:val="00043AFD"/>
    <w:rsid w:val="000456D8"/>
    <w:rsid w:val="00045A89"/>
    <w:rsid w:val="000472E5"/>
    <w:rsid w:val="000478BE"/>
    <w:rsid w:val="00050ADA"/>
    <w:rsid w:val="00050E17"/>
    <w:rsid w:val="00052A90"/>
    <w:rsid w:val="000558A7"/>
    <w:rsid w:val="00056830"/>
    <w:rsid w:val="00057577"/>
    <w:rsid w:val="00060D3A"/>
    <w:rsid w:val="000614B6"/>
    <w:rsid w:val="00062338"/>
    <w:rsid w:val="0006298B"/>
    <w:rsid w:val="00063CC9"/>
    <w:rsid w:val="00064615"/>
    <w:rsid w:val="00064C57"/>
    <w:rsid w:val="00071164"/>
    <w:rsid w:val="000713BA"/>
    <w:rsid w:val="00071F86"/>
    <w:rsid w:val="00072183"/>
    <w:rsid w:val="000734C7"/>
    <w:rsid w:val="00073C00"/>
    <w:rsid w:val="00074167"/>
    <w:rsid w:val="00074431"/>
    <w:rsid w:val="00074E0F"/>
    <w:rsid w:val="00076781"/>
    <w:rsid w:val="00077342"/>
    <w:rsid w:val="00080C3C"/>
    <w:rsid w:val="00081137"/>
    <w:rsid w:val="000814ED"/>
    <w:rsid w:val="00083963"/>
    <w:rsid w:val="00084360"/>
    <w:rsid w:val="0008464D"/>
    <w:rsid w:val="00084B88"/>
    <w:rsid w:val="000853B6"/>
    <w:rsid w:val="00086470"/>
    <w:rsid w:val="00087268"/>
    <w:rsid w:val="00087CEB"/>
    <w:rsid w:val="0009009B"/>
    <w:rsid w:val="000903B3"/>
    <w:rsid w:val="0009049A"/>
    <w:rsid w:val="0009064C"/>
    <w:rsid w:val="0009151E"/>
    <w:rsid w:val="00094F5C"/>
    <w:rsid w:val="00097714"/>
    <w:rsid w:val="000A02F1"/>
    <w:rsid w:val="000A1C96"/>
    <w:rsid w:val="000A29E4"/>
    <w:rsid w:val="000A2B7A"/>
    <w:rsid w:val="000A2C44"/>
    <w:rsid w:val="000A2C71"/>
    <w:rsid w:val="000A42A1"/>
    <w:rsid w:val="000A546F"/>
    <w:rsid w:val="000A6002"/>
    <w:rsid w:val="000A7C6B"/>
    <w:rsid w:val="000B12B8"/>
    <w:rsid w:val="000B52BE"/>
    <w:rsid w:val="000B77FF"/>
    <w:rsid w:val="000C05C3"/>
    <w:rsid w:val="000C12E5"/>
    <w:rsid w:val="000C1D11"/>
    <w:rsid w:val="000C222A"/>
    <w:rsid w:val="000C2A9F"/>
    <w:rsid w:val="000C32AB"/>
    <w:rsid w:val="000C3447"/>
    <w:rsid w:val="000C53EB"/>
    <w:rsid w:val="000C5E3E"/>
    <w:rsid w:val="000C6DAD"/>
    <w:rsid w:val="000C77FB"/>
    <w:rsid w:val="000D2054"/>
    <w:rsid w:val="000D2091"/>
    <w:rsid w:val="000D302F"/>
    <w:rsid w:val="000D3666"/>
    <w:rsid w:val="000D378B"/>
    <w:rsid w:val="000D43B2"/>
    <w:rsid w:val="000D5117"/>
    <w:rsid w:val="000D5E07"/>
    <w:rsid w:val="000D6E56"/>
    <w:rsid w:val="000D6FFD"/>
    <w:rsid w:val="000D73FC"/>
    <w:rsid w:val="000D7F47"/>
    <w:rsid w:val="000E1ABF"/>
    <w:rsid w:val="000E23D6"/>
    <w:rsid w:val="000E4298"/>
    <w:rsid w:val="000E4E2F"/>
    <w:rsid w:val="000E5019"/>
    <w:rsid w:val="000E5E05"/>
    <w:rsid w:val="000E69E7"/>
    <w:rsid w:val="000E6D04"/>
    <w:rsid w:val="000E7C59"/>
    <w:rsid w:val="000F0325"/>
    <w:rsid w:val="000F19B3"/>
    <w:rsid w:val="000F2060"/>
    <w:rsid w:val="000F49AB"/>
    <w:rsid w:val="000F4B04"/>
    <w:rsid w:val="000F5172"/>
    <w:rsid w:val="000F60E2"/>
    <w:rsid w:val="000F6491"/>
    <w:rsid w:val="000F6CAB"/>
    <w:rsid w:val="000F7028"/>
    <w:rsid w:val="000F7121"/>
    <w:rsid w:val="00100DD7"/>
    <w:rsid w:val="001019F5"/>
    <w:rsid w:val="001031DE"/>
    <w:rsid w:val="001032EC"/>
    <w:rsid w:val="001036D5"/>
    <w:rsid w:val="00104B6A"/>
    <w:rsid w:val="00104BF1"/>
    <w:rsid w:val="001060FE"/>
    <w:rsid w:val="0010653A"/>
    <w:rsid w:val="00112CE3"/>
    <w:rsid w:val="00113E57"/>
    <w:rsid w:val="0011615C"/>
    <w:rsid w:val="001179DA"/>
    <w:rsid w:val="00117B12"/>
    <w:rsid w:val="00120D3A"/>
    <w:rsid w:val="0012106C"/>
    <w:rsid w:val="00122348"/>
    <w:rsid w:val="00123C51"/>
    <w:rsid w:val="00124407"/>
    <w:rsid w:val="001244A1"/>
    <w:rsid w:val="001247B7"/>
    <w:rsid w:val="00125785"/>
    <w:rsid w:val="001260F5"/>
    <w:rsid w:val="00127FA4"/>
    <w:rsid w:val="00130745"/>
    <w:rsid w:val="001310F8"/>
    <w:rsid w:val="0013267F"/>
    <w:rsid w:val="001356E9"/>
    <w:rsid w:val="00136E45"/>
    <w:rsid w:val="0013767D"/>
    <w:rsid w:val="0013786D"/>
    <w:rsid w:val="00137893"/>
    <w:rsid w:val="00137C6F"/>
    <w:rsid w:val="00140065"/>
    <w:rsid w:val="0014068C"/>
    <w:rsid w:val="00140810"/>
    <w:rsid w:val="00144BF0"/>
    <w:rsid w:val="00145AB9"/>
    <w:rsid w:val="001503A2"/>
    <w:rsid w:val="0015181D"/>
    <w:rsid w:val="00153E13"/>
    <w:rsid w:val="00155362"/>
    <w:rsid w:val="00155FC3"/>
    <w:rsid w:val="001600E2"/>
    <w:rsid w:val="00160A33"/>
    <w:rsid w:val="00160A73"/>
    <w:rsid w:val="0016117A"/>
    <w:rsid w:val="00161BC2"/>
    <w:rsid w:val="0016213E"/>
    <w:rsid w:val="0016492F"/>
    <w:rsid w:val="001662B1"/>
    <w:rsid w:val="0016670F"/>
    <w:rsid w:val="00167817"/>
    <w:rsid w:val="00167FE6"/>
    <w:rsid w:val="00173402"/>
    <w:rsid w:val="001742E4"/>
    <w:rsid w:val="00174DD1"/>
    <w:rsid w:val="00175D7C"/>
    <w:rsid w:val="00175D96"/>
    <w:rsid w:val="00176273"/>
    <w:rsid w:val="0017724C"/>
    <w:rsid w:val="00180E0A"/>
    <w:rsid w:val="001824EF"/>
    <w:rsid w:val="0018382E"/>
    <w:rsid w:val="00186F29"/>
    <w:rsid w:val="001916EE"/>
    <w:rsid w:val="0019173E"/>
    <w:rsid w:val="00191C9A"/>
    <w:rsid w:val="00193752"/>
    <w:rsid w:val="00193E15"/>
    <w:rsid w:val="00197C3A"/>
    <w:rsid w:val="001A1115"/>
    <w:rsid w:val="001A4A10"/>
    <w:rsid w:val="001A5D52"/>
    <w:rsid w:val="001B01D8"/>
    <w:rsid w:val="001B2660"/>
    <w:rsid w:val="001B3C30"/>
    <w:rsid w:val="001B4D43"/>
    <w:rsid w:val="001B4D76"/>
    <w:rsid w:val="001B5952"/>
    <w:rsid w:val="001B5E3B"/>
    <w:rsid w:val="001B7E00"/>
    <w:rsid w:val="001C270A"/>
    <w:rsid w:val="001C2B79"/>
    <w:rsid w:val="001C3887"/>
    <w:rsid w:val="001C3ABA"/>
    <w:rsid w:val="001C4201"/>
    <w:rsid w:val="001C498B"/>
    <w:rsid w:val="001C5DD0"/>
    <w:rsid w:val="001C78BC"/>
    <w:rsid w:val="001D01F1"/>
    <w:rsid w:val="001D1E5D"/>
    <w:rsid w:val="001D295C"/>
    <w:rsid w:val="001D3247"/>
    <w:rsid w:val="001D34E5"/>
    <w:rsid w:val="001D39CD"/>
    <w:rsid w:val="001D3A80"/>
    <w:rsid w:val="001D3CBC"/>
    <w:rsid w:val="001D41DB"/>
    <w:rsid w:val="001D514C"/>
    <w:rsid w:val="001D5509"/>
    <w:rsid w:val="001D7C66"/>
    <w:rsid w:val="001E05EE"/>
    <w:rsid w:val="001E0755"/>
    <w:rsid w:val="001E1C61"/>
    <w:rsid w:val="001E1F0D"/>
    <w:rsid w:val="001E41B8"/>
    <w:rsid w:val="001E44C8"/>
    <w:rsid w:val="001F04AC"/>
    <w:rsid w:val="001F1DF7"/>
    <w:rsid w:val="001F54D1"/>
    <w:rsid w:val="001F77A0"/>
    <w:rsid w:val="00200A19"/>
    <w:rsid w:val="00207CAC"/>
    <w:rsid w:val="00207E5C"/>
    <w:rsid w:val="00210269"/>
    <w:rsid w:val="00211119"/>
    <w:rsid w:val="002129DA"/>
    <w:rsid w:val="00213DC1"/>
    <w:rsid w:val="00214677"/>
    <w:rsid w:val="00215336"/>
    <w:rsid w:val="00216793"/>
    <w:rsid w:val="002219BC"/>
    <w:rsid w:val="00224D04"/>
    <w:rsid w:val="00225099"/>
    <w:rsid w:val="00225F42"/>
    <w:rsid w:val="00230F2E"/>
    <w:rsid w:val="002318A0"/>
    <w:rsid w:val="00234EFE"/>
    <w:rsid w:val="00235A6F"/>
    <w:rsid w:val="002360D5"/>
    <w:rsid w:val="00236775"/>
    <w:rsid w:val="0024199C"/>
    <w:rsid w:val="002420ED"/>
    <w:rsid w:val="002437EF"/>
    <w:rsid w:val="00245BC4"/>
    <w:rsid w:val="002464CA"/>
    <w:rsid w:val="0024665C"/>
    <w:rsid w:val="00246A1A"/>
    <w:rsid w:val="00247061"/>
    <w:rsid w:val="002473EF"/>
    <w:rsid w:val="00250507"/>
    <w:rsid w:val="0025142E"/>
    <w:rsid w:val="0025162A"/>
    <w:rsid w:val="00251A0A"/>
    <w:rsid w:val="00253A5C"/>
    <w:rsid w:val="00253B8C"/>
    <w:rsid w:val="00254122"/>
    <w:rsid w:val="00256273"/>
    <w:rsid w:val="00260D39"/>
    <w:rsid w:val="00260F59"/>
    <w:rsid w:val="00261A36"/>
    <w:rsid w:val="00261B65"/>
    <w:rsid w:val="00262F5C"/>
    <w:rsid w:val="002641D6"/>
    <w:rsid w:val="002653B7"/>
    <w:rsid w:val="0026735C"/>
    <w:rsid w:val="00267F46"/>
    <w:rsid w:val="002734A2"/>
    <w:rsid w:val="002750A8"/>
    <w:rsid w:val="002752B4"/>
    <w:rsid w:val="002758EA"/>
    <w:rsid w:val="00276264"/>
    <w:rsid w:val="00277D97"/>
    <w:rsid w:val="00277E97"/>
    <w:rsid w:val="00282370"/>
    <w:rsid w:val="00282817"/>
    <w:rsid w:val="00282F64"/>
    <w:rsid w:val="00283945"/>
    <w:rsid w:val="00291646"/>
    <w:rsid w:val="002931CE"/>
    <w:rsid w:val="002933C6"/>
    <w:rsid w:val="002A1D38"/>
    <w:rsid w:val="002A2405"/>
    <w:rsid w:val="002A2AC1"/>
    <w:rsid w:val="002A2B88"/>
    <w:rsid w:val="002A355D"/>
    <w:rsid w:val="002A3805"/>
    <w:rsid w:val="002A3CC0"/>
    <w:rsid w:val="002A495F"/>
    <w:rsid w:val="002A5685"/>
    <w:rsid w:val="002A6557"/>
    <w:rsid w:val="002A6DA5"/>
    <w:rsid w:val="002B06FB"/>
    <w:rsid w:val="002B1D2E"/>
    <w:rsid w:val="002B31E0"/>
    <w:rsid w:val="002B3CC8"/>
    <w:rsid w:val="002B7AA7"/>
    <w:rsid w:val="002C30C8"/>
    <w:rsid w:val="002C45C7"/>
    <w:rsid w:val="002C47E2"/>
    <w:rsid w:val="002C4D41"/>
    <w:rsid w:val="002C6C7E"/>
    <w:rsid w:val="002C755A"/>
    <w:rsid w:val="002C769B"/>
    <w:rsid w:val="002D4716"/>
    <w:rsid w:val="002D48F2"/>
    <w:rsid w:val="002D4ED6"/>
    <w:rsid w:val="002D5068"/>
    <w:rsid w:val="002D63E1"/>
    <w:rsid w:val="002E02C3"/>
    <w:rsid w:val="002E4519"/>
    <w:rsid w:val="002F02CA"/>
    <w:rsid w:val="002F02EB"/>
    <w:rsid w:val="002F2680"/>
    <w:rsid w:val="002F3FC3"/>
    <w:rsid w:val="002F5EBF"/>
    <w:rsid w:val="002F5F4E"/>
    <w:rsid w:val="002F6117"/>
    <w:rsid w:val="002F755A"/>
    <w:rsid w:val="002F7C60"/>
    <w:rsid w:val="0030044D"/>
    <w:rsid w:val="00302119"/>
    <w:rsid w:val="003024AA"/>
    <w:rsid w:val="003032FA"/>
    <w:rsid w:val="00303DAA"/>
    <w:rsid w:val="00304768"/>
    <w:rsid w:val="00305DAC"/>
    <w:rsid w:val="003069BF"/>
    <w:rsid w:val="00306DDE"/>
    <w:rsid w:val="00306EAF"/>
    <w:rsid w:val="0031028A"/>
    <w:rsid w:val="003111BD"/>
    <w:rsid w:val="00311CC7"/>
    <w:rsid w:val="00311F24"/>
    <w:rsid w:val="00313A06"/>
    <w:rsid w:val="00313ABC"/>
    <w:rsid w:val="00316942"/>
    <w:rsid w:val="00321793"/>
    <w:rsid w:val="00322182"/>
    <w:rsid w:val="003221CB"/>
    <w:rsid w:val="00323528"/>
    <w:rsid w:val="00323865"/>
    <w:rsid w:val="003239F1"/>
    <w:rsid w:val="00324208"/>
    <w:rsid w:val="003248AA"/>
    <w:rsid w:val="00324BBB"/>
    <w:rsid w:val="00324CCF"/>
    <w:rsid w:val="003271B6"/>
    <w:rsid w:val="00332629"/>
    <w:rsid w:val="0033286D"/>
    <w:rsid w:val="003353F8"/>
    <w:rsid w:val="00336443"/>
    <w:rsid w:val="003372BE"/>
    <w:rsid w:val="0033742B"/>
    <w:rsid w:val="00342486"/>
    <w:rsid w:val="0034253C"/>
    <w:rsid w:val="003440C5"/>
    <w:rsid w:val="003445E7"/>
    <w:rsid w:val="00345CA0"/>
    <w:rsid w:val="0034643A"/>
    <w:rsid w:val="00346524"/>
    <w:rsid w:val="00347A48"/>
    <w:rsid w:val="00347F1E"/>
    <w:rsid w:val="00350E3C"/>
    <w:rsid w:val="00351F5F"/>
    <w:rsid w:val="003540F9"/>
    <w:rsid w:val="003558D0"/>
    <w:rsid w:val="00360634"/>
    <w:rsid w:val="00362C9F"/>
    <w:rsid w:val="003639F1"/>
    <w:rsid w:val="00364348"/>
    <w:rsid w:val="003654F7"/>
    <w:rsid w:val="00365625"/>
    <w:rsid w:val="003672BC"/>
    <w:rsid w:val="003702E1"/>
    <w:rsid w:val="003716F8"/>
    <w:rsid w:val="00371AC6"/>
    <w:rsid w:val="00371F4A"/>
    <w:rsid w:val="00372D3E"/>
    <w:rsid w:val="003731B9"/>
    <w:rsid w:val="00373B93"/>
    <w:rsid w:val="00373D2C"/>
    <w:rsid w:val="003748B2"/>
    <w:rsid w:val="0037575D"/>
    <w:rsid w:val="003770C6"/>
    <w:rsid w:val="00377CA6"/>
    <w:rsid w:val="00382643"/>
    <w:rsid w:val="00385DDA"/>
    <w:rsid w:val="0038677D"/>
    <w:rsid w:val="00387166"/>
    <w:rsid w:val="003901D8"/>
    <w:rsid w:val="00390E57"/>
    <w:rsid w:val="00391360"/>
    <w:rsid w:val="003941BF"/>
    <w:rsid w:val="0039493A"/>
    <w:rsid w:val="003957BB"/>
    <w:rsid w:val="003A1322"/>
    <w:rsid w:val="003A5584"/>
    <w:rsid w:val="003A7295"/>
    <w:rsid w:val="003B1037"/>
    <w:rsid w:val="003B10B4"/>
    <w:rsid w:val="003B3AFA"/>
    <w:rsid w:val="003B50C7"/>
    <w:rsid w:val="003C174F"/>
    <w:rsid w:val="003C1B92"/>
    <w:rsid w:val="003C36CB"/>
    <w:rsid w:val="003C3CF6"/>
    <w:rsid w:val="003C3FDC"/>
    <w:rsid w:val="003C4B2D"/>
    <w:rsid w:val="003C52F6"/>
    <w:rsid w:val="003C6DF1"/>
    <w:rsid w:val="003C7A50"/>
    <w:rsid w:val="003D1CA5"/>
    <w:rsid w:val="003D2CB5"/>
    <w:rsid w:val="003D3803"/>
    <w:rsid w:val="003D3914"/>
    <w:rsid w:val="003D3C49"/>
    <w:rsid w:val="003D4830"/>
    <w:rsid w:val="003D55DE"/>
    <w:rsid w:val="003D56D6"/>
    <w:rsid w:val="003D6388"/>
    <w:rsid w:val="003D64FA"/>
    <w:rsid w:val="003D6B95"/>
    <w:rsid w:val="003E0993"/>
    <w:rsid w:val="003E1496"/>
    <w:rsid w:val="003E1EF8"/>
    <w:rsid w:val="003E3396"/>
    <w:rsid w:val="003E391F"/>
    <w:rsid w:val="003E3B61"/>
    <w:rsid w:val="003E5086"/>
    <w:rsid w:val="003E5BB8"/>
    <w:rsid w:val="003E68A5"/>
    <w:rsid w:val="003F0DC0"/>
    <w:rsid w:val="003F11A5"/>
    <w:rsid w:val="003F4315"/>
    <w:rsid w:val="003F56BD"/>
    <w:rsid w:val="003F6338"/>
    <w:rsid w:val="00400AAA"/>
    <w:rsid w:val="00401268"/>
    <w:rsid w:val="00401FF0"/>
    <w:rsid w:val="0040479D"/>
    <w:rsid w:val="00405FF0"/>
    <w:rsid w:val="0040607A"/>
    <w:rsid w:val="00406674"/>
    <w:rsid w:val="004066F7"/>
    <w:rsid w:val="00406DF6"/>
    <w:rsid w:val="00410081"/>
    <w:rsid w:val="00411005"/>
    <w:rsid w:val="0041264B"/>
    <w:rsid w:val="00413694"/>
    <w:rsid w:val="00413924"/>
    <w:rsid w:val="004144E3"/>
    <w:rsid w:val="00414A85"/>
    <w:rsid w:val="00414FC1"/>
    <w:rsid w:val="004157A1"/>
    <w:rsid w:val="004161B2"/>
    <w:rsid w:val="0042232F"/>
    <w:rsid w:val="004228A1"/>
    <w:rsid w:val="00423BA5"/>
    <w:rsid w:val="00424076"/>
    <w:rsid w:val="004254EA"/>
    <w:rsid w:val="004260B0"/>
    <w:rsid w:val="00426155"/>
    <w:rsid w:val="00426757"/>
    <w:rsid w:val="00426B3C"/>
    <w:rsid w:val="00430E32"/>
    <w:rsid w:val="0043122D"/>
    <w:rsid w:val="004316C9"/>
    <w:rsid w:val="00431D6C"/>
    <w:rsid w:val="00432362"/>
    <w:rsid w:val="004348B4"/>
    <w:rsid w:val="004350B4"/>
    <w:rsid w:val="00435178"/>
    <w:rsid w:val="00435AE6"/>
    <w:rsid w:val="00437671"/>
    <w:rsid w:val="004466A2"/>
    <w:rsid w:val="00447F0B"/>
    <w:rsid w:val="00451F23"/>
    <w:rsid w:val="00452A24"/>
    <w:rsid w:val="00452B75"/>
    <w:rsid w:val="00454688"/>
    <w:rsid w:val="0045494F"/>
    <w:rsid w:val="0045499D"/>
    <w:rsid w:val="00455916"/>
    <w:rsid w:val="00455DDA"/>
    <w:rsid w:val="00455F2E"/>
    <w:rsid w:val="004571FF"/>
    <w:rsid w:val="0046036C"/>
    <w:rsid w:val="00461583"/>
    <w:rsid w:val="004640F4"/>
    <w:rsid w:val="00464F03"/>
    <w:rsid w:val="00465396"/>
    <w:rsid w:val="004656CF"/>
    <w:rsid w:val="00465882"/>
    <w:rsid w:val="00466E30"/>
    <w:rsid w:val="004679FC"/>
    <w:rsid w:val="00470A1D"/>
    <w:rsid w:val="00471555"/>
    <w:rsid w:val="004729B9"/>
    <w:rsid w:val="00474E3B"/>
    <w:rsid w:val="00475572"/>
    <w:rsid w:val="0047601F"/>
    <w:rsid w:val="00480362"/>
    <w:rsid w:val="00480E97"/>
    <w:rsid w:val="00481547"/>
    <w:rsid w:val="00481614"/>
    <w:rsid w:val="004819B3"/>
    <w:rsid w:val="0048311C"/>
    <w:rsid w:val="00485089"/>
    <w:rsid w:val="0048521D"/>
    <w:rsid w:val="004856C3"/>
    <w:rsid w:val="0048675C"/>
    <w:rsid w:val="00486CCD"/>
    <w:rsid w:val="00486E81"/>
    <w:rsid w:val="00487448"/>
    <w:rsid w:val="00487B5D"/>
    <w:rsid w:val="004903DC"/>
    <w:rsid w:val="00490F75"/>
    <w:rsid w:val="004918D7"/>
    <w:rsid w:val="00492973"/>
    <w:rsid w:val="004955D8"/>
    <w:rsid w:val="004957DE"/>
    <w:rsid w:val="00496F76"/>
    <w:rsid w:val="004979C3"/>
    <w:rsid w:val="004A07ED"/>
    <w:rsid w:val="004A1575"/>
    <w:rsid w:val="004A1E62"/>
    <w:rsid w:val="004A22B6"/>
    <w:rsid w:val="004A2410"/>
    <w:rsid w:val="004A38FE"/>
    <w:rsid w:val="004A4850"/>
    <w:rsid w:val="004A48E9"/>
    <w:rsid w:val="004A4BC9"/>
    <w:rsid w:val="004A540E"/>
    <w:rsid w:val="004A5A34"/>
    <w:rsid w:val="004A76C9"/>
    <w:rsid w:val="004B133A"/>
    <w:rsid w:val="004B18CC"/>
    <w:rsid w:val="004B1957"/>
    <w:rsid w:val="004B3176"/>
    <w:rsid w:val="004B3C89"/>
    <w:rsid w:val="004B4019"/>
    <w:rsid w:val="004B43F8"/>
    <w:rsid w:val="004B5767"/>
    <w:rsid w:val="004B5B1C"/>
    <w:rsid w:val="004B744B"/>
    <w:rsid w:val="004B7596"/>
    <w:rsid w:val="004C0D46"/>
    <w:rsid w:val="004C1BC7"/>
    <w:rsid w:val="004C3070"/>
    <w:rsid w:val="004C4A7D"/>
    <w:rsid w:val="004C51C9"/>
    <w:rsid w:val="004C5C28"/>
    <w:rsid w:val="004C6417"/>
    <w:rsid w:val="004D2C95"/>
    <w:rsid w:val="004D3260"/>
    <w:rsid w:val="004D326F"/>
    <w:rsid w:val="004D35CB"/>
    <w:rsid w:val="004D42F5"/>
    <w:rsid w:val="004D50F5"/>
    <w:rsid w:val="004D5498"/>
    <w:rsid w:val="004E0C41"/>
    <w:rsid w:val="004E13CD"/>
    <w:rsid w:val="004E2B1B"/>
    <w:rsid w:val="004E3125"/>
    <w:rsid w:val="004E590A"/>
    <w:rsid w:val="004F0BA9"/>
    <w:rsid w:val="004F1F2C"/>
    <w:rsid w:val="004F25CB"/>
    <w:rsid w:val="004F4193"/>
    <w:rsid w:val="005009FE"/>
    <w:rsid w:val="00503315"/>
    <w:rsid w:val="00503C8C"/>
    <w:rsid w:val="00504C66"/>
    <w:rsid w:val="005069B0"/>
    <w:rsid w:val="00506E0A"/>
    <w:rsid w:val="00507E59"/>
    <w:rsid w:val="00511E7E"/>
    <w:rsid w:val="00512229"/>
    <w:rsid w:val="0051459E"/>
    <w:rsid w:val="005152B4"/>
    <w:rsid w:val="00515613"/>
    <w:rsid w:val="00515A25"/>
    <w:rsid w:val="00515BBB"/>
    <w:rsid w:val="005163A4"/>
    <w:rsid w:val="005164D5"/>
    <w:rsid w:val="00517D4B"/>
    <w:rsid w:val="0052018E"/>
    <w:rsid w:val="005219E5"/>
    <w:rsid w:val="005241F4"/>
    <w:rsid w:val="005246B4"/>
    <w:rsid w:val="0052568B"/>
    <w:rsid w:val="0052656F"/>
    <w:rsid w:val="005316A4"/>
    <w:rsid w:val="00534336"/>
    <w:rsid w:val="00536528"/>
    <w:rsid w:val="00536F1A"/>
    <w:rsid w:val="005372C6"/>
    <w:rsid w:val="00540FB2"/>
    <w:rsid w:val="0054191C"/>
    <w:rsid w:val="00543866"/>
    <w:rsid w:val="00543BF5"/>
    <w:rsid w:val="00545031"/>
    <w:rsid w:val="00545FFE"/>
    <w:rsid w:val="00546508"/>
    <w:rsid w:val="005466FD"/>
    <w:rsid w:val="0054770E"/>
    <w:rsid w:val="005477DD"/>
    <w:rsid w:val="00547C43"/>
    <w:rsid w:val="00551409"/>
    <w:rsid w:val="00552121"/>
    <w:rsid w:val="005529A1"/>
    <w:rsid w:val="005531D4"/>
    <w:rsid w:val="005540C7"/>
    <w:rsid w:val="00554E89"/>
    <w:rsid w:val="0055688C"/>
    <w:rsid w:val="005569D0"/>
    <w:rsid w:val="0056064E"/>
    <w:rsid w:val="005627D9"/>
    <w:rsid w:val="00563786"/>
    <w:rsid w:val="0056526E"/>
    <w:rsid w:val="00566569"/>
    <w:rsid w:val="0057187A"/>
    <w:rsid w:val="00572E34"/>
    <w:rsid w:val="0057365B"/>
    <w:rsid w:val="00573E48"/>
    <w:rsid w:val="00574A99"/>
    <w:rsid w:val="00575B5B"/>
    <w:rsid w:val="00575D09"/>
    <w:rsid w:val="005772B4"/>
    <w:rsid w:val="00577ED9"/>
    <w:rsid w:val="00580360"/>
    <w:rsid w:val="0058408A"/>
    <w:rsid w:val="005843E9"/>
    <w:rsid w:val="0058593F"/>
    <w:rsid w:val="00585D82"/>
    <w:rsid w:val="005869E2"/>
    <w:rsid w:val="00591478"/>
    <w:rsid w:val="00593286"/>
    <w:rsid w:val="0059337B"/>
    <w:rsid w:val="00594D62"/>
    <w:rsid w:val="00594ECF"/>
    <w:rsid w:val="00595AE9"/>
    <w:rsid w:val="00595C02"/>
    <w:rsid w:val="00597A51"/>
    <w:rsid w:val="005A1316"/>
    <w:rsid w:val="005A549D"/>
    <w:rsid w:val="005A5529"/>
    <w:rsid w:val="005A562F"/>
    <w:rsid w:val="005A59C1"/>
    <w:rsid w:val="005A78DD"/>
    <w:rsid w:val="005B09B9"/>
    <w:rsid w:val="005B2F3E"/>
    <w:rsid w:val="005B3906"/>
    <w:rsid w:val="005B5299"/>
    <w:rsid w:val="005B7BF5"/>
    <w:rsid w:val="005C0815"/>
    <w:rsid w:val="005C144C"/>
    <w:rsid w:val="005C1931"/>
    <w:rsid w:val="005C3550"/>
    <w:rsid w:val="005C3FEF"/>
    <w:rsid w:val="005C71F1"/>
    <w:rsid w:val="005C756B"/>
    <w:rsid w:val="005D1084"/>
    <w:rsid w:val="005D1695"/>
    <w:rsid w:val="005D23DB"/>
    <w:rsid w:val="005D2FD3"/>
    <w:rsid w:val="005D3436"/>
    <w:rsid w:val="005D4086"/>
    <w:rsid w:val="005D60E8"/>
    <w:rsid w:val="005D62BA"/>
    <w:rsid w:val="005D6BE0"/>
    <w:rsid w:val="005E1A56"/>
    <w:rsid w:val="005E29A4"/>
    <w:rsid w:val="005E34AD"/>
    <w:rsid w:val="005E3FF3"/>
    <w:rsid w:val="005E41DA"/>
    <w:rsid w:val="005E455A"/>
    <w:rsid w:val="005E4CC0"/>
    <w:rsid w:val="005E4D45"/>
    <w:rsid w:val="005E535D"/>
    <w:rsid w:val="005F0EAD"/>
    <w:rsid w:val="005F0F49"/>
    <w:rsid w:val="005F1856"/>
    <w:rsid w:val="005F317F"/>
    <w:rsid w:val="005F63B0"/>
    <w:rsid w:val="005F6895"/>
    <w:rsid w:val="006006CA"/>
    <w:rsid w:val="00601EE4"/>
    <w:rsid w:val="006022C6"/>
    <w:rsid w:val="00602742"/>
    <w:rsid w:val="00603DC8"/>
    <w:rsid w:val="00605838"/>
    <w:rsid w:val="006069C4"/>
    <w:rsid w:val="00607909"/>
    <w:rsid w:val="00610D69"/>
    <w:rsid w:val="00611168"/>
    <w:rsid w:val="00612D47"/>
    <w:rsid w:val="00613154"/>
    <w:rsid w:val="00613499"/>
    <w:rsid w:val="00613AF3"/>
    <w:rsid w:val="006164D9"/>
    <w:rsid w:val="00620749"/>
    <w:rsid w:val="006209FB"/>
    <w:rsid w:val="00621491"/>
    <w:rsid w:val="006220C0"/>
    <w:rsid w:val="0062244A"/>
    <w:rsid w:val="00622D21"/>
    <w:rsid w:val="006239AC"/>
    <w:rsid w:val="006240E8"/>
    <w:rsid w:val="00624119"/>
    <w:rsid w:val="006250A1"/>
    <w:rsid w:val="00627F51"/>
    <w:rsid w:val="00630792"/>
    <w:rsid w:val="006315B0"/>
    <w:rsid w:val="00631D33"/>
    <w:rsid w:val="006322F3"/>
    <w:rsid w:val="0063307D"/>
    <w:rsid w:val="0063383E"/>
    <w:rsid w:val="00633BCB"/>
    <w:rsid w:val="00635149"/>
    <w:rsid w:val="00636254"/>
    <w:rsid w:val="00636346"/>
    <w:rsid w:val="00637288"/>
    <w:rsid w:val="00637884"/>
    <w:rsid w:val="00637B22"/>
    <w:rsid w:val="006404FF"/>
    <w:rsid w:val="006406F1"/>
    <w:rsid w:val="006407A0"/>
    <w:rsid w:val="00641561"/>
    <w:rsid w:val="00644844"/>
    <w:rsid w:val="006455A2"/>
    <w:rsid w:val="00645950"/>
    <w:rsid w:val="00650D39"/>
    <w:rsid w:val="00651D53"/>
    <w:rsid w:val="006537F9"/>
    <w:rsid w:val="00653CF4"/>
    <w:rsid w:val="0065540B"/>
    <w:rsid w:val="006559B7"/>
    <w:rsid w:val="006559DE"/>
    <w:rsid w:val="00655D1A"/>
    <w:rsid w:val="00656649"/>
    <w:rsid w:val="00656EBC"/>
    <w:rsid w:val="00657499"/>
    <w:rsid w:val="00657CEF"/>
    <w:rsid w:val="006600AC"/>
    <w:rsid w:val="00664E4E"/>
    <w:rsid w:val="0066637E"/>
    <w:rsid w:val="00670595"/>
    <w:rsid w:val="006720F4"/>
    <w:rsid w:val="00672524"/>
    <w:rsid w:val="00672F4A"/>
    <w:rsid w:val="00672F6D"/>
    <w:rsid w:val="00676D99"/>
    <w:rsid w:val="006772C3"/>
    <w:rsid w:val="006812F1"/>
    <w:rsid w:val="00681F92"/>
    <w:rsid w:val="0068303D"/>
    <w:rsid w:val="00683ABC"/>
    <w:rsid w:val="00685A11"/>
    <w:rsid w:val="00685DA0"/>
    <w:rsid w:val="0068785F"/>
    <w:rsid w:val="00687F49"/>
    <w:rsid w:val="0069075D"/>
    <w:rsid w:val="00690F77"/>
    <w:rsid w:val="006934D8"/>
    <w:rsid w:val="006940F5"/>
    <w:rsid w:val="0069528B"/>
    <w:rsid w:val="006954C9"/>
    <w:rsid w:val="00695FF5"/>
    <w:rsid w:val="00696107"/>
    <w:rsid w:val="006964A3"/>
    <w:rsid w:val="00697B20"/>
    <w:rsid w:val="006A2A50"/>
    <w:rsid w:val="006A3F03"/>
    <w:rsid w:val="006A48CA"/>
    <w:rsid w:val="006A53CB"/>
    <w:rsid w:val="006A58CD"/>
    <w:rsid w:val="006A79AA"/>
    <w:rsid w:val="006B1382"/>
    <w:rsid w:val="006B2AD3"/>
    <w:rsid w:val="006B2C90"/>
    <w:rsid w:val="006B5039"/>
    <w:rsid w:val="006B5277"/>
    <w:rsid w:val="006B5BD6"/>
    <w:rsid w:val="006B70DE"/>
    <w:rsid w:val="006C0B8D"/>
    <w:rsid w:val="006C0E70"/>
    <w:rsid w:val="006C24DE"/>
    <w:rsid w:val="006C3043"/>
    <w:rsid w:val="006C504C"/>
    <w:rsid w:val="006C512D"/>
    <w:rsid w:val="006C5523"/>
    <w:rsid w:val="006C69F7"/>
    <w:rsid w:val="006C6B4F"/>
    <w:rsid w:val="006C6F95"/>
    <w:rsid w:val="006C7524"/>
    <w:rsid w:val="006C79F0"/>
    <w:rsid w:val="006D0B80"/>
    <w:rsid w:val="006D12E3"/>
    <w:rsid w:val="006D13B9"/>
    <w:rsid w:val="006D2465"/>
    <w:rsid w:val="006D3576"/>
    <w:rsid w:val="006D4A3C"/>
    <w:rsid w:val="006D5549"/>
    <w:rsid w:val="006D5E08"/>
    <w:rsid w:val="006D6D0C"/>
    <w:rsid w:val="006D7463"/>
    <w:rsid w:val="006E0A7F"/>
    <w:rsid w:val="006E0E10"/>
    <w:rsid w:val="006E2E09"/>
    <w:rsid w:val="006E4502"/>
    <w:rsid w:val="006E6AC3"/>
    <w:rsid w:val="006E72B0"/>
    <w:rsid w:val="006E7D33"/>
    <w:rsid w:val="006F1559"/>
    <w:rsid w:val="006F3CDD"/>
    <w:rsid w:val="006F44A5"/>
    <w:rsid w:val="006F467D"/>
    <w:rsid w:val="006F559F"/>
    <w:rsid w:val="006F5BF2"/>
    <w:rsid w:val="006F6197"/>
    <w:rsid w:val="006F776E"/>
    <w:rsid w:val="00700CA9"/>
    <w:rsid w:val="00702712"/>
    <w:rsid w:val="007030EF"/>
    <w:rsid w:val="007036E7"/>
    <w:rsid w:val="00704904"/>
    <w:rsid w:val="00704E05"/>
    <w:rsid w:val="00710513"/>
    <w:rsid w:val="00711133"/>
    <w:rsid w:val="0071190B"/>
    <w:rsid w:val="00713800"/>
    <w:rsid w:val="00713E07"/>
    <w:rsid w:val="00715784"/>
    <w:rsid w:val="00715843"/>
    <w:rsid w:val="007204FC"/>
    <w:rsid w:val="0072171C"/>
    <w:rsid w:val="00721E97"/>
    <w:rsid w:val="007255D7"/>
    <w:rsid w:val="0072653F"/>
    <w:rsid w:val="007268B5"/>
    <w:rsid w:val="00730976"/>
    <w:rsid w:val="00731163"/>
    <w:rsid w:val="00732E14"/>
    <w:rsid w:val="00733408"/>
    <w:rsid w:val="007350E3"/>
    <w:rsid w:val="00736321"/>
    <w:rsid w:val="0073669C"/>
    <w:rsid w:val="00736D33"/>
    <w:rsid w:val="00743B35"/>
    <w:rsid w:val="007443B9"/>
    <w:rsid w:val="007467A1"/>
    <w:rsid w:val="0074687E"/>
    <w:rsid w:val="00747C3F"/>
    <w:rsid w:val="007500B0"/>
    <w:rsid w:val="007539F7"/>
    <w:rsid w:val="00757887"/>
    <w:rsid w:val="00762097"/>
    <w:rsid w:val="00762F9A"/>
    <w:rsid w:val="00772601"/>
    <w:rsid w:val="0077352C"/>
    <w:rsid w:val="00774353"/>
    <w:rsid w:val="007752AB"/>
    <w:rsid w:val="0077537B"/>
    <w:rsid w:val="00777F1E"/>
    <w:rsid w:val="007808D6"/>
    <w:rsid w:val="00781BF0"/>
    <w:rsid w:val="007831DE"/>
    <w:rsid w:val="007845BC"/>
    <w:rsid w:val="007846BC"/>
    <w:rsid w:val="007865CE"/>
    <w:rsid w:val="00790F35"/>
    <w:rsid w:val="00793CC3"/>
    <w:rsid w:val="0079457E"/>
    <w:rsid w:val="0079596D"/>
    <w:rsid w:val="00797465"/>
    <w:rsid w:val="007A1923"/>
    <w:rsid w:val="007A1EFE"/>
    <w:rsid w:val="007A21C0"/>
    <w:rsid w:val="007A28C6"/>
    <w:rsid w:val="007A4931"/>
    <w:rsid w:val="007A5A04"/>
    <w:rsid w:val="007A5A5E"/>
    <w:rsid w:val="007A5AF5"/>
    <w:rsid w:val="007A6866"/>
    <w:rsid w:val="007A6904"/>
    <w:rsid w:val="007A7FB3"/>
    <w:rsid w:val="007B0186"/>
    <w:rsid w:val="007B3A3F"/>
    <w:rsid w:val="007B400D"/>
    <w:rsid w:val="007B45BD"/>
    <w:rsid w:val="007B59BC"/>
    <w:rsid w:val="007B79A5"/>
    <w:rsid w:val="007C07DD"/>
    <w:rsid w:val="007C1FF8"/>
    <w:rsid w:val="007C2235"/>
    <w:rsid w:val="007C3FDD"/>
    <w:rsid w:val="007C49DB"/>
    <w:rsid w:val="007C67B9"/>
    <w:rsid w:val="007C6D7A"/>
    <w:rsid w:val="007C79FD"/>
    <w:rsid w:val="007D0775"/>
    <w:rsid w:val="007D20C3"/>
    <w:rsid w:val="007D2779"/>
    <w:rsid w:val="007D27B3"/>
    <w:rsid w:val="007D32CE"/>
    <w:rsid w:val="007D336D"/>
    <w:rsid w:val="007D4827"/>
    <w:rsid w:val="007D59A1"/>
    <w:rsid w:val="007D63D1"/>
    <w:rsid w:val="007D694C"/>
    <w:rsid w:val="007D69B6"/>
    <w:rsid w:val="007D7736"/>
    <w:rsid w:val="007E0A5D"/>
    <w:rsid w:val="007E2946"/>
    <w:rsid w:val="007E3DAC"/>
    <w:rsid w:val="007E6259"/>
    <w:rsid w:val="007E62CB"/>
    <w:rsid w:val="007E6CB2"/>
    <w:rsid w:val="007E7CB0"/>
    <w:rsid w:val="007F0309"/>
    <w:rsid w:val="007F08AA"/>
    <w:rsid w:val="007F0A2E"/>
    <w:rsid w:val="007F0BE1"/>
    <w:rsid w:val="007F0E12"/>
    <w:rsid w:val="007F175D"/>
    <w:rsid w:val="007F29C5"/>
    <w:rsid w:val="007F2DC7"/>
    <w:rsid w:val="007F2E18"/>
    <w:rsid w:val="007F42A0"/>
    <w:rsid w:val="007F43D5"/>
    <w:rsid w:val="007F5511"/>
    <w:rsid w:val="007F5C3D"/>
    <w:rsid w:val="007F61C2"/>
    <w:rsid w:val="007F7DDE"/>
    <w:rsid w:val="008004BB"/>
    <w:rsid w:val="00800945"/>
    <w:rsid w:val="00803B13"/>
    <w:rsid w:val="008049DE"/>
    <w:rsid w:val="00805E16"/>
    <w:rsid w:val="00806045"/>
    <w:rsid w:val="008125FF"/>
    <w:rsid w:val="00812936"/>
    <w:rsid w:val="008139C0"/>
    <w:rsid w:val="008143DB"/>
    <w:rsid w:val="00815358"/>
    <w:rsid w:val="0082119F"/>
    <w:rsid w:val="008227DC"/>
    <w:rsid w:val="00823EC8"/>
    <w:rsid w:val="00824225"/>
    <w:rsid w:val="00825030"/>
    <w:rsid w:val="0082714F"/>
    <w:rsid w:val="00827611"/>
    <w:rsid w:val="00827EB2"/>
    <w:rsid w:val="0083007B"/>
    <w:rsid w:val="008318BB"/>
    <w:rsid w:val="00831E5D"/>
    <w:rsid w:val="00833996"/>
    <w:rsid w:val="008348D1"/>
    <w:rsid w:val="00834A92"/>
    <w:rsid w:val="00834C0F"/>
    <w:rsid w:val="008368E9"/>
    <w:rsid w:val="0083729B"/>
    <w:rsid w:val="0084133B"/>
    <w:rsid w:val="00841617"/>
    <w:rsid w:val="008418F9"/>
    <w:rsid w:val="00842F92"/>
    <w:rsid w:val="00844A14"/>
    <w:rsid w:val="00846D3C"/>
    <w:rsid w:val="0084754B"/>
    <w:rsid w:val="00847E2A"/>
    <w:rsid w:val="00851D37"/>
    <w:rsid w:val="00852C51"/>
    <w:rsid w:val="0085567B"/>
    <w:rsid w:val="00855E9A"/>
    <w:rsid w:val="0085728D"/>
    <w:rsid w:val="00862D4B"/>
    <w:rsid w:val="00864723"/>
    <w:rsid w:val="00864ED6"/>
    <w:rsid w:val="008658C8"/>
    <w:rsid w:val="00865D95"/>
    <w:rsid w:val="008670B5"/>
    <w:rsid w:val="00867EB0"/>
    <w:rsid w:val="00871660"/>
    <w:rsid w:val="00872A43"/>
    <w:rsid w:val="00874961"/>
    <w:rsid w:val="0087563D"/>
    <w:rsid w:val="008772B8"/>
    <w:rsid w:val="008812C8"/>
    <w:rsid w:val="00883003"/>
    <w:rsid w:val="008831AD"/>
    <w:rsid w:val="0088442D"/>
    <w:rsid w:val="008856B8"/>
    <w:rsid w:val="00886583"/>
    <w:rsid w:val="0088684E"/>
    <w:rsid w:val="00887486"/>
    <w:rsid w:val="00890A40"/>
    <w:rsid w:val="008913FA"/>
    <w:rsid w:val="00892574"/>
    <w:rsid w:val="008931AF"/>
    <w:rsid w:val="00893C4A"/>
    <w:rsid w:val="008952AA"/>
    <w:rsid w:val="00895AE3"/>
    <w:rsid w:val="00895D25"/>
    <w:rsid w:val="00896149"/>
    <w:rsid w:val="00897558"/>
    <w:rsid w:val="00897C0F"/>
    <w:rsid w:val="00897E88"/>
    <w:rsid w:val="008A1D54"/>
    <w:rsid w:val="008A2844"/>
    <w:rsid w:val="008A6779"/>
    <w:rsid w:val="008B2909"/>
    <w:rsid w:val="008B3D98"/>
    <w:rsid w:val="008B4FCF"/>
    <w:rsid w:val="008B64B7"/>
    <w:rsid w:val="008B6820"/>
    <w:rsid w:val="008B78D8"/>
    <w:rsid w:val="008C1919"/>
    <w:rsid w:val="008C275B"/>
    <w:rsid w:val="008C34A4"/>
    <w:rsid w:val="008C38BA"/>
    <w:rsid w:val="008C648E"/>
    <w:rsid w:val="008C672E"/>
    <w:rsid w:val="008C7358"/>
    <w:rsid w:val="008D049C"/>
    <w:rsid w:val="008D1222"/>
    <w:rsid w:val="008D4A49"/>
    <w:rsid w:val="008D5F6C"/>
    <w:rsid w:val="008D5FA9"/>
    <w:rsid w:val="008D619F"/>
    <w:rsid w:val="008D638B"/>
    <w:rsid w:val="008D64EF"/>
    <w:rsid w:val="008E50FF"/>
    <w:rsid w:val="008E514C"/>
    <w:rsid w:val="008E6C16"/>
    <w:rsid w:val="008E743D"/>
    <w:rsid w:val="008F2803"/>
    <w:rsid w:val="008F5789"/>
    <w:rsid w:val="008F5E42"/>
    <w:rsid w:val="008F6E50"/>
    <w:rsid w:val="008F7FE1"/>
    <w:rsid w:val="00900871"/>
    <w:rsid w:val="00902186"/>
    <w:rsid w:val="00903898"/>
    <w:rsid w:val="00904447"/>
    <w:rsid w:val="009052FD"/>
    <w:rsid w:val="009067C2"/>
    <w:rsid w:val="00910388"/>
    <w:rsid w:val="00910EE6"/>
    <w:rsid w:val="0091107F"/>
    <w:rsid w:val="00911754"/>
    <w:rsid w:val="0091343A"/>
    <w:rsid w:val="00913BD7"/>
    <w:rsid w:val="0091401E"/>
    <w:rsid w:val="00917B2F"/>
    <w:rsid w:val="00921133"/>
    <w:rsid w:val="00923A7B"/>
    <w:rsid w:val="009244F4"/>
    <w:rsid w:val="009245EF"/>
    <w:rsid w:val="00925A76"/>
    <w:rsid w:val="0092676D"/>
    <w:rsid w:val="00927EA8"/>
    <w:rsid w:val="0093183E"/>
    <w:rsid w:val="00934BBA"/>
    <w:rsid w:val="009355B2"/>
    <w:rsid w:val="00936849"/>
    <w:rsid w:val="009371FB"/>
    <w:rsid w:val="00937C6B"/>
    <w:rsid w:val="009410F9"/>
    <w:rsid w:val="00941BEE"/>
    <w:rsid w:val="009432BD"/>
    <w:rsid w:val="00944222"/>
    <w:rsid w:val="00951179"/>
    <w:rsid w:val="00951482"/>
    <w:rsid w:val="00952B94"/>
    <w:rsid w:val="00954F17"/>
    <w:rsid w:val="00956928"/>
    <w:rsid w:val="00961238"/>
    <w:rsid w:val="009621CB"/>
    <w:rsid w:val="00964A50"/>
    <w:rsid w:val="009662E1"/>
    <w:rsid w:val="00966E99"/>
    <w:rsid w:val="00970D42"/>
    <w:rsid w:val="00971108"/>
    <w:rsid w:val="00974F50"/>
    <w:rsid w:val="00975502"/>
    <w:rsid w:val="00975F5D"/>
    <w:rsid w:val="00976F9F"/>
    <w:rsid w:val="009844C6"/>
    <w:rsid w:val="00984A96"/>
    <w:rsid w:val="00990035"/>
    <w:rsid w:val="0099051C"/>
    <w:rsid w:val="009916C2"/>
    <w:rsid w:val="00992774"/>
    <w:rsid w:val="00992944"/>
    <w:rsid w:val="00992953"/>
    <w:rsid w:val="0099350D"/>
    <w:rsid w:val="00993F7A"/>
    <w:rsid w:val="00994B47"/>
    <w:rsid w:val="00994B92"/>
    <w:rsid w:val="00995482"/>
    <w:rsid w:val="0099709A"/>
    <w:rsid w:val="00997C2A"/>
    <w:rsid w:val="009A0D39"/>
    <w:rsid w:val="009A1B56"/>
    <w:rsid w:val="009A1FF0"/>
    <w:rsid w:val="009A2616"/>
    <w:rsid w:val="009A66B0"/>
    <w:rsid w:val="009A66E4"/>
    <w:rsid w:val="009A6B6E"/>
    <w:rsid w:val="009B421B"/>
    <w:rsid w:val="009B4758"/>
    <w:rsid w:val="009B53DD"/>
    <w:rsid w:val="009B6F50"/>
    <w:rsid w:val="009C0856"/>
    <w:rsid w:val="009C102A"/>
    <w:rsid w:val="009C2717"/>
    <w:rsid w:val="009C2CF2"/>
    <w:rsid w:val="009C4B7A"/>
    <w:rsid w:val="009C5264"/>
    <w:rsid w:val="009C7CBC"/>
    <w:rsid w:val="009D0C7C"/>
    <w:rsid w:val="009D1378"/>
    <w:rsid w:val="009D2E5B"/>
    <w:rsid w:val="009D3AFB"/>
    <w:rsid w:val="009D5F25"/>
    <w:rsid w:val="009D7DAF"/>
    <w:rsid w:val="009E1271"/>
    <w:rsid w:val="009E16D0"/>
    <w:rsid w:val="009E1F68"/>
    <w:rsid w:val="009E2A6D"/>
    <w:rsid w:val="009E33F3"/>
    <w:rsid w:val="009E5C41"/>
    <w:rsid w:val="009E6CDB"/>
    <w:rsid w:val="009E6E0A"/>
    <w:rsid w:val="009F10DD"/>
    <w:rsid w:val="009F147C"/>
    <w:rsid w:val="009F38BB"/>
    <w:rsid w:val="009F435E"/>
    <w:rsid w:val="009F439F"/>
    <w:rsid w:val="009F4D6B"/>
    <w:rsid w:val="009F7E3F"/>
    <w:rsid w:val="00A00F43"/>
    <w:rsid w:val="00A02FEA"/>
    <w:rsid w:val="00A03AC1"/>
    <w:rsid w:val="00A03BD7"/>
    <w:rsid w:val="00A05D7A"/>
    <w:rsid w:val="00A05F43"/>
    <w:rsid w:val="00A06260"/>
    <w:rsid w:val="00A067CA"/>
    <w:rsid w:val="00A07A31"/>
    <w:rsid w:val="00A11038"/>
    <w:rsid w:val="00A1335E"/>
    <w:rsid w:val="00A1434C"/>
    <w:rsid w:val="00A14390"/>
    <w:rsid w:val="00A15368"/>
    <w:rsid w:val="00A16C46"/>
    <w:rsid w:val="00A176E6"/>
    <w:rsid w:val="00A176F3"/>
    <w:rsid w:val="00A23791"/>
    <w:rsid w:val="00A2655F"/>
    <w:rsid w:val="00A277E5"/>
    <w:rsid w:val="00A3122C"/>
    <w:rsid w:val="00A329A2"/>
    <w:rsid w:val="00A32FD2"/>
    <w:rsid w:val="00A34A6B"/>
    <w:rsid w:val="00A350B6"/>
    <w:rsid w:val="00A37C87"/>
    <w:rsid w:val="00A42096"/>
    <w:rsid w:val="00A42E86"/>
    <w:rsid w:val="00A436DA"/>
    <w:rsid w:val="00A43EB4"/>
    <w:rsid w:val="00A44297"/>
    <w:rsid w:val="00A45FB3"/>
    <w:rsid w:val="00A503EF"/>
    <w:rsid w:val="00A52029"/>
    <w:rsid w:val="00A53577"/>
    <w:rsid w:val="00A55894"/>
    <w:rsid w:val="00A56E37"/>
    <w:rsid w:val="00A63561"/>
    <w:rsid w:val="00A64EF4"/>
    <w:rsid w:val="00A64FF2"/>
    <w:rsid w:val="00A655F3"/>
    <w:rsid w:val="00A65609"/>
    <w:rsid w:val="00A672D8"/>
    <w:rsid w:val="00A70362"/>
    <w:rsid w:val="00A72F3B"/>
    <w:rsid w:val="00A742A1"/>
    <w:rsid w:val="00A76F5D"/>
    <w:rsid w:val="00A77C73"/>
    <w:rsid w:val="00A77E44"/>
    <w:rsid w:val="00A80892"/>
    <w:rsid w:val="00A81F79"/>
    <w:rsid w:val="00A82521"/>
    <w:rsid w:val="00A82813"/>
    <w:rsid w:val="00A829C7"/>
    <w:rsid w:val="00A842F9"/>
    <w:rsid w:val="00A8632E"/>
    <w:rsid w:val="00A86707"/>
    <w:rsid w:val="00A86965"/>
    <w:rsid w:val="00A879FE"/>
    <w:rsid w:val="00A87EAE"/>
    <w:rsid w:val="00A91A01"/>
    <w:rsid w:val="00A91D6A"/>
    <w:rsid w:val="00A92ABC"/>
    <w:rsid w:val="00A951C2"/>
    <w:rsid w:val="00A95A85"/>
    <w:rsid w:val="00A962AA"/>
    <w:rsid w:val="00A96986"/>
    <w:rsid w:val="00AA15CB"/>
    <w:rsid w:val="00AA3719"/>
    <w:rsid w:val="00AA3E18"/>
    <w:rsid w:val="00AA4852"/>
    <w:rsid w:val="00AB039D"/>
    <w:rsid w:val="00AB0499"/>
    <w:rsid w:val="00AB11BA"/>
    <w:rsid w:val="00AB19F8"/>
    <w:rsid w:val="00AB21A8"/>
    <w:rsid w:val="00AB2910"/>
    <w:rsid w:val="00AB495A"/>
    <w:rsid w:val="00AC139B"/>
    <w:rsid w:val="00AC1CE4"/>
    <w:rsid w:val="00AC2087"/>
    <w:rsid w:val="00AC2D8A"/>
    <w:rsid w:val="00AC2E8F"/>
    <w:rsid w:val="00AC3A21"/>
    <w:rsid w:val="00AC425A"/>
    <w:rsid w:val="00AC6E21"/>
    <w:rsid w:val="00AC72AC"/>
    <w:rsid w:val="00AD026C"/>
    <w:rsid w:val="00AD0D0D"/>
    <w:rsid w:val="00AD131D"/>
    <w:rsid w:val="00AD1B46"/>
    <w:rsid w:val="00AD298D"/>
    <w:rsid w:val="00AD5520"/>
    <w:rsid w:val="00AD5C53"/>
    <w:rsid w:val="00AE074A"/>
    <w:rsid w:val="00AE094A"/>
    <w:rsid w:val="00AE1207"/>
    <w:rsid w:val="00AE13CA"/>
    <w:rsid w:val="00AE1C95"/>
    <w:rsid w:val="00AE38BD"/>
    <w:rsid w:val="00AE3C32"/>
    <w:rsid w:val="00AE4E37"/>
    <w:rsid w:val="00AE5F2F"/>
    <w:rsid w:val="00AF0442"/>
    <w:rsid w:val="00AF15E2"/>
    <w:rsid w:val="00AF1A2D"/>
    <w:rsid w:val="00AF1E63"/>
    <w:rsid w:val="00AF248C"/>
    <w:rsid w:val="00AF24EA"/>
    <w:rsid w:val="00AF2682"/>
    <w:rsid w:val="00AF3858"/>
    <w:rsid w:val="00AF5A33"/>
    <w:rsid w:val="00AF7AD3"/>
    <w:rsid w:val="00B01CB4"/>
    <w:rsid w:val="00B05173"/>
    <w:rsid w:val="00B05EF9"/>
    <w:rsid w:val="00B10CBA"/>
    <w:rsid w:val="00B110D4"/>
    <w:rsid w:val="00B13D1B"/>
    <w:rsid w:val="00B14138"/>
    <w:rsid w:val="00B15312"/>
    <w:rsid w:val="00B15FB5"/>
    <w:rsid w:val="00B16259"/>
    <w:rsid w:val="00B164AD"/>
    <w:rsid w:val="00B20C1F"/>
    <w:rsid w:val="00B215B8"/>
    <w:rsid w:val="00B2225C"/>
    <w:rsid w:val="00B2289B"/>
    <w:rsid w:val="00B24A77"/>
    <w:rsid w:val="00B24B3F"/>
    <w:rsid w:val="00B2572E"/>
    <w:rsid w:val="00B257BB"/>
    <w:rsid w:val="00B2646C"/>
    <w:rsid w:val="00B278E8"/>
    <w:rsid w:val="00B27A24"/>
    <w:rsid w:val="00B34544"/>
    <w:rsid w:val="00B34E08"/>
    <w:rsid w:val="00B35B21"/>
    <w:rsid w:val="00B35E91"/>
    <w:rsid w:val="00B35EBA"/>
    <w:rsid w:val="00B3725D"/>
    <w:rsid w:val="00B379B3"/>
    <w:rsid w:val="00B40399"/>
    <w:rsid w:val="00B41B5D"/>
    <w:rsid w:val="00B422C9"/>
    <w:rsid w:val="00B43940"/>
    <w:rsid w:val="00B43FA8"/>
    <w:rsid w:val="00B458CC"/>
    <w:rsid w:val="00B45D20"/>
    <w:rsid w:val="00B45DF6"/>
    <w:rsid w:val="00B47094"/>
    <w:rsid w:val="00B47491"/>
    <w:rsid w:val="00B478DF"/>
    <w:rsid w:val="00B47A54"/>
    <w:rsid w:val="00B47B90"/>
    <w:rsid w:val="00B50743"/>
    <w:rsid w:val="00B509CF"/>
    <w:rsid w:val="00B50A31"/>
    <w:rsid w:val="00B5275B"/>
    <w:rsid w:val="00B54EAE"/>
    <w:rsid w:val="00B552BA"/>
    <w:rsid w:val="00B55C57"/>
    <w:rsid w:val="00B56A06"/>
    <w:rsid w:val="00B56F7A"/>
    <w:rsid w:val="00B61400"/>
    <w:rsid w:val="00B61522"/>
    <w:rsid w:val="00B62AE8"/>
    <w:rsid w:val="00B6343F"/>
    <w:rsid w:val="00B64BF7"/>
    <w:rsid w:val="00B65B61"/>
    <w:rsid w:val="00B65DF3"/>
    <w:rsid w:val="00B66A31"/>
    <w:rsid w:val="00B671FF"/>
    <w:rsid w:val="00B67E48"/>
    <w:rsid w:val="00B7009A"/>
    <w:rsid w:val="00B72EDE"/>
    <w:rsid w:val="00B7436A"/>
    <w:rsid w:val="00B75814"/>
    <w:rsid w:val="00B7689B"/>
    <w:rsid w:val="00B77AAE"/>
    <w:rsid w:val="00B83D73"/>
    <w:rsid w:val="00B84FEF"/>
    <w:rsid w:val="00B850A4"/>
    <w:rsid w:val="00B851EA"/>
    <w:rsid w:val="00B8600F"/>
    <w:rsid w:val="00B8620F"/>
    <w:rsid w:val="00B868B0"/>
    <w:rsid w:val="00B87A0A"/>
    <w:rsid w:val="00B87ADA"/>
    <w:rsid w:val="00B905C7"/>
    <w:rsid w:val="00B91E7F"/>
    <w:rsid w:val="00B9316A"/>
    <w:rsid w:val="00B93F88"/>
    <w:rsid w:val="00B94998"/>
    <w:rsid w:val="00B9656B"/>
    <w:rsid w:val="00BA0FB6"/>
    <w:rsid w:val="00BA23C4"/>
    <w:rsid w:val="00BA2AFB"/>
    <w:rsid w:val="00BA4BD9"/>
    <w:rsid w:val="00BA5C2A"/>
    <w:rsid w:val="00BA6BFE"/>
    <w:rsid w:val="00BA6EB6"/>
    <w:rsid w:val="00BA7102"/>
    <w:rsid w:val="00BA74CA"/>
    <w:rsid w:val="00BB099C"/>
    <w:rsid w:val="00BB0C10"/>
    <w:rsid w:val="00BB11EC"/>
    <w:rsid w:val="00BB202E"/>
    <w:rsid w:val="00BB2EEA"/>
    <w:rsid w:val="00BB31F0"/>
    <w:rsid w:val="00BB40A8"/>
    <w:rsid w:val="00BB4313"/>
    <w:rsid w:val="00BB5745"/>
    <w:rsid w:val="00BB5D6B"/>
    <w:rsid w:val="00BB5E5D"/>
    <w:rsid w:val="00BB6ACD"/>
    <w:rsid w:val="00BB6E4F"/>
    <w:rsid w:val="00BC1750"/>
    <w:rsid w:val="00BC2450"/>
    <w:rsid w:val="00BC284B"/>
    <w:rsid w:val="00BC2E95"/>
    <w:rsid w:val="00BC407F"/>
    <w:rsid w:val="00BC456E"/>
    <w:rsid w:val="00BC57A9"/>
    <w:rsid w:val="00BC59D7"/>
    <w:rsid w:val="00BC62ED"/>
    <w:rsid w:val="00BC75A2"/>
    <w:rsid w:val="00BC7806"/>
    <w:rsid w:val="00BD0D8A"/>
    <w:rsid w:val="00BD10BE"/>
    <w:rsid w:val="00BD1527"/>
    <w:rsid w:val="00BD1CCB"/>
    <w:rsid w:val="00BD24B1"/>
    <w:rsid w:val="00BD26AE"/>
    <w:rsid w:val="00BD300C"/>
    <w:rsid w:val="00BD4284"/>
    <w:rsid w:val="00BD5415"/>
    <w:rsid w:val="00BD5CC2"/>
    <w:rsid w:val="00BD5D47"/>
    <w:rsid w:val="00BD6F2D"/>
    <w:rsid w:val="00BE0DA7"/>
    <w:rsid w:val="00BE1222"/>
    <w:rsid w:val="00BE16CB"/>
    <w:rsid w:val="00BE1C8A"/>
    <w:rsid w:val="00BE2891"/>
    <w:rsid w:val="00BE3467"/>
    <w:rsid w:val="00BE52A1"/>
    <w:rsid w:val="00BE6900"/>
    <w:rsid w:val="00BE6B3C"/>
    <w:rsid w:val="00BE759E"/>
    <w:rsid w:val="00BE7831"/>
    <w:rsid w:val="00BE7B4D"/>
    <w:rsid w:val="00BF084D"/>
    <w:rsid w:val="00BF23F2"/>
    <w:rsid w:val="00BF3928"/>
    <w:rsid w:val="00BF53DD"/>
    <w:rsid w:val="00BF5E57"/>
    <w:rsid w:val="00BF6DCF"/>
    <w:rsid w:val="00BF7D41"/>
    <w:rsid w:val="00BF7D5B"/>
    <w:rsid w:val="00C015DF"/>
    <w:rsid w:val="00C035BF"/>
    <w:rsid w:val="00C0560D"/>
    <w:rsid w:val="00C05F50"/>
    <w:rsid w:val="00C06AFE"/>
    <w:rsid w:val="00C10832"/>
    <w:rsid w:val="00C10EBE"/>
    <w:rsid w:val="00C117C8"/>
    <w:rsid w:val="00C1228B"/>
    <w:rsid w:val="00C13E16"/>
    <w:rsid w:val="00C151E7"/>
    <w:rsid w:val="00C15EC1"/>
    <w:rsid w:val="00C17D1A"/>
    <w:rsid w:val="00C2006D"/>
    <w:rsid w:val="00C22C45"/>
    <w:rsid w:val="00C237A8"/>
    <w:rsid w:val="00C267E8"/>
    <w:rsid w:val="00C31AF6"/>
    <w:rsid w:val="00C3218B"/>
    <w:rsid w:val="00C33DEB"/>
    <w:rsid w:val="00C37068"/>
    <w:rsid w:val="00C40141"/>
    <w:rsid w:val="00C422B1"/>
    <w:rsid w:val="00C43577"/>
    <w:rsid w:val="00C4383A"/>
    <w:rsid w:val="00C43B35"/>
    <w:rsid w:val="00C43CDB"/>
    <w:rsid w:val="00C44125"/>
    <w:rsid w:val="00C45A5D"/>
    <w:rsid w:val="00C45A85"/>
    <w:rsid w:val="00C45A88"/>
    <w:rsid w:val="00C47BD4"/>
    <w:rsid w:val="00C500A0"/>
    <w:rsid w:val="00C52143"/>
    <w:rsid w:val="00C521EE"/>
    <w:rsid w:val="00C52AC6"/>
    <w:rsid w:val="00C549E3"/>
    <w:rsid w:val="00C5522D"/>
    <w:rsid w:val="00C55FC4"/>
    <w:rsid w:val="00C56B9E"/>
    <w:rsid w:val="00C5790C"/>
    <w:rsid w:val="00C60A05"/>
    <w:rsid w:val="00C612DE"/>
    <w:rsid w:val="00C6165F"/>
    <w:rsid w:val="00C652C2"/>
    <w:rsid w:val="00C6638E"/>
    <w:rsid w:val="00C66EBD"/>
    <w:rsid w:val="00C672F4"/>
    <w:rsid w:val="00C67E57"/>
    <w:rsid w:val="00C70184"/>
    <w:rsid w:val="00C70A1C"/>
    <w:rsid w:val="00C773F7"/>
    <w:rsid w:val="00C77FC0"/>
    <w:rsid w:val="00C80C03"/>
    <w:rsid w:val="00C80D4A"/>
    <w:rsid w:val="00C824E5"/>
    <w:rsid w:val="00C8366D"/>
    <w:rsid w:val="00C84F49"/>
    <w:rsid w:val="00C8529B"/>
    <w:rsid w:val="00C85595"/>
    <w:rsid w:val="00C8649C"/>
    <w:rsid w:val="00C86F50"/>
    <w:rsid w:val="00C870D0"/>
    <w:rsid w:val="00C92265"/>
    <w:rsid w:val="00C932FE"/>
    <w:rsid w:val="00C945E1"/>
    <w:rsid w:val="00CA18C3"/>
    <w:rsid w:val="00CA1933"/>
    <w:rsid w:val="00CA1F45"/>
    <w:rsid w:val="00CA28C8"/>
    <w:rsid w:val="00CA48CA"/>
    <w:rsid w:val="00CA624A"/>
    <w:rsid w:val="00CA6DE1"/>
    <w:rsid w:val="00CB0574"/>
    <w:rsid w:val="00CB0A2A"/>
    <w:rsid w:val="00CB1EB2"/>
    <w:rsid w:val="00CB4BB0"/>
    <w:rsid w:val="00CB585B"/>
    <w:rsid w:val="00CB653E"/>
    <w:rsid w:val="00CB685A"/>
    <w:rsid w:val="00CB792B"/>
    <w:rsid w:val="00CC0308"/>
    <w:rsid w:val="00CC0B20"/>
    <w:rsid w:val="00CC26FF"/>
    <w:rsid w:val="00CC5B25"/>
    <w:rsid w:val="00CC6000"/>
    <w:rsid w:val="00CD002C"/>
    <w:rsid w:val="00CD0291"/>
    <w:rsid w:val="00CD1980"/>
    <w:rsid w:val="00CD555A"/>
    <w:rsid w:val="00CD73C0"/>
    <w:rsid w:val="00CD7FA7"/>
    <w:rsid w:val="00CE0106"/>
    <w:rsid w:val="00CE13A6"/>
    <w:rsid w:val="00CE2C20"/>
    <w:rsid w:val="00CE358F"/>
    <w:rsid w:val="00CE5A6A"/>
    <w:rsid w:val="00CF173B"/>
    <w:rsid w:val="00CF2500"/>
    <w:rsid w:val="00CF3556"/>
    <w:rsid w:val="00CF415E"/>
    <w:rsid w:val="00CF5803"/>
    <w:rsid w:val="00D00C73"/>
    <w:rsid w:val="00D014D9"/>
    <w:rsid w:val="00D0474D"/>
    <w:rsid w:val="00D047D5"/>
    <w:rsid w:val="00D056BE"/>
    <w:rsid w:val="00D0719D"/>
    <w:rsid w:val="00D07419"/>
    <w:rsid w:val="00D07528"/>
    <w:rsid w:val="00D07945"/>
    <w:rsid w:val="00D11B9A"/>
    <w:rsid w:val="00D1229D"/>
    <w:rsid w:val="00D131A7"/>
    <w:rsid w:val="00D133B0"/>
    <w:rsid w:val="00D14866"/>
    <w:rsid w:val="00D149FB"/>
    <w:rsid w:val="00D15F4E"/>
    <w:rsid w:val="00D16184"/>
    <w:rsid w:val="00D1713E"/>
    <w:rsid w:val="00D17B81"/>
    <w:rsid w:val="00D17D78"/>
    <w:rsid w:val="00D21772"/>
    <w:rsid w:val="00D2245D"/>
    <w:rsid w:val="00D23527"/>
    <w:rsid w:val="00D25963"/>
    <w:rsid w:val="00D26DEF"/>
    <w:rsid w:val="00D307B5"/>
    <w:rsid w:val="00D31905"/>
    <w:rsid w:val="00D3572F"/>
    <w:rsid w:val="00D3638D"/>
    <w:rsid w:val="00D373A8"/>
    <w:rsid w:val="00D375AF"/>
    <w:rsid w:val="00D426BE"/>
    <w:rsid w:val="00D449F9"/>
    <w:rsid w:val="00D44C74"/>
    <w:rsid w:val="00D45749"/>
    <w:rsid w:val="00D46131"/>
    <w:rsid w:val="00D47F55"/>
    <w:rsid w:val="00D507FD"/>
    <w:rsid w:val="00D50ACA"/>
    <w:rsid w:val="00D535AF"/>
    <w:rsid w:val="00D54077"/>
    <w:rsid w:val="00D5466C"/>
    <w:rsid w:val="00D556E7"/>
    <w:rsid w:val="00D6019A"/>
    <w:rsid w:val="00D6052D"/>
    <w:rsid w:val="00D6062C"/>
    <w:rsid w:val="00D63473"/>
    <w:rsid w:val="00D64ADC"/>
    <w:rsid w:val="00D653EA"/>
    <w:rsid w:val="00D66200"/>
    <w:rsid w:val="00D67A90"/>
    <w:rsid w:val="00D70128"/>
    <w:rsid w:val="00D70D0A"/>
    <w:rsid w:val="00D71B73"/>
    <w:rsid w:val="00D72A8B"/>
    <w:rsid w:val="00D735D4"/>
    <w:rsid w:val="00D74485"/>
    <w:rsid w:val="00D7475E"/>
    <w:rsid w:val="00D7535B"/>
    <w:rsid w:val="00D75BEC"/>
    <w:rsid w:val="00D82B1E"/>
    <w:rsid w:val="00D82CB6"/>
    <w:rsid w:val="00D835B4"/>
    <w:rsid w:val="00D865A0"/>
    <w:rsid w:val="00D86631"/>
    <w:rsid w:val="00D90835"/>
    <w:rsid w:val="00D9151A"/>
    <w:rsid w:val="00D927FB"/>
    <w:rsid w:val="00D92CCF"/>
    <w:rsid w:val="00D933F2"/>
    <w:rsid w:val="00D94115"/>
    <w:rsid w:val="00D9547C"/>
    <w:rsid w:val="00D973B7"/>
    <w:rsid w:val="00DA02A8"/>
    <w:rsid w:val="00DA13EC"/>
    <w:rsid w:val="00DA1DB3"/>
    <w:rsid w:val="00DA3C01"/>
    <w:rsid w:val="00DA3D73"/>
    <w:rsid w:val="00DA5295"/>
    <w:rsid w:val="00DA570A"/>
    <w:rsid w:val="00DA78AC"/>
    <w:rsid w:val="00DB0803"/>
    <w:rsid w:val="00DB16E9"/>
    <w:rsid w:val="00DB466D"/>
    <w:rsid w:val="00DB4D0B"/>
    <w:rsid w:val="00DB581D"/>
    <w:rsid w:val="00DB7668"/>
    <w:rsid w:val="00DC037A"/>
    <w:rsid w:val="00DC0412"/>
    <w:rsid w:val="00DC2340"/>
    <w:rsid w:val="00DC2C99"/>
    <w:rsid w:val="00DC3AB4"/>
    <w:rsid w:val="00DC3CF7"/>
    <w:rsid w:val="00DC41C2"/>
    <w:rsid w:val="00DC4800"/>
    <w:rsid w:val="00DD0989"/>
    <w:rsid w:val="00DD23D8"/>
    <w:rsid w:val="00DD3E7E"/>
    <w:rsid w:val="00DD466D"/>
    <w:rsid w:val="00DD6E97"/>
    <w:rsid w:val="00DD7087"/>
    <w:rsid w:val="00DD7130"/>
    <w:rsid w:val="00DD7F90"/>
    <w:rsid w:val="00DE0290"/>
    <w:rsid w:val="00DE178F"/>
    <w:rsid w:val="00DE2F8E"/>
    <w:rsid w:val="00DE417D"/>
    <w:rsid w:val="00DE4C20"/>
    <w:rsid w:val="00DE5E9E"/>
    <w:rsid w:val="00DE6822"/>
    <w:rsid w:val="00DE6904"/>
    <w:rsid w:val="00DE6E87"/>
    <w:rsid w:val="00DE794B"/>
    <w:rsid w:val="00DF1518"/>
    <w:rsid w:val="00DF2C0B"/>
    <w:rsid w:val="00DF32C2"/>
    <w:rsid w:val="00DF3714"/>
    <w:rsid w:val="00DF45B3"/>
    <w:rsid w:val="00E00D0C"/>
    <w:rsid w:val="00E011FA"/>
    <w:rsid w:val="00E01832"/>
    <w:rsid w:val="00E0233F"/>
    <w:rsid w:val="00E039F1"/>
    <w:rsid w:val="00E04164"/>
    <w:rsid w:val="00E0514E"/>
    <w:rsid w:val="00E06925"/>
    <w:rsid w:val="00E11AA3"/>
    <w:rsid w:val="00E11D1B"/>
    <w:rsid w:val="00E1215F"/>
    <w:rsid w:val="00E13020"/>
    <w:rsid w:val="00E148CE"/>
    <w:rsid w:val="00E156E3"/>
    <w:rsid w:val="00E164C3"/>
    <w:rsid w:val="00E1660D"/>
    <w:rsid w:val="00E1716A"/>
    <w:rsid w:val="00E222E3"/>
    <w:rsid w:val="00E22FF2"/>
    <w:rsid w:val="00E23840"/>
    <w:rsid w:val="00E23EF0"/>
    <w:rsid w:val="00E241F0"/>
    <w:rsid w:val="00E26ED8"/>
    <w:rsid w:val="00E31465"/>
    <w:rsid w:val="00E3163A"/>
    <w:rsid w:val="00E320F9"/>
    <w:rsid w:val="00E338AB"/>
    <w:rsid w:val="00E35175"/>
    <w:rsid w:val="00E36CCC"/>
    <w:rsid w:val="00E37412"/>
    <w:rsid w:val="00E379AA"/>
    <w:rsid w:val="00E40A43"/>
    <w:rsid w:val="00E40F85"/>
    <w:rsid w:val="00E41165"/>
    <w:rsid w:val="00E420D0"/>
    <w:rsid w:val="00E44922"/>
    <w:rsid w:val="00E4574A"/>
    <w:rsid w:val="00E45DE1"/>
    <w:rsid w:val="00E45E86"/>
    <w:rsid w:val="00E475F9"/>
    <w:rsid w:val="00E47AB9"/>
    <w:rsid w:val="00E506D4"/>
    <w:rsid w:val="00E52744"/>
    <w:rsid w:val="00E5274A"/>
    <w:rsid w:val="00E5358E"/>
    <w:rsid w:val="00E550D6"/>
    <w:rsid w:val="00E56B68"/>
    <w:rsid w:val="00E573B1"/>
    <w:rsid w:val="00E60D37"/>
    <w:rsid w:val="00E61F4A"/>
    <w:rsid w:val="00E62BF3"/>
    <w:rsid w:val="00E65C2D"/>
    <w:rsid w:val="00E6658B"/>
    <w:rsid w:val="00E66A26"/>
    <w:rsid w:val="00E706A2"/>
    <w:rsid w:val="00E73708"/>
    <w:rsid w:val="00E737A4"/>
    <w:rsid w:val="00E73D85"/>
    <w:rsid w:val="00E74743"/>
    <w:rsid w:val="00E74A37"/>
    <w:rsid w:val="00E753BF"/>
    <w:rsid w:val="00E75D74"/>
    <w:rsid w:val="00E76B87"/>
    <w:rsid w:val="00E76F8F"/>
    <w:rsid w:val="00E773A6"/>
    <w:rsid w:val="00E819B0"/>
    <w:rsid w:val="00E82D9E"/>
    <w:rsid w:val="00E833B4"/>
    <w:rsid w:val="00E8406F"/>
    <w:rsid w:val="00E840D1"/>
    <w:rsid w:val="00E85707"/>
    <w:rsid w:val="00E85A9D"/>
    <w:rsid w:val="00E903A4"/>
    <w:rsid w:val="00E90877"/>
    <w:rsid w:val="00E9182B"/>
    <w:rsid w:val="00E927C7"/>
    <w:rsid w:val="00E93335"/>
    <w:rsid w:val="00E953DC"/>
    <w:rsid w:val="00E95499"/>
    <w:rsid w:val="00E9678A"/>
    <w:rsid w:val="00E96977"/>
    <w:rsid w:val="00EA01D2"/>
    <w:rsid w:val="00EA0AB9"/>
    <w:rsid w:val="00EA0EBB"/>
    <w:rsid w:val="00EA2794"/>
    <w:rsid w:val="00EA3D21"/>
    <w:rsid w:val="00EA44F0"/>
    <w:rsid w:val="00EA45B6"/>
    <w:rsid w:val="00EA45F9"/>
    <w:rsid w:val="00EA48E9"/>
    <w:rsid w:val="00EA6AB8"/>
    <w:rsid w:val="00EB00DA"/>
    <w:rsid w:val="00EB13DF"/>
    <w:rsid w:val="00EB5261"/>
    <w:rsid w:val="00EB58F6"/>
    <w:rsid w:val="00EB5E2E"/>
    <w:rsid w:val="00EC16B6"/>
    <w:rsid w:val="00EC22F0"/>
    <w:rsid w:val="00EC2C42"/>
    <w:rsid w:val="00EC2F65"/>
    <w:rsid w:val="00EC327A"/>
    <w:rsid w:val="00EC37BE"/>
    <w:rsid w:val="00EC4734"/>
    <w:rsid w:val="00EC48D7"/>
    <w:rsid w:val="00EC5032"/>
    <w:rsid w:val="00ED13AE"/>
    <w:rsid w:val="00ED22CE"/>
    <w:rsid w:val="00ED2F8C"/>
    <w:rsid w:val="00ED35CF"/>
    <w:rsid w:val="00ED6384"/>
    <w:rsid w:val="00ED658B"/>
    <w:rsid w:val="00ED76E0"/>
    <w:rsid w:val="00EE2548"/>
    <w:rsid w:val="00EE26D8"/>
    <w:rsid w:val="00EE2725"/>
    <w:rsid w:val="00EE51BB"/>
    <w:rsid w:val="00EE51E0"/>
    <w:rsid w:val="00EE6735"/>
    <w:rsid w:val="00EE6783"/>
    <w:rsid w:val="00EE6871"/>
    <w:rsid w:val="00EE7CDE"/>
    <w:rsid w:val="00EF02AC"/>
    <w:rsid w:val="00EF0AE1"/>
    <w:rsid w:val="00EF7440"/>
    <w:rsid w:val="00F008F7"/>
    <w:rsid w:val="00F00BBA"/>
    <w:rsid w:val="00F013DC"/>
    <w:rsid w:val="00F032B2"/>
    <w:rsid w:val="00F0381D"/>
    <w:rsid w:val="00F038BC"/>
    <w:rsid w:val="00F03D21"/>
    <w:rsid w:val="00F05BFE"/>
    <w:rsid w:val="00F06ADD"/>
    <w:rsid w:val="00F0790E"/>
    <w:rsid w:val="00F1097F"/>
    <w:rsid w:val="00F11AF5"/>
    <w:rsid w:val="00F13695"/>
    <w:rsid w:val="00F13D82"/>
    <w:rsid w:val="00F14902"/>
    <w:rsid w:val="00F14D36"/>
    <w:rsid w:val="00F14F46"/>
    <w:rsid w:val="00F15D53"/>
    <w:rsid w:val="00F1640D"/>
    <w:rsid w:val="00F16DC6"/>
    <w:rsid w:val="00F17BCE"/>
    <w:rsid w:val="00F20299"/>
    <w:rsid w:val="00F214A2"/>
    <w:rsid w:val="00F248FF"/>
    <w:rsid w:val="00F25178"/>
    <w:rsid w:val="00F25F9C"/>
    <w:rsid w:val="00F26D9D"/>
    <w:rsid w:val="00F27E8A"/>
    <w:rsid w:val="00F30E3B"/>
    <w:rsid w:val="00F31B30"/>
    <w:rsid w:val="00F350AA"/>
    <w:rsid w:val="00F3561E"/>
    <w:rsid w:val="00F37C52"/>
    <w:rsid w:val="00F37CE0"/>
    <w:rsid w:val="00F4115D"/>
    <w:rsid w:val="00F44025"/>
    <w:rsid w:val="00F4504C"/>
    <w:rsid w:val="00F45E00"/>
    <w:rsid w:val="00F514DA"/>
    <w:rsid w:val="00F51916"/>
    <w:rsid w:val="00F552FC"/>
    <w:rsid w:val="00F56043"/>
    <w:rsid w:val="00F5670F"/>
    <w:rsid w:val="00F57CA4"/>
    <w:rsid w:val="00F57D5C"/>
    <w:rsid w:val="00F60063"/>
    <w:rsid w:val="00F6443B"/>
    <w:rsid w:val="00F64DB9"/>
    <w:rsid w:val="00F67053"/>
    <w:rsid w:val="00F670FC"/>
    <w:rsid w:val="00F67A1E"/>
    <w:rsid w:val="00F67C57"/>
    <w:rsid w:val="00F70C8F"/>
    <w:rsid w:val="00F715BB"/>
    <w:rsid w:val="00F73922"/>
    <w:rsid w:val="00F73ABE"/>
    <w:rsid w:val="00F743F4"/>
    <w:rsid w:val="00F75EAC"/>
    <w:rsid w:val="00F77640"/>
    <w:rsid w:val="00F800E2"/>
    <w:rsid w:val="00F81041"/>
    <w:rsid w:val="00F82EE5"/>
    <w:rsid w:val="00F833A4"/>
    <w:rsid w:val="00F83D01"/>
    <w:rsid w:val="00F84480"/>
    <w:rsid w:val="00F844DB"/>
    <w:rsid w:val="00F859DF"/>
    <w:rsid w:val="00F85C4A"/>
    <w:rsid w:val="00F85DC1"/>
    <w:rsid w:val="00F860D5"/>
    <w:rsid w:val="00F86E32"/>
    <w:rsid w:val="00F9127B"/>
    <w:rsid w:val="00F92A6E"/>
    <w:rsid w:val="00F92E17"/>
    <w:rsid w:val="00F93385"/>
    <w:rsid w:val="00F95267"/>
    <w:rsid w:val="00F97C39"/>
    <w:rsid w:val="00FA09E2"/>
    <w:rsid w:val="00FA135D"/>
    <w:rsid w:val="00FA1F6C"/>
    <w:rsid w:val="00FA2FD4"/>
    <w:rsid w:val="00FA3F18"/>
    <w:rsid w:val="00FA62DA"/>
    <w:rsid w:val="00FA63AD"/>
    <w:rsid w:val="00FA6883"/>
    <w:rsid w:val="00FB1147"/>
    <w:rsid w:val="00FB11BD"/>
    <w:rsid w:val="00FB168A"/>
    <w:rsid w:val="00FB21E1"/>
    <w:rsid w:val="00FB3C30"/>
    <w:rsid w:val="00FB7D89"/>
    <w:rsid w:val="00FC0131"/>
    <w:rsid w:val="00FC1B51"/>
    <w:rsid w:val="00FC39D1"/>
    <w:rsid w:val="00FC456E"/>
    <w:rsid w:val="00FC494C"/>
    <w:rsid w:val="00FC55EF"/>
    <w:rsid w:val="00FC6951"/>
    <w:rsid w:val="00FC7089"/>
    <w:rsid w:val="00FD3E2B"/>
    <w:rsid w:val="00FD3F0E"/>
    <w:rsid w:val="00FD564A"/>
    <w:rsid w:val="00FD69C8"/>
    <w:rsid w:val="00FD70E3"/>
    <w:rsid w:val="00FE1FC7"/>
    <w:rsid w:val="00FE7479"/>
    <w:rsid w:val="00FF0431"/>
    <w:rsid w:val="00FF04AF"/>
    <w:rsid w:val="00FF0EF0"/>
    <w:rsid w:val="00FF1CEE"/>
    <w:rsid w:val="00FF2A22"/>
    <w:rsid w:val="00FF457F"/>
    <w:rsid w:val="00FF496F"/>
    <w:rsid w:val="00FF49E5"/>
    <w:rsid w:val="016BA1C2"/>
    <w:rsid w:val="017FCC3E"/>
    <w:rsid w:val="01C3DB35"/>
    <w:rsid w:val="02C27963"/>
    <w:rsid w:val="02C7EED3"/>
    <w:rsid w:val="030C6ACA"/>
    <w:rsid w:val="0378465A"/>
    <w:rsid w:val="037A79B5"/>
    <w:rsid w:val="03ACBF17"/>
    <w:rsid w:val="03B5E5DC"/>
    <w:rsid w:val="0415311B"/>
    <w:rsid w:val="0417383D"/>
    <w:rsid w:val="045488F7"/>
    <w:rsid w:val="045D6356"/>
    <w:rsid w:val="048C00D1"/>
    <w:rsid w:val="049241C8"/>
    <w:rsid w:val="04BD740B"/>
    <w:rsid w:val="04DC95F8"/>
    <w:rsid w:val="04EE5CC0"/>
    <w:rsid w:val="0502E9F3"/>
    <w:rsid w:val="05B91B7E"/>
    <w:rsid w:val="05C06DB1"/>
    <w:rsid w:val="072F6C2E"/>
    <w:rsid w:val="074D9FE7"/>
    <w:rsid w:val="07610CA4"/>
    <w:rsid w:val="07887E9A"/>
    <w:rsid w:val="080327C7"/>
    <w:rsid w:val="08137B7A"/>
    <w:rsid w:val="0815B8E5"/>
    <w:rsid w:val="0877FAC6"/>
    <w:rsid w:val="08AE29EE"/>
    <w:rsid w:val="09364B2C"/>
    <w:rsid w:val="09594557"/>
    <w:rsid w:val="096B491F"/>
    <w:rsid w:val="09F80EB4"/>
    <w:rsid w:val="0A1EEED3"/>
    <w:rsid w:val="0A4CC136"/>
    <w:rsid w:val="0A7C5497"/>
    <w:rsid w:val="0AC3B1AF"/>
    <w:rsid w:val="0AF1DA47"/>
    <w:rsid w:val="0B16B843"/>
    <w:rsid w:val="0BA4C0DC"/>
    <w:rsid w:val="0BA55C54"/>
    <w:rsid w:val="0BF9D143"/>
    <w:rsid w:val="0C223D9C"/>
    <w:rsid w:val="0CA9AA62"/>
    <w:rsid w:val="0CFEC2B6"/>
    <w:rsid w:val="0D152B52"/>
    <w:rsid w:val="0D5703A9"/>
    <w:rsid w:val="0D649A7E"/>
    <w:rsid w:val="0D762F64"/>
    <w:rsid w:val="0DB46301"/>
    <w:rsid w:val="0E5AD580"/>
    <w:rsid w:val="0E9AC013"/>
    <w:rsid w:val="0EBC24F6"/>
    <w:rsid w:val="0EC63A10"/>
    <w:rsid w:val="0EDB9D6A"/>
    <w:rsid w:val="0EF8CD37"/>
    <w:rsid w:val="0F4078D3"/>
    <w:rsid w:val="0F55ED86"/>
    <w:rsid w:val="0FAE44DA"/>
    <w:rsid w:val="0FCEB378"/>
    <w:rsid w:val="0FED276F"/>
    <w:rsid w:val="103CB8D8"/>
    <w:rsid w:val="103CF25F"/>
    <w:rsid w:val="1050B126"/>
    <w:rsid w:val="108E181B"/>
    <w:rsid w:val="10B83F2A"/>
    <w:rsid w:val="10C08A4B"/>
    <w:rsid w:val="10E7A430"/>
    <w:rsid w:val="10FF982A"/>
    <w:rsid w:val="116636D7"/>
    <w:rsid w:val="11926069"/>
    <w:rsid w:val="11C63377"/>
    <w:rsid w:val="12061BCD"/>
    <w:rsid w:val="122323D3"/>
    <w:rsid w:val="12E6BF5F"/>
    <w:rsid w:val="12EC15FC"/>
    <w:rsid w:val="12ED2BDD"/>
    <w:rsid w:val="1317E2FA"/>
    <w:rsid w:val="13A0DD84"/>
    <w:rsid w:val="13B8FA25"/>
    <w:rsid w:val="13F086C8"/>
    <w:rsid w:val="141054CA"/>
    <w:rsid w:val="14711780"/>
    <w:rsid w:val="147E561E"/>
    <w:rsid w:val="14CAFED0"/>
    <w:rsid w:val="154233CE"/>
    <w:rsid w:val="15948F1E"/>
    <w:rsid w:val="15CE13A4"/>
    <w:rsid w:val="15CE6A28"/>
    <w:rsid w:val="160ABF89"/>
    <w:rsid w:val="1624CC9F"/>
    <w:rsid w:val="166091E8"/>
    <w:rsid w:val="166EFF09"/>
    <w:rsid w:val="1684CE81"/>
    <w:rsid w:val="169A97EE"/>
    <w:rsid w:val="16A21563"/>
    <w:rsid w:val="16AE77AC"/>
    <w:rsid w:val="1784F4BD"/>
    <w:rsid w:val="17C09D00"/>
    <w:rsid w:val="17CF3401"/>
    <w:rsid w:val="1847B9A1"/>
    <w:rsid w:val="191730FF"/>
    <w:rsid w:val="198FCF96"/>
    <w:rsid w:val="19A504D4"/>
    <w:rsid w:val="19B8059E"/>
    <w:rsid w:val="19CAAC48"/>
    <w:rsid w:val="19CE598F"/>
    <w:rsid w:val="19D5234C"/>
    <w:rsid w:val="19DC0110"/>
    <w:rsid w:val="1A010565"/>
    <w:rsid w:val="1A26876C"/>
    <w:rsid w:val="1A33D87C"/>
    <w:rsid w:val="1A7C6211"/>
    <w:rsid w:val="1B5B57DD"/>
    <w:rsid w:val="1B640A53"/>
    <w:rsid w:val="1B823393"/>
    <w:rsid w:val="1BA9F8D9"/>
    <w:rsid w:val="1BB4C1E4"/>
    <w:rsid w:val="1BDA42B9"/>
    <w:rsid w:val="1C5C48C0"/>
    <w:rsid w:val="1C684991"/>
    <w:rsid w:val="1C952A28"/>
    <w:rsid w:val="1CC2857A"/>
    <w:rsid w:val="1CCD3860"/>
    <w:rsid w:val="1CD8A61C"/>
    <w:rsid w:val="1D4D8030"/>
    <w:rsid w:val="1D715AAD"/>
    <w:rsid w:val="1DAFC37F"/>
    <w:rsid w:val="1DBF3D5D"/>
    <w:rsid w:val="1DFE325F"/>
    <w:rsid w:val="1E15D16E"/>
    <w:rsid w:val="1E6651D6"/>
    <w:rsid w:val="1EB2BDEB"/>
    <w:rsid w:val="1EB2F85A"/>
    <w:rsid w:val="1EC8619B"/>
    <w:rsid w:val="1F3A6A78"/>
    <w:rsid w:val="20AEAFFB"/>
    <w:rsid w:val="20E76441"/>
    <w:rsid w:val="2106479B"/>
    <w:rsid w:val="2152E294"/>
    <w:rsid w:val="2174B376"/>
    <w:rsid w:val="21D17F27"/>
    <w:rsid w:val="22073A06"/>
    <w:rsid w:val="2220B3D7"/>
    <w:rsid w:val="226A3CD1"/>
    <w:rsid w:val="22E9AD73"/>
    <w:rsid w:val="234CEE70"/>
    <w:rsid w:val="235CFD89"/>
    <w:rsid w:val="238A7B34"/>
    <w:rsid w:val="23A1A19F"/>
    <w:rsid w:val="2479E082"/>
    <w:rsid w:val="24C1DD81"/>
    <w:rsid w:val="24C5E92A"/>
    <w:rsid w:val="256E4F4F"/>
    <w:rsid w:val="25AD8720"/>
    <w:rsid w:val="25C21624"/>
    <w:rsid w:val="2625C7F0"/>
    <w:rsid w:val="26611A68"/>
    <w:rsid w:val="266E1DFB"/>
    <w:rsid w:val="269803BE"/>
    <w:rsid w:val="26D95F93"/>
    <w:rsid w:val="2732EB58"/>
    <w:rsid w:val="274362A7"/>
    <w:rsid w:val="27AA455F"/>
    <w:rsid w:val="27B18AD1"/>
    <w:rsid w:val="27BC7351"/>
    <w:rsid w:val="280F079F"/>
    <w:rsid w:val="28306703"/>
    <w:rsid w:val="2847CC64"/>
    <w:rsid w:val="2855AEA3"/>
    <w:rsid w:val="288F3387"/>
    <w:rsid w:val="289A482C"/>
    <w:rsid w:val="28C971B6"/>
    <w:rsid w:val="28DAC67E"/>
    <w:rsid w:val="29ABC47D"/>
    <w:rsid w:val="29BA04E5"/>
    <w:rsid w:val="29EAF5F2"/>
    <w:rsid w:val="2A650930"/>
    <w:rsid w:val="2AD20E86"/>
    <w:rsid w:val="2B4D7C79"/>
    <w:rsid w:val="2BE32DCC"/>
    <w:rsid w:val="2C60C55B"/>
    <w:rsid w:val="2C74A229"/>
    <w:rsid w:val="2C837872"/>
    <w:rsid w:val="2CC9A6E8"/>
    <w:rsid w:val="2CF89411"/>
    <w:rsid w:val="2D1E7049"/>
    <w:rsid w:val="2D660E31"/>
    <w:rsid w:val="2D7A930C"/>
    <w:rsid w:val="2DDCE9D6"/>
    <w:rsid w:val="2DE043EB"/>
    <w:rsid w:val="2E20147F"/>
    <w:rsid w:val="2E380FA8"/>
    <w:rsid w:val="2E882C4C"/>
    <w:rsid w:val="2F348800"/>
    <w:rsid w:val="2F879778"/>
    <w:rsid w:val="2FCF7D97"/>
    <w:rsid w:val="2FE4F492"/>
    <w:rsid w:val="30557A9D"/>
    <w:rsid w:val="30D24538"/>
    <w:rsid w:val="31610982"/>
    <w:rsid w:val="317F21BA"/>
    <w:rsid w:val="31859096"/>
    <w:rsid w:val="31BE2E50"/>
    <w:rsid w:val="322A289A"/>
    <w:rsid w:val="3237977C"/>
    <w:rsid w:val="32CFF03C"/>
    <w:rsid w:val="339F223E"/>
    <w:rsid w:val="33D0A7FF"/>
    <w:rsid w:val="33D9328E"/>
    <w:rsid w:val="3420FB15"/>
    <w:rsid w:val="3422722E"/>
    <w:rsid w:val="3449557F"/>
    <w:rsid w:val="3498A60B"/>
    <w:rsid w:val="34A6BF60"/>
    <w:rsid w:val="34AF261F"/>
    <w:rsid w:val="35C086DC"/>
    <w:rsid w:val="3626F84F"/>
    <w:rsid w:val="367F5F90"/>
    <w:rsid w:val="3736C7A4"/>
    <w:rsid w:val="374A7FCE"/>
    <w:rsid w:val="37C4C3D6"/>
    <w:rsid w:val="37CF4896"/>
    <w:rsid w:val="37D63700"/>
    <w:rsid w:val="38374D07"/>
    <w:rsid w:val="386D2695"/>
    <w:rsid w:val="38955649"/>
    <w:rsid w:val="38AD7214"/>
    <w:rsid w:val="38F46C38"/>
    <w:rsid w:val="38FB9E6D"/>
    <w:rsid w:val="390EDCFB"/>
    <w:rsid w:val="397E4D07"/>
    <w:rsid w:val="39A5562E"/>
    <w:rsid w:val="39D2FFFC"/>
    <w:rsid w:val="39E7DAF8"/>
    <w:rsid w:val="3A44F3C2"/>
    <w:rsid w:val="3A4CA573"/>
    <w:rsid w:val="3A935F4E"/>
    <w:rsid w:val="3B5E1FD3"/>
    <w:rsid w:val="3C37354E"/>
    <w:rsid w:val="3C471FE7"/>
    <w:rsid w:val="3C58FD6D"/>
    <w:rsid w:val="3C69318D"/>
    <w:rsid w:val="3CD1CE3F"/>
    <w:rsid w:val="3CDE3D0C"/>
    <w:rsid w:val="3D17FA96"/>
    <w:rsid w:val="3D38F534"/>
    <w:rsid w:val="3D514A00"/>
    <w:rsid w:val="3D7592E4"/>
    <w:rsid w:val="3D91453A"/>
    <w:rsid w:val="3DC593CE"/>
    <w:rsid w:val="3E1794CB"/>
    <w:rsid w:val="3E338B1A"/>
    <w:rsid w:val="3E863CB9"/>
    <w:rsid w:val="3E9BBC94"/>
    <w:rsid w:val="3ED11A79"/>
    <w:rsid w:val="3EE27AEE"/>
    <w:rsid w:val="3FD1D5F1"/>
    <w:rsid w:val="3FEF9441"/>
    <w:rsid w:val="401C283A"/>
    <w:rsid w:val="402694A3"/>
    <w:rsid w:val="4033089F"/>
    <w:rsid w:val="4048122C"/>
    <w:rsid w:val="4061D721"/>
    <w:rsid w:val="407C66B0"/>
    <w:rsid w:val="40E655C0"/>
    <w:rsid w:val="40FD37B1"/>
    <w:rsid w:val="4110DF23"/>
    <w:rsid w:val="413AEC03"/>
    <w:rsid w:val="41CDEE58"/>
    <w:rsid w:val="41CED900"/>
    <w:rsid w:val="41F7CEE0"/>
    <w:rsid w:val="41FAB173"/>
    <w:rsid w:val="423A92C9"/>
    <w:rsid w:val="424BD765"/>
    <w:rsid w:val="42764EF6"/>
    <w:rsid w:val="42D33F52"/>
    <w:rsid w:val="435416D0"/>
    <w:rsid w:val="443E3B61"/>
    <w:rsid w:val="4442B725"/>
    <w:rsid w:val="4453A8BD"/>
    <w:rsid w:val="449A217E"/>
    <w:rsid w:val="449BCE9D"/>
    <w:rsid w:val="45003F91"/>
    <w:rsid w:val="4503CB8E"/>
    <w:rsid w:val="45060605"/>
    <w:rsid w:val="451ACC9D"/>
    <w:rsid w:val="452F6FA2"/>
    <w:rsid w:val="4533615C"/>
    <w:rsid w:val="46384CD5"/>
    <w:rsid w:val="465C432F"/>
    <w:rsid w:val="4675BD15"/>
    <w:rsid w:val="468DAEC3"/>
    <w:rsid w:val="46A04E81"/>
    <w:rsid w:val="472F357A"/>
    <w:rsid w:val="473E5D29"/>
    <w:rsid w:val="47653383"/>
    <w:rsid w:val="48209F3A"/>
    <w:rsid w:val="48483BC9"/>
    <w:rsid w:val="48CA46C9"/>
    <w:rsid w:val="490B5221"/>
    <w:rsid w:val="497AFFD4"/>
    <w:rsid w:val="499E3074"/>
    <w:rsid w:val="49C0C288"/>
    <w:rsid w:val="49DAB640"/>
    <w:rsid w:val="4A1F59FF"/>
    <w:rsid w:val="4A893879"/>
    <w:rsid w:val="4AC97365"/>
    <w:rsid w:val="4AE14C30"/>
    <w:rsid w:val="4AFCC744"/>
    <w:rsid w:val="4B085DDA"/>
    <w:rsid w:val="4B1538C1"/>
    <w:rsid w:val="4B1B6085"/>
    <w:rsid w:val="4B9EB126"/>
    <w:rsid w:val="4BB98345"/>
    <w:rsid w:val="4C18B62A"/>
    <w:rsid w:val="4C6543C6"/>
    <w:rsid w:val="4CAB9C76"/>
    <w:rsid w:val="4CF41648"/>
    <w:rsid w:val="4D0AF3B6"/>
    <w:rsid w:val="4D16B6AD"/>
    <w:rsid w:val="4DD83C93"/>
    <w:rsid w:val="4E24EBD9"/>
    <w:rsid w:val="4E9433AB"/>
    <w:rsid w:val="4F0E1BBC"/>
    <w:rsid w:val="4F273885"/>
    <w:rsid w:val="4F3636E4"/>
    <w:rsid w:val="4F4B3AF5"/>
    <w:rsid w:val="4F9A01BA"/>
    <w:rsid w:val="4FD37D13"/>
    <w:rsid w:val="4FEFFE5A"/>
    <w:rsid w:val="4FF96A02"/>
    <w:rsid w:val="4FF99603"/>
    <w:rsid w:val="50407956"/>
    <w:rsid w:val="506A44DC"/>
    <w:rsid w:val="50919764"/>
    <w:rsid w:val="50E84A56"/>
    <w:rsid w:val="51110CE4"/>
    <w:rsid w:val="51502FED"/>
    <w:rsid w:val="5165E53C"/>
    <w:rsid w:val="51C92639"/>
    <w:rsid w:val="52446E05"/>
    <w:rsid w:val="526CE151"/>
    <w:rsid w:val="529D07BD"/>
    <w:rsid w:val="52B0087E"/>
    <w:rsid w:val="531DE658"/>
    <w:rsid w:val="532D6B23"/>
    <w:rsid w:val="535A0A7B"/>
    <w:rsid w:val="53C22162"/>
    <w:rsid w:val="54440B21"/>
    <w:rsid w:val="54850568"/>
    <w:rsid w:val="55F4E899"/>
    <w:rsid w:val="5628331D"/>
    <w:rsid w:val="5639565F"/>
    <w:rsid w:val="5646C8E0"/>
    <w:rsid w:val="57FD16F9"/>
    <w:rsid w:val="5803069F"/>
    <w:rsid w:val="5824EF76"/>
    <w:rsid w:val="583A7E79"/>
    <w:rsid w:val="58671754"/>
    <w:rsid w:val="589D2ED5"/>
    <w:rsid w:val="58A11BFD"/>
    <w:rsid w:val="58AFD9A3"/>
    <w:rsid w:val="5A1C612F"/>
    <w:rsid w:val="5A6BC96B"/>
    <w:rsid w:val="5AA81731"/>
    <w:rsid w:val="5AC65327"/>
    <w:rsid w:val="5ADDE9D6"/>
    <w:rsid w:val="5B1A4D2C"/>
    <w:rsid w:val="5B44E8C7"/>
    <w:rsid w:val="5B8B4798"/>
    <w:rsid w:val="5BB83190"/>
    <w:rsid w:val="5BC90B02"/>
    <w:rsid w:val="5C391BFE"/>
    <w:rsid w:val="5C4E28F1"/>
    <w:rsid w:val="5C663A48"/>
    <w:rsid w:val="5D505559"/>
    <w:rsid w:val="5D553598"/>
    <w:rsid w:val="5E4A9240"/>
    <w:rsid w:val="5E546C34"/>
    <w:rsid w:val="5E654620"/>
    <w:rsid w:val="5EE120F9"/>
    <w:rsid w:val="5EF4D92F"/>
    <w:rsid w:val="5F124068"/>
    <w:rsid w:val="5F140117"/>
    <w:rsid w:val="5F17FEE4"/>
    <w:rsid w:val="5F3EA348"/>
    <w:rsid w:val="5F68F6DE"/>
    <w:rsid w:val="5FCB7C28"/>
    <w:rsid w:val="60177C78"/>
    <w:rsid w:val="6034DB90"/>
    <w:rsid w:val="60451A54"/>
    <w:rsid w:val="604C3473"/>
    <w:rsid w:val="60831C52"/>
    <w:rsid w:val="61058151"/>
    <w:rsid w:val="61199DB3"/>
    <w:rsid w:val="6159D2C6"/>
    <w:rsid w:val="616FBC08"/>
    <w:rsid w:val="618C0CF6"/>
    <w:rsid w:val="61D0ABF1"/>
    <w:rsid w:val="62095328"/>
    <w:rsid w:val="625A16AA"/>
    <w:rsid w:val="6277DE70"/>
    <w:rsid w:val="62940C6C"/>
    <w:rsid w:val="63809200"/>
    <w:rsid w:val="639ACDE7"/>
    <w:rsid w:val="63A45940"/>
    <w:rsid w:val="64537D0A"/>
    <w:rsid w:val="6482E2C3"/>
    <w:rsid w:val="64E11808"/>
    <w:rsid w:val="64FBFCFB"/>
    <w:rsid w:val="65190181"/>
    <w:rsid w:val="65256FD4"/>
    <w:rsid w:val="654E534D"/>
    <w:rsid w:val="6584BBE9"/>
    <w:rsid w:val="6587D045"/>
    <w:rsid w:val="6677678C"/>
    <w:rsid w:val="674DDBE8"/>
    <w:rsid w:val="678AA56B"/>
    <w:rsid w:val="678E7FCD"/>
    <w:rsid w:val="67AFC0EB"/>
    <w:rsid w:val="6828A299"/>
    <w:rsid w:val="68E15D7A"/>
    <w:rsid w:val="6904E7C2"/>
    <w:rsid w:val="69073678"/>
    <w:rsid w:val="6913BEC9"/>
    <w:rsid w:val="69350CB5"/>
    <w:rsid w:val="69936613"/>
    <w:rsid w:val="69AFBD7F"/>
    <w:rsid w:val="6A3663A7"/>
    <w:rsid w:val="6B2D438E"/>
    <w:rsid w:val="6B899274"/>
    <w:rsid w:val="6C065A25"/>
    <w:rsid w:val="6C6F1525"/>
    <w:rsid w:val="6C963449"/>
    <w:rsid w:val="6CA98597"/>
    <w:rsid w:val="6DC0D0A4"/>
    <w:rsid w:val="6E168947"/>
    <w:rsid w:val="6E2CD6B0"/>
    <w:rsid w:val="6E32B267"/>
    <w:rsid w:val="6EF30867"/>
    <w:rsid w:val="6EF90230"/>
    <w:rsid w:val="6F00011F"/>
    <w:rsid w:val="6F2AAA6F"/>
    <w:rsid w:val="6FB58B6E"/>
    <w:rsid w:val="6FF07D55"/>
    <w:rsid w:val="70590BC4"/>
    <w:rsid w:val="706B7366"/>
    <w:rsid w:val="709DAEBF"/>
    <w:rsid w:val="70ED88B5"/>
    <w:rsid w:val="70F2DC22"/>
    <w:rsid w:val="711761D0"/>
    <w:rsid w:val="7131DA7E"/>
    <w:rsid w:val="71ED074C"/>
    <w:rsid w:val="72169748"/>
    <w:rsid w:val="72E483D4"/>
    <w:rsid w:val="731421B1"/>
    <w:rsid w:val="7342F960"/>
    <w:rsid w:val="734797F1"/>
    <w:rsid w:val="738FDF80"/>
    <w:rsid w:val="73E50A94"/>
    <w:rsid w:val="73E540C1"/>
    <w:rsid w:val="74F81DAB"/>
    <w:rsid w:val="753EE974"/>
    <w:rsid w:val="7578CC67"/>
    <w:rsid w:val="75DE2799"/>
    <w:rsid w:val="76F9C0C1"/>
    <w:rsid w:val="771C6B31"/>
    <w:rsid w:val="773CA2E9"/>
    <w:rsid w:val="77597286"/>
    <w:rsid w:val="7797D06D"/>
    <w:rsid w:val="78114AAA"/>
    <w:rsid w:val="7864AD21"/>
    <w:rsid w:val="78A7864B"/>
    <w:rsid w:val="79654318"/>
    <w:rsid w:val="796E4DB1"/>
    <w:rsid w:val="799AA374"/>
    <w:rsid w:val="79A90BA4"/>
    <w:rsid w:val="79BA8209"/>
    <w:rsid w:val="79C834CF"/>
    <w:rsid w:val="79C9869D"/>
    <w:rsid w:val="79F5B71C"/>
    <w:rsid w:val="7A31AC14"/>
    <w:rsid w:val="7ACAD4AF"/>
    <w:rsid w:val="7B32377E"/>
    <w:rsid w:val="7B8F57EE"/>
    <w:rsid w:val="7BC65736"/>
    <w:rsid w:val="7BCEA825"/>
    <w:rsid w:val="7BDBFD59"/>
    <w:rsid w:val="7BE5757F"/>
    <w:rsid w:val="7C2349E1"/>
    <w:rsid w:val="7C2645FC"/>
    <w:rsid w:val="7C298F37"/>
    <w:rsid w:val="7C415615"/>
    <w:rsid w:val="7C5A99D4"/>
    <w:rsid w:val="7CC76F92"/>
    <w:rsid w:val="7CD7A241"/>
    <w:rsid w:val="7CEEAEA0"/>
    <w:rsid w:val="7CF54CEB"/>
    <w:rsid w:val="7D40E7CD"/>
    <w:rsid w:val="7D6F70F7"/>
    <w:rsid w:val="7D853F44"/>
    <w:rsid w:val="7E037756"/>
    <w:rsid w:val="7E5A78C9"/>
    <w:rsid w:val="7ED3765F"/>
    <w:rsid w:val="7EE001A8"/>
    <w:rsid w:val="7F6637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8DC9D71"/>
  <w15:docId w15:val="{DD2607E6-D7B8-49EC-990A-EA0DD827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13"/>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
    <w:basedOn w:val="Normal"/>
    <w:link w:val="FootnoteTextChar"/>
    <w:uiPriority w:val="99"/>
    <w:qFormat/>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link w:val="Char2"/>
    <w:uiPriority w:val="99"/>
    <w:qFormat/>
    <w:rPr>
      <w:rFonts w:cs="Times New Roman"/>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uiPriority w:val="99"/>
    <w:semiHidden/>
    <w:qFormat/>
    <w:rPr>
      <w:rFonts w:cs="Times New Roman"/>
      <w:sz w:val="6"/>
      <w:szCs w:val="6"/>
    </w:rPr>
  </w:style>
  <w:style w:type="character" w:customStyle="1" w:styleId="FooterChar">
    <w:name w:val="Footer Char"/>
    <w:link w:val="Footer"/>
    <w:uiPriority w:val="99"/>
    <w:locked/>
    <w:rPr>
      <w:rFonts w:cs="Times New Roman"/>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style>
  <w:style w:type="paragraph" w:styleId="CommentSubject">
    <w:name w:val="annotation subject"/>
    <w:basedOn w:val="CommentText"/>
    <w:next w:val="CommentText"/>
    <w:link w:val="CommentSubjectChar"/>
    <w:uiPriority w:val="99"/>
    <w:rPr>
      <w:b/>
      <w:bCs/>
      <w:lang w:val="x-none" w:eastAsia="x-none"/>
    </w:rPr>
  </w:style>
  <w:style w:type="character" w:customStyle="1" w:styleId="CommentSubjectChar">
    <w:name w:val="Comment Subject Char"/>
    <w:link w:val="CommentSubject"/>
    <w:uiPriority w:val="99"/>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 w:type="character" w:customStyle="1" w:styleId="Heading2Char">
    <w:name w:val="Heading 2 Char"/>
    <w:basedOn w:val="DefaultParagraphFont"/>
    <w:link w:val="Heading2"/>
    <w:rsid w:val="00BF7D41"/>
    <w:rPr>
      <w:rFonts w:ascii="Arial" w:hAnsi="Arial"/>
      <w:b/>
      <w:sz w:val="28"/>
      <w:lang w:val="en-US" w:eastAsia="en-US"/>
    </w:rPr>
  </w:style>
  <w:style w:type="character" w:customStyle="1" w:styleId="BalloonTextChar">
    <w:name w:val="Balloon Text Char"/>
    <w:basedOn w:val="DefaultParagraphFont"/>
    <w:link w:val="BalloonText"/>
    <w:uiPriority w:val="99"/>
    <w:semiHidden/>
    <w:rsid w:val="00BF7D41"/>
    <w:rPr>
      <w:rFonts w:ascii="Tahoma" w:hAnsi="Tahoma" w:cs="Tahoma"/>
      <w:sz w:val="16"/>
      <w:szCs w:val="16"/>
      <w:lang w:val="en-US" w:eastAsia="en-US"/>
    </w:rPr>
  </w:style>
  <w:style w:type="paragraph" w:customStyle="1" w:styleId="Char2">
    <w:name w:val="Char2"/>
    <w:basedOn w:val="Normal"/>
    <w:link w:val="FootnoteReference"/>
    <w:uiPriority w:val="99"/>
    <w:rsid w:val="00BF7D41"/>
    <w:pPr>
      <w:spacing w:after="160" w:line="240" w:lineRule="exact"/>
    </w:pPr>
    <w:rPr>
      <w:vertAlign w:val="superscript"/>
      <w:lang w:val="en-GB" w:eastAsia="en-GB"/>
    </w:rPr>
  </w:style>
  <w:style w:type="character" w:customStyle="1" w:styleId="normaltextrun">
    <w:name w:val="normaltextrun"/>
    <w:basedOn w:val="DefaultParagraphFont"/>
    <w:rsid w:val="001E0755"/>
  </w:style>
  <w:style w:type="character" w:customStyle="1" w:styleId="eop">
    <w:name w:val="eop"/>
    <w:basedOn w:val="DefaultParagraphFont"/>
    <w:rsid w:val="001E0755"/>
  </w:style>
  <w:style w:type="paragraph" w:customStyle="1" w:styleId="paragraph">
    <w:name w:val="paragraph"/>
    <w:basedOn w:val="Normal"/>
    <w:rsid w:val="001E0755"/>
    <w:pPr>
      <w:spacing w:before="100" w:beforeAutospacing="1" w:after="100" w:afterAutospacing="1"/>
    </w:pPr>
    <w:rPr>
      <w:sz w:val="24"/>
      <w:szCs w:val="24"/>
      <w:lang w:val="en-ZW" w:eastAsia="en-ZW"/>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277372114">
      <w:bodyDiv w:val="1"/>
      <w:marLeft w:val="0"/>
      <w:marRight w:val="0"/>
      <w:marTop w:val="0"/>
      <w:marBottom w:val="0"/>
      <w:divBdr>
        <w:top w:val="none" w:sz="0" w:space="0" w:color="auto"/>
        <w:left w:val="none" w:sz="0" w:space="0" w:color="auto"/>
        <w:bottom w:val="none" w:sz="0" w:space="0" w:color="auto"/>
        <w:right w:val="none" w:sz="0" w:space="0" w:color="auto"/>
      </w:divBdr>
    </w:div>
    <w:div w:id="519979006">
      <w:bodyDiv w:val="1"/>
      <w:marLeft w:val="0"/>
      <w:marRight w:val="0"/>
      <w:marTop w:val="0"/>
      <w:marBottom w:val="0"/>
      <w:divBdr>
        <w:top w:val="none" w:sz="0" w:space="0" w:color="auto"/>
        <w:left w:val="none" w:sz="0" w:space="0" w:color="auto"/>
        <w:bottom w:val="none" w:sz="0" w:space="0" w:color="auto"/>
        <w:right w:val="none" w:sz="0" w:space="0" w:color="auto"/>
      </w:divBdr>
    </w:div>
    <w:div w:id="564994671">
      <w:bodyDiv w:val="1"/>
      <w:marLeft w:val="0"/>
      <w:marRight w:val="0"/>
      <w:marTop w:val="0"/>
      <w:marBottom w:val="0"/>
      <w:divBdr>
        <w:top w:val="none" w:sz="0" w:space="0" w:color="auto"/>
        <w:left w:val="none" w:sz="0" w:space="0" w:color="auto"/>
        <w:bottom w:val="none" w:sz="0" w:space="0" w:color="auto"/>
        <w:right w:val="none" w:sz="0" w:space="0" w:color="auto"/>
      </w:divBdr>
    </w:div>
    <w:div w:id="86305896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2885907">
      <w:bodyDiv w:val="1"/>
      <w:marLeft w:val="0"/>
      <w:marRight w:val="0"/>
      <w:marTop w:val="0"/>
      <w:marBottom w:val="0"/>
      <w:divBdr>
        <w:top w:val="none" w:sz="0" w:space="0" w:color="auto"/>
        <w:left w:val="none" w:sz="0" w:space="0" w:color="auto"/>
        <w:bottom w:val="none" w:sz="0" w:space="0" w:color="auto"/>
        <w:right w:val="none" w:sz="0" w:space="0" w:color="auto"/>
      </w:divBdr>
    </w:div>
    <w:div w:id="1371877615">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693919971">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country/sao-tome-and-principe/freedom-world/20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UNITOFFICE-440-2518</_dlc_DocId>
    <_dlc_DocIdUrl xmlns="5ebeba3d-fd60-4dcb-8548-a9fd3c51d9ff">
      <Url>https://intranet.undp.org/unit/office/exo/sp2014/SP201417/_layouts/15/DocIdRedir.aspx?ID=UNITOFFICE-440-2518</Url>
      <Description>UNITOFFICE-440-2518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E52F-10CB-4DC9-94AC-2E752513434F}">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DF89BA53-A639-405E-AEA4-1A43C81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C15B1-72A9-4AF7-B3E1-A2760662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5905</Words>
  <Characters>37749</Characters>
  <Application>Microsoft Office Word</Application>
  <DocSecurity>4</DocSecurity>
  <Lines>811</Lines>
  <Paragraphs>308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2021-03-25T19:14:00Z</cp:lastPrinted>
  <dcterms:created xsi:type="dcterms:W3CDTF">2022-11-03T10:57:00Z</dcterms:created>
  <dcterms:modified xsi:type="dcterms:W3CDTF">2022-11-03T10:57:00Z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31adb3a0-dc26-4726-9342-63476565294f</vt:lpwstr>
  </property>
  <property fmtid="{D5CDD505-2E9C-101B-9397-08002B2CF9AE}" pid="4" name="GrammarlyDocumentId">
    <vt:lpwstr>726b6861acc24deeb598eabbcdd8c103955c35828c62a9c6e0edef70568e6088</vt:lpwstr>
  </property>
</Properties>
</file>