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7BF6B" w14:textId="768B28CD" w:rsidR="005C6168" w:rsidRPr="0051678B" w:rsidRDefault="008E44BC">
      <w:pPr>
        <w:pStyle w:val="Heading3"/>
        <w:jc w:val="left"/>
        <w:rPr>
          <w:rFonts w:ascii="Calibri" w:hAnsi="Calibri"/>
        </w:rPr>
      </w:pPr>
      <w:bookmarkStart w:id="0" w:name="_GoBack"/>
      <w:bookmarkEnd w:id="0"/>
      <w:r>
        <w:rPr>
          <w:rFonts w:ascii="Calibri" w:hAnsi="Calibri"/>
        </w:rPr>
        <w:t>Country:</w:t>
      </w:r>
      <w:r>
        <w:rPr>
          <w:rFonts w:ascii="Calibri" w:hAnsi="Calibri"/>
        </w:rPr>
        <w:tab/>
      </w:r>
      <w:r>
        <w:rPr>
          <w:rFonts w:ascii="Calibri" w:hAnsi="Calibri"/>
        </w:rPr>
        <w:tab/>
      </w:r>
      <w:r w:rsidR="00633DC3" w:rsidRPr="0051678B">
        <w:rPr>
          <w:rFonts w:ascii="Calibri" w:hAnsi="Calibri"/>
        </w:rPr>
        <w:t>Republic of Moldova</w:t>
      </w:r>
    </w:p>
    <w:p w14:paraId="69516E38" w14:textId="77777777" w:rsidR="005C6168" w:rsidRPr="0051678B" w:rsidRDefault="00BC38E0" w:rsidP="008E44BC">
      <w:pPr>
        <w:pStyle w:val="Heading3"/>
        <w:ind w:left="1440" w:firstLine="720"/>
        <w:jc w:val="left"/>
        <w:rPr>
          <w:rFonts w:ascii="Calibri" w:hAnsi="Calibri"/>
          <w:b/>
          <w:bCs w:val="0"/>
        </w:rPr>
      </w:pPr>
      <w:r w:rsidRPr="0051678B">
        <w:rPr>
          <w:rFonts w:ascii="Calibri" w:hAnsi="Calibri"/>
          <w:b/>
          <w:bCs w:val="0"/>
        </w:rPr>
        <w:t>COUNTRY PROGRAMME</w:t>
      </w:r>
      <w:r w:rsidR="00B32ADA" w:rsidRPr="0051678B">
        <w:rPr>
          <w:rFonts w:ascii="Calibri" w:hAnsi="Calibri"/>
          <w:b/>
          <w:bCs w:val="0"/>
        </w:rPr>
        <w:t xml:space="preserve"> PERFORMANCE SUMMARY</w:t>
      </w:r>
      <w:r w:rsidR="001F3524" w:rsidRPr="0051678B">
        <w:rPr>
          <w:rStyle w:val="FootnoteReference"/>
          <w:rFonts w:ascii="Calibri" w:hAnsi="Calibri"/>
          <w:b/>
          <w:bCs w:val="0"/>
        </w:rPr>
        <w:footnoteReference w:id="1"/>
      </w:r>
    </w:p>
    <w:p w14:paraId="73FE475D" w14:textId="77777777" w:rsidR="005C6168" w:rsidRPr="0051678B" w:rsidRDefault="005C6168">
      <w:pPr>
        <w:pStyle w:val="Heading3"/>
        <w:rPr>
          <w:rFonts w:ascii="Calibri" w:hAnsi="Calibri"/>
          <w:b/>
        </w:rPr>
      </w:pPr>
    </w:p>
    <w:p w14:paraId="356D1CF0" w14:textId="41862CE7" w:rsidR="005C6168" w:rsidRPr="0051678B" w:rsidRDefault="00441D4B" w:rsidP="008E44BC">
      <w:pPr>
        <w:pStyle w:val="Heading3"/>
        <w:jc w:val="left"/>
        <w:rPr>
          <w:rFonts w:ascii="Calibri" w:hAnsi="Calibri"/>
        </w:rPr>
      </w:pPr>
      <w:r w:rsidRPr="0051678B">
        <w:rPr>
          <w:rFonts w:ascii="Calibri" w:hAnsi="Calibri"/>
        </w:rPr>
        <w:t xml:space="preserve">Reporting period: </w:t>
      </w:r>
      <w:r w:rsidRPr="0051678B">
        <w:rPr>
          <w:rFonts w:ascii="Calibri" w:hAnsi="Calibri"/>
        </w:rPr>
        <w:tab/>
      </w:r>
      <w:r w:rsidR="007A1B4C" w:rsidRPr="0051678B">
        <w:rPr>
          <w:rFonts w:ascii="Calibri" w:hAnsi="Calibri"/>
        </w:rPr>
        <w:t>20</w:t>
      </w:r>
      <w:r w:rsidR="00633DC3" w:rsidRPr="0051678B">
        <w:rPr>
          <w:rFonts w:ascii="Calibri" w:hAnsi="Calibri"/>
        </w:rPr>
        <w:t>13</w:t>
      </w:r>
      <w:r w:rsidR="007A1B4C" w:rsidRPr="0051678B">
        <w:rPr>
          <w:rFonts w:ascii="Calibri" w:hAnsi="Calibri"/>
        </w:rPr>
        <w:t>-201</w:t>
      </w:r>
      <w:r w:rsidR="00633DC3" w:rsidRPr="0051678B">
        <w:rPr>
          <w:rFonts w:ascii="Calibri" w:hAnsi="Calibri"/>
        </w:rPr>
        <w:t>7</w:t>
      </w:r>
    </w:p>
    <w:p w14:paraId="35FBEC3E" w14:textId="77777777" w:rsidR="005C6168" w:rsidRPr="0051678B" w:rsidRDefault="005C6168">
      <w:pPr>
        <w:rPr>
          <w:rFonts w:ascii="Calibri" w:hAnsi="Calibri"/>
        </w:rPr>
      </w:pPr>
    </w:p>
    <w:p w14:paraId="3018BADD" w14:textId="6C9DE29A" w:rsidR="00F826EC" w:rsidRPr="0051678B" w:rsidRDefault="005C6168" w:rsidP="008D0A4E">
      <w:pPr>
        <w:pStyle w:val="Heading3"/>
      </w:pPr>
      <w:r w:rsidRPr="0051678B">
        <w:rPr>
          <w:rFonts w:ascii="Calibri" w:hAnsi="Calibri"/>
          <w:b/>
          <w:bCs w:val="0"/>
        </w:rPr>
        <w:t xml:space="preserve">I.  </w:t>
      </w:r>
      <w:r w:rsidR="0064746F" w:rsidRPr="0051678B">
        <w:rPr>
          <w:rFonts w:ascii="Calibri" w:hAnsi="Calibri"/>
          <w:b/>
          <w:bCs w:val="0"/>
        </w:rPr>
        <w:t>EXECUTIVE SUMMARY</w:t>
      </w:r>
      <w:r w:rsidR="00760E32" w:rsidRPr="0051678B">
        <w:rPr>
          <w:rFonts w:ascii="Calibri" w:hAnsi="Calibri"/>
          <w:b/>
          <w:bCs w:val="0"/>
        </w:rPr>
        <w:t xml:space="preserve"> </w:t>
      </w:r>
    </w:p>
    <w:p w14:paraId="4C289BA0" w14:textId="77777777" w:rsidR="00817848" w:rsidRDefault="00817848" w:rsidP="00B8039F">
      <w:pPr>
        <w:widowControl/>
        <w:jc w:val="both"/>
        <w:rPr>
          <w:rFonts w:ascii="Calibri" w:eastAsia="Calibri" w:hAnsi="Calibri" w:cs="Calibri"/>
          <w:sz w:val="20"/>
        </w:rPr>
      </w:pPr>
    </w:p>
    <w:p w14:paraId="004CC4C3" w14:textId="000B2203" w:rsidR="00B8039F" w:rsidRDefault="00621E3C" w:rsidP="00B8039F">
      <w:pPr>
        <w:widowControl/>
        <w:jc w:val="both"/>
        <w:rPr>
          <w:b/>
        </w:rPr>
      </w:pPr>
      <w:r w:rsidRPr="00BC4F55">
        <w:rPr>
          <w:rFonts w:ascii="Calibri" w:eastAsia="Calibri" w:hAnsi="Calibri" w:cs="Calibri"/>
          <w:sz w:val="20"/>
        </w:rPr>
        <w:t>The UNDP</w:t>
      </w:r>
      <w:r w:rsidR="008E44BC">
        <w:rPr>
          <w:rFonts w:ascii="Calibri" w:eastAsia="Calibri" w:hAnsi="Calibri" w:cs="Calibri"/>
          <w:sz w:val="20"/>
        </w:rPr>
        <w:t xml:space="preserve"> Moldova</w:t>
      </w:r>
      <w:r w:rsidRPr="00BC4F55">
        <w:rPr>
          <w:rFonts w:ascii="Calibri" w:eastAsia="Calibri" w:hAnsi="Calibri" w:cs="Calibri"/>
          <w:sz w:val="20"/>
        </w:rPr>
        <w:t xml:space="preserve"> Country Programme Document (CPD) for 201</w:t>
      </w:r>
      <w:r w:rsidR="008E44BC">
        <w:rPr>
          <w:rFonts w:ascii="Calibri" w:eastAsia="Calibri" w:hAnsi="Calibri" w:cs="Calibri"/>
          <w:sz w:val="20"/>
        </w:rPr>
        <w:t>3</w:t>
      </w:r>
      <w:r w:rsidRPr="00BC4F55">
        <w:rPr>
          <w:rFonts w:ascii="Calibri" w:eastAsia="Calibri" w:hAnsi="Calibri" w:cs="Calibri"/>
          <w:sz w:val="20"/>
        </w:rPr>
        <w:t>-201</w:t>
      </w:r>
      <w:r w:rsidR="008E44BC">
        <w:rPr>
          <w:rFonts w:ascii="Calibri" w:eastAsia="Calibri" w:hAnsi="Calibri" w:cs="Calibri"/>
          <w:sz w:val="20"/>
        </w:rPr>
        <w:t>7</w:t>
      </w:r>
      <w:r w:rsidRPr="00BC4F55">
        <w:rPr>
          <w:rFonts w:ascii="Calibri" w:eastAsia="Calibri" w:hAnsi="Calibri" w:cs="Calibri"/>
          <w:sz w:val="20"/>
        </w:rPr>
        <w:t xml:space="preserve"> committed to outcomes in three distinct but interrelated areas of </w:t>
      </w:r>
      <w:r w:rsidR="00392BC0" w:rsidRPr="00392BC0">
        <w:rPr>
          <w:rFonts w:ascii="Calibri" w:eastAsia="Calibri" w:hAnsi="Calibri" w:cs="Calibri"/>
          <w:sz w:val="20"/>
        </w:rPr>
        <w:t>Democratic Governance, Human Development</w:t>
      </w:r>
      <w:r w:rsidR="00392BC0">
        <w:rPr>
          <w:rFonts w:ascii="Calibri" w:eastAsia="Calibri" w:hAnsi="Calibri" w:cs="Calibri"/>
          <w:sz w:val="20"/>
        </w:rPr>
        <w:t xml:space="preserve">, </w:t>
      </w:r>
      <w:r w:rsidR="00392BC0" w:rsidRPr="00392BC0">
        <w:rPr>
          <w:rFonts w:ascii="Calibri" w:eastAsia="Calibri" w:hAnsi="Calibri" w:cs="Calibri"/>
          <w:sz w:val="20"/>
        </w:rPr>
        <w:t>Social Inclusion</w:t>
      </w:r>
      <w:r w:rsidR="00392BC0">
        <w:rPr>
          <w:rFonts w:ascii="Calibri" w:eastAsia="Calibri" w:hAnsi="Calibri" w:cs="Calibri"/>
          <w:sz w:val="20"/>
        </w:rPr>
        <w:t xml:space="preserve">, </w:t>
      </w:r>
      <w:r w:rsidR="00392BC0" w:rsidRPr="00392BC0">
        <w:rPr>
          <w:rFonts w:ascii="Calibri" w:eastAsia="Calibri" w:hAnsi="Calibri" w:cs="Calibri"/>
          <w:sz w:val="20"/>
        </w:rPr>
        <w:t>Environment, Climate Change and Disaster Risk Management</w:t>
      </w:r>
      <w:r w:rsidR="00392BC0">
        <w:rPr>
          <w:rFonts w:ascii="Calibri" w:eastAsia="Calibri" w:hAnsi="Calibri" w:cs="Calibri"/>
          <w:sz w:val="20"/>
        </w:rPr>
        <w:t xml:space="preserve"> closely aligned to the overall United Nations Partnership Framework. </w:t>
      </w:r>
      <w:r w:rsidR="00B8039F" w:rsidRPr="00B8039F">
        <w:rPr>
          <w:rFonts w:ascii="Calibri" w:eastAsia="Calibri" w:hAnsi="Calibri" w:cs="Calibri"/>
          <w:sz w:val="20"/>
        </w:rPr>
        <w:t>During the 2013–2017 programme cycle, UNDP contributed to sustainable development of Moldova, building the foundations for further consolidation of democracy; human rights and gender-equality promotion and inclusive, risk-informed growth. The UNDAF evaluation confirmed that impactful results were delivered,</w:t>
      </w:r>
      <w:r w:rsidR="00B8039F" w:rsidRPr="00B8039F">
        <w:rPr>
          <w:rFonts w:ascii="Calibri" w:eastAsia="Calibri" w:hAnsi="Calibri" w:cs="Calibri"/>
          <w:sz w:val="20"/>
        </w:rPr>
        <w:footnoteReference w:id="2"/>
      </w:r>
      <w:r w:rsidR="00B8039F" w:rsidRPr="00B8039F">
        <w:rPr>
          <w:rFonts w:ascii="Calibri" w:eastAsia="Calibri" w:hAnsi="Calibri" w:cs="Calibri"/>
          <w:sz w:val="20"/>
        </w:rPr>
        <w:t xml:space="preserve"> highlighting UNDP comparative advantages, such as the ability to tap into local and international expertise networks, the capacity to swiftly respond to government’s requests for assistance, the reputation of convening power</w:t>
      </w:r>
      <w:r w:rsidR="00B8039F" w:rsidRPr="00B8039F">
        <w:rPr>
          <w:rFonts w:ascii="Calibri" w:eastAsia="Calibri" w:hAnsi="Calibri" w:cs="Calibri"/>
          <w:sz w:val="20"/>
        </w:rPr>
        <w:footnoteReference w:id="3"/>
      </w:r>
      <w:r w:rsidR="00B8039F" w:rsidRPr="00B8039F">
        <w:rPr>
          <w:rFonts w:ascii="Calibri" w:eastAsia="Calibri" w:hAnsi="Calibri" w:cs="Calibri"/>
          <w:sz w:val="20"/>
        </w:rPr>
        <w:t xml:space="preserve"> and being a credible and impartial partner.</w:t>
      </w:r>
      <w:r w:rsidR="00B8039F" w:rsidRPr="00B8039F">
        <w:rPr>
          <w:rFonts w:ascii="Calibri" w:eastAsia="Calibri" w:hAnsi="Calibri" w:cs="Calibri"/>
          <w:sz w:val="20"/>
        </w:rPr>
        <w:footnoteReference w:id="4"/>
      </w:r>
    </w:p>
    <w:p w14:paraId="19BE1E86" w14:textId="46248E81" w:rsidR="00B8039F" w:rsidRDefault="00B8039F" w:rsidP="00B8039F">
      <w:pPr>
        <w:widowControl/>
        <w:jc w:val="both"/>
        <w:rPr>
          <w:b/>
        </w:rPr>
      </w:pPr>
      <w:r w:rsidRPr="00B8039F">
        <w:rPr>
          <w:rFonts w:ascii="Calibri" w:eastAsia="Calibri" w:hAnsi="Calibri" w:cs="Calibri"/>
          <w:sz w:val="20"/>
        </w:rPr>
        <w:t>The transparency of the Parliament was strengthened through the implementation of an e-Parliament system and engagement in the Open Parliament initiative. The Central Electoral Committee became a highly capable institution delivering elections in line with international standards using advanced technological solutions, with its e-learning platform recognized as regional best practice.</w:t>
      </w:r>
      <w:r w:rsidRPr="00B8039F">
        <w:rPr>
          <w:rFonts w:eastAsia="Calibri"/>
        </w:rPr>
        <w:footnoteReference w:id="5"/>
      </w:r>
      <w:r w:rsidRPr="00B8039F">
        <w:rPr>
          <w:rFonts w:ascii="Calibri" w:eastAsia="Calibri" w:hAnsi="Calibri" w:cs="Calibri"/>
          <w:sz w:val="20"/>
        </w:rPr>
        <w:t xml:space="preserve">  As highlighted by final programme evaluation “the impressive results achieved will have significant positive impact on all government institutions’.</w:t>
      </w:r>
      <w:r w:rsidRPr="00B8039F">
        <w:rPr>
          <w:rFonts w:eastAsia="Calibri"/>
        </w:rPr>
        <w:footnoteReference w:id="6"/>
      </w:r>
      <w:r w:rsidRPr="00B8039F">
        <w:rPr>
          <w:rFonts w:ascii="Calibri" w:eastAsia="Calibri" w:hAnsi="Calibri" w:cs="Calibri"/>
          <w:sz w:val="20"/>
        </w:rPr>
        <w:t xml:space="preserve"> Moldova Social Innovation Lab became a partner for innovative governance, supporting public service modernization, new approaches to impact evaluation and policy design. Gender-equality and human rights aspects were integrated in national statistics, more complete and reliable disaggregated statistical data is now available. </w:t>
      </w:r>
    </w:p>
    <w:p w14:paraId="4FAC990C" w14:textId="037BB44C" w:rsidR="00B8039F" w:rsidRDefault="00B8039F" w:rsidP="00B8039F">
      <w:pPr>
        <w:widowControl/>
        <w:jc w:val="both"/>
        <w:rPr>
          <w:b/>
        </w:rPr>
      </w:pPr>
      <w:r w:rsidRPr="00B8039F">
        <w:rPr>
          <w:rFonts w:ascii="Calibri" w:eastAsia="Calibri" w:hAnsi="Calibri" w:cs="Calibri"/>
          <w:sz w:val="20"/>
        </w:rPr>
        <w:t xml:space="preserve">Jointly with UN Women and OHCHR, UNDP engaged civil society and legislators in a comprehensive advocacy campaign, leading to the adoption of the ground-breaking law on Gender Equality in April 2016, which provides for a 40 per-cent gender quota in the Government Cabinet and on the political parties’ candidate lists. The enforcement of the law will increase the number of women in decision-making positions in line with the 2030 Agenda. With UNDP support, </w:t>
      </w:r>
      <w:r w:rsidR="009321CB">
        <w:rPr>
          <w:rFonts w:ascii="Calibri" w:eastAsia="Calibri" w:hAnsi="Calibri" w:cs="Calibri"/>
          <w:sz w:val="20"/>
        </w:rPr>
        <w:t xml:space="preserve">a </w:t>
      </w:r>
      <w:r w:rsidRPr="00B8039F">
        <w:rPr>
          <w:rFonts w:ascii="Calibri" w:eastAsia="Calibri" w:hAnsi="Calibri" w:cs="Calibri"/>
          <w:sz w:val="20"/>
        </w:rPr>
        <w:t>shelter for survivors of domestic violence was opened in the break-away Transnistrian region, providing specialized services for women from the region for the first time.</w:t>
      </w:r>
    </w:p>
    <w:p w14:paraId="3F0D8C2B" w14:textId="289B204B" w:rsidR="00B8039F" w:rsidRDefault="00B8039F" w:rsidP="00B8039F">
      <w:pPr>
        <w:widowControl/>
        <w:jc w:val="both"/>
        <w:rPr>
          <w:b/>
        </w:rPr>
      </w:pPr>
      <w:r w:rsidRPr="00B8039F">
        <w:rPr>
          <w:rFonts w:ascii="Calibri" w:eastAsia="Calibri" w:hAnsi="Calibri" w:cs="Calibri"/>
          <w:sz w:val="20"/>
        </w:rPr>
        <w:t>Confidence-building measures (CBMs) have created channels of cooperation, transcending existing conflict divides, and therefore contributing to a practical rapprochement of the populations across the divide. CBMs provided access to better services and decent jobs to more than 500,000 beneficiaries. UNDP’s impartiality and ability to foster win-win solutions has been recognized by diverse partners in the country.</w:t>
      </w:r>
      <w:r w:rsidRPr="00B8039F">
        <w:rPr>
          <w:rFonts w:ascii="Calibri" w:eastAsia="Calibri" w:hAnsi="Calibri" w:cs="Calibri"/>
          <w:sz w:val="20"/>
        </w:rPr>
        <w:footnoteReference w:id="7"/>
      </w:r>
      <w:r w:rsidRPr="00B8039F">
        <w:rPr>
          <w:rFonts w:ascii="Calibri" w:eastAsia="Calibri" w:hAnsi="Calibri" w:cs="Calibri"/>
          <w:sz w:val="20"/>
        </w:rPr>
        <w:t xml:space="preserve"> UNDP’s positioning allowed for “significant development results and increasing cross-river partnerships in economic, social and cultural sectors.’</w:t>
      </w:r>
      <w:r w:rsidRPr="00B8039F">
        <w:rPr>
          <w:rFonts w:ascii="Calibri" w:eastAsia="Calibri" w:hAnsi="Calibri" w:cs="Calibri"/>
          <w:sz w:val="20"/>
        </w:rPr>
        <w:footnoteReference w:id="8"/>
      </w:r>
    </w:p>
    <w:p w14:paraId="0603F1C0" w14:textId="07D8EB1D" w:rsidR="00B8039F" w:rsidRPr="00B8039F" w:rsidRDefault="00B8039F" w:rsidP="00B8039F">
      <w:pPr>
        <w:widowControl/>
        <w:jc w:val="both"/>
        <w:rPr>
          <w:b/>
        </w:rPr>
      </w:pPr>
      <w:r w:rsidRPr="00B8039F">
        <w:rPr>
          <w:rFonts w:ascii="Calibri" w:eastAsia="Calibri" w:hAnsi="Calibri" w:cs="Calibri"/>
          <w:sz w:val="20"/>
        </w:rPr>
        <w:t xml:space="preserve">Significant progress has been made </w:t>
      </w:r>
      <w:r w:rsidR="00B73CB7" w:rsidRPr="00B8039F">
        <w:rPr>
          <w:rFonts w:ascii="Calibri" w:eastAsia="Calibri" w:hAnsi="Calibri" w:cs="Calibri"/>
          <w:sz w:val="20"/>
        </w:rPr>
        <w:t>in</w:t>
      </w:r>
      <w:r w:rsidRPr="00B8039F">
        <w:rPr>
          <w:rFonts w:ascii="Calibri" w:eastAsia="Calibri" w:hAnsi="Calibri" w:cs="Calibri"/>
          <w:sz w:val="20"/>
        </w:rPr>
        <w:t xml:space="preserve"> environmental management, climate resilience and low-carbon development, key strategic planning frameworks being established with UNDP support.</w:t>
      </w:r>
      <w:r w:rsidRPr="00B8039F">
        <w:rPr>
          <w:rFonts w:ascii="Calibri" w:eastAsia="Calibri" w:hAnsi="Calibri" w:cs="Calibri"/>
          <w:sz w:val="20"/>
        </w:rPr>
        <w:footnoteReference w:id="9"/>
      </w:r>
      <w:r w:rsidRPr="00B8039F">
        <w:rPr>
          <w:rFonts w:ascii="Calibri" w:eastAsia="Calibri" w:hAnsi="Calibri" w:cs="Calibri"/>
          <w:sz w:val="20"/>
        </w:rPr>
        <w:t xml:space="preserve"> Climate change adaptation was mainstreamed into policy documents in agriculture, energy and transport sectors, while risk-informed decision making were introduced at district level. UNDP’s interventions in the area of renewable energy increased its share in the total energy mix from 5 to 14 per-cent and strengthened the energy security of the country, connecting 157,000 people to affordable heating and creating 150 new jobs for operators and biofuel producers. The first National Park in the country was established in Orhei, increasing the share of protected areas with 1%.</w:t>
      </w:r>
      <w:r w:rsidRPr="00B8039F">
        <w:rPr>
          <w:rFonts w:ascii="Calibri" w:eastAsia="Calibri" w:hAnsi="Calibri" w:cs="Calibri"/>
          <w:sz w:val="20"/>
        </w:rPr>
        <w:footnoteReference w:id="10"/>
      </w:r>
      <w:r w:rsidRPr="00B8039F">
        <w:rPr>
          <w:rFonts w:ascii="Calibri" w:eastAsia="Calibri" w:hAnsi="Calibri" w:cs="Calibri"/>
          <w:sz w:val="20"/>
        </w:rPr>
        <w:t xml:space="preserve"> Moldova has signed the Paris Agreement and is progressing on its ratification with UNDP support. The national warning systems of the State Hydro-meteorological Service w</w:t>
      </w:r>
      <w:r w:rsidR="009321CB">
        <w:rPr>
          <w:rFonts w:ascii="Calibri" w:eastAsia="Calibri" w:hAnsi="Calibri" w:cs="Calibri"/>
          <w:sz w:val="20"/>
        </w:rPr>
        <w:t>ere</w:t>
      </w:r>
      <w:r w:rsidRPr="00B8039F">
        <w:rPr>
          <w:rFonts w:ascii="Calibri" w:eastAsia="Calibri" w:hAnsi="Calibri" w:cs="Calibri"/>
          <w:sz w:val="20"/>
        </w:rPr>
        <w:t xml:space="preserve"> aligned with EU Meteoalarm and EUMetNet standards including Moldova in the European weather service network with UNDP support.</w:t>
      </w:r>
    </w:p>
    <w:p w14:paraId="5A0CA728" w14:textId="4020B44C" w:rsidR="00B8039F" w:rsidRPr="00B8039F" w:rsidRDefault="00B8039F" w:rsidP="00817848">
      <w:pPr>
        <w:pStyle w:val="BodyText2"/>
        <w:jc w:val="center"/>
        <w:rPr>
          <w:rFonts w:ascii="Calibri" w:eastAsia="Calibri" w:hAnsi="Calibri" w:cs="Calibri"/>
        </w:rPr>
        <w:sectPr w:rsidR="00B8039F" w:rsidRPr="00B8039F" w:rsidSect="008D0A4E">
          <w:footerReference w:type="default" r:id="rId8"/>
          <w:endnotePr>
            <w:numFmt w:val="decimal"/>
          </w:endnotePr>
          <w:pgSz w:w="11907" w:h="16840" w:code="9"/>
          <w:pgMar w:top="738" w:right="927" w:bottom="1018" w:left="1260" w:header="720" w:footer="720" w:gutter="0"/>
          <w:cols w:space="720"/>
        </w:sectPr>
      </w:pPr>
    </w:p>
    <w:p w14:paraId="72A09EE1" w14:textId="77777777" w:rsidR="00975566" w:rsidRPr="0051678B" w:rsidRDefault="006900FE" w:rsidP="008440D9">
      <w:pPr>
        <w:pStyle w:val="Heading3"/>
        <w:jc w:val="left"/>
        <w:rPr>
          <w:rFonts w:ascii="Calibri" w:hAnsi="Calibri"/>
          <w:b/>
        </w:rPr>
      </w:pPr>
      <w:r w:rsidRPr="0051678B">
        <w:rPr>
          <w:rFonts w:ascii="Calibri" w:hAnsi="Calibri"/>
          <w:b/>
        </w:rPr>
        <w:lastRenderedPageBreak/>
        <w:t>II</w:t>
      </w:r>
      <w:r w:rsidR="0081403B" w:rsidRPr="0051678B">
        <w:rPr>
          <w:rFonts w:ascii="Calibri" w:hAnsi="Calibri"/>
          <w:b/>
        </w:rPr>
        <w:t xml:space="preserve">: </w:t>
      </w:r>
      <w:r w:rsidR="000C09B4" w:rsidRPr="0051678B">
        <w:rPr>
          <w:rFonts w:ascii="Calibri" w:hAnsi="Calibri"/>
          <w:b/>
        </w:rPr>
        <w:t xml:space="preserve">Country Programme Performance </w:t>
      </w:r>
      <w:r w:rsidR="00975566" w:rsidRPr="0051678B">
        <w:rPr>
          <w:rFonts w:ascii="Calibri" w:hAnsi="Calibri"/>
          <w:b/>
        </w:rPr>
        <w:t>Summary</w:t>
      </w:r>
    </w:p>
    <w:p w14:paraId="16FC19D3" w14:textId="77777777" w:rsidR="00DC7354" w:rsidRPr="0051678B"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440"/>
        <w:gridCol w:w="3960"/>
        <w:gridCol w:w="5490"/>
      </w:tblGrid>
      <w:tr w:rsidR="00E46941" w:rsidRPr="0051678B" w14:paraId="04BBDE29" w14:textId="77777777" w:rsidTr="00FF4697">
        <w:tc>
          <w:tcPr>
            <w:tcW w:w="3150" w:type="dxa"/>
            <w:tcBorders>
              <w:right w:val="nil"/>
            </w:tcBorders>
            <w:shd w:val="clear" w:color="auto" w:fill="FFC000"/>
          </w:tcPr>
          <w:p w14:paraId="60775F55" w14:textId="77777777" w:rsidR="00CB647D" w:rsidRPr="0051678B" w:rsidRDefault="00CB647D">
            <w:pPr>
              <w:pStyle w:val="BodyText2"/>
              <w:rPr>
                <w:rFonts w:ascii="Calibri" w:hAnsi="Calibri"/>
                <w:b/>
                <w:sz w:val="24"/>
              </w:rPr>
            </w:pPr>
            <w:r w:rsidRPr="0051678B">
              <w:rPr>
                <w:rFonts w:ascii="Calibri" w:hAnsi="Calibri"/>
                <w:b/>
              </w:rPr>
              <w:t>Country information</w:t>
            </w:r>
          </w:p>
        </w:tc>
        <w:tc>
          <w:tcPr>
            <w:tcW w:w="10890" w:type="dxa"/>
            <w:gridSpan w:val="3"/>
            <w:tcBorders>
              <w:left w:val="nil"/>
            </w:tcBorders>
            <w:shd w:val="clear" w:color="auto" w:fill="FFC000"/>
          </w:tcPr>
          <w:p w14:paraId="5E913C1C" w14:textId="77777777" w:rsidR="00CB647D" w:rsidRPr="0051678B" w:rsidRDefault="00CB647D">
            <w:pPr>
              <w:pStyle w:val="BodyText2"/>
              <w:rPr>
                <w:rFonts w:ascii="Calibri" w:hAnsi="Calibri"/>
                <w:b/>
                <w:sz w:val="24"/>
              </w:rPr>
            </w:pPr>
          </w:p>
        </w:tc>
      </w:tr>
      <w:tr w:rsidR="00E46941" w:rsidRPr="0051678B" w14:paraId="47964943" w14:textId="77777777" w:rsidTr="00FF4697">
        <w:tc>
          <w:tcPr>
            <w:tcW w:w="14040" w:type="dxa"/>
            <w:gridSpan w:val="4"/>
          </w:tcPr>
          <w:p w14:paraId="36467228" w14:textId="77777777" w:rsidR="009B76A1" w:rsidRPr="0051678B" w:rsidRDefault="009B76A1" w:rsidP="00633DC3">
            <w:pPr>
              <w:pStyle w:val="BodyText2"/>
              <w:rPr>
                <w:rFonts w:ascii="Calibri" w:hAnsi="Calibri"/>
                <w:b/>
                <w:sz w:val="24"/>
              </w:rPr>
            </w:pPr>
            <w:r w:rsidRPr="0051678B">
              <w:rPr>
                <w:rFonts w:ascii="Calibri" w:hAnsi="Calibri"/>
                <w:b/>
              </w:rPr>
              <w:t>Country name:</w:t>
            </w:r>
            <w:r w:rsidR="007A5990" w:rsidRPr="0051678B">
              <w:rPr>
                <w:rFonts w:ascii="Calibri" w:hAnsi="Calibri"/>
                <w:b/>
              </w:rPr>
              <w:t xml:space="preserve"> </w:t>
            </w:r>
            <w:r w:rsidR="00633DC3" w:rsidRPr="0051678B">
              <w:rPr>
                <w:rFonts w:ascii="Calibri" w:hAnsi="Calibri"/>
              </w:rPr>
              <w:t>Republic of Moldova</w:t>
            </w:r>
          </w:p>
        </w:tc>
      </w:tr>
      <w:tr w:rsidR="00E46941" w:rsidRPr="0051678B" w14:paraId="7AFDDA67" w14:textId="77777777" w:rsidTr="00FF4697">
        <w:tc>
          <w:tcPr>
            <w:tcW w:w="14040" w:type="dxa"/>
            <w:gridSpan w:val="4"/>
          </w:tcPr>
          <w:p w14:paraId="6B857C49" w14:textId="77777777" w:rsidR="009B76A1" w:rsidRPr="0051678B" w:rsidRDefault="009B76A1" w:rsidP="00633DC3">
            <w:pPr>
              <w:pStyle w:val="BodyText2"/>
              <w:rPr>
                <w:rFonts w:ascii="Calibri" w:hAnsi="Calibri"/>
                <w:b/>
              </w:rPr>
            </w:pPr>
            <w:r w:rsidRPr="0051678B">
              <w:rPr>
                <w:rFonts w:ascii="Calibri" w:hAnsi="Calibri"/>
                <w:b/>
              </w:rPr>
              <w:t>Current country programme period:</w:t>
            </w:r>
            <w:r w:rsidR="007A5990" w:rsidRPr="0051678B">
              <w:rPr>
                <w:rFonts w:ascii="Calibri" w:hAnsi="Calibri"/>
                <w:b/>
              </w:rPr>
              <w:t xml:space="preserve"> </w:t>
            </w:r>
            <w:r w:rsidR="007A5990" w:rsidRPr="0051678B">
              <w:rPr>
                <w:rFonts w:ascii="Calibri" w:hAnsi="Calibri"/>
              </w:rPr>
              <w:t>201</w:t>
            </w:r>
            <w:r w:rsidR="00633DC3" w:rsidRPr="0051678B">
              <w:rPr>
                <w:rFonts w:ascii="Calibri" w:hAnsi="Calibri"/>
              </w:rPr>
              <w:t>3</w:t>
            </w:r>
            <w:r w:rsidR="007A5990" w:rsidRPr="0051678B">
              <w:rPr>
                <w:rFonts w:ascii="Calibri" w:hAnsi="Calibri"/>
              </w:rPr>
              <w:t>-201</w:t>
            </w:r>
            <w:r w:rsidR="00633DC3" w:rsidRPr="0051678B">
              <w:rPr>
                <w:rFonts w:ascii="Calibri" w:hAnsi="Calibri"/>
              </w:rPr>
              <w:t>7</w:t>
            </w:r>
          </w:p>
        </w:tc>
      </w:tr>
      <w:tr w:rsidR="00E46941" w:rsidRPr="0051678B" w14:paraId="7014A696" w14:textId="77777777" w:rsidTr="00FF4697">
        <w:tc>
          <w:tcPr>
            <w:tcW w:w="3150" w:type="dxa"/>
            <w:tcBorders>
              <w:bottom w:val="single" w:sz="4" w:space="0" w:color="auto"/>
            </w:tcBorders>
            <w:shd w:val="clear" w:color="auto" w:fill="95B3D7"/>
          </w:tcPr>
          <w:p w14:paraId="77B0922F" w14:textId="77777777" w:rsidR="009169C1" w:rsidRPr="0051678B" w:rsidRDefault="009169C1" w:rsidP="00D46D61">
            <w:pPr>
              <w:pStyle w:val="BodyText2"/>
              <w:rPr>
                <w:rFonts w:ascii="Calibri" w:hAnsi="Calibri"/>
                <w:b/>
                <w:sz w:val="24"/>
              </w:rPr>
            </w:pPr>
            <w:r w:rsidRPr="0051678B">
              <w:rPr>
                <w:rFonts w:ascii="Calibri" w:hAnsi="Calibri"/>
                <w:b/>
                <w:sz w:val="24"/>
              </w:rPr>
              <w:t>Outcomes</w:t>
            </w:r>
          </w:p>
        </w:tc>
        <w:tc>
          <w:tcPr>
            <w:tcW w:w="1440" w:type="dxa"/>
            <w:tcBorders>
              <w:bottom w:val="single" w:sz="4" w:space="0" w:color="auto"/>
            </w:tcBorders>
            <w:shd w:val="clear" w:color="auto" w:fill="auto"/>
          </w:tcPr>
          <w:p w14:paraId="4BE4FD26" w14:textId="77777777" w:rsidR="009169C1" w:rsidRPr="0051678B" w:rsidRDefault="009169C1" w:rsidP="00D46D61">
            <w:pPr>
              <w:pStyle w:val="BodyText2"/>
              <w:rPr>
                <w:rFonts w:ascii="Calibri" w:hAnsi="Calibri"/>
                <w:b/>
                <w:sz w:val="22"/>
              </w:rPr>
            </w:pPr>
            <w:r w:rsidRPr="0051678B">
              <w:rPr>
                <w:rFonts w:ascii="Calibri" w:hAnsi="Calibri"/>
                <w:b/>
                <w:sz w:val="22"/>
              </w:rPr>
              <w:t>Total Expenditure</w:t>
            </w:r>
          </w:p>
        </w:tc>
        <w:tc>
          <w:tcPr>
            <w:tcW w:w="3960" w:type="dxa"/>
            <w:tcBorders>
              <w:left w:val="single" w:sz="4" w:space="0" w:color="auto"/>
              <w:bottom w:val="single" w:sz="4" w:space="0" w:color="auto"/>
            </w:tcBorders>
          </w:tcPr>
          <w:p w14:paraId="2AD0802F" w14:textId="77777777" w:rsidR="009169C1" w:rsidRPr="0051678B" w:rsidRDefault="009169C1" w:rsidP="00D46D61">
            <w:pPr>
              <w:pStyle w:val="BodyText2"/>
              <w:rPr>
                <w:rFonts w:ascii="Calibri" w:hAnsi="Calibri"/>
                <w:b/>
                <w:sz w:val="22"/>
              </w:rPr>
            </w:pPr>
            <w:r w:rsidRPr="0051678B">
              <w:rPr>
                <w:rFonts w:ascii="Calibri" w:hAnsi="Calibri"/>
                <w:b/>
                <w:sz w:val="22"/>
              </w:rPr>
              <w:t>Key Indicators of outcome (1-4 per outcome)</w:t>
            </w:r>
          </w:p>
        </w:tc>
        <w:tc>
          <w:tcPr>
            <w:tcW w:w="5490" w:type="dxa"/>
            <w:tcBorders>
              <w:bottom w:val="single" w:sz="4" w:space="0" w:color="auto"/>
            </w:tcBorders>
            <w:shd w:val="clear" w:color="auto" w:fill="auto"/>
          </w:tcPr>
          <w:p w14:paraId="1BD25BB3" w14:textId="77777777" w:rsidR="009169C1" w:rsidRPr="0051678B" w:rsidRDefault="009169C1" w:rsidP="00D46D61">
            <w:pPr>
              <w:pStyle w:val="BodyText2"/>
              <w:rPr>
                <w:rFonts w:ascii="Calibri" w:hAnsi="Calibri"/>
                <w:b/>
                <w:sz w:val="22"/>
              </w:rPr>
            </w:pPr>
            <w:r w:rsidRPr="0051678B">
              <w:rPr>
                <w:rFonts w:ascii="Calibri" w:hAnsi="Calibri"/>
                <w:b/>
                <w:sz w:val="22"/>
              </w:rPr>
              <w:t>Progress made against key indicators</w:t>
            </w:r>
          </w:p>
        </w:tc>
      </w:tr>
      <w:tr w:rsidR="00015796" w:rsidRPr="0051678B" w14:paraId="6270341F" w14:textId="77777777" w:rsidTr="00FF4697">
        <w:tc>
          <w:tcPr>
            <w:tcW w:w="3150" w:type="dxa"/>
            <w:tcBorders>
              <w:bottom w:val="single" w:sz="4" w:space="0" w:color="auto"/>
            </w:tcBorders>
            <w:shd w:val="clear" w:color="auto" w:fill="95B3D7"/>
          </w:tcPr>
          <w:p w14:paraId="6347AA0C" w14:textId="77777777" w:rsidR="00015796" w:rsidRPr="0051678B" w:rsidRDefault="00015796" w:rsidP="00015796">
            <w:pPr>
              <w:pStyle w:val="BodyText2"/>
              <w:rPr>
                <w:rFonts w:ascii="Calibri" w:hAnsi="Calibri"/>
                <w:b/>
              </w:rPr>
            </w:pPr>
            <w:r w:rsidRPr="0051678B">
              <w:rPr>
                <w:rFonts w:ascii="Calibri" w:hAnsi="Calibri"/>
                <w:b/>
              </w:rPr>
              <w:t>OUTCOME 22.</w:t>
            </w:r>
            <w:r w:rsidRPr="0051678B">
              <w:rPr>
                <w:rFonts w:ascii="Calibri" w:hAnsi="Calibri"/>
              </w:rPr>
              <w:t xml:space="preserve"> Increased transparency, accountability and efficiency of central and local public authorities.</w:t>
            </w:r>
          </w:p>
        </w:tc>
        <w:tc>
          <w:tcPr>
            <w:tcW w:w="1440" w:type="dxa"/>
            <w:tcBorders>
              <w:bottom w:val="single" w:sz="4" w:space="0" w:color="auto"/>
            </w:tcBorders>
            <w:shd w:val="clear" w:color="auto" w:fill="auto"/>
          </w:tcPr>
          <w:p w14:paraId="2642F7B6" w14:textId="77777777" w:rsidR="00015796" w:rsidRPr="009E0B4C" w:rsidRDefault="00015796" w:rsidP="00015796">
            <w:pPr>
              <w:pStyle w:val="BodyText2"/>
              <w:rPr>
                <w:rFonts w:ascii="Calibri" w:hAnsi="Calibri"/>
                <w:highlight w:val="yellow"/>
                <w:u w:val="single"/>
              </w:rPr>
            </w:pPr>
            <w:r w:rsidRPr="009E0B4C">
              <w:rPr>
                <w:rFonts w:ascii="Calibri" w:hAnsi="Calibri"/>
                <w:u w:val="single"/>
              </w:rPr>
              <w:t xml:space="preserve">$ 27,218,630  </w:t>
            </w:r>
            <w:r w:rsidRPr="009E0B4C">
              <w:rPr>
                <w:rFonts w:ascii="Calibri" w:hAnsi="Calibri"/>
                <w:highlight w:val="yellow"/>
                <w:u w:val="single"/>
              </w:rPr>
              <w:t xml:space="preserve">    </w:t>
            </w:r>
          </w:p>
          <w:p w14:paraId="7225D688" w14:textId="77777777" w:rsidR="00015796" w:rsidRPr="0051678B" w:rsidRDefault="00015796" w:rsidP="00015796">
            <w:pPr>
              <w:pStyle w:val="BodyText2"/>
              <w:rPr>
                <w:rFonts w:ascii="Calibri" w:hAnsi="Calibri"/>
                <w:color w:val="000000"/>
                <w:sz w:val="22"/>
                <w:szCs w:val="22"/>
                <w:lang w:eastAsia="mk-MK"/>
              </w:rPr>
            </w:pPr>
          </w:p>
          <w:p w14:paraId="35B5E7ED" w14:textId="77777777" w:rsidR="00015796" w:rsidRPr="0051678B" w:rsidRDefault="00015796" w:rsidP="00015796">
            <w:pPr>
              <w:pStyle w:val="BodyText2"/>
              <w:rPr>
                <w:rFonts w:ascii="Calibri" w:hAnsi="Calibri"/>
              </w:rPr>
            </w:pPr>
          </w:p>
        </w:tc>
        <w:tc>
          <w:tcPr>
            <w:tcW w:w="3960" w:type="dxa"/>
            <w:tcBorders>
              <w:left w:val="single" w:sz="4" w:space="0" w:color="auto"/>
              <w:bottom w:val="single" w:sz="4" w:space="0" w:color="auto"/>
            </w:tcBorders>
          </w:tcPr>
          <w:p w14:paraId="1E8F5082" w14:textId="77777777" w:rsidR="00015796" w:rsidRPr="0051678B" w:rsidRDefault="00015796" w:rsidP="00015796">
            <w:pPr>
              <w:pStyle w:val="BodyText2"/>
              <w:numPr>
                <w:ilvl w:val="0"/>
                <w:numId w:val="13"/>
              </w:numPr>
              <w:rPr>
                <w:rFonts w:asciiTheme="minorHAnsi" w:hAnsiTheme="minorHAnsi"/>
                <w:i/>
              </w:rPr>
            </w:pPr>
            <w:r w:rsidRPr="0051678B">
              <w:rPr>
                <w:rFonts w:asciiTheme="minorHAnsi" w:hAnsiTheme="minorHAnsi"/>
                <w:b/>
                <w:i/>
                <w:iCs/>
                <w:color w:val="000000"/>
              </w:rPr>
              <w:t xml:space="preserve">Indicator: </w:t>
            </w:r>
            <w:r w:rsidRPr="0051678B">
              <w:rPr>
                <w:rFonts w:asciiTheme="minorHAnsi" w:hAnsiTheme="minorHAnsi"/>
                <w:i/>
                <w:iCs/>
                <w:color w:val="000000"/>
              </w:rPr>
              <w:t xml:space="preserve">Confidence in public institutions (gender disaggregated); </w:t>
            </w:r>
          </w:p>
          <w:p w14:paraId="7B1043CB" w14:textId="77777777" w:rsidR="00015796" w:rsidRPr="00392BC0" w:rsidRDefault="00015796" w:rsidP="00015796">
            <w:pPr>
              <w:pStyle w:val="BodyText2"/>
              <w:ind w:left="360"/>
              <w:rPr>
                <w:rFonts w:asciiTheme="minorHAnsi" w:hAnsiTheme="minorHAnsi"/>
                <w:b/>
                <w:i/>
                <w:iCs/>
                <w:color w:val="000000"/>
              </w:rPr>
            </w:pPr>
            <w:r w:rsidRPr="0051678B">
              <w:rPr>
                <w:rFonts w:asciiTheme="minorHAnsi" w:hAnsiTheme="minorHAnsi"/>
                <w:b/>
                <w:i/>
                <w:iCs/>
                <w:color w:val="000000"/>
              </w:rPr>
              <w:t>Baseline</w:t>
            </w:r>
            <w:r w:rsidRPr="0051678B">
              <w:rPr>
                <w:rFonts w:asciiTheme="minorHAnsi" w:hAnsiTheme="minorHAnsi"/>
                <w:i/>
                <w:iCs/>
                <w:color w:val="000000"/>
              </w:rPr>
              <w:t xml:space="preserve">: Gov: 23%; Parl: 19%; LPAs: 47%; </w:t>
            </w:r>
            <w:r w:rsidRPr="00392BC0">
              <w:rPr>
                <w:rFonts w:asciiTheme="minorHAnsi" w:hAnsiTheme="minorHAnsi"/>
                <w:b/>
                <w:i/>
                <w:iCs/>
                <w:color w:val="000000"/>
              </w:rPr>
              <w:t>Target:</w:t>
            </w:r>
            <w:r w:rsidRPr="00392BC0">
              <w:rPr>
                <w:rFonts w:asciiTheme="minorHAnsi" w:hAnsiTheme="minorHAnsi"/>
                <w:i/>
                <w:iCs/>
                <w:color w:val="000000"/>
              </w:rPr>
              <w:t xml:space="preserve"> 45%; 40%; 60%.</w:t>
            </w:r>
            <w:r w:rsidRPr="00392BC0">
              <w:rPr>
                <w:rFonts w:asciiTheme="minorHAnsi" w:hAnsiTheme="minorHAnsi"/>
                <w:b/>
                <w:i/>
                <w:iCs/>
                <w:color w:val="000000"/>
              </w:rPr>
              <w:t xml:space="preserve"> </w:t>
            </w:r>
          </w:p>
          <w:p w14:paraId="3A05C845" w14:textId="77777777" w:rsidR="00015796" w:rsidRPr="00392BC0" w:rsidRDefault="00015796" w:rsidP="00015796">
            <w:pPr>
              <w:pStyle w:val="BodyText2"/>
              <w:ind w:left="360"/>
              <w:rPr>
                <w:rFonts w:asciiTheme="minorHAnsi" w:hAnsiTheme="minorHAnsi"/>
                <w:b/>
                <w:i/>
                <w:iCs/>
                <w:color w:val="000000"/>
              </w:rPr>
            </w:pPr>
          </w:p>
          <w:p w14:paraId="0AE0CCEC" w14:textId="77777777" w:rsidR="00015796" w:rsidRPr="0051678B" w:rsidRDefault="00015796" w:rsidP="00015796">
            <w:pPr>
              <w:pStyle w:val="BodyText2"/>
              <w:numPr>
                <w:ilvl w:val="0"/>
                <w:numId w:val="13"/>
              </w:numPr>
              <w:rPr>
                <w:rFonts w:asciiTheme="minorHAnsi" w:hAnsiTheme="minorHAnsi"/>
                <w:i/>
              </w:rPr>
            </w:pPr>
            <w:r w:rsidRPr="00392BC0">
              <w:rPr>
                <w:rFonts w:asciiTheme="minorHAnsi" w:hAnsiTheme="minorHAnsi"/>
                <w:b/>
                <w:i/>
                <w:iCs/>
                <w:color w:val="000000"/>
              </w:rPr>
              <w:t xml:space="preserve">Indicator: </w:t>
            </w:r>
            <w:r w:rsidRPr="00392BC0">
              <w:rPr>
                <w:rFonts w:asciiTheme="minorHAnsi" w:hAnsiTheme="minorHAnsi"/>
                <w:i/>
                <w:iCs/>
                <w:color w:val="000000"/>
              </w:rPr>
              <w:t>W</w:t>
            </w:r>
            <w:r w:rsidRPr="00392BC0">
              <w:rPr>
                <w:rFonts w:asciiTheme="minorHAnsi" w:hAnsiTheme="minorHAnsi"/>
                <w:i/>
                <w:iCs/>
              </w:rPr>
              <w:t>omen repress. in decision-making positions</w:t>
            </w:r>
            <w:r w:rsidRPr="0051678B">
              <w:rPr>
                <w:rFonts w:asciiTheme="minorHAnsi" w:hAnsiTheme="minorHAnsi"/>
                <w:i/>
                <w:iCs/>
                <w:color w:val="000000"/>
              </w:rPr>
              <w:t xml:space="preserve">; </w:t>
            </w:r>
          </w:p>
          <w:p w14:paraId="6D2222A5" w14:textId="77777777" w:rsidR="00015796" w:rsidRDefault="00015796" w:rsidP="00015796">
            <w:pPr>
              <w:pStyle w:val="BodyText2"/>
              <w:ind w:left="360"/>
              <w:rPr>
                <w:rFonts w:asciiTheme="minorHAnsi" w:hAnsiTheme="minorHAnsi"/>
                <w:i/>
                <w:iCs/>
                <w:color w:val="000000"/>
              </w:rPr>
            </w:pPr>
            <w:r w:rsidRPr="0051678B">
              <w:rPr>
                <w:rFonts w:asciiTheme="minorHAnsi" w:hAnsiTheme="minorHAnsi"/>
                <w:b/>
                <w:i/>
                <w:iCs/>
                <w:color w:val="000000"/>
              </w:rPr>
              <w:t xml:space="preserve">Baseline </w:t>
            </w:r>
            <w:r w:rsidRPr="0051678B">
              <w:rPr>
                <w:rFonts w:asciiTheme="minorHAnsi" w:hAnsiTheme="minorHAnsi"/>
                <w:i/>
                <w:iCs/>
                <w:color w:val="000000"/>
              </w:rPr>
              <w:t xml:space="preserve">(2011): MPs-22%; 1 Minister; Mayors - 18%, Local Councillors – 28.7%; </w:t>
            </w:r>
            <w:r w:rsidRPr="0051678B">
              <w:rPr>
                <w:rFonts w:asciiTheme="minorHAnsi" w:hAnsiTheme="minorHAnsi"/>
                <w:b/>
                <w:i/>
                <w:iCs/>
                <w:color w:val="000000"/>
              </w:rPr>
              <w:t xml:space="preserve">Target: </w:t>
            </w:r>
            <w:r w:rsidRPr="0051678B">
              <w:rPr>
                <w:rFonts w:asciiTheme="minorHAnsi" w:hAnsiTheme="minorHAnsi"/>
                <w:i/>
                <w:iCs/>
                <w:color w:val="000000"/>
              </w:rPr>
              <w:t xml:space="preserve">30%; 25%,40%; </w:t>
            </w:r>
          </w:p>
          <w:p w14:paraId="5197F486" w14:textId="77777777" w:rsidR="00015796" w:rsidRPr="0051678B" w:rsidRDefault="00015796" w:rsidP="00015796">
            <w:pPr>
              <w:pStyle w:val="BodyText2"/>
              <w:ind w:left="360"/>
              <w:rPr>
                <w:rFonts w:asciiTheme="minorHAnsi" w:hAnsiTheme="minorHAnsi"/>
                <w:i/>
                <w:iCs/>
                <w:color w:val="000000"/>
              </w:rPr>
            </w:pPr>
          </w:p>
          <w:p w14:paraId="4D8C97C3" w14:textId="77777777" w:rsidR="00015796" w:rsidRPr="0051678B" w:rsidRDefault="00015796" w:rsidP="00015796">
            <w:pPr>
              <w:pStyle w:val="BodyText2"/>
              <w:numPr>
                <w:ilvl w:val="0"/>
                <w:numId w:val="13"/>
              </w:numPr>
              <w:rPr>
                <w:rFonts w:ascii="Calibri" w:hAnsi="Calibri"/>
                <w:i/>
              </w:rPr>
            </w:pPr>
            <w:r w:rsidRPr="0051678B">
              <w:rPr>
                <w:rFonts w:asciiTheme="minorHAnsi" w:hAnsiTheme="minorHAnsi"/>
                <w:b/>
                <w:i/>
                <w:iCs/>
                <w:color w:val="000000"/>
              </w:rPr>
              <w:t xml:space="preserve">Indicator: </w:t>
            </w:r>
            <w:r w:rsidRPr="0051678B">
              <w:rPr>
                <w:rFonts w:asciiTheme="minorHAnsi" w:hAnsiTheme="minorHAnsi"/>
                <w:i/>
                <w:iCs/>
                <w:color w:val="000000"/>
              </w:rPr>
              <w:t xml:space="preserve">Degree of implementation of Decentralisation Strategy; </w:t>
            </w:r>
            <w:r w:rsidRPr="0051678B">
              <w:rPr>
                <w:rFonts w:asciiTheme="minorHAnsi" w:hAnsiTheme="minorHAnsi"/>
                <w:b/>
                <w:i/>
                <w:iCs/>
                <w:color w:val="000000"/>
              </w:rPr>
              <w:t>Baseline</w:t>
            </w:r>
            <w:r w:rsidRPr="0051678B">
              <w:rPr>
                <w:rFonts w:asciiTheme="minorHAnsi" w:hAnsiTheme="minorHAnsi"/>
                <w:i/>
                <w:iCs/>
                <w:color w:val="000000"/>
              </w:rPr>
              <w:t xml:space="preserve">: Approved in 2012; </w:t>
            </w:r>
            <w:r w:rsidRPr="0051678B">
              <w:rPr>
                <w:rFonts w:asciiTheme="minorHAnsi" w:hAnsiTheme="minorHAnsi"/>
                <w:b/>
                <w:i/>
                <w:iCs/>
                <w:color w:val="000000"/>
              </w:rPr>
              <w:t>Target:</w:t>
            </w:r>
            <w:r w:rsidRPr="0051678B">
              <w:rPr>
                <w:rFonts w:asciiTheme="minorHAnsi" w:hAnsiTheme="minorHAnsi"/>
                <w:i/>
                <w:iCs/>
                <w:color w:val="000000"/>
              </w:rPr>
              <w:t xml:space="preserve"> 70% implemented.</w:t>
            </w:r>
            <w:r w:rsidRPr="0051678B">
              <w:rPr>
                <w:rFonts w:ascii="Calibri" w:hAnsi="Calibri"/>
                <w:i/>
              </w:rPr>
              <w:t xml:space="preserve"> </w:t>
            </w:r>
          </w:p>
        </w:tc>
        <w:tc>
          <w:tcPr>
            <w:tcW w:w="5490" w:type="dxa"/>
            <w:tcBorders>
              <w:bottom w:val="single" w:sz="4" w:space="0" w:color="auto"/>
            </w:tcBorders>
            <w:shd w:val="clear" w:color="auto" w:fill="auto"/>
          </w:tcPr>
          <w:p w14:paraId="25A700F0" w14:textId="77777777" w:rsidR="00015796" w:rsidRDefault="00015796" w:rsidP="00015796">
            <w:pPr>
              <w:pStyle w:val="BodyText2"/>
              <w:numPr>
                <w:ilvl w:val="0"/>
                <w:numId w:val="14"/>
              </w:numPr>
              <w:rPr>
                <w:rFonts w:ascii="Calibri" w:hAnsi="Calibri"/>
                <w:i/>
              </w:rPr>
            </w:pPr>
            <w:r w:rsidRPr="0051678B">
              <w:rPr>
                <w:rFonts w:ascii="Calibri" w:hAnsi="Calibri"/>
                <w:i/>
              </w:rPr>
              <w:t>201</w:t>
            </w:r>
            <w:r>
              <w:rPr>
                <w:rFonts w:ascii="Calibri" w:hAnsi="Calibri"/>
                <w:i/>
              </w:rPr>
              <w:t>6</w:t>
            </w:r>
            <w:r w:rsidRPr="0051678B">
              <w:rPr>
                <w:rFonts w:ascii="Calibri" w:hAnsi="Calibri"/>
                <w:i/>
              </w:rPr>
              <w:t xml:space="preserve">: </w:t>
            </w:r>
          </w:p>
          <w:p w14:paraId="12DBBCA6" w14:textId="77777777" w:rsidR="00015796" w:rsidRPr="0051678B" w:rsidRDefault="00015796" w:rsidP="00015796">
            <w:pPr>
              <w:pStyle w:val="BodyText2"/>
              <w:ind w:left="360"/>
              <w:rPr>
                <w:rFonts w:ascii="Calibri" w:hAnsi="Calibri"/>
                <w:i/>
              </w:rPr>
            </w:pPr>
            <w:r w:rsidRPr="0051678B">
              <w:rPr>
                <w:rFonts w:ascii="Calibri" w:hAnsi="Calibri"/>
                <w:i/>
              </w:rPr>
              <w:t xml:space="preserve">Gov: </w:t>
            </w:r>
            <w:r w:rsidRPr="009F7813">
              <w:rPr>
                <w:rFonts w:ascii="Calibri" w:hAnsi="Calibri"/>
                <w:i/>
              </w:rPr>
              <w:t xml:space="preserve">9.2%; </w:t>
            </w:r>
            <w:r w:rsidRPr="0051678B">
              <w:rPr>
                <w:rFonts w:ascii="Calibri" w:hAnsi="Calibri"/>
                <w:i/>
              </w:rPr>
              <w:t>Parl: 6%;</w:t>
            </w:r>
            <w:r>
              <w:rPr>
                <w:rFonts w:ascii="Calibri" w:hAnsi="Calibri"/>
                <w:i/>
              </w:rPr>
              <w:t xml:space="preserve"> </w:t>
            </w:r>
            <w:r w:rsidRPr="0051678B">
              <w:rPr>
                <w:rFonts w:ascii="Calibri" w:hAnsi="Calibri"/>
                <w:i/>
              </w:rPr>
              <w:t>LPAs: 52%;</w:t>
            </w:r>
          </w:p>
          <w:p w14:paraId="12E0EE65" w14:textId="77777777" w:rsidR="00015796" w:rsidRPr="0051678B" w:rsidRDefault="00015796" w:rsidP="00015796">
            <w:pPr>
              <w:pStyle w:val="BodyText2"/>
              <w:ind w:left="360"/>
              <w:rPr>
                <w:rFonts w:ascii="Calibri" w:hAnsi="Calibri"/>
                <w:i/>
              </w:rPr>
            </w:pPr>
            <w:r w:rsidRPr="0051678B">
              <w:rPr>
                <w:rFonts w:ascii="Calibri" w:hAnsi="Calibri"/>
                <w:i/>
              </w:rPr>
              <w:t xml:space="preserve">Male: </w:t>
            </w:r>
            <w:r>
              <w:rPr>
                <w:rFonts w:ascii="Calibri" w:hAnsi="Calibri"/>
                <w:i/>
              </w:rPr>
              <w:t>10,3%, 6,9%</w:t>
            </w:r>
            <w:r w:rsidRPr="0051678B">
              <w:rPr>
                <w:rFonts w:ascii="Calibri" w:hAnsi="Calibri"/>
                <w:i/>
              </w:rPr>
              <w:t>; 50%</w:t>
            </w:r>
          </w:p>
          <w:p w14:paraId="5A26541C" w14:textId="77777777" w:rsidR="00015796" w:rsidRDefault="00015796" w:rsidP="00015796">
            <w:pPr>
              <w:pStyle w:val="BodyText2"/>
              <w:ind w:left="360"/>
              <w:rPr>
                <w:rFonts w:ascii="Calibri" w:hAnsi="Calibri"/>
                <w:i/>
              </w:rPr>
            </w:pPr>
            <w:r w:rsidRPr="0051678B">
              <w:rPr>
                <w:rFonts w:ascii="Calibri" w:hAnsi="Calibri"/>
                <w:i/>
              </w:rPr>
              <w:t>Female: 8</w:t>
            </w:r>
            <w:r>
              <w:rPr>
                <w:rFonts w:ascii="Calibri" w:hAnsi="Calibri"/>
                <w:i/>
              </w:rPr>
              <w:t>,3</w:t>
            </w:r>
            <w:r w:rsidRPr="0051678B">
              <w:rPr>
                <w:rFonts w:ascii="Calibri" w:hAnsi="Calibri"/>
                <w:i/>
              </w:rPr>
              <w:t xml:space="preserve">%; </w:t>
            </w:r>
            <w:r>
              <w:rPr>
                <w:rFonts w:ascii="Calibri" w:hAnsi="Calibri"/>
                <w:i/>
              </w:rPr>
              <w:t>5,2</w:t>
            </w:r>
            <w:r w:rsidRPr="0051678B">
              <w:rPr>
                <w:rFonts w:ascii="Calibri" w:hAnsi="Calibri"/>
                <w:i/>
              </w:rPr>
              <w:t>%; 55%</w:t>
            </w:r>
          </w:p>
          <w:p w14:paraId="0B759197" w14:textId="77777777" w:rsidR="00015796" w:rsidRDefault="00015796" w:rsidP="00015796">
            <w:pPr>
              <w:pStyle w:val="BodyText2"/>
              <w:ind w:left="360"/>
              <w:rPr>
                <w:rFonts w:ascii="Calibri" w:hAnsi="Calibri"/>
                <w:i/>
              </w:rPr>
            </w:pPr>
          </w:p>
          <w:p w14:paraId="385EF20C" w14:textId="77777777" w:rsidR="00015796" w:rsidRPr="009F7813" w:rsidRDefault="00015796" w:rsidP="00015796">
            <w:pPr>
              <w:pStyle w:val="BodyText2"/>
              <w:numPr>
                <w:ilvl w:val="0"/>
                <w:numId w:val="14"/>
              </w:numPr>
              <w:rPr>
                <w:rFonts w:ascii="Calibri" w:hAnsi="Calibri"/>
                <w:i/>
              </w:rPr>
            </w:pPr>
            <w:r w:rsidRPr="009F7813">
              <w:rPr>
                <w:rFonts w:ascii="Calibri" w:hAnsi="Calibri"/>
                <w:i/>
              </w:rPr>
              <w:t xml:space="preserve">2016: MPs: 21.8%; Government Cabinet: Women 21%; </w:t>
            </w:r>
          </w:p>
          <w:p w14:paraId="2D7885EF" w14:textId="77777777" w:rsidR="00015796" w:rsidRPr="0001368D" w:rsidRDefault="00015796" w:rsidP="00015796">
            <w:pPr>
              <w:pStyle w:val="BodyText2"/>
              <w:ind w:left="360"/>
              <w:rPr>
                <w:rFonts w:ascii="Calibri" w:hAnsi="Calibri"/>
                <w:i/>
              </w:rPr>
            </w:pPr>
            <w:r>
              <w:rPr>
                <w:rFonts w:ascii="Calibri" w:hAnsi="Calibri"/>
                <w:i/>
              </w:rPr>
              <w:t>M</w:t>
            </w:r>
            <w:r w:rsidRPr="0001368D">
              <w:rPr>
                <w:rFonts w:ascii="Calibri" w:hAnsi="Calibri"/>
                <w:i/>
              </w:rPr>
              <w:t>ayors</w:t>
            </w:r>
            <w:r>
              <w:rPr>
                <w:rFonts w:ascii="Calibri" w:hAnsi="Calibri"/>
                <w:i/>
              </w:rPr>
              <w:t>:</w:t>
            </w:r>
            <w:r w:rsidRPr="0001368D">
              <w:rPr>
                <w:rFonts w:ascii="Calibri" w:hAnsi="Calibri"/>
                <w:i/>
              </w:rPr>
              <w:t xml:space="preserve"> 20.6%; </w:t>
            </w:r>
            <w:r>
              <w:rPr>
                <w:rFonts w:ascii="Calibri" w:hAnsi="Calibri"/>
                <w:i/>
              </w:rPr>
              <w:t xml:space="preserve">Local councillors: </w:t>
            </w:r>
            <w:r w:rsidRPr="0001368D">
              <w:rPr>
                <w:rFonts w:ascii="Calibri" w:hAnsi="Calibri"/>
                <w:i/>
              </w:rPr>
              <w:t xml:space="preserve">30%;  </w:t>
            </w:r>
          </w:p>
          <w:p w14:paraId="03B6F7EC" w14:textId="77777777" w:rsidR="00015796" w:rsidRDefault="00015796" w:rsidP="00015796">
            <w:pPr>
              <w:pStyle w:val="BodyText2"/>
              <w:ind w:left="360"/>
              <w:rPr>
                <w:rFonts w:ascii="Calibri" w:hAnsi="Calibri"/>
                <w:i/>
              </w:rPr>
            </w:pPr>
            <w:r>
              <w:rPr>
                <w:rFonts w:ascii="Calibri" w:hAnsi="Calibri"/>
                <w:i/>
              </w:rPr>
              <w:t>D</w:t>
            </w:r>
            <w:r w:rsidRPr="0001368D">
              <w:rPr>
                <w:rFonts w:ascii="Calibri" w:hAnsi="Calibri"/>
                <w:i/>
              </w:rPr>
              <w:t xml:space="preserve">istrict </w:t>
            </w:r>
            <w:r>
              <w:rPr>
                <w:rFonts w:ascii="Calibri" w:hAnsi="Calibri"/>
                <w:i/>
              </w:rPr>
              <w:t>C</w:t>
            </w:r>
            <w:r w:rsidRPr="0001368D">
              <w:rPr>
                <w:rFonts w:ascii="Calibri" w:hAnsi="Calibri"/>
                <w:i/>
              </w:rPr>
              <w:t>ouncillors</w:t>
            </w:r>
            <w:r>
              <w:rPr>
                <w:rFonts w:ascii="Calibri" w:hAnsi="Calibri"/>
                <w:i/>
              </w:rPr>
              <w:t xml:space="preserve">: </w:t>
            </w:r>
            <w:r w:rsidRPr="0001368D">
              <w:rPr>
                <w:rFonts w:ascii="Calibri" w:hAnsi="Calibri"/>
                <w:i/>
              </w:rPr>
              <w:t xml:space="preserve">18.5%; </w:t>
            </w:r>
          </w:p>
          <w:p w14:paraId="1D51C0E6" w14:textId="77777777" w:rsidR="00015796" w:rsidRDefault="00015796" w:rsidP="00015796">
            <w:pPr>
              <w:pStyle w:val="BodyText2"/>
              <w:ind w:left="360"/>
              <w:rPr>
                <w:rFonts w:ascii="Calibri" w:hAnsi="Calibri"/>
                <w:i/>
              </w:rPr>
            </w:pPr>
          </w:p>
          <w:p w14:paraId="6461F8D1" w14:textId="77777777" w:rsidR="00015796" w:rsidRDefault="00015796" w:rsidP="00015796">
            <w:pPr>
              <w:pStyle w:val="BodyText2"/>
              <w:ind w:left="360"/>
              <w:rPr>
                <w:rFonts w:ascii="Calibri" w:hAnsi="Calibri"/>
                <w:i/>
              </w:rPr>
            </w:pPr>
          </w:p>
          <w:p w14:paraId="1D934BC9" w14:textId="77777777" w:rsidR="00015796" w:rsidRDefault="00015796" w:rsidP="00015796">
            <w:pPr>
              <w:pStyle w:val="BodyText2"/>
              <w:ind w:left="360"/>
              <w:rPr>
                <w:rFonts w:ascii="Calibri" w:hAnsi="Calibri"/>
                <w:i/>
              </w:rPr>
            </w:pPr>
          </w:p>
          <w:p w14:paraId="36CF1A0A" w14:textId="77777777" w:rsidR="00015796" w:rsidRPr="0051678B" w:rsidRDefault="00015796" w:rsidP="00015796">
            <w:pPr>
              <w:pStyle w:val="BodyText2"/>
              <w:numPr>
                <w:ilvl w:val="0"/>
                <w:numId w:val="14"/>
              </w:numPr>
              <w:rPr>
                <w:rFonts w:ascii="Calibri" w:hAnsi="Calibri"/>
                <w:i/>
              </w:rPr>
            </w:pPr>
            <w:r w:rsidRPr="0051678B">
              <w:rPr>
                <w:rFonts w:ascii="Calibri" w:hAnsi="Calibri"/>
                <w:b/>
                <w:i/>
              </w:rPr>
              <w:t>2015</w:t>
            </w:r>
            <w:r w:rsidRPr="0051678B">
              <w:rPr>
                <w:rFonts w:ascii="Calibri" w:hAnsi="Calibri"/>
                <w:i/>
              </w:rPr>
              <w:t>: 57</w:t>
            </w:r>
            <w:r>
              <w:rPr>
                <w:rFonts w:ascii="Calibri" w:hAnsi="Calibri"/>
                <w:i/>
              </w:rPr>
              <w:t>%</w:t>
            </w:r>
            <w:r w:rsidRPr="0051678B">
              <w:rPr>
                <w:rFonts w:ascii="Calibri" w:hAnsi="Calibri"/>
                <w:i/>
              </w:rPr>
              <w:t xml:space="preserve"> </w:t>
            </w:r>
          </w:p>
          <w:p w14:paraId="4226B811" w14:textId="77777777" w:rsidR="00015796" w:rsidRPr="0051678B" w:rsidRDefault="00015796" w:rsidP="00015796">
            <w:pPr>
              <w:pStyle w:val="BodyText2"/>
              <w:ind w:left="360"/>
              <w:rPr>
                <w:rFonts w:ascii="Calibri" w:hAnsi="Calibri"/>
                <w:i/>
              </w:rPr>
            </w:pPr>
          </w:p>
        </w:tc>
      </w:tr>
      <w:tr w:rsidR="00015796" w:rsidRPr="0051678B" w14:paraId="66CAD514" w14:textId="77777777" w:rsidTr="00FF4697">
        <w:tc>
          <w:tcPr>
            <w:tcW w:w="14040" w:type="dxa"/>
            <w:gridSpan w:val="4"/>
            <w:tcBorders>
              <w:bottom w:val="single" w:sz="4" w:space="0" w:color="auto"/>
            </w:tcBorders>
            <w:shd w:val="clear" w:color="auto" w:fill="auto"/>
          </w:tcPr>
          <w:p w14:paraId="05F2D364" w14:textId="77777777" w:rsidR="00015796" w:rsidRDefault="00015796" w:rsidP="00015796">
            <w:pPr>
              <w:pStyle w:val="BodyText2"/>
              <w:rPr>
                <w:rFonts w:ascii="Calibri" w:hAnsi="Calibri"/>
                <w:b/>
              </w:rPr>
            </w:pPr>
            <w:r w:rsidRPr="0051678B">
              <w:rPr>
                <w:rFonts w:ascii="Calibri" w:hAnsi="Calibri"/>
                <w:b/>
              </w:rPr>
              <w:t>UNDP Contribution:</w:t>
            </w:r>
          </w:p>
          <w:p w14:paraId="5E7B7F41" w14:textId="6710AE12" w:rsidR="00015796" w:rsidRPr="0051678B" w:rsidRDefault="00015796" w:rsidP="00015796">
            <w:pPr>
              <w:pStyle w:val="BodyText2"/>
              <w:rPr>
                <w:rFonts w:ascii="Calibri" w:hAnsi="Calibri"/>
              </w:rPr>
            </w:pPr>
            <w:r w:rsidRPr="0051678B">
              <w:rPr>
                <w:rFonts w:ascii="Calibri" w:hAnsi="Calibri"/>
                <w:u w:val="single"/>
              </w:rPr>
              <w:t>CP Outputs</w:t>
            </w:r>
            <w:r w:rsidRPr="0051678B">
              <w:rPr>
                <w:rFonts w:ascii="Calibri" w:hAnsi="Calibri"/>
              </w:rPr>
              <w:t>:</w:t>
            </w:r>
          </w:p>
          <w:p w14:paraId="42CDCF0F" w14:textId="77777777" w:rsidR="00015796" w:rsidRPr="0051678B" w:rsidRDefault="00015796" w:rsidP="00015796">
            <w:pPr>
              <w:pStyle w:val="BodyText2"/>
              <w:rPr>
                <w:rFonts w:ascii="Calibri" w:hAnsi="Calibri"/>
              </w:rPr>
            </w:pPr>
            <w:r w:rsidRPr="0051678B">
              <w:rPr>
                <w:rFonts w:ascii="Calibri" w:hAnsi="Calibri"/>
              </w:rPr>
              <w:t>1. A modernized public administration system able to efficiently develop, implement and monitor policies and EU association agenda.</w:t>
            </w:r>
          </w:p>
          <w:p w14:paraId="6C8D423F" w14:textId="77777777" w:rsidR="00015796" w:rsidRPr="0051678B" w:rsidRDefault="00015796" w:rsidP="00015796">
            <w:pPr>
              <w:pStyle w:val="BodyText2"/>
              <w:rPr>
                <w:rFonts w:ascii="Calibri" w:hAnsi="Calibri"/>
              </w:rPr>
            </w:pPr>
            <w:r w:rsidRPr="0051678B">
              <w:rPr>
                <w:rFonts w:ascii="Calibri" w:hAnsi="Calibri"/>
              </w:rPr>
              <w:t>2. The Parliament is better able to exercise its representation, oversight and law making functions ensuring human rights and gender equality.</w:t>
            </w:r>
          </w:p>
          <w:p w14:paraId="023355E3" w14:textId="77777777" w:rsidR="00015796" w:rsidRPr="0051678B" w:rsidRDefault="00015796" w:rsidP="00015796">
            <w:pPr>
              <w:pStyle w:val="BodyText2"/>
              <w:rPr>
                <w:rFonts w:ascii="Calibri" w:hAnsi="Calibri"/>
              </w:rPr>
            </w:pPr>
            <w:r w:rsidRPr="0051678B">
              <w:rPr>
                <w:rFonts w:ascii="Calibri" w:hAnsi="Calibri"/>
              </w:rPr>
              <w:t>3. LPAs have larger autonomy, incl. financial, better capacity to exercise its functions applying human rights and gender equality.</w:t>
            </w:r>
          </w:p>
          <w:p w14:paraId="0672A7A1" w14:textId="77777777" w:rsidR="00015796" w:rsidRPr="0051678B" w:rsidRDefault="00015796" w:rsidP="00015796">
            <w:pPr>
              <w:pStyle w:val="BodyText2"/>
              <w:rPr>
                <w:rFonts w:ascii="Calibri" w:hAnsi="Calibri"/>
              </w:rPr>
            </w:pPr>
          </w:p>
          <w:p w14:paraId="77958DE0" w14:textId="77777777" w:rsidR="00015796" w:rsidRPr="0051678B" w:rsidRDefault="00015796" w:rsidP="00015796">
            <w:pPr>
              <w:pStyle w:val="BodyText2"/>
              <w:rPr>
                <w:rFonts w:ascii="Calibri" w:hAnsi="Calibri"/>
              </w:rPr>
            </w:pPr>
            <w:r w:rsidRPr="0051678B">
              <w:rPr>
                <w:rFonts w:ascii="Calibri" w:hAnsi="Calibri"/>
                <w:u w:val="single"/>
              </w:rPr>
              <w:t>Progress and Achievements</w:t>
            </w:r>
            <w:r w:rsidRPr="0051678B">
              <w:rPr>
                <w:rFonts w:ascii="Calibri" w:hAnsi="Calibri"/>
              </w:rPr>
              <w:t>:</w:t>
            </w:r>
          </w:p>
          <w:p w14:paraId="6269047C" w14:textId="33DCD5DE" w:rsidR="00015796" w:rsidRDefault="00015796" w:rsidP="00015796">
            <w:pPr>
              <w:pStyle w:val="BodyText2"/>
              <w:rPr>
                <w:rFonts w:ascii="Calibri" w:hAnsi="Calibri"/>
              </w:rPr>
            </w:pPr>
            <w:r w:rsidRPr="00F63BEC">
              <w:rPr>
                <w:rFonts w:ascii="Calibri" w:hAnsi="Calibri"/>
              </w:rPr>
              <w:t xml:space="preserve">The </w:t>
            </w:r>
            <w:r w:rsidRPr="008B021C">
              <w:rPr>
                <w:rFonts w:ascii="Calibri" w:hAnsi="Calibri"/>
                <w:u w:val="single"/>
              </w:rPr>
              <w:t>political context</w:t>
            </w:r>
            <w:r w:rsidRPr="00F63BEC">
              <w:rPr>
                <w:rFonts w:ascii="Calibri" w:hAnsi="Calibri"/>
              </w:rPr>
              <w:t xml:space="preserve"> during the CPD cycle did not present a co</w:t>
            </w:r>
            <w:r>
              <w:rPr>
                <w:rFonts w:ascii="Calibri" w:hAnsi="Calibri"/>
              </w:rPr>
              <w:t>nducive</w:t>
            </w:r>
            <w:r w:rsidRPr="00F63BEC">
              <w:rPr>
                <w:rFonts w:ascii="Calibri" w:hAnsi="Calibri"/>
              </w:rPr>
              <w:t xml:space="preserve"> environment for moving forward the democratic reforms. UNDP had to establish relations with five </w:t>
            </w:r>
            <w:r w:rsidR="009321CB">
              <w:rPr>
                <w:rFonts w:ascii="Calibri" w:hAnsi="Calibri"/>
              </w:rPr>
              <w:t xml:space="preserve">consecutive </w:t>
            </w:r>
            <w:r w:rsidRPr="00F63BEC">
              <w:rPr>
                <w:rFonts w:ascii="Calibri" w:hAnsi="Calibri"/>
              </w:rPr>
              <w:t xml:space="preserve">Governments during four years, while the country </w:t>
            </w:r>
            <w:r>
              <w:rPr>
                <w:rFonts w:ascii="Calibri" w:hAnsi="Calibri"/>
              </w:rPr>
              <w:t>faced</w:t>
            </w:r>
            <w:r w:rsidRPr="00F63BEC">
              <w:rPr>
                <w:rFonts w:ascii="Calibri" w:hAnsi="Calibri"/>
              </w:rPr>
              <w:t xml:space="preserve"> three general elections – </w:t>
            </w:r>
            <w:r>
              <w:rPr>
                <w:rFonts w:ascii="Calibri" w:hAnsi="Calibri"/>
              </w:rPr>
              <w:t xml:space="preserve">to </w:t>
            </w:r>
            <w:r w:rsidRPr="00F63BEC">
              <w:rPr>
                <w:rFonts w:ascii="Calibri" w:hAnsi="Calibri"/>
              </w:rPr>
              <w:t>the Parliament in 2014, local elections in 2015, and Presidential elections in 2016, all disrupting the work of the Government and the Parliament and causing delays in adoption of important political decisions, policy and legislation. A series of political cris</w:t>
            </w:r>
            <w:r w:rsidR="009321CB">
              <w:rPr>
                <w:rFonts w:ascii="Calibri" w:hAnsi="Calibri"/>
              </w:rPr>
              <w:t>e</w:t>
            </w:r>
            <w:r w:rsidRPr="00F63BEC">
              <w:rPr>
                <w:rFonts w:ascii="Calibri" w:hAnsi="Calibri"/>
              </w:rPr>
              <w:t xml:space="preserve">s, unveiled cases of grand corruption, theft of USD 1 billion from the banking system and </w:t>
            </w:r>
            <w:r w:rsidR="009321CB">
              <w:rPr>
                <w:rFonts w:ascii="Calibri" w:hAnsi="Calibri"/>
              </w:rPr>
              <w:t xml:space="preserve">a </w:t>
            </w:r>
            <w:r w:rsidRPr="00F63BEC">
              <w:rPr>
                <w:rFonts w:ascii="Calibri" w:hAnsi="Calibri"/>
              </w:rPr>
              <w:t xml:space="preserve">gradual </w:t>
            </w:r>
            <w:r w:rsidR="009321CB">
              <w:rPr>
                <w:rFonts w:ascii="Calibri" w:hAnsi="Calibri"/>
              </w:rPr>
              <w:t>capturing of</w:t>
            </w:r>
            <w:r w:rsidRPr="00F63BEC">
              <w:rPr>
                <w:rFonts w:ascii="Calibri" w:hAnsi="Calibri"/>
              </w:rPr>
              <w:t xml:space="preserve"> </w:t>
            </w:r>
            <w:r w:rsidR="009321CB">
              <w:rPr>
                <w:rFonts w:ascii="Calibri" w:hAnsi="Calibri"/>
              </w:rPr>
              <w:t xml:space="preserve">public institutions and </w:t>
            </w:r>
            <w:r w:rsidRPr="00F63BEC">
              <w:rPr>
                <w:rFonts w:ascii="Calibri" w:hAnsi="Calibri"/>
              </w:rPr>
              <w:t xml:space="preserve">decision making power </w:t>
            </w:r>
            <w:r w:rsidR="009321CB">
              <w:rPr>
                <w:rFonts w:ascii="Calibri" w:hAnsi="Calibri"/>
              </w:rPr>
              <w:t xml:space="preserve">by a group of political cronies </w:t>
            </w:r>
            <w:r w:rsidRPr="00F63BEC">
              <w:rPr>
                <w:rFonts w:ascii="Calibri" w:hAnsi="Calibri"/>
              </w:rPr>
              <w:t xml:space="preserve">– all these attested for the weakness of democratic institutions and of the justice system that failed to protect public interest. At the same time, the events caused a dramatic decrease </w:t>
            </w:r>
            <w:r>
              <w:rPr>
                <w:rFonts w:ascii="Calibri" w:hAnsi="Calibri"/>
              </w:rPr>
              <w:t>in people’s</w:t>
            </w:r>
            <w:r w:rsidRPr="00F63BEC">
              <w:rPr>
                <w:rFonts w:ascii="Calibri" w:hAnsi="Calibri"/>
              </w:rPr>
              <w:t xml:space="preserve"> trust in governance institutions </w:t>
            </w:r>
            <w:r w:rsidR="009321CB">
              <w:rPr>
                <w:rFonts w:ascii="Calibri" w:hAnsi="Calibri"/>
              </w:rPr>
              <w:t xml:space="preserve">with 80% of the populations believing the country moves in the wrong </w:t>
            </w:r>
            <w:r w:rsidR="009321CB">
              <w:rPr>
                <w:rFonts w:ascii="Calibri" w:hAnsi="Calibri"/>
              </w:rPr>
              <w:lastRenderedPageBreak/>
              <w:t>direction</w:t>
            </w:r>
            <w:r w:rsidRPr="00F63BEC">
              <w:rPr>
                <w:rFonts w:ascii="Calibri" w:hAnsi="Calibri"/>
              </w:rPr>
              <w:t xml:space="preserve">. Popular support to the European integration agenda </w:t>
            </w:r>
            <w:r>
              <w:rPr>
                <w:rFonts w:ascii="Calibri" w:hAnsi="Calibri"/>
              </w:rPr>
              <w:t xml:space="preserve">significantly </w:t>
            </w:r>
            <w:r w:rsidRPr="00F63BEC">
              <w:rPr>
                <w:rFonts w:ascii="Calibri" w:hAnsi="Calibri"/>
              </w:rPr>
              <w:t xml:space="preserve">weakened, society </w:t>
            </w:r>
            <w:r w:rsidR="009321CB">
              <w:rPr>
                <w:rFonts w:ascii="Calibri" w:hAnsi="Calibri"/>
              </w:rPr>
              <w:t xml:space="preserve">remaining </w:t>
            </w:r>
            <w:r w:rsidRPr="00F63BEC">
              <w:rPr>
                <w:rFonts w:ascii="Calibri" w:hAnsi="Calibri"/>
              </w:rPr>
              <w:t xml:space="preserve">divided between two geopolitical options: EU integration and the </w:t>
            </w:r>
            <w:r w:rsidR="009321CB">
              <w:rPr>
                <w:rFonts w:ascii="Calibri" w:hAnsi="Calibri"/>
              </w:rPr>
              <w:t xml:space="preserve">option of a </w:t>
            </w:r>
            <w:r w:rsidRPr="00F63BEC">
              <w:rPr>
                <w:rFonts w:ascii="Calibri" w:hAnsi="Calibri"/>
              </w:rPr>
              <w:t xml:space="preserve">Russia-led Eurasian Economic Union (EEU). </w:t>
            </w:r>
            <w:r w:rsidR="00315517">
              <w:rPr>
                <w:rFonts w:ascii="Calibri" w:hAnsi="Calibri"/>
              </w:rPr>
              <w:t xml:space="preserve">As a result of all aforementioned developments, </w:t>
            </w:r>
            <w:r w:rsidRPr="00F63BEC">
              <w:rPr>
                <w:rFonts w:ascii="Calibri" w:hAnsi="Calibri"/>
              </w:rPr>
              <w:t>democratic standards of governance, as well as the rule of law and human rights record remain a shared concern among development partners</w:t>
            </w:r>
            <w:r>
              <w:rPr>
                <w:rFonts w:ascii="Calibri" w:hAnsi="Calibri"/>
              </w:rPr>
              <w:t>, and is addressed by UNDP under the Outcome area</w:t>
            </w:r>
            <w:r w:rsidRPr="00F63BEC">
              <w:rPr>
                <w:rFonts w:ascii="Calibri" w:hAnsi="Calibri"/>
              </w:rPr>
              <w:t>.</w:t>
            </w:r>
            <w:r>
              <w:rPr>
                <w:rFonts w:ascii="Calibri" w:hAnsi="Calibri"/>
              </w:rPr>
              <w:t xml:space="preserve"> </w:t>
            </w:r>
          </w:p>
          <w:p w14:paraId="71DDE1C2" w14:textId="77777777" w:rsidR="00015796" w:rsidRDefault="00015796" w:rsidP="00015796">
            <w:pPr>
              <w:pStyle w:val="BodyText2"/>
              <w:rPr>
                <w:rFonts w:ascii="Calibri" w:hAnsi="Calibri"/>
              </w:rPr>
            </w:pPr>
          </w:p>
          <w:p w14:paraId="682AD213" w14:textId="235A1108" w:rsidR="00015796" w:rsidRPr="004C6F54" w:rsidRDefault="00015796" w:rsidP="00015796">
            <w:pPr>
              <w:pStyle w:val="BodyText2"/>
              <w:rPr>
                <w:rFonts w:ascii="Calibri" w:hAnsi="Calibri"/>
              </w:rPr>
            </w:pPr>
            <w:r w:rsidRPr="004C6F54">
              <w:rPr>
                <w:rFonts w:ascii="Calibri" w:hAnsi="Calibri"/>
              </w:rPr>
              <w:t xml:space="preserve">In the volatile </w:t>
            </w:r>
            <w:r>
              <w:rPr>
                <w:rFonts w:ascii="Calibri" w:hAnsi="Calibri"/>
              </w:rPr>
              <w:t xml:space="preserve">country’s </w:t>
            </w:r>
            <w:r w:rsidRPr="004C6F54">
              <w:rPr>
                <w:rFonts w:ascii="Calibri" w:hAnsi="Calibri"/>
              </w:rPr>
              <w:t xml:space="preserve">development context, UNDP </w:t>
            </w:r>
            <w:r>
              <w:rPr>
                <w:rFonts w:ascii="Calibri" w:hAnsi="Calibri"/>
              </w:rPr>
              <w:t xml:space="preserve">focused </w:t>
            </w:r>
            <w:r w:rsidR="00315517">
              <w:rPr>
                <w:rFonts w:ascii="Calibri" w:hAnsi="Calibri"/>
              </w:rPr>
              <w:t>on</w:t>
            </w:r>
            <w:r w:rsidR="00315517" w:rsidRPr="004C6F54">
              <w:rPr>
                <w:rFonts w:ascii="Calibri" w:hAnsi="Calibri"/>
              </w:rPr>
              <w:t xml:space="preserve"> </w:t>
            </w:r>
            <w:r w:rsidRPr="00920ABA">
              <w:rPr>
                <w:rFonts w:ascii="Calibri" w:hAnsi="Calibri"/>
                <w:b/>
              </w:rPr>
              <w:t>democratic and accountable governance</w:t>
            </w:r>
            <w:r w:rsidRPr="004C6F54">
              <w:rPr>
                <w:rFonts w:ascii="Calibri" w:hAnsi="Calibri"/>
              </w:rPr>
              <w:t xml:space="preserve"> via two critical dimensions: developing institutions, and ensuring the people’s voice is heard, </w:t>
            </w:r>
            <w:r>
              <w:rPr>
                <w:rFonts w:ascii="Calibri" w:hAnsi="Calibri"/>
              </w:rPr>
              <w:t>focusing on those underrepresented</w:t>
            </w:r>
            <w:r w:rsidR="00315517">
              <w:rPr>
                <w:rFonts w:ascii="Calibri" w:hAnsi="Calibri"/>
              </w:rPr>
              <w:t xml:space="preserve">, </w:t>
            </w:r>
            <w:r w:rsidRPr="004C6F54">
              <w:rPr>
                <w:rFonts w:ascii="Calibri" w:hAnsi="Calibri"/>
              </w:rPr>
              <w:t>so that genuine engagement provide</w:t>
            </w:r>
            <w:r w:rsidR="00315517">
              <w:rPr>
                <w:rFonts w:ascii="Calibri" w:hAnsi="Calibri"/>
              </w:rPr>
              <w:t>s</w:t>
            </w:r>
            <w:r w:rsidRPr="004C6F54">
              <w:rPr>
                <w:rFonts w:ascii="Calibri" w:hAnsi="Calibri"/>
              </w:rPr>
              <w:t xml:space="preserve"> legitimacy and public support to the needed change. </w:t>
            </w:r>
            <w:r w:rsidRPr="00AA001E">
              <w:rPr>
                <w:rFonts w:ascii="Calibri" w:hAnsi="Calibri"/>
              </w:rPr>
              <w:t xml:space="preserve">The Outcome evaluation stated: </w:t>
            </w:r>
            <w:r w:rsidRPr="004C6F54">
              <w:rPr>
                <w:rFonts w:ascii="Calibri" w:hAnsi="Calibri"/>
                <w:i/>
              </w:rPr>
              <w:t>“Overall, the results achieved are greater than captured by the indicators. UNDP has made a considerable contribution to progress on the Outcome through substantial results on all Outputs indicators”</w:t>
            </w:r>
            <w:r>
              <w:rPr>
                <w:rFonts w:ascii="Calibri" w:hAnsi="Calibri"/>
                <w:i/>
              </w:rPr>
              <w:t>.</w:t>
            </w:r>
          </w:p>
          <w:p w14:paraId="4DCA13D2" w14:textId="77777777" w:rsidR="00015796" w:rsidRDefault="00015796" w:rsidP="00015796">
            <w:pPr>
              <w:pStyle w:val="BodyText2"/>
              <w:rPr>
                <w:rFonts w:ascii="Calibri" w:hAnsi="Calibri"/>
              </w:rPr>
            </w:pPr>
          </w:p>
          <w:p w14:paraId="5C672EDD" w14:textId="71EB34AC" w:rsidR="00015796" w:rsidRDefault="00015796" w:rsidP="00015796">
            <w:pPr>
              <w:pStyle w:val="BodyText2"/>
              <w:rPr>
                <w:rFonts w:ascii="Calibri" w:hAnsi="Calibri"/>
              </w:rPr>
            </w:pPr>
            <w:r w:rsidRPr="00F63BEC">
              <w:rPr>
                <w:rFonts w:ascii="Calibri" w:hAnsi="Calibri"/>
              </w:rPr>
              <w:t>As the EU integration aspiration was the main driver of change in Moldova</w:t>
            </w:r>
            <w:r w:rsidR="00315517">
              <w:rPr>
                <w:rFonts w:ascii="Calibri" w:hAnsi="Calibri"/>
              </w:rPr>
              <w:t xml:space="preserve">, </w:t>
            </w:r>
            <w:r w:rsidRPr="00F63BEC">
              <w:rPr>
                <w:rFonts w:ascii="Calibri" w:hAnsi="Calibri"/>
              </w:rPr>
              <w:t xml:space="preserve">UNDP provided </w:t>
            </w:r>
            <w:r w:rsidRPr="00920ABA">
              <w:rPr>
                <w:rFonts w:ascii="Calibri" w:hAnsi="Calibri"/>
                <w:b/>
              </w:rPr>
              <w:t>support to the implementation</w:t>
            </w:r>
            <w:r w:rsidRPr="00920ABA">
              <w:rPr>
                <w:b/>
              </w:rPr>
              <w:t xml:space="preserve"> </w:t>
            </w:r>
            <w:r w:rsidRPr="00920ABA">
              <w:rPr>
                <w:rFonts w:asciiTheme="minorHAnsi" w:hAnsiTheme="minorHAnsi"/>
                <w:b/>
              </w:rPr>
              <w:t>of the</w:t>
            </w:r>
            <w:r w:rsidRPr="00920ABA">
              <w:rPr>
                <w:b/>
              </w:rPr>
              <w:t xml:space="preserve"> </w:t>
            </w:r>
            <w:r w:rsidRPr="00920ABA">
              <w:rPr>
                <w:rFonts w:ascii="Calibri" w:hAnsi="Calibri"/>
                <w:b/>
              </w:rPr>
              <w:t>EU integration Agenda</w:t>
            </w:r>
            <w:r>
              <w:rPr>
                <w:rFonts w:ascii="Calibri" w:hAnsi="Calibri"/>
              </w:rPr>
              <w:t xml:space="preserve">. </w:t>
            </w:r>
            <w:r w:rsidRPr="00F63BEC">
              <w:rPr>
                <w:rFonts w:ascii="Calibri" w:hAnsi="Calibri"/>
              </w:rPr>
              <w:t xml:space="preserve"> UNDP visibly contributed to the implementation of the Visa Liberalization Action Plan (VLAP) that resulted in the EC offering visa free regime to Moldovans</w:t>
            </w:r>
            <w:r>
              <w:rPr>
                <w:rFonts w:ascii="Calibri" w:hAnsi="Calibri"/>
              </w:rPr>
              <w:t xml:space="preserve"> and</w:t>
            </w:r>
            <w:r w:rsidRPr="00F63BEC">
              <w:rPr>
                <w:rFonts w:ascii="Calibri" w:hAnsi="Calibri"/>
              </w:rPr>
              <w:t xml:space="preserve"> to country meeting the conditions for signing the Association </w:t>
            </w:r>
            <w:r>
              <w:rPr>
                <w:rFonts w:ascii="Calibri" w:hAnsi="Calibri"/>
              </w:rPr>
              <w:t>Agreement (AA) and DCFTA</w:t>
            </w:r>
            <w:r w:rsidRPr="00F63BEC">
              <w:rPr>
                <w:rFonts w:ascii="Calibri" w:hAnsi="Calibri"/>
              </w:rPr>
              <w:t>, addressing major impediments to the reform (weak technical and institutional capacity) through policy advice, expertise, exposure to the best practices (including by means of South-South Cooperation), capacity development</w:t>
            </w:r>
            <w:r w:rsidR="00315517">
              <w:rPr>
                <w:rFonts w:ascii="Calibri" w:hAnsi="Calibri"/>
              </w:rPr>
              <w:t xml:space="preserve"> of a number of line ministries and other public institutions,</w:t>
            </w:r>
            <w:r w:rsidRPr="00F63BEC">
              <w:rPr>
                <w:rFonts w:ascii="Calibri" w:hAnsi="Calibri"/>
              </w:rPr>
              <w:t xml:space="preserve"> </w:t>
            </w:r>
            <w:r w:rsidR="00315517">
              <w:rPr>
                <w:rFonts w:ascii="Calibri" w:hAnsi="Calibri"/>
              </w:rPr>
              <w:t xml:space="preserve">capacity building and </w:t>
            </w:r>
            <w:r w:rsidRPr="00F63BEC">
              <w:rPr>
                <w:rFonts w:ascii="Calibri" w:hAnsi="Calibri"/>
              </w:rPr>
              <w:t xml:space="preserve">advocacy in justice, law enforcement, anti-corruption, migration, border management, food safety, </w:t>
            </w:r>
            <w:r>
              <w:rPr>
                <w:rFonts w:ascii="Calibri" w:hAnsi="Calibri"/>
              </w:rPr>
              <w:t xml:space="preserve">tax system, </w:t>
            </w:r>
            <w:r w:rsidRPr="00F63BEC">
              <w:rPr>
                <w:rFonts w:ascii="Calibri" w:hAnsi="Calibri"/>
              </w:rPr>
              <w:t xml:space="preserve">and </w:t>
            </w:r>
            <w:r>
              <w:rPr>
                <w:rFonts w:ascii="Calibri" w:hAnsi="Calibri"/>
              </w:rPr>
              <w:t xml:space="preserve">in </w:t>
            </w:r>
            <w:r w:rsidRPr="00F63BEC">
              <w:rPr>
                <w:rFonts w:ascii="Calibri" w:hAnsi="Calibri"/>
              </w:rPr>
              <w:t>other important areas.. As evidence of UNDP’s role in supporting the change, EU Results Oriented Mission Report on EU High Level Policy Advi</w:t>
            </w:r>
            <w:r w:rsidR="00315517">
              <w:rPr>
                <w:rFonts w:ascii="Calibri" w:hAnsi="Calibri"/>
              </w:rPr>
              <w:t>c</w:t>
            </w:r>
            <w:r w:rsidRPr="00F63BEC">
              <w:rPr>
                <w:rFonts w:ascii="Calibri" w:hAnsi="Calibri"/>
              </w:rPr>
              <w:t xml:space="preserve">e </w:t>
            </w:r>
            <w:r>
              <w:rPr>
                <w:rFonts w:ascii="Calibri" w:hAnsi="Calibri"/>
              </w:rPr>
              <w:t>Mission</w:t>
            </w:r>
            <w:r w:rsidRPr="00F63BEC">
              <w:rPr>
                <w:rFonts w:ascii="Calibri" w:hAnsi="Calibri"/>
              </w:rPr>
              <w:t xml:space="preserve"> score</w:t>
            </w:r>
            <w:r>
              <w:rPr>
                <w:rFonts w:ascii="Calibri" w:hAnsi="Calibri"/>
              </w:rPr>
              <w:t>d</w:t>
            </w:r>
            <w:r w:rsidRPr="00F63BEC">
              <w:rPr>
                <w:rFonts w:ascii="Calibri" w:hAnsi="Calibri"/>
              </w:rPr>
              <w:t xml:space="preserve"> the quality of </w:t>
            </w:r>
            <w:r>
              <w:rPr>
                <w:rFonts w:ascii="Calibri" w:hAnsi="Calibri"/>
              </w:rPr>
              <w:t>the project</w:t>
            </w:r>
            <w:r w:rsidRPr="00F63BEC">
              <w:rPr>
                <w:rFonts w:ascii="Calibri" w:hAnsi="Calibri"/>
              </w:rPr>
              <w:t xml:space="preserve"> as “good to very good”, and refer</w:t>
            </w:r>
            <w:r>
              <w:rPr>
                <w:rFonts w:ascii="Calibri" w:hAnsi="Calibri"/>
              </w:rPr>
              <w:t>red</w:t>
            </w:r>
            <w:r w:rsidRPr="00F63BEC">
              <w:rPr>
                <w:rFonts w:ascii="Calibri" w:hAnsi="Calibri"/>
              </w:rPr>
              <w:t xml:space="preserve"> to UNDP management as a key success factor: “</w:t>
            </w:r>
            <w:r w:rsidRPr="00920ABA">
              <w:rPr>
                <w:rFonts w:ascii="Calibri" w:hAnsi="Calibri"/>
                <w:i/>
              </w:rPr>
              <w:t xml:space="preserve">UNDP has a lengthy presence in the country and in these institutions, </w:t>
            </w:r>
            <w:r w:rsidR="00B73CB7" w:rsidRPr="00920ABA">
              <w:rPr>
                <w:rFonts w:ascii="Calibri" w:hAnsi="Calibri"/>
                <w:i/>
              </w:rPr>
              <w:t>can</w:t>
            </w:r>
            <w:r w:rsidRPr="00920ABA">
              <w:rPr>
                <w:rFonts w:ascii="Calibri" w:hAnsi="Calibri"/>
                <w:i/>
              </w:rPr>
              <w:t xml:space="preserve"> provide support at a high level, which would not be possible from a commercial service provider, and to facilitate linkages with its other projects</w:t>
            </w:r>
            <w:r>
              <w:rPr>
                <w:rFonts w:ascii="Calibri" w:hAnsi="Calibri"/>
              </w:rPr>
              <w:t>”.</w:t>
            </w:r>
            <w:r w:rsidRPr="00F63BEC">
              <w:rPr>
                <w:rFonts w:ascii="Calibri" w:hAnsi="Calibri"/>
              </w:rPr>
              <w:t xml:space="preserve"> </w:t>
            </w:r>
          </w:p>
          <w:p w14:paraId="7D7DAA60" w14:textId="77777777" w:rsidR="00015796" w:rsidRDefault="00015796" w:rsidP="00015796">
            <w:pPr>
              <w:pStyle w:val="BodyText2"/>
              <w:rPr>
                <w:rFonts w:ascii="Calibri" w:hAnsi="Calibri"/>
              </w:rPr>
            </w:pPr>
          </w:p>
          <w:p w14:paraId="5922F816" w14:textId="360222D7" w:rsidR="00015796" w:rsidRDefault="00015796" w:rsidP="00015796">
            <w:pPr>
              <w:pStyle w:val="BodyText2"/>
              <w:rPr>
                <w:rFonts w:ascii="Calibri" w:hAnsi="Calibri"/>
              </w:rPr>
            </w:pPr>
            <w:r>
              <w:rPr>
                <w:rFonts w:ascii="Calibri" w:hAnsi="Calibri"/>
              </w:rPr>
              <w:t xml:space="preserve">To address </w:t>
            </w:r>
            <w:r w:rsidRPr="00C2103F">
              <w:rPr>
                <w:rFonts w:ascii="Calibri" w:hAnsi="Calibri"/>
                <w:b/>
              </w:rPr>
              <w:t>corruption</w:t>
            </w:r>
            <w:r>
              <w:rPr>
                <w:rFonts w:ascii="Calibri" w:hAnsi="Calibri"/>
              </w:rPr>
              <w:t xml:space="preserve">, as one of country’s top problems, UNDP has focused on increasing transparency, integrity and accountability of the central public administration institutions. </w:t>
            </w:r>
            <w:r w:rsidRPr="00DF3CD5">
              <w:rPr>
                <w:rFonts w:ascii="Calibri" w:hAnsi="Calibri"/>
              </w:rPr>
              <w:t>Anti-corruption was embedded in the work on enhanced border management focusing on the risk assessment methodology that increased the seizure of illegal goods flow.</w:t>
            </w:r>
            <w:r>
              <w:rPr>
                <w:rFonts w:ascii="Calibri" w:hAnsi="Calibri"/>
              </w:rPr>
              <w:t xml:space="preserve"> Further on, UNDP provided capacity development support to the </w:t>
            </w:r>
            <w:r w:rsidRPr="00C2103F">
              <w:rPr>
                <w:rFonts w:ascii="Calibri" w:hAnsi="Calibri"/>
                <w:b/>
              </w:rPr>
              <w:t>National Integrity Commission</w:t>
            </w:r>
            <w:r>
              <w:rPr>
                <w:rFonts w:ascii="Calibri" w:hAnsi="Calibri"/>
              </w:rPr>
              <w:t xml:space="preserve"> </w:t>
            </w:r>
            <w:r w:rsidRPr="00860A00">
              <w:rPr>
                <w:rFonts w:ascii="Calibri" w:hAnsi="Calibri"/>
              </w:rPr>
              <w:t>established in 2013</w:t>
            </w:r>
            <w:r>
              <w:rPr>
                <w:rFonts w:ascii="Calibri" w:hAnsi="Calibri"/>
              </w:rPr>
              <w:t xml:space="preserve"> to deal with the civil servants’ declarations on income, assets and conflict of interest</w:t>
            </w:r>
            <w:r w:rsidR="00315517">
              <w:rPr>
                <w:rFonts w:ascii="Calibri" w:hAnsi="Calibri"/>
              </w:rPr>
              <w:t>.</w:t>
            </w:r>
            <w:r>
              <w:rPr>
                <w:rFonts w:ascii="Calibri" w:hAnsi="Calibri"/>
              </w:rPr>
              <w:t xml:space="preserve"> </w:t>
            </w:r>
            <w:r w:rsidRPr="00DF3CD5">
              <w:rPr>
                <w:rFonts w:ascii="Calibri" w:hAnsi="Calibri"/>
              </w:rPr>
              <w:t xml:space="preserve">UNDP </w:t>
            </w:r>
            <w:r>
              <w:rPr>
                <w:rFonts w:ascii="Calibri" w:hAnsi="Calibri"/>
              </w:rPr>
              <w:t xml:space="preserve">also partnered with the </w:t>
            </w:r>
            <w:r w:rsidRPr="002C2C94">
              <w:rPr>
                <w:rFonts w:ascii="Calibri" w:hAnsi="Calibri"/>
                <w:b/>
              </w:rPr>
              <w:t>National Anti-corruption Centre</w:t>
            </w:r>
            <w:r w:rsidRPr="00DF3CD5">
              <w:rPr>
                <w:rFonts w:ascii="Calibri" w:hAnsi="Calibri"/>
              </w:rPr>
              <w:t xml:space="preserve"> </w:t>
            </w:r>
            <w:r>
              <w:rPr>
                <w:rFonts w:ascii="Calibri" w:hAnsi="Calibri"/>
              </w:rPr>
              <w:t>addressing enhancement of its corruption prevention and analysis functions. Public awareness campaigns and other actions to consolidate the a</w:t>
            </w:r>
            <w:r w:rsidRPr="00907218">
              <w:rPr>
                <w:rFonts w:ascii="Calibri" w:hAnsi="Calibri"/>
              </w:rPr>
              <w:t xml:space="preserve">nticorruption </w:t>
            </w:r>
            <w:r>
              <w:rPr>
                <w:rFonts w:ascii="Calibri" w:hAnsi="Calibri"/>
              </w:rPr>
              <w:t xml:space="preserve">demand side had been implemented at the local level, with a specific focus on youth. </w:t>
            </w:r>
          </w:p>
          <w:p w14:paraId="2D944660" w14:textId="77777777" w:rsidR="00015796" w:rsidRDefault="00015796" w:rsidP="00015796">
            <w:pPr>
              <w:pStyle w:val="BodyText2"/>
              <w:rPr>
                <w:rFonts w:ascii="Calibri" w:hAnsi="Calibri"/>
              </w:rPr>
            </w:pPr>
          </w:p>
          <w:p w14:paraId="74EB8FDF" w14:textId="45653B9D" w:rsidR="00015796" w:rsidRPr="00AA001E" w:rsidRDefault="00015796" w:rsidP="00015796">
            <w:pPr>
              <w:pStyle w:val="BodyText2"/>
              <w:rPr>
                <w:rFonts w:ascii="Calibri" w:hAnsi="Calibri"/>
              </w:rPr>
            </w:pPr>
            <w:r>
              <w:rPr>
                <w:rFonts w:ascii="Calibri" w:hAnsi="Calibri"/>
              </w:rPr>
              <w:t>UNDP continuously supported the Government in</w:t>
            </w:r>
            <w:r w:rsidR="00F43473">
              <w:rPr>
                <w:rFonts w:ascii="Calibri" w:hAnsi="Calibri"/>
              </w:rPr>
              <w:t xml:space="preserve"> rolling out an </w:t>
            </w:r>
            <w:r w:rsidR="00F43473" w:rsidRPr="00C7585A">
              <w:rPr>
                <w:rFonts w:ascii="Calibri" w:hAnsi="Calibri"/>
                <w:b/>
              </w:rPr>
              <w:t xml:space="preserve">inclusive </w:t>
            </w:r>
            <w:r w:rsidR="00F43473">
              <w:rPr>
                <w:rFonts w:ascii="Calibri" w:hAnsi="Calibri"/>
                <w:b/>
              </w:rPr>
              <w:t xml:space="preserve">and innovative approach to </w:t>
            </w:r>
            <w:r w:rsidR="00F43473" w:rsidRPr="00C7585A">
              <w:rPr>
                <w:rFonts w:ascii="Calibri" w:hAnsi="Calibri"/>
                <w:b/>
              </w:rPr>
              <w:t>policy elaboration</w:t>
            </w:r>
            <w:r w:rsidR="00F43473">
              <w:rPr>
                <w:rFonts w:ascii="Calibri" w:hAnsi="Calibri"/>
                <w:b/>
              </w:rPr>
              <w:t>, as well as</w:t>
            </w:r>
            <w:r>
              <w:rPr>
                <w:rFonts w:ascii="Calibri" w:hAnsi="Calibri"/>
              </w:rPr>
              <w:t xml:space="preserve"> the </w:t>
            </w:r>
            <w:r w:rsidRPr="00C7585A">
              <w:rPr>
                <w:rFonts w:ascii="Calibri" w:hAnsi="Calibri"/>
                <w:b/>
              </w:rPr>
              <w:t>production of data and their use</w:t>
            </w:r>
            <w:r>
              <w:rPr>
                <w:rFonts w:ascii="Calibri" w:hAnsi="Calibri"/>
              </w:rPr>
              <w:t xml:space="preserve"> for developing evidence-based policies</w:t>
            </w:r>
            <w:r w:rsidR="00F43473">
              <w:rPr>
                <w:rFonts w:ascii="Calibri" w:hAnsi="Calibri"/>
              </w:rPr>
              <w:t>. These policies were based on</w:t>
            </w:r>
            <w:r w:rsidR="00B73CB7">
              <w:rPr>
                <w:rFonts w:ascii="Calibri" w:hAnsi="Calibri"/>
              </w:rPr>
              <w:t xml:space="preserve"> enhanced data disaggregation,</w:t>
            </w:r>
            <w:r>
              <w:rPr>
                <w:rFonts w:ascii="Calibri" w:hAnsi="Calibri"/>
              </w:rPr>
              <w:t xml:space="preserve"> targeting specific vulnerable and marginalised groups and addressing their needs. </w:t>
            </w:r>
            <w:r w:rsidRPr="00AA001E">
              <w:rPr>
                <w:rFonts w:ascii="Calibri" w:hAnsi="Calibri"/>
              </w:rPr>
              <w:t xml:space="preserve">UNDP supported </w:t>
            </w:r>
            <w:r>
              <w:rPr>
                <w:rFonts w:ascii="Calibri" w:hAnsi="Calibri"/>
              </w:rPr>
              <w:t>the</w:t>
            </w:r>
            <w:r w:rsidRPr="00AA001E">
              <w:rPr>
                <w:rFonts w:ascii="Calibri" w:hAnsi="Calibri"/>
              </w:rPr>
              <w:t xml:space="preserve"> Government in </w:t>
            </w:r>
            <w:r>
              <w:rPr>
                <w:rFonts w:ascii="Calibri" w:hAnsi="Calibri"/>
              </w:rPr>
              <w:t>nationalizing</w:t>
            </w:r>
            <w:r w:rsidRPr="00AA001E">
              <w:rPr>
                <w:rFonts w:ascii="Calibri" w:hAnsi="Calibri"/>
              </w:rPr>
              <w:t xml:space="preserve"> SDGs through </w:t>
            </w:r>
            <w:r>
              <w:rPr>
                <w:rFonts w:ascii="Calibri" w:hAnsi="Calibri"/>
              </w:rPr>
              <w:t>facilitation of</w:t>
            </w:r>
            <w:r w:rsidRPr="00AA001E">
              <w:rPr>
                <w:rFonts w:ascii="Calibri" w:hAnsi="Calibri"/>
              </w:rPr>
              <w:t xml:space="preserve"> Post-2015 Dialogue</w:t>
            </w:r>
            <w:r>
              <w:rPr>
                <w:rFonts w:ascii="Calibri" w:hAnsi="Calibri"/>
              </w:rPr>
              <w:t>,</w:t>
            </w:r>
            <w:r w:rsidRPr="00AA001E">
              <w:rPr>
                <w:rFonts w:ascii="Calibri" w:hAnsi="Calibri"/>
              </w:rPr>
              <w:t xml:space="preserve"> engag</w:t>
            </w:r>
            <w:r>
              <w:rPr>
                <w:rFonts w:ascii="Calibri" w:hAnsi="Calibri"/>
              </w:rPr>
              <w:t xml:space="preserve">ing </w:t>
            </w:r>
            <w:r w:rsidRPr="00AA001E">
              <w:rPr>
                <w:rFonts w:ascii="Calibri" w:hAnsi="Calibri"/>
              </w:rPr>
              <w:t xml:space="preserve">the government and </w:t>
            </w:r>
            <w:r>
              <w:rPr>
                <w:rFonts w:ascii="Calibri" w:hAnsi="Calibri"/>
              </w:rPr>
              <w:t xml:space="preserve">the Civil Society </w:t>
            </w:r>
            <w:r w:rsidRPr="00AA001E">
              <w:rPr>
                <w:rFonts w:ascii="Calibri" w:hAnsi="Calibri"/>
              </w:rPr>
              <w:t>both offline and through an innovative crowdsourcing platform</w:t>
            </w:r>
            <w:r>
              <w:rPr>
                <w:rFonts w:ascii="Calibri" w:hAnsi="Calibri"/>
              </w:rPr>
              <w:t xml:space="preserve"> into debates on the needs and priorities and </w:t>
            </w:r>
            <w:r w:rsidRPr="00AA001E">
              <w:rPr>
                <w:rFonts w:ascii="Calibri" w:hAnsi="Calibri"/>
              </w:rPr>
              <w:t xml:space="preserve">launching the national discussion on the national prioritization of the SDGs. UNDP strongly </w:t>
            </w:r>
            <w:r w:rsidR="00F43473">
              <w:rPr>
                <w:rFonts w:ascii="Calibri" w:hAnsi="Calibri"/>
              </w:rPr>
              <w:t xml:space="preserve">supported </w:t>
            </w:r>
            <w:r w:rsidRPr="00C7585A">
              <w:rPr>
                <w:rFonts w:ascii="Calibri" w:hAnsi="Calibri"/>
              </w:rPr>
              <w:t>systemic reforms</w:t>
            </w:r>
            <w:r w:rsidR="00F43473">
              <w:rPr>
                <w:rFonts w:ascii="Calibri" w:hAnsi="Calibri"/>
              </w:rPr>
              <w:t xml:space="preserve"> of the Government, by facilitating a </w:t>
            </w:r>
            <w:r w:rsidRPr="00AA001E">
              <w:rPr>
                <w:rFonts w:ascii="Calibri" w:hAnsi="Calibri"/>
              </w:rPr>
              <w:t xml:space="preserve">restructuring of the State Chancellery with the purpose of making it a leaner and more results-oriented organization, having the role of a </w:t>
            </w:r>
            <w:r w:rsidRPr="00C7585A">
              <w:rPr>
                <w:rFonts w:ascii="Calibri" w:hAnsi="Calibri"/>
                <w:b/>
              </w:rPr>
              <w:t>Centre of Government</w:t>
            </w:r>
            <w:r w:rsidRPr="00AA001E">
              <w:rPr>
                <w:rFonts w:ascii="Calibri" w:hAnsi="Calibri"/>
              </w:rPr>
              <w:t>, at the forefront of policy visioning and implementation of key reforms, such as the public administration reform</w:t>
            </w:r>
            <w:r>
              <w:rPr>
                <w:rFonts w:ascii="Calibri" w:hAnsi="Calibri"/>
              </w:rPr>
              <w:t>.</w:t>
            </w:r>
            <w:r w:rsidRPr="00AA001E">
              <w:rPr>
                <w:rFonts w:ascii="Calibri" w:hAnsi="Calibri"/>
              </w:rPr>
              <w:t xml:space="preserve"> </w:t>
            </w:r>
          </w:p>
          <w:p w14:paraId="1900674F" w14:textId="77777777" w:rsidR="00015796" w:rsidRPr="00AA001E" w:rsidRDefault="00015796" w:rsidP="00015796">
            <w:pPr>
              <w:pStyle w:val="BodyText2"/>
              <w:rPr>
                <w:rFonts w:ascii="Calibri" w:hAnsi="Calibri"/>
              </w:rPr>
            </w:pPr>
          </w:p>
          <w:p w14:paraId="3F880669" w14:textId="4608519A" w:rsidR="00015796" w:rsidRPr="00F63BEC" w:rsidRDefault="00015796" w:rsidP="00015796">
            <w:pPr>
              <w:pStyle w:val="BodyText2"/>
              <w:rPr>
                <w:rFonts w:ascii="Calibri" w:hAnsi="Calibri"/>
              </w:rPr>
            </w:pPr>
            <w:r w:rsidRPr="00494FAC">
              <w:rPr>
                <w:rFonts w:ascii="Calibri" w:hAnsi="Calibri"/>
                <w:b/>
              </w:rPr>
              <w:t>Parliament</w:t>
            </w:r>
            <w:r>
              <w:rPr>
                <w:rFonts w:ascii="Calibri" w:hAnsi="Calibri"/>
                <w:b/>
              </w:rPr>
              <w:t xml:space="preserve">’s </w:t>
            </w:r>
            <w:r w:rsidRPr="00494FAC">
              <w:rPr>
                <w:rFonts w:ascii="Calibri" w:hAnsi="Calibri"/>
              </w:rPr>
              <w:t>legislative, oversight and representation functions had been significantly strengthened</w:t>
            </w:r>
            <w:r>
              <w:rPr>
                <w:rFonts w:ascii="Calibri" w:hAnsi="Calibri"/>
              </w:rPr>
              <w:t xml:space="preserve"> and</w:t>
            </w:r>
            <w:r w:rsidRPr="00F63BEC">
              <w:rPr>
                <w:rFonts w:ascii="Calibri" w:hAnsi="Calibri"/>
              </w:rPr>
              <w:t xml:space="preserve"> transparency and accountability increased due to use of new tools offered by UNDP</w:t>
            </w:r>
            <w:r w:rsidR="00F43473">
              <w:rPr>
                <w:rFonts w:ascii="Calibri" w:hAnsi="Calibri"/>
              </w:rPr>
              <w:t xml:space="preserve">, including public hearings, establishing Parliamentary constituency offices </w:t>
            </w:r>
            <w:r w:rsidR="00B73CB7">
              <w:rPr>
                <w:rFonts w:ascii="Calibri" w:hAnsi="Calibri"/>
              </w:rPr>
              <w:t>etc.</w:t>
            </w:r>
            <w:r w:rsidR="00F43473">
              <w:rPr>
                <w:rFonts w:ascii="Calibri" w:hAnsi="Calibri"/>
              </w:rPr>
              <w:t xml:space="preserve"> </w:t>
            </w:r>
            <w:r w:rsidRPr="001B4985">
              <w:rPr>
                <w:rFonts w:ascii="Calibri" w:hAnsi="Calibri"/>
              </w:rPr>
              <w:t xml:space="preserve">UNDP supported the </w:t>
            </w:r>
            <w:r>
              <w:rPr>
                <w:rFonts w:ascii="Calibri" w:hAnsi="Calibri"/>
              </w:rPr>
              <w:t xml:space="preserve">elaboration and implementation of the first ever </w:t>
            </w:r>
            <w:r w:rsidRPr="00D614C2">
              <w:rPr>
                <w:rFonts w:ascii="Calibri" w:hAnsi="Calibri"/>
                <w:b/>
              </w:rPr>
              <w:t>Parliament Secretariat Strategic Development Plan</w:t>
            </w:r>
            <w:r w:rsidRPr="001B4985">
              <w:rPr>
                <w:rFonts w:ascii="Calibri" w:hAnsi="Calibri"/>
              </w:rPr>
              <w:t xml:space="preserve">. </w:t>
            </w:r>
            <w:r w:rsidRPr="00F63BEC">
              <w:rPr>
                <w:rFonts w:ascii="Calibri" w:hAnsi="Calibri"/>
              </w:rPr>
              <w:t xml:space="preserve">Against the backdrop of massive anti-corruption protests, UNDP </w:t>
            </w:r>
            <w:r w:rsidR="00F43473">
              <w:rPr>
                <w:rFonts w:ascii="Calibri" w:hAnsi="Calibri"/>
              </w:rPr>
              <w:t xml:space="preserve">critically </w:t>
            </w:r>
            <w:r w:rsidRPr="00F63BEC">
              <w:rPr>
                <w:rFonts w:ascii="Calibri" w:hAnsi="Calibri"/>
              </w:rPr>
              <w:t>strengthen</w:t>
            </w:r>
            <w:r w:rsidR="00F43473">
              <w:rPr>
                <w:rFonts w:ascii="Calibri" w:hAnsi="Calibri"/>
              </w:rPr>
              <w:t xml:space="preserve">ed the </w:t>
            </w:r>
            <w:r w:rsidRPr="00F63BEC">
              <w:rPr>
                <w:rFonts w:ascii="Calibri" w:hAnsi="Calibri"/>
              </w:rPr>
              <w:t xml:space="preserve">Parliament’s </w:t>
            </w:r>
            <w:r w:rsidRPr="00F63BEC">
              <w:rPr>
                <w:rFonts w:ascii="Calibri" w:hAnsi="Calibri"/>
              </w:rPr>
              <w:lastRenderedPageBreak/>
              <w:t xml:space="preserve">commitment to lead the fight against corruption. With UNDP support, the Moldovan Parliament conducted an institutional </w:t>
            </w:r>
            <w:r w:rsidRPr="00D614C2">
              <w:rPr>
                <w:rFonts w:ascii="Calibri" w:hAnsi="Calibri"/>
                <w:b/>
              </w:rPr>
              <w:t>Corruption self-assessment</w:t>
            </w:r>
            <w:r w:rsidRPr="00F63BEC">
              <w:rPr>
                <w:rFonts w:ascii="Calibri" w:hAnsi="Calibri"/>
              </w:rPr>
              <w:t>, adopt</w:t>
            </w:r>
            <w:r>
              <w:rPr>
                <w:rFonts w:ascii="Calibri" w:hAnsi="Calibri"/>
              </w:rPr>
              <w:t>ed</w:t>
            </w:r>
            <w:r w:rsidRPr="00F63BEC">
              <w:rPr>
                <w:rFonts w:ascii="Calibri" w:hAnsi="Calibri"/>
              </w:rPr>
              <w:t xml:space="preserve"> an </w:t>
            </w:r>
            <w:r w:rsidRPr="00D614C2">
              <w:rPr>
                <w:rFonts w:ascii="Calibri" w:hAnsi="Calibri"/>
                <w:b/>
              </w:rPr>
              <w:t>Anti-Corruption Action Plan</w:t>
            </w:r>
            <w:r w:rsidRPr="00F63BEC">
              <w:rPr>
                <w:rFonts w:ascii="Calibri" w:hAnsi="Calibri"/>
              </w:rPr>
              <w:t xml:space="preserve"> and </w:t>
            </w:r>
            <w:r>
              <w:rPr>
                <w:rFonts w:ascii="Calibri" w:hAnsi="Calibri"/>
              </w:rPr>
              <w:t xml:space="preserve">considered a legal initiative on </w:t>
            </w:r>
            <w:r w:rsidRPr="00D614C2">
              <w:rPr>
                <w:rFonts w:ascii="Calibri" w:hAnsi="Calibri"/>
                <w:b/>
              </w:rPr>
              <w:t>a Code of Conduct for MPs</w:t>
            </w:r>
            <w:r>
              <w:rPr>
                <w:rFonts w:ascii="Calibri" w:hAnsi="Calibri"/>
              </w:rPr>
              <w:t xml:space="preserve">. </w:t>
            </w:r>
          </w:p>
          <w:p w14:paraId="606AB346" w14:textId="77777777" w:rsidR="00015796" w:rsidRPr="00F63BEC" w:rsidRDefault="00015796" w:rsidP="00015796">
            <w:pPr>
              <w:pStyle w:val="BodyText2"/>
              <w:rPr>
                <w:rFonts w:ascii="Calibri" w:hAnsi="Calibri"/>
              </w:rPr>
            </w:pPr>
          </w:p>
          <w:p w14:paraId="72073C1D" w14:textId="77777777" w:rsidR="00015796" w:rsidRPr="00E51397" w:rsidRDefault="00015796" w:rsidP="00015796">
            <w:pPr>
              <w:pStyle w:val="BodyText2"/>
              <w:rPr>
                <w:rFonts w:ascii="Calibri" w:hAnsi="Calibri"/>
              </w:rPr>
            </w:pPr>
          </w:p>
          <w:p w14:paraId="17D8B0D3" w14:textId="21B79873" w:rsidR="00F43473" w:rsidRDefault="00015796" w:rsidP="00015796">
            <w:pPr>
              <w:pStyle w:val="BodyText2"/>
              <w:rPr>
                <w:rFonts w:ascii="Calibri" w:hAnsi="Calibri"/>
              </w:rPr>
            </w:pPr>
            <w:r w:rsidRPr="005B6665">
              <w:rPr>
                <w:rFonts w:ascii="Calibri" w:hAnsi="Calibri"/>
              </w:rPr>
              <w:t xml:space="preserve">Strengthened </w:t>
            </w:r>
            <w:r>
              <w:rPr>
                <w:rFonts w:ascii="Calibri" w:hAnsi="Calibri"/>
              </w:rPr>
              <w:t>by UNDP</w:t>
            </w:r>
            <w:r w:rsidR="00985E0C">
              <w:rPr>
                <w:rFonts w:ascii="Calibri" w:hAnsi="Calibri"/>
              </w:rPr>
              <w:t>,</w:t>
            </w:r>
            <w:r>
              <w:rPr>
                <w:rFonts w:ascii="Calibri" w:hAnsi="Calibri"/>
              </w:rPr>
              <w:t xml:space="preserve"> </w:t>
            </w:r>
            <w:r w:rsidRPr="005B6665">
              <w:rPr>
                <w:rFonts w:ascii="Calibri" w:hAnsi="Calibri"/>
              </w:rPr>
              <w:t xml:space="preserve">capacity of the </w:t>
            </w:r>
            <w:r w:rsidRPr="00E91668">
              <w:rPr>
                <w:rFonts w:ascii="Calibri" w:hAnsi="Calibri"/>
                <w:b/>
              </w:rPr>
              <w:t>Central Elections Commission</w:t>
            </w:r>
            <w:r>
              <w:rPr>
                <w:rFonts w:ascii="Calibri" w:hAnsi="Calibri"/>
              </w:rPr>
              <w:t xml:space="preserve"> </w:t>
            </w:r>
            <w:r w:rsidRPr="005B6665">
              <w:rPr>
                <w:rFonts w:ascii="Calibri" w:hAnsi="Calibri"/>
              </w:rPr>
              <w:t>was internat</w:t>
            </w:r>
            <w:r>
              <w:rPr>
                <w:rFonts w:ascii="Calibri" w:hAnsi="Calibri"/>
              </w:rPr>
              <w:t xml:space="preserve">ionally certified under two ISO </w:t>
            </w:r>
            <w:r w:rsidRPr="00907218">
              <w:rPr>
                <w:rFonts w:ascii="Calibri" w:hAnsi="Calibri"/>
              </w:rPr>
              <w:t xml:space="preserve">standards </w:t>
            </w:r>
            <w:r>
              <w:rPr>
                <w:rFonts w:ascii="Calibri" w:hAnsi="Calibri"/>
              </w:rPr>
              <w:t xml:space="preserve">- </w:t>
            </w:r>
            <w:r w:rsidRPr="00907218">
              <w:rPr>
                <w:rFonts w:ascii="Calibri" w:hAnsi="Calibri"/>
              </w:rPr>
              <w:t>on quality management and data security</w:t>
            </w:r>
            <w:r>
              <w:rPr>
                <w:rFonts w:ascii="Calibri" w:hAnsi="Calibri"/>
              </w:rPr>
              <w:t xml:space="preserve">. </w:t>
            </w:r>
            <w:r w:rsidRPr="005B6665">
              <w:rPr>
                <w:rFonts w:ascii="Calibri" w:hAnsi="Calibri"/>
              </w:rPr>
              <w:t xml:space="preserve"> OSCE/ODIHR </w:t>
            </w:r>
            <w:r>
              <w:rPr>
                <w:rFonts w:ascii="Calibri" w:hAnsi="Calibri"/>
              </w:rPr>
              <w:t xml:space="preserve">issued statements after all three last elections attesting </w:t>
            </w:r>
            <w:r w:rsidRPr="005B6665">
              <w:rPr>
                <w:rFonts w:ascii="Calibri" w:hAnsi="Calibri"/>
              </w:rPr>
              <w:t>that election</w:t>
            </w:r>
            <w:r>
              <w:rPr>
                <w:rFonts w:ascii="Calibri" w:hAnsi="Calibri"/>
              </w:rPr>
              <w:t>s were well administered,</w:t>
            </w:r>
            <w:r w:rsidRPr="005B6665">
              <w:rPr>
                <w:rFonts w:ascii="Calibri" w:hAnsi="Calibri"/>
              </w:rPr>
              <w:t xml:space="preserve"> administration was generally professional and transparent and enjoyed the confidence of most stakeholders, while the quality of voter lists, unlike in the previous elections, was not contested.</w:t>
            </w:r>
            <w:r w:rsidR="00F43473">
              <w:rPr>
                <w:rFonts w:ascii="Calibri" w:hAnsi="Calibri"/>
              </w:rPr>
              <w:t xml:space="preserve"> </w:t>
            </w:r>
            <w:r>
              <w:rPr>
                <w:rFonts w:ascii="Calibri" w:hAnsi="Calibri"/>
              </w:rPr>
              <w:t>Professional elections were also due to the support provided to the C</w:t>
            </w:r>
            <w:r w:rsidRPr="00095D94">
              <w:rPr>
                <w:rFonts w:ascii="Calibri" w:hAnsi="Calibri"/>
              </w:rPr>
              <w:t>entre for Continuous Elections Training</w:t>
            </w:r>
            <w:r>
              <w:rPr>
                <w:rFonts w:ascii="Calibri" w:hAnsi="Calibri"/>
              </w:rPr>
              <w:t xml:space="preserve"> (CCET)</w:t>
            </w:r>
            <w:r w:rsidRPr="00095D94">
              <w:rPr>
                <w:rFonts w:ascii="Calibri" w:hAnsi="Calibri"/>
              </w:rPr>
              <w:t xml:space="preserve"> in </w:t>
            </w:r>
            <w:r>
              <w:rPr>
                <w:rFonts w:ascii="Calibri" w:hAnsi="Calibri"/>
              </w:rPr>
              <w:t xml:space="preserve">building and </w:t>
            </w:r>
            <w:r w:rsidRPr="00095D94">
              <w:rPr>
                <w:rFonts w:ascii="Calibri" w:hAnsi="Calibri"/>
              </w:rPr>
              <w:t xml:space="preserve">expanding </w:t>
            </w:r>
            <w:r w:rsidR="00F43473">
              <w:rPr>
                <w:rFonts w:ascii="Calibri" w:hAnsi="Calibri"/>
              </w:rPr>
              <w:t xml:space="preserve">an </w:t>
            </w:r>
            <w:r w:rsidRPr="00095D94">
              <w:rPr>
                <w:rFonts w:ascii="Calibri" w:hAnsi="Calibri"/>
              </w:rPr>
              <w:t>E-Learning Platform</w:t>
            </w:r>
            <w:r w:rsidR="00F43473">
              <w:rPr>
                <w:rFonts w:ascii="Calibri" w:hAnsi="Calibri"/>
              </w:rPr>
              <w:t xml:space="preserve">. </w:t>
            </w:r>
            <w:r>
              <w:rPr>
                <w:rFonts w:ascii="Calibri" w:hAnsi="Calibri"/>
              </w:rPr>
              <w:t>Capacities of the CEC and CCET in mainstreaming gender equality in elections systems and processes h</w:t>
            </w:r>
            <w:r w:rsidR="00F43473">
              <w:rPr>
                <w:rFonts w:ascii="Calibri" w:hAnsi="Calibri"/>
              </w:rPr>
              <w:t xml:space="preserve">ave also </w:t>
            </w:r>
            <w:r>
              <w:rPr>
                <w:rFonts w:ascii="Calibri" w:hAnsi="Calibri"/>
              </w:rPr>
              <w:t xml:space="preserve">been strongly increased through UNDP support. </w:t>
            </w:r>
          </w:p>
          <w:p w14:paraId="10BD456C" w14:textId="77777777" w:rsidR="00F43473" w:rsidRDefault="00F43473" w:rsidP="00015796">
            <w:pPr>
              <w:pStyle w:val="BodyText2"/>
              <w:rPr>
                <w:rFonts w:ascii="Calibri" w:hAnsi="Calibri"/>
              </w:rPr>
            </w:pPr>
          </w:p>
          <w:p w14:paraId="2D8A4BEC" w14:textId="77777777" w:rsidR="00015796" w:rsidRPr="00F63BEC" w:rsidRDefault="00015796" w:rsidP="00015796">
            <w:pPr>
              <w:pStyle w:val="BodyText2"/>
              <w:rPr>
                <w:rFonts w:ascii="Calibri" w:hAnsi="Calibri"/>
              </w:rPr>
            </w:pPr>
          </w:p>
          <w:p w14:paraId="2D8F72D4" w14:textId="0F132077" w:rsidR="00015796" w:rsidRDefault="00015796" w:rsidP="00015796">
            <w:pPr>
              <w:pStyle w:val="BodyText2"/>
              <w:rPr>
                <w:rFonts w:ascii="Calibri" w:hAnsi="Calibri"/>
              </w:rPr>
            </w:pPr>
            <w:r w:rsidRPr="007E3387">
              <w:rPr>
                <w:rFonts w:ascii="Calibri" w:hAnsi="Calibri"/>
              </w:rPr>
              <w:t xml:space="preserve">In the area of </w:t>
            </w:r>
            <w:r w:rsidRPr="007E3387">
              <w:rPr>
                <w:rFonts w:ascii="Calibri" w:hAnsi="Calibri"/>
                <w:b/>
              </w:rPr>
              <w:t>l</w:t>
            </w:r>
            <w:r w:rsidRPr="006235FF">
              <w:rPr>
                <w:rFonts w:ascii="Calibri" w:hAnsi="Calibri"/>
                <w:b/>
              </w:rPr>
              <w:t>ocal governance</w:t>
            </w:r>
            <w:r>
              <w:t xml:space="preserve">, </w:t>
            </w:r>
            <w:r>
              <w:rPr>
                <w:rFonts w:ascii="Calibri" w:hAnsi="Calibri"/>
              </w:rPr>
              <w:t xml:space="preserve">UNDP contributed substantively to the elaboration of the Decentralisation Strategy and to setting up a system and a process of fiscal and financial decentralisation, as well as decentralisation of education. </w:t>
            </w:r>
            <w:r w:rsidRPr="00E51397">
              <w:rPr>
                <w:rFonts w:ascii="Calibri" w:hAnsi="Calibri"/>
              </w:rPr>
              <w:t>Though the timeline for the implementation of the Decentralization Strategy was extended, legal acts for greater local autonomy, previously developed</w:t>
            </w:r>
            <w:r>
              <w:rPr>
                <w:rFonts w:ascii="Calibri" w:hAnsi="Calibri"/>
              </w:rPr>
              <w:t xml:space="preserve"> with UNDP support, were passed, including the </w:t>
            </w:r>
            <w:r w:rsidRPr="006235FF">
              <w:rPr>
                <w:rFonts w:ascii="Calibri" w:hAnsi="Calibri"/>
              </w:rPr>
              <w:t xml:space="preserve">Law on Local Public Finance </w:t>
            </w:r>
            <w:r>
              <w:rPr>
                <w:rFonts w:ascii="Calibri" w:hAnsi="Calibri"/>
              </w:rPr>
              <w:t>that w</w:t>
            </w:r>
            <w:r w:rsidRPr="006235FF">
              <w:rPr>
                <w:rFonts w:ascii="Calibri" w:hAnsi="Calibri"/>
              </w:rPr>
              <w:t xml:space="preserve">as based on analysis provided by UNDP. </w:t>
            </w:r>
            <w:r w:rsidRPr="001B4985">
              <w:rPr>
                <w:rFonts w:ascii="Calibri" w:hAnsi="Calibri"/>
              </w:rPr>
              <w:t>The National Decentralization Strategy, elaborated with UNDP support, was the first gender-mainstreamed national strategic document guided by the Human Rights Based Approach. UNDP invested in data generation by reviewing the Small Area Deprivation Index (SADI) to support evidence-based policy-making focused on local development and targeting the most vulnerable segments of population</w:t>
            </w:r>
            <w:r w:rsidR="00110E5F">
              <w:rPr>
                <w:rFonts w:ascii="Calibri" w:hAnsi="Calibri"/>
              </w:rPr>
              <w:t>.</w:t>
            </w:r>
            <w:r w:rsidRPr="001B4985">
              <w:rPr>
                <w:rFonts w:ascii="Calibri" w:hAnsi="Calibri"/>
              </w:rPr>
              <w:t xml:space="preserve"> </w:t>
            </w:r>
          </w:p>
          <w:p w14:paraId="7334FD8A" w14:textId="77777777" w:rsidR="00015796" w:rsidRPr="00F63BEC" w:rsidRDefault="00015796" w:rsidP="00015796">
            <w:pPr>
              <w:pStyle w:val="BodyText2"/>
              <w:rPr>
                <w:rFonts w:ascii="Calibri" w:hAnsi="Calibri"/>
              </w:rPr>
            </w:pPr>
          </w:p>
          <w:p w14:paraId="52EF7EC2" w14:textId="21CB9944" w:rsidR="00015796" w:rsidRDefault="00015796" w:rsidP="00015796">
            <w:pPr>
              <w:pStyle w:val="BodyText2"/>
              <w:rPr>
                <w:rFonts w:ascii="Calibri" w:hAnsi="Calibri"/>
              </w:rPr>
            </w:pPr>
            <w:r>
              <w:rPr>
                <w:rFonts w:ascii="Calibri" w:hAnsi="Calibri"/>
              </w:rPr>
              <w:t xml:space="preserve">As 2015 local elections </w:t>
            </w:r>
            <w:r w:rsidRPr="00391C33">
              <w:rPr>
                <w:rFonts w:ascii="Calibri" w:hAnsi="Calibri"/>
              </w:rPr>
              <w:t>resulted in a large share of first-time local councillors and mayors</w:t>
            </w:r>
            <w:r>
              <w:rPr>
                <w:rFonts w:ascii="Calibri" w:hAnsi="Calibri"/>
              </w:rPr>
              <w:t>,</w:t>
            </w:r>
            <w:r w:rsidRPr="00391C33">
              <w:rPr>
                <w:rFonts w:ascii="Calibri" w:hAnsi="Calibri"/>
              </w:rPr>
              <w:t xml:space="preserve"> </w:t>
            </w:r>
            <w:r>
              <w:rPr>
                <w:rFonts w:ascii="Calibri" w:hAnsi="Calibri"/>
              </w:rPr>
              <w:t>e</w:t>
            </w:r>
            <w:r w:rsidRPr="00F63BEC">
              <w:rPr>
                <w:rFonts w:ascii="Calibri" w:hAnsi="Calibri"/>
              </w:rPr>
              <w:t xml:space="preserve">xceptional capacity building efforts were needed. UNDP supported the induction training of all 898 mayors (50% of which were newly elected) and developed an e-learning </w:t>
            </w:r>
            <w:r>
              <w:rPr>
                <w:rFonts w:ascii="Calibri" w:hAnsi="Calibri"/>
              </w:rPr>
              <w:t xml:space="preserve">training </w:t>
            </w:r>
            <w:r w:rsidRPr="00F63BEC">
              <w:rPr>
                <w:rFonts w:ascii="Calibri" w:hAnsi="Calibri"/>
              </w:rPr>
              <w:t>platform available on-line to all 12,000 local councillors and mayors</w:t>
            </w:r>
            <w:r>
              <w:rPr>
                <w:rFonts w:ascii="Calibri" w:hAnsi="Calibri"/>
              </w:rPr>
              <w:t xml:space="preserve"> at the Academy of Public Administration</w:t>
            </w:r>
            <w:r w:rsidRPr="00F63BEC">
              <w:rPr>
                <w:rFonts w:ascii="Calibri" w:hAnsi="Calibri"/>
              </w:rPr>
              <w:t xml:space="preserve">. </w:t>
            </w:r>
            <w:r>
              <w:rPr>
                <w:rFonts w:ascii="Calibri" w:hAnsi="Calibri"/>
              </w:rPr>
              <w:t xml:space="preserve">UNDP </w:t>
            </w:r>
            <w:r w:rsidR="00110E5F">
              <w:rPr>
                <w:rFonts w:ascii="Calibri" w:hAnsi="Calibri"/>
              </w:rPr>
              <w:t xml:space="preserve">has also </w:t>
            </w:r>
            <w:r>
              <w:rPr>
                <w:rFonts w:ascii="Calibri" w:hAnsi="Calibri"/>
              </w:rPr>
              <w:t xml:space="preserve">provided support to the empowerment of women at the local level facilitating the establishment of the </w:t>
            </w:r>
            <w:r w:rsidRPr="00391C33">
              <w:rPr>
                <w:rFonts w:ascii="Calibri" w:hAnsi="Calibri"/>
              </w:rPr>
              <w:t xml:space="preserve">women-mayors </w:t>
            </w:r>
            <w:r>
              <w:rPr>
                <w:rFonts w:ascii="Calibri" w:hAnsi="Calibri"/>
              </w:rPr>
              <w:t xml:space="preserve">network </w:t>
            </w:r>
            <w:r w:rsidRPr="00391C33">
              <w:rPr>
                <w:rFonts w:ascii="Calibri" w:hAnsi="Calibri"/>
              </w:rPr>
              <w:t>of the Moldovan Congress of Local Public Authorities</w:t>
            </w:r>
            <w:r>
              <w:rPr>
                <w:rFonts w:ascii="Calibri" w:hAnsi="Calibri"/>
              </w:rPr>
              <w:t>.</w:t>
            </w:r>
            <w:r w:rsidRPr="00391C33">
              <w:rPr>
                <w:rFonts w:ascii="Calibri" w:hAnsi="Calibri"/>
              </w:rPr>
              <w:t xml:space="preserve"> </w:t>
            </w:r>
          </w:p>
          <w:p w14:paraId="48DEBA68" w14:textId="77777777" w:rsidR="00015796" w:rsidRPr="00F63BEC" w:rsidRDefault="00015796" w:rsidP="00015796">
            <w:pPr>
              <w:pStyle w:val="BodyText2"/>
              <w:rPr>
                <w:rFonts w:ascii="Calibri" w:hAnsi="Calibri"/>
              </w:rPr>
            </w:pPr>
          </w:p>
          <w:p w14:paraId="23A21122" w14:textId="77777777" w:rsidR="00015796" w:rsidRPr="00F63BEC" w:rsidRDefault="00015796" w:rsidP="00015796">
            <w:pPr>
              <w:pStyle w:val="BodyText2"/>
              <w:rPr>
                <w:rFonts w:ascii="Calibri" w:hAnsi="Calibri"/>
              </w:rPr>
            </w:pPr>
            <w:r w:rsidRPr="00CF1CE0">
              <w:rPr>
                <w:rFonts w:ascii="Calibri" w:hAnsi="Calibri"/>
              </w:rPr>
              <w:t xml:space="preserve">This Outcome’s contribution to increasing gender equality in Moldova was confirmed by the Outcome Evaluation: </w:t>
            </w:r>
            <w:r w:rsidRPr="00AB62D1">
              <w:rPr>
                <w:rFonts w:ascii="Calibri" w:hAnsi="Calibri"/>
                <w:i/>
              </w:rPr>
              <w:t>“Concerning the cross-cutting priority of gender, UNDP partnering with UN Women is clearly recognized to having been in the lead for it to become more accepted, understood, and established among policymakers in parliament, in local government, in public institutions overall, and among civil society”</w:t>
            </w:r>
            <w:r>
              <w:rPr>
                <w:rFonts w:ascii="Calibri" w:hAnsi="Calibri"/>
                <w:i/>
              </w:rPr>
              <w:t>.</w:t>
            </w:r>
          </w:p>
          <w:p w14:paraId="1B7807AA" w14:textId="77777777" w:rsidR="00015796" w:rsidRPr="0051678B" w:rsidRDefault="00015796" w:rsidP="00015796">
            <w:pPr>
              <w:pStyle w:val="BodyText2"/>
              <w:rPr>
                <w:rFonts w:ascii="Calibri" w:hAnsi="Calibri"/>
                <w:i/>
              </w:rPr>
            </w:pPr>
          </w:p>
        </w:tc>
      </w:tr>
      <w:tr w:rsidR="00015796" w:rsidRPr="0051678B" w14:paraId="1FFD652A" w14:textId="77777777" w:rsidTr="00FF4697">
        <w:tc>
          <w:tcPr>
            <w:tcW w:w="3150" w:type="dxa"/>
            <w:tcBorders>
              <w:bottom w:val="single" w:sz="4" w:space="0" w:color="auto"/>
            </w:tcBorders>
            <w:shd w:val="clear" w:color="auto" w:fill="95B3D7"/>
          </w:tcPr>
          <w:p w14:paraId="0E5D55AE" w14:textId="77777777" w:rsidR="00015796" w:rsidRPr="0051678B" w:rsidRDefault="00015796" w:rsidP="00015796">
            <w:pPr>
              <w:pStyle w:val="BodyText2"/>
              <w:rPr>
                <w:rFonts w:ascii="Calibri" w:hAnsi="Calibri"/>
              </w:rPr>
            </w:pPr>
            <w:r w:rsidRPr="0051678B">
              <w:rPr>
                <w:rFonts w:ascii="Calibri" w:hAnsi="Calibri"/>
                <w:b/>
              </w:rPr>
              <w:lastRenderedPageBreak/>
              <w:t xml:space="preserve">OUTCOME 23. </w:t>
            </w:r>
            <w:r w:rsidRPr="0051678B">
              <w:rPr>
                <w:rFonts w:ascii="Calibri" w:hAnsi="Calibri"/>
              </w:rPr>
              <w:t>Justice sector actors are better able to promote access to justice and uphold rule of law in compliance with international commitments</w:t>
            </w:r>
          </w:p>
          <w:p w14:paraId="2DACBFE4" w14:textId="77777777" w:rsidR="00015796" w:rsidRPr="0051678B" w:rsidRDefault="00015796" w:rsidP="00015796">
            <w:pPr>
              <w:pStyle w:val="BodyText2"/>
              <w:rPr>
                <w:rFonts w:ascii="Calibri" w:hAnsi="Calibri"/>
                <w:b/>
              </w:rPr>
            </w:pPr>
          </w:p>
        </w:tc>
        <w:tc>
          <w:tcPr>
            <w:tcW w:w="1440" w:type="dxa"/>
            <w:tcBorders>
              <w:bottom w:val="single" w:sz="4" w:space="0" w:color="auto"/>
            </w:tcBorders>
            <w:shd w:val="clear" w:color="auto" w:fill="auto"/>
          </w:tcPr>
          <w:p w14:paraId="574A52D6" w14:textId="0A60066D" w:rsidR="00015796" w:rsidRPr="0051678B" w:rsidRDefault="00015796" w:rsidP="00015796">
            <w:pPr>
              <w:pStyle w:val="BodyText2"/>
              <w:rPr>
                <w:rFonts w:ascii="Calibri" w:hAnsi="Calibri"/>
              </w:rPr>
            </w:pPr>
            <w:r w:rsidRPr="00EF2B06">
              <w:rPr>
                <w:rFonts w:ascii="Calibri" w:hAnsi="Calibri"/>
              </w:rPr>
              <w:t>$</w:t>
            </w:r>
            <w:r w:rsidR="00EF2B06" w:rsidRPr="00EF2B06">
              <w:rPr>
                <w:rFonts w:ascii="Calibri" w:hAnsi="Calibri"/>
                <w:u w:val="single"/>
              </w:rPr>
              <w:t>3,865,645</w:t>
            </w:r>
            <w:r w:rsidR="00EF2B06" w:rsidRPr="0051678B">
              <w:rPr>
                <w:rFonts w:ascii="Calibri" w:hAnsi="Calibri"/>
                <w:color w:val="000000"/>
                <w:sz w:val="22"/>
                <w:szCs w:val="22"/>
              </w:rPr>
              <w:t xml:space="preserve"> </w:t>
            </w:r>
            <w:r w:rsidRPr="0051678B">
              <w:rPr>
                <w:rFonts w:ascii="Calibri" w:hAnsi="Calibri"/>
                <w:color w:val="000000"/>
                <w:sz w:val="22"/>
                <w:szCs w:val="22"/>
              </w:rPr>
              <w:t xml:space="preserve"> </w:t>
            </w:r>
          </w:p>
          <w:p w14:paraId="5958C0BF" w14:textId="77777777" w:rsidR="00015796" w:rsidRPr="0051678B" w:rsidRDefault="00015796" w:rsidP="00015796">
            <w:pPr>
              <w:widowControl/>
              <w:rPr>
                <w:rFonts w:ascii="Calibri" w:hAnsi="Calibri"/>
              </w:rPr>
            </w:pPr>
          </w:p>
        </w:tc>
        <w:tc>
          <w:tcPr>
            <w:tcW w:w="3960" w:type="dxa"/>
            <w:tcBorders>
              <w:left w:val="single" w:sz="4" w:space="0" w:color="auto"/>
              <w:bottom w:val="single" w:sz="4" w:space="0" w:color="auto"/>
            </w:tcBorders>
          </w:tcPr>
          <w:p w14:paraId="3CE73388" w14:textId="77777777" w:rsidR="00015796" w:rsidRPr="0051678B" w:rsidRDefault="00015796" w:rsidP="00015796">
            <w:pPr>
              <w:pStyle w:val="BodyText2"/>
              <w:numPr>
                <w:ilvl w:val="0"/>
                <w:numId w:val="15"/>
              </w:numPr>
              <w:rPr>
                <w:rFonts w:asciiTheme="minorHAnsi" w:hAnsiTheme="minorHAnsi"/>
                <w:i/>
              </w:rPr>
            </w:pPr>
            <w:r w:rsidRPr="0051678B">
              <w:rPr>
                <w:rFonts w:asciiTheme="minorHAnsi" w:hAnsiTheme="minorHAnsi"/>
                <w:b/>
                <w:i/>
              </w:rPr>
              <w:t>Indicator:</w:t>
            </w:r>
            <w:r w:rsidRPr="0051678B">
              <w:rPr>
                <w:rFonts w:asciiTheme="minorHAnsi" w:hAnsiTheme="minorHAnsi"/>
                <w:i/>
              </w:rPr>
              <w:t xml:space="preserve"> </w:t>
            </w:r>
            <w:r w:rsidRPr="0051678B">
              <w:rPr>
                <w:rFonts w:asciiTheme="minorHAnsi" w:hAnsiTheme="minorHAnsi"/>
                <w:bCs/>
                <w:i/>
                <w:color w:val="000000"/>
              </w:rPr>
              <w:t>Level of p</w:t>
            </w:r>
            <w:r w:rsidRPr="0051678B">
              <w:rPr>
                <w:rFonts w:asciiTheme="minorHAnsi" w:hAnsiTheme="minorHAnsi"/>
                <w:i/>
                <w:iCs/>
                <w:color w:val="000000"/>
              </w:rPr>
              <w:t xml:space="preserve">ublic confidence in the justice system; </w:t>
            </w:r>
          </w:p>
          <w:p w14:paraId="0CB0C193" w14:textId="77777777" w:rsidR="00015796" w:rsidRPr="0051678B" w:rsidRDefault="00015796" w:rsidP="00015796">
            <w:pPr>
              <w:pStyle w:val="BodyText2"/>
              <w:ind w:left="360"/>
              <w:rPr>
                <w:rFonts w:asciiTheme="minorHAnsi" w:hAnsiTheme="minorHAnsi"/>
                <w:i/>
              </w:rPr>
            </w:pPr>
            <w:r w:rsidRPr="0051678B">
              <w:rPr>
                <w:rFonts w:asciiTheme="minorHAnsi" w:hAnsiTheme="minorHAnsi"/>
                <w:b/>
                <w:i/>
                <w:iCs/>
                <w:color w:val="000000"/>
              </w:rPr>
              <w:t>Baseline</w:t>
            </w:r>
            <w:r w:rsidRPr="0051678B">
              <w:rPr>
                <w:rFonts w:asciiTheme="minorHAnsi" w:hAnsiTheme="minorHAnsi"/>
                <w:i/>
                <w:iCs/>
                <w:color w:val="000000"/>
              </w:rPr>
              <w:t xml:space="preserve">: 24%; </w:t>
            </w:r>
            <w:r w:rsidRPr="0051678B">
              <w:rPr>
                <w:rFonts w:asciiTheme="minorHAnsi" w:hAnsiTheme="minorHAnsi"/>
                <w:b/>
                <w:i/>
                <w:iCs/>
                <w:color w:val="000000"/>
              </w:rPr>
              <w:t>Target:</w:t>
            </w:r>
            <w:r w:rsidRPr="0051678B">
              <w:rPr>
                <w:rFonts w:asciiTheme="minorHAnsi" w:hAnsiTheme="minorHAnsi"/>
                <w:i/>
                <w:iCs/>
                <w:color w:val="000000"/>
              </w:rPr>
              <w:t xml:space="preserve"> 34%;</w:t>
            </w:r>
            <w:r w:rsidRPr="0051678B">
              <w:rPr>
                <w:rFonts w:asciiTheme="minorHAnsi" w:hAnsiTheme="minorHAnsi"/>
                <w:i/>
              </w:rPr>
              <w:t xml:space="preserve"> </w:t>
            </w:r>
          </w:p>
          <w:p w14:paraId="73FEDDB8" w14:textId="77777777" w:rsidR="00015796" w:rsidRPr="0051678B" w:rsidRDefault="00015796" w:rsidP="00015796">
            <w:pPr>
              <w:pStyle w:val="BodyText2"/>
              <w:numPr>
                <w:ilvl w:val="0"/>
                <w:numId w:val="15"/>
              </w:numPr>
              <w:rPr>
                <w:rFonts w:asciiTheme="minorHAnsi" w:hAnsiTheme="minorHAnsi"/>
                <w:i/>
              </w:rPr>
            </w:pPr>
            <w:r w:rsidRPr="0051678B">
              <w:rPr>
                <w:rFonts w:asciiTheme="minorHAnsi" w:hAnsiTheme="minorHAnsi"/>
                <w:b/>
                <w:i/>
              </w:rPr>
              <w:t>Indicator</w:t>
            </w:r>
            <w:r w:rsidRPr="0051678B">
              <w:rPr>
                <w:rFonts w:asciiTheme="minorHAnsi" w:hAnsiTheme="minorHAnsi"/>
                <w:i/>
              </w:rPr>
              <w:t xml:space="preserve">: # of negative European Court of HR judgements waiting for effective resolution; Confidence in justice system (gender disaggregated); </w:t>
            </w:r>
            <w:r w:rsidRPr="0051678B">
              <w:rPr>
                <w:rFonts w:asciiTheme="minorHAnsi" w:hAnsiTheme="minorHAnsi"/>
                <w:b/>
                <w:i/>
              </w:rPr>
              <w:t>Baseline</w:t>
            </w:r>
            <w:r w:rsidRPr="0051678B">
              <w:rPr>
                <w:rFonts w:asciiTheme="minorHAnsi" w:hAnsiTheme="minorHAnsi"/>
                <w:i/>
              </w:rPr>
              <w:t xml:space="preserve">: 187; 24%; </w:t>
            </w:r>
            <w:r w:rsidRPr="0051678B">
              <w:rPr>
                <w:rFonts w:asciiTheme="minorHAnsi" w:hAnsiTheme="minorHAnsi"/>
                <w:b/>
                <w:i/>
              </w:rPr>
              <w:t>Target</w:t>
            </w:r>
            <w:r w:rsidRPr="0051678B">
              <w:rPr>
                <w:rFonts w:asciiTheme="minorHAnsi" w:hAnsiTheme="minorHAnsi"/>
                <w:i/>
              </w:rPr>
              <w:t xml:space="preserve">: 100; 34% </w:t>
            </w:r>
          </w:p>
          <w:p w14:paraId="138CDA53" w14:textId="77777777" w:rsidR="00015796" w:rsidRPr="0051678B" w:rsidRDefault="00015796" w:rsidP="00015796">
            <w:pPr>
              <w:pStyle w:val="BodyText2"/>
              <w:numPr>
                <w:ilvl w:val="0"/>
                <w:numId w:val="15"/>
              </w:numPr>
              <w:rPr>
                <w:rFonts w:asciiTheme="minorHAnsi" w:hAnsiTheme="minorHAnsi"/>
                <w:i/>
              </w:rPr>
            </w:pPr>
            <w:r w:rsidRPr="0051678B">
              <w:rPr>
                <w:rFonts w:asciiTheme="minorHAnsi" w:hAnsiTheme="minorHAnsi"/>
                <w:b/>
                <w:i/>
              </w:rPr>
              <w:lastRenderedPageBreak/>
              <w:t>Indicator</w:t>
            </w:r>
            <w:r w:rsidRPr="0051678B">
              <w:rPr>
                <w:rFonts w:asciiTheme="minorHAnsi" w:hAnsiTheme="minorHAnsi"/>
                <w:i/>
              </w:rPr>
              <w:t xml:space="preserve">: # of court final punitive decisions for torture, degrading treatment cases; </w:t>
            </w:r>
            <w:r w:rsidRPr="0051678B">
              <w:rPr>
                <w:rFonts w:asciiTheme="minorHAnsi" w:hAnsiTheme="minorHAnsi"/>
                <w:b/>
                <w:i/>
              </w:rPr>
              <w:t>Baseline</w:t>
            </w:r>
            <w:r w:rsidRPr="0051678B">
              <w:rPr>
                <w:rFonts w:asciiTheme="minorHAnsi" w:hAnsiTheme="minorHAnsi"/>
                <w:i/>
              </w:rPr>
              <w:t xml:space="preserve">: 1 in 2011; </w:t>
            </w:r>
            <w:r w:rsidRPr="0051678B">
              <w:rPr>
                <w:rFonts w:asciiTheme="minorHAnsi" w:hAnsiTheme="minorHAnsi"/>
                <w:b/>
                <w:i/>
              </w:rPr>
              <w:t>Target</w:t>
            </w:r>
            <w:r w:rsidRPr="0051678B">
              <w:rPr>
                <w:rFonts w:asciiTheme="minorHAnsi" w:hAnsiTheme="minorHAnsi"/>
                <w:i/>
              </w:rPr>
              <w:t>: 10</w:t>
            </w:r>
          </w:p>
          <w:p w14:paraId="1DA06D02" w14:textId="77777777" w:rsidR="00015796" w:rsidRPr="0051678B" w:rsidRDefault="00015796" w:rsidP="00015796">
            <w:pPr>
              <w:pStyle w:val="BodyText2"/>
              <w:ind w:left="360"/>
              <w:rPr>
                <w:rFonts w:ascii="Calibri" w:hAnsi="Calibri"/>
                <w:i/>
              </w:rPr>
            </w:pPr>
          </w:p>
        </w:tc>
        <w:tc>
          <w:tcPr>
            <w:tcW w:w="5490" w:type="dxa"/>
            <w:tcBorders>
              <w:bottom w:val="single" w:sz="4" w:space="0" w:color="auto"/>
            </w:tcBorders>
            <w:shd w:val="clear" w:color="auto" w:fill="auto"/>
          </w:tcPr>
          <w:p w14:paraId="2E82AAD0" w14:textId="77777777" w:rsidR="00015796" w:rsidRPr="0051678B" w:rsidRDefault="00015796" w:rsidP="00015796">
            <w:pPr>
              <w:pStyle w:val="BodyText2"/>
              <w:numPr>
                <w:ilvl w:val="0"/>
                <w:numId w:val="16"/>
              </w:numPr>
              <w:rPr>
                <w:rFonts w:ascii="Calibri" w:hAnsi="Calibri"/>
                <w:i/>
              </w:rPr>
            </w:pPr>
            <w:r w:rsidRPr="0051678B">
              <w:rPr>
                <w:rFonts w:ascii="Calibri" w:hAnsi="Calibri"/>
                <w:b/>
                <w:i/>
              </w:rPr>
              <w:lastRenderedPageBreak/>
              <w:t>2016</w:t>
            </w:r>
            <w:r w:rsidRPr="0051678B">
              <w:rPr>
                <w:rFonts w:ascii="Calibri" w:hAnsi="Calibri"/>
                <w:i/>
              </w:rPr>
              <w:t>: 7,8%</w:t>
            </w:r>
          </w:p>
          <w:p w14:paraId="65DFB32B" w14:textId="77777777" w:rsidR="00015796" w:rsidRPr="0051678B" w:rsidRDefault="00015796" w:rsidP="00015796">
            <w:pPr>
              <w:pStyle w:val="BodyText2"/>
              <w:ind w:left="360"/>
              <w:rPr>
                <w:rFonts w:ascii="Calibri" w:hAnsi="Calibri"/>
                <w:i/>
              </w:rPr>
            </w:pPr>
            <w:r w:rsidRPr="0051678B">
              <w:rPr>
                <w:rFonts w:ascii="Calibri" w:hAnsi="Calibri"/>
                <w:i/>
              </w:rPr>
              <w:t>Male: 9%</w:t>
            </w:r>
          </w:p>
          <w:p w14:paraId="51E96F02" w14:textId="77777777" w:rsidR="00015796" w:rsidRPr="0051678B" w:rsidRDefault="00015796" w:rsidP="00015796">
            <w:pPr>
              <w:pStyle w:val="BodyText2"/>
              <w:ind w:left="360"/>
              <w:rPr>
                <w:rFonts w:ascii="Calibri" w:hAnsi="Calibri"/>
                <w:i/>
              </w:rPr>
            </w:pPr>
            <w:r w:rsidRPr="0051678B">
              <w:rPr>
                <w:rFonts w:ascii="Calibri" w:hAnsi="Calibri"/>
                <w:i/>
              </w:rPr>
              <w:t xml:space="preserve">Female: 7% </w:t>
            </w:r>
          </w:p>
          <w:p w14:paraId="03547945" w14:textId="77777777" w:rsidR="00015796" w:rsidRPr="0051678B" w:rsidRDefault="00015796" w:rsidP="00015796">
            <w:pPr>
              <w:pStyle w:val="BodyText2"/>
              <w:numPr>
                <w:ilvl w:val="0"/>
                <w:numId w:val="16"/>
              </w:numPr>
              <w:rPr>
                <w:rFonts w:ascii="Calibri" w:hAnsi="Calibri"/>
                <w:i/>
              </w:rPr>
            </w:pPr>
            <w:r w:rsidRPr="0051678B">
              <w:rPr>
                <w:rFonts w:ascii="Calibri" w:hAnsi="Calibri"/>
                <w:i/>
              </w:rPr>
              <w:t xml:space="preserve">The indicator was considered as irrelevant and deleted. </w:t>
            </w:r>
          </w:p>
          <w:p w14:paraId="5ABD01DD" w14:textId="77777777" w:rsidR="00015796" w:rsidRPr="0051678B" w:rsidRDefault="00015796" w:rsidP="00015796">
            <w:pPr>
              <w:pStyle w:val="BodyText2"/>
              <w:numPr>
                <w:ilvl w:val="0"/>
                <w:numId w:val="16"/>
              </w:numPr>
              <w:rPr>
                <w:rFonts w:ascii="Calibri" w:hAnsi="Calibri"/>
                <w:i/>
              </w:rPr>
            </w:pPr>
            <w:r w:rsidRPr="0051678B">
              <w:rPr>
                <w:rFonts w:ascii="Calibri" w:hAnsi="Calibri"/>
                <w:b/>
                <w:i/>
              </w:rPr>
              <w:t>2015</w:t>
            </w:r>
            <w:r w:rsidRPr="0051678B">
              <w:rPr>
                <w:rFonts w:ascii="Calibri" w:hAnsi="Calibri"/>
                <w:i/>
              </w:rPr>
              <w:t>: 9</w:t>
            </w:r>
          </w:p>
        </w:tc>
      </w:tr>
      <w:tr w:rsidR="00015796" w:rsidRPr="0051678B" w14:paraId="7C0F5B1F" w14:textId="77777777" w:rsidTr="00FF4697">
        <w:tc>
          <w:tcPr>
            <w:tcW w:w="14040" w:type="dxa"/>
            <w:gridSpan w:val="4"/>
            <w:tcBorders>
              <w:bottom w:val="single" w:sz="4" w:space="0" w:color="auto"/>
            </w:tcBorders>
            <w:shd w:val="clear" w:color="auto" w:fill="auto"/>
          </w:tcPr>
          <w:p w14:paraId="571EB99F" w14:textId="77777777" w:rsidR="00015796" w:rsidRPr="0051678B" w:rsidRDefault="00015796" w:rsidP="00015796">
            <w:pPr>
              <w:pStyle w:val="BodyText2"/>
              <w:rPr>
                <w:rFonts w:ascii="Calibri" w:hAnsi="Calibri"/>
                <w:b/>
              </w:rPr>
            </w:pPr>
            <w:r w:rsidRPr="0051678B">
              <w:rPr>
                <w:rFonts w:ascii="Calibri" w:hAnsi="Calibri"/>
                <w:b/>
              </w:rPr>
              <w:t>UNDP Contribution:</w:t>
            </w:r>
          </w:p>
          <w:p w14:paraId="50C3FFE6" w14:textId="77777777" w:rsidR="00015796" w:rsidRPr="0051678B" w:rsidRDefault="00015796" w:rsidP="00015796">
            <w:pPr>
              <w:pStyle w:val="BodyText2"/>
              <w:rPr>
                <w:rFonts w:ascii="Calibri" w:hAnsi="Calibri"/>
                <w:u w:val="single"/>
              </w:rPr>
            </w:pPr>
          </w:p>
          <w:p w14:paraId="0A3CED0E" w14:textId="77777777" w:rsidR="00015796" w:rsidRPr="0051678B" w:rsidRDefault="00015796" w:rsidP="00015796">
            <w:pPr>
              <w:pStyle w:val="BodyText2"/>
              <w:rPr>
                <w:rFonts w:ascii="Calibri" w:hAnsi="Calibri"/>
              </w:rPr>
            </w:pPr>
            <w:r w:rsidRPr="0051678B">
              <w:rPr>
                <w:rFonts w:ascii="Calibri" w:hAnsi="Calibri"/>
                <w:u w:val="single"/>
              </w:rPr>
              <w:t>CP Outputs</w:t>
            </w:r>
            <w:r w:rsidRPr="0051678B">
              <w:rPr>
                <w:rFonts w:ascii="Calibri" w:hAnsi="Calibri"/>
              </w:rPr>
              <w:t>:</w:t>
            </w:r>
          </w:p>
          <w:p w14:paraId="5E5EE509" w14:textId="77777777" w:rsidR="00015796" w:rsidRPr="0051678B" w:rsidRDefault="00015796" w:rsidP="00015796">
            <w:pPr>
              <w:pStyle w:val="BodyText2"/>
              <w:rPr>
                <w:rFonts w:ascii="Calibri" w:hAnsi="Calibri"/>
              </w:rPr>
            </w:pPr>
            <w:r w:rsidRPr="0051678B">
              <w:rPr>
                <w:rFonts w:ascii="Calibri" w:hAnsi="Calibri"/>
              </w:rPr>
              <w:t xml:space="preserve">1. Efficient pre-trial investigation system and respecting human rights. </w:t>
            </w:r>
          </w:p>
          <w:p w14:paraId="798577E3" w14:textId="77777777" w:rsidR="00015796" w:rsidRPr="0051678B" w:rsidRDefault="00015796" w:rsidP="00015796">
            <w:pPr>
              <w:pStyle w:val="BodyText2"/>
              <w:rPr>
                <w:rFonts w:ascii="Calibri" w:hAnsi="Calibri"/>
              </w:rPr>
            </w:pPr>
            <w:r w:rsidRPr="0051678B">
              <w:rPr>
                <w:rFonts w:ascii="Calibri" w:hAnsi="Calibri"/>
              </w:rPr>
              <w:t xml:space="preserve">2. System for preventing ill-treatment ensures rights of detainees. </w:t>
            </w:r>
          </w:p>
          <w:p w14:paraId="105535B4" w14:textId="77777777" w:rsidR="00015796" w:rsidRPr="0051678B" w:rsidRDefault="00015796" w:rsidP="00015796">
            <w:pPr>
              <w:pStyle w:val="BodyText2"/>
              <w:rPr>
                <w:rFonts w:ascii="Calibri" w:hAnsi="Calibri"/>
              </w:rPr>
            </w:pPr>
            <w:r w:rsidRPr="0051678B">
              <w:rPr>
                <w:rFonts w:ascii="Calibri" w:hAnsi="Calibri"/>
              </w:rPr>
              <w:t>3. People have better access to justice through strengthened capacity of the justice system</w:t>
            </w:r>
          </w:p>
          <w:p w14:paraId="2FFA0625" w14:textId="77777777" w:rsidR="00015796" w:rsidRPr="0051678B" w:rsidRDefault="00015796" w:rsidP="00015796">
            <w:pPr>
              <w:pStyle w:val="BodyText2"/>
              <w:rPr>
                <w:rFonts w:asciiTheme="minorHAnsi" w:hAnsiTheme="minorHAnsi"/>
              </w:rPr>
            </w:pPr>
          </w:p>
          <w:p w14:paraId="25CA856C" w14:textId="77777777" w:rsidR="00015796" w:rsidRPr="0051678B" w:rsidRDefault="00015796" w:rsidP="00015796">
            <w:pPr>
              <w:pStyle w:val="BodyText2"/>
              <w:rPr>
                <w:rFonts w:asciiTheme="minorHAnsi" w:hAnsiTheme="minorHAnsi"/>
              </w:rPr>
            </w:pPr>
            <w:r w:rsidRPr="0051678B">
              <w:rPr>
                <w:rFonts w:asciiTheme="minorHAnsi" w:hAnsiTheme="minorHAnsi"/>
                <w:u w:val="single"/>
              </w:rPr>
              <w:t>Progress and Achievements</w:t>
            </w:r>
            <w:r w:rsidRPr="0051678B">
              <w:rPr>
                <w:rFonts w:asciiTheme="minorHAnsi" w:hAnsiTheme="minorHAnsi"/>
              </w:rPr>
              <w:t>:</w:t>
            </w:r>
          </w:p>
          <w:p w14:paraId="2F18D4F9" w14:textId="15DF536D" w:rsidR="00015796" w:rsidRPr="0051678B" w:rsidRDefault="00015796" w:rsidP="00015796">
            <w:pPr>
              <w:spacing w:after="120"/>
              <w:rPr>
                <w:rFonts w:asciiTheme="minorHAnsi" w:hAnsiTheme="minorHAnsi"/>
                <w:sz w:val="20"/>
              </w:rPr>
            </w:pPr>
            <w:r>
              <w:rPr>
                <w:rFonts w:asciiTheme="minorHAnsi" w:hAnsiTheme="minorHAnsi"/>
                <w:sz w:val="20"/>
              </w:rPr>
              <w:t xml:space="preserve">Despite strong initial commitment and significant support from the EU, the pace of implementing </w:t>
            </w:r>
            <w:r w:rsidRPr="0051678B">
              <w:rPr>
                <w:rFonts w:asciiTheme="minorHAnsi" w:hAnsiTheme="minorHAnsi"/>
                <w:sz w:val="20"/>
              </w:rPr>
              <w:t xml:space="preserve">the </w:t>
            </w:r>
            <w:r w:rsidRPr="0051678B">
              <w:rPr>
                <w:rFonts w:asciiTheme="minorHAnsi" w:hAnsiTheme="minorHAnsi"/>
                <w:b/>
                <w:sz w:val="20"/>
              </w:rPr>
              <w:t>Justice Sector Reform Strategy</w:t>
            </w:r>
            <w:r w:rsidRPr="0051678B">
              <w:rPr>
                <w:rFonts w:asciiTheme="minorHAnsi" w:hAnsiTheme="minorHAnsi"/>
                <w:sz w:val="20"/>
              </w:rPr>
              <w:t xml:space="preserve"> 2011-2016 (JSRS</w:t>
            </w:r>
            <w:r>
              <w:rPr>
                <w:rFonts w:asciiTheme="minorHAnsi" w:hAnsiTheme="minorHAnsi"/>
                <w:sz w:val="20"/>
              </w:rPr>
              <w:t xml:space="preserve">) </w:t>
            </w:r>
            <w:r w:rsidRPr="0051678B">
              <w:rPr>
                <w:rFonts w:asciiTheme="minorHAnsi" w:hAnsiTheme="minorHAnsi"/>
                <w:sz w:val="20"/>
              </w:rPr>
              <w:t xml:space="preserve">was </w:t>
            </w:r>
            <w:r w:rsidR="00110E5F">
              <w:rPr>
                <w:rFonts w:asciiTheme="minorHAnsi" w:hAnsiTheme="minorHAnsi"/>
                <w:sz w:val="20"/>
              </w:rPr>
              <w:t>slower</w:t>
            </w:r>
            <w:r w:rsidR="00110E5F" w:rsidRPr="0051678B">
              <w:rPr>
                <w:rFonts w:asciiTheme="minorHAnsi" w:hAnsiTheme="minorHAnsi"/>
                <w:sz w:val="20"/>
              </w:rPr>
              <w:t xml:space="preserve"> </w:t>
            </w:r>
            <w:r w:rsidRPr="0051678B">
              <w:rPr>
                <w:rFonts w:asciiTheme="minorHAnsi" w:hAnsiTheme="minorHAnsi"/>
                <w:sz w:val="20"/>
              </w:rPr>
              <w:t xml:space="preserve">than </w:t>
            </w:r>
            <w:r w:rsidR="00110E5F">
              <w:rPr>
                <w:rFonts w:asciiTheme="minorHAnsi" w:hAnsiTheme="minorHAnsi"/>
                <w:sz w:val="20"/>
              </w:rPr>
              <w:t>initially planned</w:t>
            </w:r>
            <w:r w:rsidRPr="0051678B">
              <w:rPr>
                <w:rFonts w:asciiTheme="minorHAnsi" w:hAnsiTheme="minorHAnsi"/>
                <w:sz w:val="20"/>
              </w:rPr>
              <w:t xml:space="preserve">. </w:t>
            </w:r>
            <w:r w:rsidR="00110E5F">
              <w:rPr>
                <w:rFonts w:asciiTheme="minorHAnsi" w:hAnsiTheme="minorHAnsi"/>
                <w:sz w:val="20"/>
              </w:rPr>
              <w:t xml:space="preserve">The </w:t>
            </w:r>
            <w:r w:rsidRPr="0051678B">
              <w:rPr>
                <w:rFonts w:asciiTheme="minorHAnsi" w:hAnsiTheme="minorHAnsi"/>
                <w:sz w:val="20"/>
              </w:rPr>
              <w:t>UNDAF evaluation confirms that “fair trial rights remain somewhat problematic”; corruption, including in justice, continues to be a serious problem in Moldova and measures to combat it are considered as not sufficient</w:t>
            </w:r>
            <w:r w:rsidR="00110E5F">
              <w:rPr>
                <w:rFonts w:asciiTheme="minorHAnsi" w:hAnsiTheme="minorHAnsi"/>
                <w:sz w:val="20"/>
              </w:rPr>
              <w:t xml:space="preserve">. </w:t>
            </w:r>
            <w:r w:rsidRPr="0051678B">
              <w:rPr>
                <w:rFonts w:asciiTheme="minorHAnsi" w:hAnsiTheme="minorHAnsi"/>
                <w:sz w:val="20"/>
              </w:rPr>
              <w:t xml:space="preserve">In this context, UNDP, while initially supporting </w:t>
            </w:r>
            <w:r w:rsidR="00110E5F">
              <w:rPr>
                <w:rFonts w:asciiTheme="minorHAnsi" w:hAnsiTheme="minorHAnsi"/>
                <w:sz w:val="20"/>
              </w:rPr>
              <w:t xml:space="preserve">the </w:t>
            </w:r>
            <w:r w:rsidRPr="0051678B">
              <w:rPr>
                <w:rFonts w:asciiTheme="minorHAnsi" w:hAnsiTheme="minorHAnsi"/>
                <w:sz w:val="20"/>
              </w:rPr>
              <w:t xml:space="preserve">elaboration of the Strategy and its Action Plan and setting </w:t>
            </w:r>
            <w:r w:rsidR="00110E5F">
              <w:rPr>
                <w:rFonts w:asciiTheme="minorHAnsi" w:hAnsiTheme="minorHAnsi"/>
                <w:sz w:val="20"/>
              </w:rPr>
              <w:t xml:space="preserve">up </w:t>
            </w:r>
            <w:r w:rsidRPr="0051678B">
              <w:rPr>
                <w:rFonts w:asciiTheme="minorHAnsi" w:hAnsiTheme="minorHAnsi"/>
                <w:sz w:val="20"/>
              </w:rPr>
              <w:t xml:space="preserve">of a sound monitoring and reporting system for their implementation, has </w:t>
            </w:r>
            <w:r w:rsidR="00B73CB7" w:rsidRPr="0051678B">
              <w:rPr>
                <w:rFonts w:asciiTheme="minorHAnsi" w:hAnsiTheme="minorHAnsi"/>
                <w:sz w:val="20"/>
              </w:rPr>
              <w:t>helped</w:t>
            </w:r>
            <w:r w:rsidRPr="0051678B">
              <w:rPr>
                <w:rFonts w:asciiTheme="minorHAnsi" w:hAnsiTheme="minorHAnsi"/>
                <w:sz w:val="20"/>
              </w:rPr>
              <w:t xml:space="preserve"> further strengthen capacities of government institutions, ensure effective funds absorption and achieve a better progress of the targeting specific Strategy</w:t>
            </w:r>
            <w:r w:rsidR="00110E5F">
              <w:rPr>
                <w:rFonts w:asciiTheme="minorHAnsi" w:hAnsiTheme="minorHAnsi"/>
                <w:sz w:val="20"/>
              </w:rPr>
              <w:t xml:space="preserve"> related activities</w:t>
            </w:r>
            <w:r w:rsidRPr="0051678B">
              <w:rPr>
                <w:rFonts w:asciiTheme="minorHAnsi" w:hAnsiTheme="minorHAnsi"/>
                <w:sz w:val="20"/>
              </w:rPr>
              <w:t xml:space="preserve">. Amidst </w:t>
            </w:r>
            <w:r w:rsidR="00B73CB7">
              <w:rPr>
                <w:rFonts w:asciiTheme="minorHAnsi" w:hAnsiTheme="minorHAnsi"/>
                <w:sz w:val="20"/>
              </w:rPr>
              <w:t>difficulties</w:t>
            </w:r>
            <w:r w:rsidRPr="0051678B">
              <w:rPr>
                <w:rFonts w:asciiTheme="minorHAnsi" w:hAnsiTheme="minorHAnsi"/>
                <w:sz w:val="20"/>
              </w:rPr>
              <w:t xml:space="preserve">, a continued positive trend is observed regarding CPD Outcome indicator c. on torture and COP Output 1.: </w:t>
            </w:r>
            <w:r w:rsidR="00110E5F">
              <w:rPr>
                <w:rFonts w:asciiTheme="minorHAnsi" w:hAnsiTheme="minorHAnsi"/>
                <w:sz w:val="20"/>
              </w:rPr>
              <w:t xml:space="preserve">a </w:t>
            </w:r>
            <w:r w:rsidRPr="0051678B">
              <w:rPr>
                <w:rFonts w:asciiTheme="minorHAnsi" w:hAnsiTheme="minorHAnsi"/>
                <w:sz w:val="20"/>
              </w:rPr>
              <w:t>35% decrease was registered in the number of complaints related to cases of torture and ill-treatment received by prosecutors.</w:t>
            </w:r>
            <w:r w:rsidR="00110E5F">
              <w:rPr>
                <w:rFonts w:asciiTheme="minorHAnsi" w:hAnsiTheme="minorHAnsi"/>
                <w:sz w:val="20"/>
              </w:rPr>
              <w:t xml:space="preserve"> The</w:t>
            </w:r>
            <w:r w:rsidRPr="0051678B">
              <w:rPr>
                <w:rFonts w:asciiTheme="minorHAnsi" w:hAnsiTheme="minorHAnsi"/>
                <w:sz w:val="20"/>
              </w:rPr>
              <w:t xml:space="preserve"> UNDAF evaluation also evidenced that detention conditions were improved and incidence of torture cases was reduced. </w:t>
            </w:r>
          </w:p>
          <w:p w14:paraId="5DE27DFF" w14:textId="6E877476" w:rsidR="00015796" w:rsidRPr="0051678B" w:rsidRDefault="00110E5F" w:rsidP="00015796">
            <w:pPr>
              <w:spacing w:after="120"/>
              <w:rPr>
                <w:rFonts w:asciiTheme="minorHAnsi" w:hAnsiTheme="minorHAnsi"/>
                <w:sz w:val="20"/>
              </w:rPr>
            </w:pPr>
            <w:r>
              <w:rPr>
                <w:rFonts w:asciiTheme="minorHAnsi" w:hAnsiTheme="minorHAnsi"/>
                <w:sz w:val="20"/>
              </w:rPr>
              <w:t xml:space="preserve">In addition, </w:t>
            </w:r>
            <w:r w:rsidR="00015796" w:rsidRPr="0051678B">
              <w:rPr>
                <w:rFonts w:asciiTheme="minorHAnsi" w:hAnsiTheme="minorHAnsi"/>
                <w:sz w:val="20"/>
              </w:rPr>
              <w:t xml:space="preserve">UNDP contributed to the </w:t>
            </w:r>
            <w:r w:rsidR="00015796" w:rsidRPr="0051678B">
              <w:rPr>
                <w:rFonts w:asciiTheme="minorHAnsi" w:hAnsiTheme="minorHAnsi"/>
                <w:b/>
                <w:sz w:val="20"/>
              </w:rPr>
              <w:t xml:space="preserve">courts’ optimization </w:t>
            </w:r>
            <w:r w:rsidR="00015796" w:rsidRPr="0051678B">
              <w:rPr>
                <w:rFonts w:asciiTheme="minorHAnsi" w:hAnsiTheme="minorHAnsi"/>
                <w:sz w:val="20"/>
              </w:rPr>
              <w:t xml:space="preserve">process by supporting a review of relevant </w:t>
            </w:r>
            <w:r>
              <w:rPr>
                <w:rFonts w:asciiTheme="minorHAnsi" w:hAnsiTheme="minorHAnsi"/>
                <w:sz w:val="20"/>
              </w:rPr>
              <w:t xml:space="preserve">global </w:t>
            </w:r>
            <w:r w:rsidR="00015796" w:rsidRPr="0051678B">
              <w:rPr>
                <w:rFonts w:asciiTheme="minorHAnsi" w:hAnsiTheme="minorHAnsi"/>
                <w:sz w:val="20"/>
              </w:rPr>
              <w:t>experience and a draft methodology for court optimization in Moldova</w:t>
            </w:r>
            <w:r w:rsidR="00015796">
              <w:rPr>
                <w:rFonts w:asciiTheme="minorHAnsi" w:hAnsiTheme="minorHAnsi"/>
                <w:sz w:val="20"/>
              </w:rPr>
              <w:t xml:space="preserve">. This </w:t>
            </w:r>
            <w:r w:rsidR="00015796" w:rsidRPr="0051678B">
              <w:rPr>
                <w:rFonts w:asciiTheme="minorHAnsi" w:hAnsiTheme="minorHAnsi"/>
                <w:sz w:val="20"/>
              </w:rPr>
              <w:t xml:space="preserve">led to the adoption in 2016 of the Law on the reorganization of the court system, which is the basis of further court system reform in Moldova. </w:t>
            </w:r>
            <w:r>
              <w:rPr>
                <w:rFonts w:asciiTheme="minorHAnsi" w:hAnsiTheme="minorHAnsi"/>
                <w:sz w:val="20"/>
              </w:rPr>
              <w:t xml:space="preserve">UNDP has also facilitated the development of the </w:t>
            </w:r>
            <w:r w:rsidR="00015796" w:rsidRPr="0051678B">
              <w:rPr>
                <w:rFonts w:asciiTheme="minorHAnsi" w:hAnsiTheme="minorHAnsi"/>
                <w:b/>
                <w:sz w:val="20"/>
              </w:rPr>
              <w:t>Strategy on the Prosecution System Reform</w:t>
            </w:r>
            <w:r w:rsidR="00015796" w:rsidRPr="0051678B">
              <w:rPr>
                <w:rFonts w:asciiTheme="minorHAnsi" w:hAnsiTheme="minorHAnsi"/>
                <w:sz w:val="20"/>
              </w:rPr>
              <w:t xml:space="preserve"> aiming at strengthening the independence of the prosecution and the professionalism of prosecutors, and a comprehensive legislative reform of the prosecution system </w:t>
            </w:r>
            <w:r w:rsidR="00015796">
              <w:rPr>
                <w:rFonts w:asciiTheme="minorHAnsi" w:hAnsiTheme="minorHAnsi"/>
                <w:sz w:val="20"/>
              </w:rPr>
              <w:t>i</w:t>
            </w:r>
            <w:r w:rsidR="00015796" w:rsidRPr="0051678B">
              <w:rPr>
                <w:rFonts w:asciiTheme="minorHAnsi" w:hAnsiTheme="minorHAnsi"/>
                <w:sz w:val="20"/>
              </w:rPr>
              <w:t xml:space="preserve">nitiated in 2013. </w:t>
            </w:r>
            <w:r>
              <w:rPr>
                <w:rFonts w:asciiTheme="minorHAnsi" w:hAnsiTheme="minorHAnsi"/>
                <w:sz w:val="20"/>
              </w:rPr>
              <w:t xml:space="preserve">Through </w:t>
            </w:r>
            <w:r w:rsidR="00015796" w:rsidRPr="0051678B">
              <w:rPr>
                <w:rFonts w:asciiTheme="minorHAnsi" w:hAnsiTheme="minorHAnsi"/>
                <w:sz w:val="20"/>
              </w:rPr>
              <w:t>one of the first governmental Cost-Sharing Agreements in Moldova, UNDP has elaborated an e-Case management system, providing the Prosecution Service with a digital document management solution for criminal cases</w:t>
            </w:r>
            <w:r>
              <w:rPr>
                <w:rFonts w:asciiTheme="minorHAnsi" w:hAnsiTheme="minorHAnsi"/>
                <w:sz w:val="20"/>
              </w:rPr>
              <w:t xml:space="preserve">, also deploying necessary </w:t>
            </w:r>
            <w:r w:rsidR="00015796" w:rsidRPr="0051678B">
              <w:rPr>
                <w:rFonts w:asciiTheme="minorHAnsi" w:hAnsiTheme="minorHAnsi"/>
                <w:sz w:val="20"/>
              </w:rPr>
              <w:t>hardware for piloting of the system in six institutions</w:t>
            </w:r>
            <w:r w:rsidR="00014A40">
              <w:rPr>
                <w:rFonts w:asciiTheme="minorHAnsi" w:hAnsiTheme="minorHAnsi"/>
                <w:sz w:val="20"/>
              </w:rPr>
              <w:t>.</w:t>
            </w:r>
          </w:p>
          <w:p w14:paraId="55088B15" w14:textId="6C023E59" w:rsidR="00015796" w:rsidRPr="0051678B" w:rsidRDefault="00015796" w:rsidP="008D0A4E">
            <w:pPr>
              <w:spacing w:after="120"/>
              <w:jc w:val="both"/>
              <w:rPr>
                <w:rFonts w:asciiTheme="minorHAnsi" w:hAnsiTheme="minorHAnsi"/>
                <w:sz w:val="20"/>
              </w:rPr>
            </w:pPr>
            <w:r w:rsidRPr="0051678B">
              <w:rPr>
                <w:rFonts w:asciiTheme="minorHAnsi" w:hAnsiTheme="minorHAnsi"/>
                <w:sz w:val="20"/>
              </w:rPr>
              <w:t xml:space="preserve">UNDP built capacities of the three national forensic institutions and contributed to the </w:t>
            </w:r>
            <w:r w:rsidRPr="0051678B">
              <w:rPr>
                <w:rFonts w:asciiTheme="minorHAnsi" w:hAnsiTheme="minorHAnsi"/>
                <w:b/>
                <w:sz w:val="20"/>
              </w:rPr>
              <w:t>forensic system reform</w:t>
            </w:r>
            <w:r w:rsidRPr="0051678B">
              <w:rPr>
                <w:rFonts w:asciiTheme="minorHAnsi" w:hAnsiTheme="minorHAnsi"/>
                <w:sz w:val="20"/>
              </w:rPr>
              <w:t xml:space="preserve">: new Law on forensic expertise and statute of judicial expert has been adopted in 2016, two forensic institutions (Police Forensic Centre and the national Centre of Judicial Expertise) have been </w:t>
            </w:r>
            <w:r w:rsidR="00014A40">
              <w:rPr>
                <w:rFonts w:asciiTheme="minorHAnsi" w:hAnsiTheme="minorHAnsi"/>
                <w:sz w:val="20"/>
              </w:rPr>
              <w:t xml:space="preserve">significantly </w:t>
            </w:r>
            <w:r w:rsidRPr="0051678B">
              <w:rPr>
                <w:rFonts w:asciiTheme="minorHAnsi" w:hAnsiTheme="minorHAnsi"/>
                <w:sz w:val="20"/>
              </w:rPr>
              <w:t xml:space="preserve">re-equipped and standardization of forensic methodologies towards international certification was in progress by the end of 2016 contributing to CPD Output 1. </w:t>
            </w:r>
          </w:p>
          <w:p w14:paraId="43CC909A" w14:textId="73B211F1" w:rsidR="00015796" w:rsidRPr="0051678B" w:rsidRDefault="00015796" w:rsidP="008D0A4E">
            <w:pPr>
              <w:spacing w:after="120"/>
              <w:jc w:val="both"/>
              <w:rPr>
                <w:rFonts w:asciiTheme="minorHAnsi" w:hAnsiTheme="minorHAnsi"/>
                <w:sz w:val="20"/>
              </w:rPr>
            </w:pPr>
            <w:r w:rsidRPr="0051678B">
              <w:rPr>
                <w:rFonts w:asciiTheme="minorHAnsi" w:hAnsiTheme="minorHAnsi"/>
                <w:sz w:val="20"/>
              </w:rPr>
              <w:t xml:space="preserve">The </w:t>
            </w:r>
            <w:r w:rsidRPr="0051678B">
              <w:rPr>
                <w:rFonts w:asciiTheme="minorHAnsi" w:hAnsiTheme="minorHAnsi"/>
                <w:b/>
                <w:sz w:val="20"/>
              </w:rPr>
              <w:t>legal aid system</w:t>
            </w:r>
            <w:r w:rsidRPr="0051678B">
              <w:rPr>
                <w:rFonts w:asciiTheme="minorHAnsi" w:hAnsiTheme="minorHAnsi"/>
                <w:sz w:val="20"/>
              </w:rPr>
              <w:t xml:space="preserve"> became fully operational in non-criminal matters and UNDP aimed at ensuring quality of legal aid. A number of specific activities (research, assessments, and capacity building) were undertaken and based on the support provided, </w:t>
            </w:r>
            <w:r w:rsidR="00014A40">
              <w:rPr>
                <w:rFonts w:asciiTheme="minorHAnsi" w:hAnsiTheme="minorHAnsi"/>
                <w:sz w:val="20"/>
              </w:rPr>
              <w:t>a</w:t>
            </w:r>
            <w:r w:rsidR="00014A40" w:rsidRPr="0051678B">
              <w:rPr>
                <w:rFonts w:asciiTheme="minorHAnsi" w:hAnsiTheme="minorHAnsi"/>
                <w:sz w:val="20"/>
              </w:rPr>
              <w:t xml:space="preserve"> </w:t>
            </w:r>
            <w:r w:rsidRPr="0051678B">
              <w:rPr>
                <w:rFonts w:asciiTheme="minorHAnsi" w:hAnsiTheme="minorHAnsi"/>
                <w:sz w:val="20"/>
              </w:rPr>
              <w:t xml:space="preserve">National Legal Aid Council (NLAC) </w:t>
            </w:r>
            <w:r w:rsidR="00014A40">
              <w:rPr>
                <w:rFonts w:asciiTheme="minorHAnsi" w:hAnsiTheme="minorHAnsi"/>
                <w:sz w:val="20"/>
              </w:rPr>
              <w:t xml:space="preserve">was fully </w:t>
            </w:r>
            <w:r w:rsidRPr="0051678B">
              <w:rPr>
                <w:rFonts w:asciiTheme="minorHAnsi" w:hAnsiTheme="minorHAnsi"/>
                <w:sz w:val="20"/>
              </w:rPr>
              <w:t>institutionalized</w:t>
            </w:r>
            <w:r w:rsidR="00014A40">
              <w:rPr>
                <w:rFonts w:asciiTheme="minorHAnsi" w:hAnsiTheme="minorHAnsi"/>
                <w:sz w:val="20"/>
              </w:rPr>
              <w:t>.</w:t>
            </w:r>
          </w:p>
          <w:p w14:paraId="67054503" w14:textId="4B876DAC" w:rsidR="00015796" w:rsidRPr="0051678B" w:rsidRDefault="00015796" w:rsidP="008D0A4E">
            <w:pPr>
              <w:spacing w:after="120"/>
              <w:jc w:val="both"/>
              <w:rPr>
                <w:rFonts w:asciiTheme="minorHAnsi" w:hAnsiTheme="minorHAnsi"/>
                <w:sz w:val="20"/>
              </w:rPr>
            </w:pPr>
            <w:r w:rsidRPr="0051678B">
              <w:rPr>
                <w:rFonts w:asciiTheme="minorHAnsi" w:eastAsiaTheme="minorHAnsi" w:hAnsiTheme="minorHAnsi"/>
                <w:sz w:val="20"/>
              </w:rPr>
              <w:t xml:space="preserve">Gender </w:t>
            </w:r>
            <w:r w:rsidR="00014A40">
              <w:rPr>
                <w:rFonts w:asciiTheme="minorHAnsi" w:eastAsiaTheme="minorHAnsi" w:hAnsiTheme="minorHAnsi"/>
                <w:sz w:val="20"/>
              </w:rPr>
              <w:t xml:space="preserve">and youth related </w:t>
            </w:r>
            <w:r w:rsidRPr="0051678B">
              <w:rPr>
                <w:rFonts w:asciiTheme="minorHAnsi" w:eastAsiaTheme="minorHAnsi" w:hAnsiTheme="minorHAnsi"/>
                <w:sz w:val="20"/>
              </w:rPr>
              <w:t xml:space="preserve">issues were mainstreamed through the </w:t>
            </w:r>
            <w:r w:rsidRPr="0051678B">
              <w:rPr>
                <w:rFonts w:asciiTheme="minorHAnsi" w:eastAsiaTheme="minorHAnsi" w:hAnsiTheme="minorHAnsi"/>
                <w:b/>
                <w:sz w:val="20"/>
              </w:rPr>
              <w:t>torture and ill-treatment prevention</w:t>
            </w:r>
            <w:r w:rsidR="00014A40">
              <w:rPr>
                <w:rFonts w:asciiTheme="minorHAnsi" w:eastAsiaTheme="minorHAnsi" w:hAnsiTheme="minorHAnsi"/>
                <w:b/>
                <w:sz w:val="20"/>
              </w:rPr>
              <w:t>, as well as youth offenders related</w:t>
            </w:r>
            <w:r w:rsidRPr="0051678B">
              <w:rPr>
                <w:rFonts w:asciiTheme="minorHAnsi" w:eastAsiaTheme="minorHAnsi" w:hAnsiTheme="minorHAnsi"/>
                <w:b/>
                <w:sz w:val="20"/>
              </w:rPr>
              <w:t xml:space="preserve"> </w:t>
            </w:r>
            <w:r w:rsidRPr="0051678B">
              <w:rPr>
                <w:rFonts w:asciiTheme="minorHAnsi" w:eastAsiaTheme="minorHAnsi" w:hAnsiTheme="minorHAnsi"/>
                <w:sz w:val="20"/>
              </w:rPr>
              <w:t>trainings</w:t>
            </w:r>
            <w:r w:rsidR="00014A40">
              <w:rPr>
                <w:rFonts w:asciiTheme="minorHAnsi" w:eastAsiaTheme="minorHAnsi" w:hAnsiTheme="minorHAnsi"/>
                <w:sz w:val="20"/>
              </w:rPr>
              <w:t xml:space="preserve"> for prison staff,</w:t>
            </w:r>
            <w:r w:rsidRPr="0051678B">
              <w:rPr>
                <w:rFonts w:asciiTheme="minorHAnsi" w:eastAsiaTheme="minorHAnsi" w:hAnsiTheme="minorHAnsi"/>
                <w:sz w:val="20"/>
              </w:rPr>
              <w:t xml:space="preserve"> </w:t>
            </w:r>
            <w:r w:rsidR="00014A40" w:rsidRPr="0051678B">
              <w:rPr>
                <w:rFonts w:asciiTheme="minorHAnsi" w:hAnsiTheme="minorHAnsi"/>
                <w:sz w:val="20"/>
              </w:rPr>
              <w:t>contribut</w:t>
            </w:r>
            <w:r w:rsidR="00014A40">
              <w:rPr>
                <w:rFonts w:asciiTheme="minorHAnsi" w:hAnsiTheme="minorHAnsi"/>
                <w:sz w:val="20"/>
              </w:rPr>
              <w:t>ing</w:t>
            </w:r>
            <w:r w:rsidR="00014A40" w:rsidRPr="0051678B">
              <w:rPr>
                <w:rFonts w:asciiTheme="minorHAnsi" w:hAnsiTheme="minorHAnsi"/>
                <w:sz w:val="20"/>
              </w:rPr>
              <w:t xml:space="preserve"> to the CPD Outputs 1 and 2</w:t>
            </w:r>
            <w:r w:rsidR="00014A40">
              <w:rPr>
                <w:rFonts w:asciiTheme="minorHAnsi" w:hAnsiTheme="minorHAnsi"/>
                <w:sz w:val="20"/>
              </w:rPr>
              <w:t xml:space="preserve">. </w:t>
            </w:r>
          </w:p>
          <w:p w14:paraId="50356E1D" w14:textId="43DDB777" w:rsidR="00015796" w:rsidRPr="0051678B" w:rsidRDefault="00015796" w:rsidP="00014A40">
            <w:pPr>
              <w:spacing w:after="120"/>
              <w:rPr>
                <w:rFonts w:asciiTheme="minorHAnsi" w:hAnsiTheme="minorHAnsi"/>
                <w:sz w:val="20"/>
              </w:rPr>
            </w:pPr>
            <w:r w:rsidRPr="0051678B">
              <w:rPr>
                <w:rFonts w:asciiTheme="minorHAnsi" w:hAnsiTheme="minorHAnsi"/>
                <w:sz w:val="20"/>
              </w:rPr>
              <w:t xml:space="preserve">The </w:t>
            </w:r>
            <w:r w:rsidRPr="0051678B">
              <w:rPr>
                <w:rFonts w:asciiTheme="minorHAnsi" w:hAnsiTheme="minorHAnsi"/>
                <w:b/>
                <w:sz w:val="20"/>
              </w:rPr>
              <w:t>National Institute of Justice</w:t>
            </w:r>
            <w:r w:rsidRPr="0051678B">
              <w:rPr>
                <w:rFonts w:asciiTheme="minorHAnsi" w:hAnsiTheme="minorHAnsi"/>
                <w:sz w:val="20"/>
              </w:rPr>
              <w:t xml:space="preserve">, which is one of the key institutions for the implementation of the Justice Sector Reform Strategy, has progressed in its systemic changes, </w:t>
            </w:r>
            <w:r w:rsidRPr="0051678B">
              <w:rPr>
                <w:rFonts w:asciiTheme="minorHAnsi" w:hAnsiTheme="minorHAnsi"/>
                <w:sz w:val="20"/>
              </w:rPr>
              <w:lastRenderedPageBreak/>
              <w:t xml:space="preserve">with related UNDP development assistance. </w:t>
            </w:r>
            <w:r w:rsidR="00B73CB7" w:rsidRPr="0051678B">
              <w:rPr>
                <w:rFonts w:asciiTheme="minorHAnsi" w:hAnsiTheme="minorHAnsi"/>
                <w:sz w:val="20"/>
              </w:rPr>
              <w:t>Thus</w:t>
            </w:r>
            <w:r w:rsidRPr="0051678B">
              <w:rPr>
                <w:rFonts w:asciiTheme="minorHAnsi" w:hAnsiTheme="minorHAnsi"/>
                <w:sz w:val="20"/>
              </w:rPr>
              <w:t xml:space="preserve">, in 2015 the NIJ has approved its revised initial training programme, which is a first step to avoid duplication with university-level legal education and to better focus the programme on tailored professional training. </w:t>
            </w:r>
            <w:r w:rsidR="00014A40">
              <w:rPr>
                <w:rFonts w:asciiTheme="minorHAnsi" w:hAnsiTheme="minorHAnsi"/>
                <w:sz w:val="20"/>
              </w:rPr>
              <w:t xml:space="preserve">UNDP has thus facilitated the positioning of the </w:t>
            </w:r>
            <w:r w:rsidRPr="0051678B">
              <w:rPr>
                <w:rStyle w:val="spanwordwrap"/>
                <w:rFonts w:asciiTheme="minorHAnsi" w:hAnsiTheme="minorHAnsi"/>
                <w:sz w:val="20"/>
              </w:rPr>
              <w:t xml:space="preserve">NIJ as a justice system role model, as well as strengthened capacity of justice institutions in respecting human rights, ensuring physical and informational accessibility of justice and acting in a gender-sensitive way, </w:t>
            </w:r>
            <w:r w:rsidRPr="0051678B">
              <w:rPr>
                <w:rFonts w:asciiTheme="minorHAnsi" w:hAnsiTheme="minorHAnsi"/>
                <w:sz w:val="20"/>
              </w:rPr>
              <w:t xml:space="preserve">thus leading to strengthening the capacity of the judiciary and prosecution services and contributing to CPD Output 3. </w:t>
            </w:r>
          </w:p>
          <w:p w14:paraId="2CCE2933" w14:textId="7B83E843" w:rsidR="00015796" w:rsidRPr="008D0A4E" w:rsidRDefault="00015796" w:rsidP="00014A40">
            <w:pPr>
              <w:spacing w:after="120"/>
              <w:rPr>
                <w:rFonts w:asciiTheme="minorHAnsi" w:hAnsiTheme="minorHAnsi"/>
                <w:sz w:val="20"/>
                <w:lang w:val="en-US"/>
              </w:rPr>
            </w:pPr>
            <w:r w:rsidRPr="0051678B">
              <w:rPr>
                <w:rFonts w:asciiTheme="minorHAnsi" w:eastAsiaTheme="minorHAnsi" w:hAnsiTheme="minorHAnsi"/>
                <w:sz w:val="20"/>
              </w:rPr>
              <w:t xml:space="preserve">Major achievements were </w:t>
            </w:r>
            <w:r w:rsidR="00014A40">
              <w:rPr>
                <w:rFonts w:asciiTheme="minorHAnsi" w:eastAsiaTheme="minorHAnsi" w:hAnsiTheme="minorHAnsi"/>
                <w:sz w:val="20"/>
              </w:rPr>
              <w:t xml:space="preserve">also </w:t>
            </w:r>
            <w:r w:rsidRPr="0051678B">
              <w:rPr>
                <w:rFonts w:asciiTheme="minorHAnsi" w:eastAsiaTheme="minorHAnsi" w:hAnsiTheme="minorHAnsi"/>
                <w:sz w:val="20"/>
              </w:rPr>
              <w:t xml:space="preserve">registered in the support to the </w:t>
            </w:r>
            <w:r w:rsidRPr="0051678B">
              <w:rPr>
                <w:rFonts w:asciiTheme="minorHAnsi" w:eastAsiaTheme="minorHAnsi" w:hAnsiTheme="minorHAnsi"/>
                <w:b/>
                <w:sz w:val="20"/>
              </w:rPr>
              <w:t>Police reform process</w:t>
            </w:r>
            <w:r w:rsidRPr="0051678B">
              <w:rPr>
                <w:rFonts w:asciiTheme="minorHAnsi" w:eastAsiaTheme="minorHAnsi" w:hAnsiTheme="minorHAnsi"/>
                <w:sz w:val="20"/>
              </w:rPr>
              <w:t xml:space="preserve">, covering operational, professional, institutional and legislative aspects in three areas: </w:t>
            </w:r>
            <w:r w:rsidRPr="0051678B">
              <w:rPr>
                <w:rFonts w:asciiTheme="minorHAnsi" w:hAnsiTheme="minorHAnsi"/>
                <w:sz w:val="20"/>
              </w:rPr>
              <w:t xml:space="preserve">communication, forensics and community </w:t>
            </w:r>
            <w:r w:rsidR="008D0A4E" w:rsidRPr="0051678B">
              <w:rPr>
                <w:rFonts w:asciiTheme="minorHAnsi" w:hAnsiTheme="minorHAnsi"/>
                <w:sz w:val="20"/>
              </w:rPr>
              <w:t>policing</w:t>
            </w:r>
            <w:r w:rsidR="008D0A4E" w:rsidRPr="0051678B">
              <w:rPr>
                <w:rFonts w:asciiTheme="minorHAnsi" w:eastAsiaTheme="minorHAnsi" w:hAnsiTheme="minorHAnsi"/>
                <w:sz w:val="20"/>
              </w:rPr>
              <w:t>.</w:t>
            </w:r>
            <w:r w:rsidRPr="0051678B">
              <w:rPr>
                <w:rFonts w:asciiTheme="minorHAnsi" w:hAnsiTheme="minorHAnsi"/>
                <w:sz w:val="20"/>
              </w:rPr>
              <w:t xml:space="preserve"> </w:t>
            </w:r>
          </w:p>
        </w:tc>
      </w:tr>
      <w:tr w:rsidR="00015796" w:rsidRPr="0051678B" w14:paraId="5BAF0F09" w14:textId="77777777" w:rsidTr="00FF4697">
        <w:tc>
          <w:tcPr>
            <w:tcW w:w="3150" w:type="dxa"/>
            <w:tcBorders>
              <w:bottom w:val="single" w:sz="4" w:space="0" w:color="auto"/>
            </w:tcBorders>
            <w:shd w:val="clear" w:color="auto" w:fill="95B3D7"/>
          </w:tcPr>
          <w:p w14:paraId="7427AD0B" w14:textId="77777777" w:rsidR="00015796" w:rsidRPr="0051678B" w:rsidRDefault="00015796" w:rsidP="00015796">
            <w:pPr>
              <w:pStyle w:val="BodyText2"/>
              <w:rPr>
                <w:rFonts w:ascii="Calibri" w:hAnsi="Calibri"/>
              </w:rPr>
            </w:pPr>
            <w:r w:rsidRPr="0051678B">
              <w:rPr>
                <w:rFonts w:ascii="Calibri" w:hAnsi="Calibri"/>
                <w:b/>
              </w:rPr>
              <w:lastRenderedPageBreak/>
              <w:t xml:space="preserve">OUTCOME 24. </w:t>
            </w:r>
            <w:r w:rsidRPr="0051678B">
              <w:rPr>
                <w:rFonts w:ascii="Calibri" w:hAnsi="Calibri"/>
              </w:rPr>
              <w:t>State bodies and other actors effectively promote and protect human rights, gender equality and non-discrimination, with particular attention to the marginalized and the vulnerable</w:t>
            </w:r>
          </w:p>
          <w:p w14:paraId="312677B5" w14:textId="77777777" w:rsidR="00015796" w:rsidRPr="0051678B" w:rsidRDefault="00015796" w:rsidP="00015796">
            <w:pPr>
              <w:spacing w:line="270" w:lineRule="atLeast"/>
              <w:jc w:val="both"/>
              <w:outlineLvl w:val="1"/>
              <w:rPr>
                <w:rFonts w:ascii="Calibri" w:hAnsi="Calibri"/>
                <w:b/>
              </w:rPr>
            </w:pPr>
          </w:p>
        </w:tc>
        <w:tc>
          <w:tcPr>
            <w:tcW w:w="1440" w:type="dxa"/>
            <w:tcBorders>
              <w:bottom w:val="single" w:sz="4" w:space="0" w:color="auto"/>
            </w:tcBorders>
            <w:shd w:val="clear" w:color="auto" w:fill="auto"/>
          </w:tcPr>
          <w:p w14:paraId="26453614" w14:textId="77777777" w:rsidR="00EF2B06" w:rsidRPr="0051678B" w:rsidRDefault="00EF2B06" w:rsidP="00EF2B06">
            <w:pPr>
              <w:pStyle w:val="BodyText2"/>
              <w:rPr>
                <w:rFonts w:ascii="Calibri" w:hAnsi="Calibri"/>
                <w:color w:val="000000"/>
                <w:sz w:val="22"/>
                <w:szCs w:val="22"/>
                <w:lang w:eastAsia="mk-MK"/>
              </w:rPr>
            </w:pPr>
            <w:r w:rsidRPr="009E0B4C">
              <w:rPr>
                <w:rFonts w:ascii="Calibri" w:hAnsi="Calibri"/>
              </w:rPr>
              <w:t>$</w:t>
            </w:r>
            <w:r w:rsidRPr="0051678B">
              <w:rPr>
                <w:rFonts w:ascii="Calibri" w:hAnsi="Calibri"/>
              </w:rPr>
              <w:t xml:space="preserve"> </w:t>
            </w:r>
            <w:r w:rsidRPr="009E0B4C">
              <w:rPr>
                <w:rFonts w:ascii="Calibri" w:hAnsi="Calibri"/>
                <w:u w:val="single"/>
              </w:rPr>
              <w:t>3,268,623</w:t>
            </w:r>
            <w:r w:rsidRPr="0051678B">
              <w:rPr>
                <w:rFonts w:ascii="Calibri" w:hAnsi="Calibri"/>
                <w:color w:val="000000"/>
                <w:sz w:val="22"/>
                <w:szCs w:val="22"/>
              </w:rPr>
              <w:t xml:space="preserve">      </w:t>
            </w:r>
          </w:p>
          <w:p w14:paraId="2B8595B9" w14:textId="77777777" w:rsidR="00015796" w:rsidRPr="0051678B" w:rsidRDefault="00015796" w:rsidP="00015796">
            <w:pPr>
              <w:pStyle w:val="BodyText2"/>
              <w:rPr>
                <w:rFonts w:ascii="Calibri" w:hAnsi="Calibri"/>
                <w:sz w:val="22"/>
                <w:szCs w:val="22"/>
                <w:lang w:eastAsia="mk-MK"/>
              </w:rPr>
            </w:pPr>
          </w:p>
        </w:tc>
        <w:tc>
          <w:tcPr>
            <w:tcW w:w="3960" w:type="dxa"/>
            <w:tcBorders>
              <w:left w:val="single" w:sz="4" w:space="0" w:color="auto"/>
              <w:bottom w:val="single" w:sz="4" w:space="0" w:color="auto"/>
            </w:tcBorders>
          </w:tcPr>
          <w:p w14:paraId="3ECDA536" w14:textId="77777777" w:rsidR="00015796" w:rsidRPr="0051678B" w:rsidRDefault="00015796" w:rsidP="00015796">
            <w:pPr>
              <w:pStyle w:val="BodyText2"/>
              <w:rPr>
                <w:rFonts w:ascii="Calibri" w:hAnsi="Calibri"/>
                <w:i/>
              </w:rPr>
            </w:pPr>
            <w:r w:rsidRPr="0051678B">
              <w:rPr>
                <w:rFonts w:ascii="Calibri" w:hAnsi="Calibri"/>
                <w:b/>
                <w:i/>
              </w:rPr>
              <w:t>Indicato</w:t>
            </w:r>
            <w:r w:rsidRPr="0051678B">
              <w:rPr>
                <w:rFonts w:ascii="Calibri" w:hAnsi="Calibri"/>
                <w:i/>
              </w:rPr>
              <w:t>r: % of human rights/</w:t>
            </w:r>
          </w:p>
          <w:p w14:paraId="7247DBA3" w14:textId="77777777" w:rsidR="00015796" w:rsidRPr="0051678B" w:rsidRDefault="00015796" w:rsidP="00015796">
            <w:pPr>
              <w:pStyle w:val="BodyText2"/>
              <w:rPr>
                <w:rFonts w:ascii="Calibri" w:hAnsi="Calibri"/>
                <w:i/>
              </w:rPr>
            </w:pPr>
            <w:r w:rsidRPr="0051678B">
              <w:rPr>
                <w:rFonts w:ascii="Calibri" w:hAnsi="Calibri"/>
                <w:i/>
              </w:rPr>
              <w:t xml:space="preserve">gender treaty body’s recommendations implemented; Frequency/participation in NHRAP/ UPR monitoring; </w:t>
            </w:r>
          </w:p>
          <w:p w14:paraId="49C1DFF2" w14:textId="2DC814D3" w:rsidR="00015796" w:rsidRPr="0051678B" w:rsidRDefault="00015796" w:rsidP="00015796">
            <w:pPr>
              <w:pStyle w:val="BodyText2"/>
              <w:rPr>
                <w:rFonts w:ascii="Calibri" w:hAnsi="Calibri"/>
                <w:i/>
              </w:rPr>
            </w:pPr>
            <w:r w:rsidRPr="0051678B">
              <w:rPr>
                <w:rFonts w:ascii="Calibri" w:hAnsi="Calibri"/>
                <w:b/>
                <w:i/>
              </w:rPr>
              <w:t>Baseline</w:t>
            </w:r>
            <w:r w:rsidR="008D0A4E">
              <w:rPr>
                <w:rFonts w:ascii="Calibri" w:hAnsi="Calibri"/>
                <w:i/>
              </w:rPr>
              <w:t>: 122 UPR recommend</w:t>
            </w:r>
            <w:r w:rsidRPr="0051678B">
              <w:rPr>
                <w:rFonts w:ascii="Calibri" w:hAnsi="Calibri"/>
                <w:i/>
              </w:rPr>
              <w:t xml:space="preserve">/17 gender related; NHRAP approved; </w:t>
            </w:r>
          </w:p>
          <w:p w14:paraId="2DB917C3" w14:textId="77777777" w:rsidR="00015796" w:rsidRPr="0051678B" w:rsidRDefault="00015796" w:rsidP="00015796">
            <w:pPr>
              <w:pStyle w:val="BodyText2"/>
              <w:rPr>
                <w:rFonts w:ascii="Calibri" w:hAnsi="Calibri"/>
                <w:i/>
              </w:rPr>
            </w:pPr>
            <w:r w:rsidRPr="0051678B">
              <w:rPr>
                <w:rFonts w:ascii="Calibri" w:hAnsi="Calibri"/>
                <w:b/>
                <w:i/>
              </w:rPr>
              <w:t>Target</w:t>
            </w:r>
            <w:r w:rsidRPr="0051678B">
              <w:rPr>
                <w:rFonts w:ascii="Calibri" w:hAnsi="Calibri"/>
                <w:i/>
              </w:rPr>
              <w:t>: UPR recommend. implemented; NHRAP/UPR monitored, considers recommend. of CSOs, especially of women, people with disability and Roma.</w:t>
            </w:r>
          </w:p>
        </w:tc>
        <w:tc>
          <w:tcPr>
            <w:tcW w:w="5490" w:type="dxa"/>
            <w:tcBorders>
              <w:bottom w:val="single" w:sz="4" w:space="0" w:color="auto"/>
            </w:tcBorders>
            <w:shd w:val="clear" w:color="auto" w:fill="auto"/>
          </w:tcPr>
          <w:p w14:paraId="30D16D4E" w14:textId="77777777" w:rsidR="00015796" w:rsidRPr="0051678B" w:rsidRDefault="00015796" w:rsidP="00015796">
            <w:pPr>
              <w:pStyle w:val="BodyText2"/>
              <w:rPr>
                <w:rFonts w:ascii="Calibri" w:hAnsi="Calibri"/>
                <w:i/>
              </w:rPr>
            </w:pPr>
            <w:r w:rsidRPr="0051678B">
              <w:rPr>
                <w:rFonts w:ascii="Calibri" w:hAnsi="Calibri"/>
                <w:b/>
                <w:i/>
              </w:rPr>
              <w:t>2015:</w:t>
            </w:r>
            <w:r w:rsidRPr="0051678B">
              <w:rPr>
                <w:rFonts w:ascii="Calibri" w:hAnsi="Calibri"/>
                <w:i/>
              </w:rPr>
              <w:t xml:space="preserve"> Out of 122 UPR recommendations: 45 (37%) implemented and 77 (63%) under implementation</w:t>
            </w:r>
          </w:p>
          <w:p w14:paraId="6D5B1E87" w14:textId="77777777" w:rsidR="00015796" w:rsidRPr="0051678B" w:rsidRDefault="00015796" w:rsidP="00015796">
            <w:pPr>
              <w:pStyle w:val="BodyText2"/>
              <w:rPr>
                <w:rFonts w:ascii="Calibri" w:hAnsi="Calibri"/>
                <w:i/>
              </w:rPr>
            </w:pPr>
          </w:p>
        </w:tc>
      </w:tr>
      <w:tr w:rsidR="00015796" w:rsidRPr="0051678B" w14:paraId="07960F53" w14:textId="77777777" w:rsidTr="00FF4697">
        <w:tc>
          <w:tcPr>
            <w:tcW w:w="14040" w:type="dxa"/>
            <w:gridSpan w:val="4"/>
            <w:tcBorders>
              <w:bottom w:val="single" w:sz="4" w:space="0" w:color="auto"/>
            </w:tcBorders>
            <w:shd w:val="clear" w:color="auto" w:fill="auto"/>
          </w:tcPr>
          <w:p w14:paraId="65E0BEFC" w14:textId="72618CE0" w:rsidR="00015796" w:rsidRPr="0051678B" w:rsidRDefault="00015796" w:rsidP="00015796">
            <w:pPr>
              <w:pStyle w:val="BodyText2"/>
              <w:rPr>
                <w:rFonts w:asciiTheme="minorHAnsi" w:hAnsiTheme="minorHAnsi"/>
                <w:b/>
              </w:rPr>
            </w:pPr>
            <w:r w:rsidRPr="0051678B">
              <w:rPr>
                <w:rFonts w:asciiTheme="minorHAnsi" w:hAnsiTheme="minorHAnsi"/>
                <w:b/>
              </w:rPr>
              <w:t>UNDP Contribution:</w:t>
            </w:r>
          </w:p>
          <w:p w14:paraId="7A0BA6E8" w14:textId="77777777" w:rsidR="00015796" w:rsidRPr="0051678B" w:rsidRDefault="00015796" w:rsidP="00015796">
            <w:pPr>
              <w:pStyle w:val="BodyText2"/>
              <w:rPr>
                <w:rFonts w:asciiTheme="minorHAnsi" w:hAnsiTheme="minorHAnsi"/>
                <w:u w:val="single"/>
              </w:rPr>
            </w:pPr>
          </w:p>
          <w:p w14:paraId="2C0EF88F" w14:textId="77777777" w:rsidR="00015796" w:rsidRPr="0051678B" w:rsidRDefault="00015796" w:rsidP="00015796">
            <w:pPr>
              <w:pStyle w:val="BodyText2"/>
              <w:rPr>
                <w:rFonts w:asciiTheme="minorHAnsi" w:hAnsiTheme="minorHAnsi"/>
              </w:rPr>
            </w:pPr>
            <w:r w:rsidRPr="0051678B">
              <w:rPr>
                <w:rFonts w:asciiTheme="minorHAnsi" w:hAnsiTheme="minorHAnsi"/>
                <w:u w:val="single"/>
              </w:rPr>
              <w:t>CP Outputs</w:t>
            </w:r>
            <w:r w:rsidRPr="0051678B">
              <w:rPr>
                <w:rFonts w:asciiTheme="minorHAnsi" w:hAnsiTheme="minorHAnsi"/>
              </w:rPr>
              <w:t>:</w:t>
            </w:r>
          </w:p>
          <w:p w14:paraId="55625D8A" w14:textId="77777777" w:rsidR="00015796" w:rsidRPr="0051678B" w:rsidRDefault="00015796" w:rsidP="00015796">
            <w:pPr>
              <w:pStyle w:val="BodyText2"/>
              <w:rPr>
                <w:rFonts w:asciiTheme="minorHAnsi" w:hAnsiTheme="minorHAnsi"/>
              </w:rPr>
            </w:pPr>
            <w:r w:rsidRPr="0051678B">
              <w:rPr>
                <w:rFonts w:asciiTheme="minorHAnsi" w:hAnsiTheme="minorHAnsi"/>
              </w:rPr>
              <w:t xml:space="preserve">1. Enhanced capacity of Ombudsman, Parliamentary Commission for Human Rights, ministries and CSOs to implement and monitor NHRAP/ UPR recommendations </w:t>
            </w:r>
          </w:p>
          <w:p w14:paraId="39AB5DEF" w14:textId="77777777" w:rsidR="00015796" w:rsidRPr="0051678B" w:rsidRDefault="00015796" w:rsidP="00015796">
            <w:pPr>
              <w:pStyle w:val="BodyText2"/>
              <w:rPr>
                <w:rFonts w:asciiTheme="minorHAnsi" w:hAnsiTheme="minorHAnsi"/>
                <w:i/>
              </w:rPr>
            </w:pPr>
            <w:r w:rsidRPr="0051678B">
              <w:rPr>
                <w:rFonts w:asciiTheme="minorHAnsi" w:hAnsiTheme="minorHAnsi"/>
              </w:rPr>
              <w:t>2. Increased human rights awareness and empowerment of the vulnerable, incl. women, Roma, people with disability</w:t>
            </w:r>
          </w:p>
          <w:p w14:paraId="7E3F7BC1" w14:textId="77777777" w:rsidR="00015796" w:rsidRPr="0051678B" w:rsidRDefault="00015796" w:rsidP="00015796">
            <w:pPr>
              <w:pStyle w:val="BodyText2"/>
              <w:rPr>
                <w:rFonts w:asciiTheme="minorHAnsi" w:hAnsiTheme="minorHAnsi"/>
                <w:u w:val="single"/>
              </w:rPr>
            </w:pPr>
          </w:p>
          <w:p w14:paraId="647B8476" w14:textId="77777777" w:rsidR="00015796" w:rsidRPr="0051678B" w:rsidRDefault="00015796" w:rsidP="00015796">
            <w:pPr>
              <w:pStyle w:val="BodyText2"/>
              <w:rPr>
                <w:rFonts w:asciiTheme="minorHAnsi" w:hAnsiTheme="minorHAnsi"/>
              </w:rPr>
            </w:pPr>
            <w:r w:rsidRPr="0051678B">
              <w:rPr>
                <w:rFonts w:asciiTheme="minorHAnsi" w:hAnsiTheme="minorHAnsi"/>
                <w:u w:val="single"/>
              </w:rPr>
              <w:t>Progress and Achievements</w:t>
            </w:r>
            <w:r w:rsidRPr="0051678B">
              <w:rPr>
                <w:rFonts w:asciiTheme="minorHAnsi" w:hAnsiTheme="minorHAnsi"/>
              </w:rPr>
              <w:t>:</w:t>
            </w:r>
          </w:p>
          <w:p w14:paraId="71958BB0" w14:textId="77777777" w:rsidR="00015796" w:rsidRPr="0051678B" w:rsidRDefault="00015796" w:rsidP="00015796">
            <w:pPr>
              <w:pStyle w:val="BodyText2"/>
              <w:rPr>
                <w:rFonts w:asciiTheme="minorHAnsi" w:hAnsiTheme="minorHAnsi"/>
              </w:rPr>
            </w:pPr>
          </w:p>
          <w:p w14:paraId="111CE390" w14:textId="747688DE" w:rsidR="00015796" w:rsidRPr="0051678B" w:rsidRDefault="00015796" w:rsidP="00015796">
            <w:pPr>
              <w:spacing w:after="120"/>
              <w:rPr>
                <w:rFonts w:asciiTheme="minorHAnsi" w:hAnsiTheme="minorHAnsi"/>
                <w:sz w:val="20"/>
              </w:rPr>
            </w:pPr>
            <w:r w:rsidRPr="0051678B">
              <w:rPr>
                <w:rFonts w:asciiTheme="minorHAnsi" w:hAnsiTheme="minorHAnsi"/>
                <w:sz w:val="20"/>
              </w:rPr>
              <w:t>During the reporting period the implementation of the National Human Rights Action Plan (NHRAP) has continued</w:t>
            </w:r>
            <w:r w:rsidR="00F9617F">
              <w:rPr>
                <w:rFonts w:asciiTheme="minorHAnsi" w:hAnsiTheme="minorHAnsi"/>
                <w:sz w:val="20"/>
              </w:rPr>
              <w:t xml:space="preserve">, </w:t>
            </w:r>
            <w:r w:rsidR="00F9617F">
              <w:rPr>
                <w:rFonts w:asciiTheme="minorHAnsi" w:hAnsiTheme="minorHAnsi"/>
                <w:sz w:val="20"/>
                <w:lang w:val="en-US"/>
              </w:rPr>
              <w:t xml:space="preserve">while the </w:t>
            </w:r>
            <w:r w:rsidRPr="0051678B">
              <w:rPr>
                <w:rFonts w:asciiTheme="minorHAnsi" w:hAnsiTheme="minorHAnsi"/>
                <w:sz w:val="20"/>
              </w:rPr>
              <w:t>intermediary UPR implementation report</w:t>
            </w:r>
            <w:r w:rsidR="00F9617F">
              <w:rPr>
                <w:rFonts w:asciiTheme="minorHAnsi" w:hAnsiTheme="minorHAnsi"/>
                <w:sz w:val="20"/>
              </w:rPr>
              <w:t>ed</w:t>
            </w:r>
            <w:r w:rsidRPr="0051678B">
              <w:rPr>
                <w:rFonts w:asciiTheme="minorHAnsi" w:hAnsiTheme="minorHAnsi"/>
                <w:sz w:val="20"/>
              </w:rPr>
              <w:t xml:space="preserve"> that out of 122 UPR recommendations 45 (37%) were implemented and 77 (63%) under implementation.</w:t>
            </w:r>
          </w:p>
          <w:p w14:paraId="30597B6E" w14:textId="5BB9AF31" w:rsidR="00015796" w:rsidRPr="0051678B" w:rsidRDefault="00015796" w:rsidP="00015796">
            <w:pPr>
              <w:spacing w:after="120"/>
              <w:rPr>
                <w:rFonts w:asciiTheme="minorHAnsi" w:hAnsiTheme="minorHAnsi"/>
                <w:sz w:val="20"/>
              </w:rPr>
            </w:pPr>
            <w:r w:rsidRPr="0051678B">
              <w:rPr>
                <w:rFonts w:asciiTheme="minorHAnsi" w:hAnsiTheme="minorHAnsi"/>
                <w:sz w:val="20"/>
              </w:rPr>
              <w:t xml:space="preserve">In this context, UNDP, while initially supporting elaboration of the NHRAP 2011-2014, continued to use its for programming and development assistance after its expiration </w:t>
            </w:r>
            <w:r w:rsidR="0086019A">
              <w:rPr>
                <w:rFonts w:asciiTheme="minorHAnsi" w:hAnsiTheme="minorHAnsi"/>
                <w:sz w:val="20"/>
              </w:rPr>
              <w:t>given</w:t>
            </w:r>
            <w:r w:rsidR="0086019A" w:rsidRPr="0051678B">
              <w:rPr>
                <w:rFonts w:asciiTheme="minorHAnsi" w:hAnsiTheme="minorHAnsi"/>
                <w:sz w:val="20"/>
              </w:rPr>
              <w:t xml:space="preserve"> </w:t>
            </w:r>
            <w:r w:rsidRPr="0051678B">
              <w:rPr>
                <w:rFonts w:asciiTheme="minorHAnsi" w:hAnsiTheme="minorHAnsi"/>
                <w:sz w:val="20"/>
              </w:rPr>
              <w:t>the lack of another drafted national human rights policy document</w:t>
            </w:r>
            <w:r w:rsidR="004F58E4">
              <w:rPr>
                <w:rFonts w:asciiTheme="minorHAnsi" w:hAnsiTheme="minorHAnsi"/>
                <w:sz w:val="20"/>
              </w:rPr>
              <w:t>.</w:t>
            </w:r>
            <w:r w:rsidRPr="0051678B">
              <w:rPr>
                <w:rFonts w:asciiTheme="minorHAnsi" w:hAnsiTheme="minorHAnsi"/>
                <w:sz w:val="20"/>
              </w:rPr>
              <w:t xml:space="preserve"> </w:t>
            </w:r>
            <w:r w:rsidR="004F58E4">
              <w:rPr>
                <w:rFonts w:asciiTheme="minorHAnsi" w:hAnsiTheme="minorHAnsi"/>
                <w:sz w:val="20"/>
              </w:rPr>
              <w:t>S</w:t>
            </w:r>
            <w:r w:rsidRPr="0051678B">
              <w:rPr>
                <w:rFonts w:asciiTheme="minorHAnsi" w:hAnsiTheme="minorHAnsi"/>
                <w:sz w:val="20"/>
              </w:rPr>
              <w:t>olid data on human right attitudes and perceptions of 14 marginalised, minority and vulnerable groups was collected within two baseline studies in 2015-2016, which provided a strong evidence-based basis for further planning, monitoring and evaluation. A strong empowerment of vulnerable and minority groups was achieved through training, grants and consultancy provided by UNDP and OHCHR, which resulted in the more than doubling the number of 2nd cycle UPR shadow submissions (from 18 in 2011 to 38 in 2016) strongly contributing to CPD Output 1.</w:t>
            </w:r>
          </w:p>
          <w:p w14:paraId="1AD83A44" w14:textId="54E804AE" w:rsidR="00015796" w:rsidRPr="0051678B" w:rsidRDefault="00015796" w:rsidP="00015796">
            <w:pPr>
              <w:spacing w:after="120"/>
              <w:rPr>
                <w:rFonts w:asciiTheme="minorHAnsi" w:hAnsiTheme="minorHAnsi"/>
                <w:sz w:val="20"/>
              </w:rPr>
            </w:pPr>
            <w:r w:rsidRPr="0051678B">
              <w:rPr>
                <w:rFonts w:asciiTheme="minorHAnsi" w:hAnsiTheme="minorHAnsi"/>
                <w:sz w:val="20"/>
              </w:rPr>
              <w:t xml:space="preserve">The release in 2013 of the first report on human rights in the secessionist </w:t>
            </w:r>
            <w:r w:rsidRPr="0051678B">
              <w:rPr>
                <w:rFonts w:asciiTheme="minorHAnsi" w:hAnsiTheme="minorHAnsi"/>
                <w:b/>
                <w:sz w:val="20"/>
              </w:rPr>
              <w:t>Transnistrian region</w:t>
            </w:r>
            <w:r w:rsidRPr="0051678B">
              <w:rPr>
                <w:rFonts w:asciiTheme="minorHAnsi" w:hAnsiTheme="minorHAnsi"/>
                <w:sz w:val="20"/>
              </w:rPr>
              <w:t xml:space="preserve">, commissioned by UN, which identified deeply rooted problems and provided a series of recommendations to </w:t>
            </w:r>
            <w:r w:rsidRPr="0051678B">
              <w:rPr>
                <w:rFonts w:asciiTheme="minorHAnsi" w:hAnsiTheme="minorHAnsi"/>
                <w:i/>
                <w:sz w:val="20"/>
              </w:rPr>
              <w:t>de facto</w:t>
            </w:r>
            <w:r w:rsidRPr="0051678B">
              <w:rPr>
                <w:rFonts w:asciiTheme="minorHAnsi" w:hAnsiTheme="minorHAnsi"/>
                <w:sz w:val="20"/>
              </w:rPr>
              <w:t xml:space="preserve"> authorities, became one of the major human rights developments in the country. The report has also guided UNDP’s development assistance in the region and serves as a baseline to measure the progress in the future. </w:t>
            </w:r>
          </w:p>
          <w:p w14:paraId="593AE1B0" w14:textId="4D76009A" w:rsidR="00015796" w:rsidRPr="0051678B" w:rsidRDefault="00015796" w:rsidP="00E06B1F">
            <w:pPr>
              <w:spacing w:after="120"/>
              <w:rPr>
                <w:rFonts w:asciiTheme="minorHAnsi" w:hAnsiTheme="minorHAnsi"/>
                <w:sz w:val="20"/>
              </w:rPr>
            </w:pPr>
            <w:r w:rsidRPr="0051678B">
              <w:rPr>
                <w:rFonts w:asciiTheme="minorHAnsi" w:hAnsiTheme="minorHAnsi"/>
                <w:sz w:val="20"/>
              </w:rPr>
              <w:lastRenderedPageBreak/>
              <w:t xml:space="preserve">One of the </w:t>
            </w:r>
            <w:r w:rsidR="00E06B1F">
              <w:rPr>
                <w:rFonts w:asciiTheme="minorHAnsi" w:hAnsiTheme="minorHAnsi"/>
                <w:sz w:val="20"/>
              </w:rPr>
              <w:t>important</w:t>
            </w:r>
            <w:r w:rsidR="00E06B1F" w:rsidRPr="0051678B">
              <w:rPr>
                <w:rFonts w:asciiTheme="minorHAnsi" w:hAnsiTheme="minorHAnsi"/>
                <w:sz w:val="20"/>
              </w:rPr>
              <w:t xml:space="preserve"> </w:t>
            </w:r>
            <w:r w:rsidRPr="0051678B">
              <w:rPr>
                <w:rFonts w:asciiTheme="minorHAnsi" w:hAnsiTheme="minorHAnsi"/>
                <w:sz w:val="20"/>
              </w:rPr>
              <w:t xml:space="preserve">achievements consisted in the </w:t>
            </w:r>
            <w:r w:rsidRPr="0051678B">
              <w:rPr>
                <w:rFonts w:asciiTheme="minorHAnsi" w:hAnsiTheme="minorHAnsi"/>
                <w:b/>
                <w:sz w:val="20"/>
              </w:rPr>
              <w:t>establishment of the Equality Council</w:t>
            </w:r>
            <w:r w:rsidRPr="0051678B">
              <w:rPr>
                <w:rFonts w:asciiTheme="minorHAnsi" w:hAnsiTheme="minorHAnsi"/>
                <w:sz w:val="20"/>
              </w:rPr>
              <w:t xml:space="preserve"> (national anti-discrimination enforcement body) through the appointment of its 5 members by the Parliament in 2013. </w:t>
            </w:r>
            <w:r w:rsidR="00B73CB7" w:rsidRPr="0051678B">
              <w:rPr>
                <w:rFonts w:asciiTheme="minorHAnsi" w:hAnsiTheme="minorHAnsi"/>
                <w:sz w:val="20"/>
              </w:rPr>
              <w:t>Thus,</w:t>
            </w:r>
            <w:r w:rsidRPr="0051678B">
              <w:rPr>
                <w:rFonts w:asciiTheme="minorHAnsi" w:hAnsiTheme="minorHAnsi"/>
                <w:sz w:val="20"/>
              </w:rPr>
              <w:t xml:space="preserve"> Moldova became the first CIS country which adopted anti-discrimination legislation and set up the corresponding enforcement body. UNDP has contributed to the initial capacity building of the Council in strategic planning, staff recruitment, elaboration of internal rules and regulations</w:t>
            </w:r>
            <w:r w:rsidR="00E06B1F">
              <w:rPr>
                <w:rFonts w:asciiTheme="minorHAnsi" w:hAnsiTheme="minorHAnsi"/>
                <w:sz w:val="20"/>
              </w:rPr>
              <w:t xml:space="preserve"> etc. </w:t>
            </w:r>
            <w:r w:rsidRPr="0051678B">
              <w:rPr>
                <w:rFonts w:asciiTheme="minorHAnsi" w:hAnsiTheme="minorHAnsi"/>
                <w:sz w:val="20"/>
              </w:rPr>
              <w:t>By mid</w:t>
            </w:r>
            <w:r w:rsidR="00E06B1F">
              <w:rPr>
                <w:rFonts w:asciiTheme="minorHAnsi" w:hAnsiTheme="minorHAnsi"/>
                <w:sz w:val="20"/>
              </w:rPr>
              <w:t>-</w:t>
            </w:r>
            <w:r w:rsidRPr="0051678B">
              <w:rPr>
                <w:rFonts w:asciiTheme="minorHAnsi" w:hAnsiTheme="minorHAnsi"/>
                <w:sz w:val="20"/>
              </w:rPr>
              <w:t xml:space="preserve">2016 the Council has examined 420 complaints, has issued 230 decisions and has found discrimination in 103 cases. </w:t>
            </w:r>
          </w:p>
          <w:p w14:paraId="308B89BA" w14:textId="50D77604" w:rsidR="00015796" w:rsidRPr="0051678B" w:rsidRDefault="00015796" w:rsidP="00015796">
            <w:pPr>
              <w:spacing w:after="120"/>
              <w:jc w:val="both"/>
              <w:rPr>
                <w:rFonts w:asciiTheme="minorHAnsi" w:hAnsiTheme="minorHAnsi"/>
                <w:sz w:val="20"/>
              </w:rPr>
            </w:pPr>
            <w:r w:rsidRPr="0051678B">
              <w:rPr>
                <w:rFonts w:asciiTheme="minorHAnsi" w:hAnsiTheme="minorHAnsi"/>
                <w:sz w:val="20"/>
              </w:rPr>
              <w:t xml:space="preserve">New Law on </w:t>
            </w:r>
            <w:r w:rsidRPr="0051678B">
              <w:rPr>
                <w:rFonts w:asciiTheme="minorHAnsi" w:hAnsiTheme="minorHAnsi"/>
                <w:b/>
                <w:sz w:val="20"/>
              </w:rPr>
              <w:t xml:space="preserve">Peoples Advocate (Ombudsperson) </w:t>
            </w:r>
            <w:r w:rsidRPr="0051678B">
              <w:rPr>
                <w:rFonts w:asciiTheme="minorHAnsi" w:hAnsiTheme="minorHAnsi"/>
                <w:sz w:val="20"/>
              </w:rPr>
              <w:t xml:space="preserve">was passed in 2014 with strong UNDP support in cooperation with other development partners, although the new Ombudsperson was </w:t>
            </w:r>
            <w:r w:rsidR="00E06B1F" w:rsidRPr="0051678B">
              <w:rPr>
                <w:rFonts w:asciiTheme="minorHAnsi" w:hAnsiTheme="minorHAnsi"/>
                <w:sz w:val="20"/>
              </w:rPr>
              <w:t>appoint</w:t>
            </w:r>
            <w:r w:rsidR="00E06B1F">
              <w:rPr>
                <w:rFonts w:asciiTheme="minorHAnsi" w:hAnsiTheme="minorHAnsi"/>
                <w:sz w:val="20"/>
              </w:rPr>
              <w:t xml:space="preserve">ed </w:t>
            </w:r>
            <w:r w:rsidRPr="0051678B">
              <w:rPr>
                <w:rFonts w:asciiTheme="minorHAnsi" w:hAnsiTheme="minorHAnsi"/>
                <w:sz w:val="20"/>
              </w:rPr>
              <w:t>later</w:t>
            </w:r>
            <w:r w:rsidR="00E06B1F">
              <w:rPr>
                <w:rFonts w:asciiTheme="minorHAnsi" w:hAnsiTheme="minorHAnsi"/>
                <w:sz w:val="20"/>
              </w:rPr>
              <w:t>,</w:t>
            </w:r>
            <w:r w:rsidRPr="0051678B">
              <w:rPr>
                <w:rFonts w:asciiTheme="minorHAnsi" w:hAnsiTheme="minorHAnsi"/>
                <w:sz w:val="20"/>
              </w:rPr>
              <w:t xml:space="preserve"> in 2015. Further, the Ombudsperson's Office and Equality Council strengthened their role as </w:t>
            </w:r>
            <w:r w:rsidRPr="0051678B">
              <w:rPr>
                <w:rFonts w:asciiTheme="minorHAnsi" w:hAnsiTheme="minorHAnsi"/>
                <w:b/>
                <w:sz w:val="20"/>
              </w:rPr>
              <w:t>National Human Rights Institutions (NHRIs)</w:t>
            </w:r>
            <w:r w:rsidRPr="0051678B">
              <w:rPr>
                <w:rFonts w:asciiTheme="minorHAnsi" w:hAnsiTheme="minorHAnsi"/>
                <w:sz w:val="20"/>
              </w:rPr>
              <w:t xml:space="preserve">, </w:t>
            </w:r>
            <w:r w:rsidR="00E06B1F">
              <w:rPr>
                <w:rFonts w:asciiTheme="minorHAnsi" w:hAnsiTheme="minorHAnsi"/>
                <w:sz w:val="20"/>
              </w:rPr>
              <w:t>as</w:t>
            </w:r>
            <w:r w:rsidRPr="0051678B">
              <w:rPr>
                <w:rFonts w:asciiTheme="minorHAnsi" w:hAnsiTheme="minorHAnsi"/>
                <w:sz w:val="20"/>
              </w:rPr>
              <w:t xml:space="preserve"> confirmed by UNDAF evaluation</w:t>
            </w:r>
            <w:r w:rsidR="00E06B1F">
              <w:rPr>
                <w:rFonts w:asciiTheme="minorHAnsi" w:hAnsiTheme="minorHAnsi"/>
                <w:sz w:val="20"/>
              </w:rPr>
              <w:t>.</w:t>
            </w:r>
          </w:p>
          <w:p w14:paraId="59CFB952" w14:textId="456969B5" w:rsidR="00015796" w:rsidRPr="0051678B" w:rsidRDefault="00015796" w:rsidP="00015796">
            <w:pPr>
              <w:spacing w:after="120"/>
              <w:rPr>
                <w:rFonts w:asciiTheme="minorHAnsi" w:hAnsiTheme="minorHAnsi"/>
                <w:sz w:val="20"/>
              </w:rPr>
            </w:pPr>
            <w:r w:rsidRPr="0051678B">
              <w:rPr>
                <w:rFonts w:asciiTheme="minorHAnsi" w:hAnsiTheme="minorHAnsi"/>
                <w:sz w:val="20"/>
              </w:rPr>
              <w:t xml:space="preserve">UNDP’s cooperation with other UN agencies, NHRIs and civil society, primarily marginalized, minority and vulnerable groups, showed its effectiveness in several </w:t>
            </w:r>
            <w:r w:rsidRPr="0051678B">
              <w:rPr>
                <w:rFonts w:asciiTheme="minorHAnsi" w:hAnsiTheme="minorHAnsi"/>
                <w:b/>
                <w:sz w:val="20"/>
              </w:rPr>
              <w:t>public awareness campaigns</w:t>
            </w:r>
            <w:r w:rsidRPr="0051678B">
              <w:rPr>
                <w:rFonts w:asciiTheme="minorHAnsi" w:hAnsiTheme="minorHAnsi"/>
                <w:sz w:val="20"/>
              </w:rPr>
              <w:t xml:space="preserve">. Thus, the participatory involvement of minority and vulnerable groups helped fight prejudices and protect their rights, through </w:t>
            </w:r>
            <w:r w:rsidR="00E06B1F">
              <w:rPr>
                <w:rFonts w:asciiTheme="minorHAnsi" w:hAnsiTheme="minorHAnsi"/>
                <w:sz w:val="20"/>
              </w:rPr>
              <w:t>a</w:t>
            </w:r>
            <w:r w:rsidRPr="0051678B">
              <w:rPr>
                <w:rFonts w:asciiTheme="minorHAnsi" w:hAnsiTheme="minorHAnsi"/>
                <w:sz w:val="20"/>
              </w:rPr>
              <w:t xml:space="preserve"> joint UNDP-UNAIDS-OHCHR-UNODC-NHRIs-Civil Society </w:t>
            </w:r>
            <w:r w:rsidRPr="008D0A4E">
              <w:rPr>
                <w:rFonts w:asciiTheme="minorHAnsi" w:hAnsiTheme="minorHAnsi"/>
                <w:sz w:val="20"/>
              </w:rPr>
              <w:t xml:space="preserve">HIV awareness nationwide </w:t>
            </w:r>
            <w:r w:rsidR="008D0A4E" w:rsidRPr="008D0A4E">
              <w:rPr>
                <w:rFonts w:asciiTheme="minorHAnsi" w:hAnsiTheme="minorHAnsi"/>
                <w:sz w:val="20"/>
              </w:rPr>
              <w:t>campaign. Prejudices</w:t>
            </w:r>
            <w:r w:rsidRPr="008D0A4E">
              <w:rPr>
                <w:rFonts w:asciiTheme="minorHAnsi" w:hAnsiTheme="minorHAnsi"/>
                <w:sz w:val="20"/>
              </w:rPr>
              <w:t xml:space="preserve"> and stereotypes</w:t>
            </w:r>
            <w:r w:rsidRPr="0051678B">
              <w:rPr>
                <w:rFonts w:asciiTheme="minorHAnsi" w:hAnsiTheme="minorHAnsi"/>
                <w:sz w:val="20"/>
              </w:rPr>
              <w:t xml:space="preserve"> related to gender (women), sexual orientation (gay), ethnicity (Roma) and disability (severe locomotor) were specifically targeted within the other equality </w:t>
            </w:r>
            <w:r w:rsidRPr="0051678B">
              <w:rPr>
                <w:rFonts w:asciiTheme="minorHAnsi" w:hAnsiTheme="minorHAnsi"/>
                <w:b/>
                <w:sz w:val="20"/>
              </w:rPr>
              <w:t>awareness TV and online campaign</w:t>
            </w:r>
            <w:r w:rsidRPr="0051678B">
              <w:rPr>
                <w:rFonts w:asciiTheme="minorHAnsi" w:hAnsiTheme="minorHAnsi"/>
                <w:sz w:val="20"/>
              </w:rPr>
              <w:t xml:space="preserve"> and reached at least 903,371 people (36% of adult population of Moldova). In 2013-2015 UNDP, in cooperation with OHCHR, provided significant development assistance for the </w:t>
            </w:r>
            <w:r w:rsidRPr="0051678B">
              <w:rPr>
                <w:rFonts w:asciiTheme="minorHAnsi" w:hAnsiTheme="minorHAnsi"/>
                <w:b/>
                <w:sz w:val="20"/>
              </w:rPr>
              <w:t>implementation of the UN CRPD</w:t>
            </w:r>
            <w:r w:rsidRPr="0051678B">
              <w:rPr>
                <w:rFonts w:asciiTheme="minorHAnsi" w:hAnsiTheme="minorHAnsi"/>
                <w:sz w:val="20"/>
              </w:rPr>
              <w:t xml:space="preserve"> and strengthening the protection of people with different types of disabilities, with special focus on the most vulnerable women and men with intellectual and psycho-social </w:t>
            </w:r>
            <w:r w:rsidR="008D0A4E" w:rsidRPr="0051678B">
              <w:rPr>
                <w:rFonts w:asciiTheme="minorHAnsi" w:hAnsiTheme="minorHAnsi"/>
                <w:sz w:val="20"/>
              </w:rPr>
              <w:t>disabilities.</w:t>
            </w:r>
          </w:p>
          <w:p w14:paraId="6E62C869" w14:textId="336EACB3" w:rsidR="00015796" w:rsidRPr="0051678B" w:rsidRDefault="00015796" w:rsidP="00015796">
            <w:pPr>
              <w:spacing w:after="120"/>
              <w:rPr>
                <w:rFonts w:asciiTheme="minorHAnsi" w:hAnsiTheme="minorHAnsi"/>
                <w:sz w:val="20"/>
              </w:rPr>
            </w:pPr>
            <w:r w:rsidRPr="0051678B">
              <w:rPr>
                <w:rFonts w:asciiTheme="minorHAnsi" w:hAnsiTheme="minorHAnsi"/>
                <w:sz w:val="20"/>
              </w:rPr>
              <w:t xml:space="preserve">In 2016 a strong progress was recorded on CPD Outputs 1 and 2: in </w:t>
            </w:r>
            <w:r w:rsidR="00B73CB7" w:rsidRPr="0051678B">
              <w:rPr>
                <w:rFonts w:asciiTheme="minorHAnsi" w:hAnsiTheme="minorHAnsi"/>
                <w:sz w:val="20"/>
              </w:rPr>
              <w:t>November,</w:t>
            </w:r>
            <w:r w:rsidRPr="0051678B">
              <w:rPr>
                <w:rFonts w:asciiTheme="minorHAnsi" w:hAnsiTheme="minorHAnsi"/>
                <w:sz w:val="20"/>
              </w:rPr>
              <w:t xml:space="preserve"> the Constitutional Court recognized as unconstitutional the </w:t>
            </w:r>
            <w:r w:rsidRPr="0051678B">
              <w:rPr>
                <w:rFonts w:asciiTheme="minorHAnsi" w:hAnsiTheme="minorHAnsi"/>
                <w:b/>
                <w:sz w:val="20"/>
              </w:rPr>
              <w:t>legal provisions on guardianship</w:t>
            </w:r>
            <w:r w:rsidRPr="0051678B">
              <w:rPr>
                <w:rFonts w:asciiTheme="minorHAnsi" w:hAnsiTheme="minorHAnsi"/>
                <w:sz w:val="20"/>
              </w:rPr>
              <w:t xml:space="preserve"> that restricted the right to appeal to courts for persons with intellectual and psycho-social disabilities deprived of their legal capacity – one of the most vulnerable and poor groups in Moldova. </w:t>
            </w:r>
          </w:p>
          <w:p w14:paraId="5EAF4D58" w14:textId="4BC2F1D0" w:rsidR="00015796" w:rsidRPr="0051678B" w:rsidRDefault="00015796" w:rsidP="00015796">
            <w:pPr>
              <w:spacing w:after="120"/>
              <w:rPr>
                <w:rStyle w:val="spanwordwrap"/>
                <w:rFonts w:asciiTheme="minorHAnsi" w:hAnsiTheme="minorHAnsi"/>
                <w:sz w:val="20"/>
              </w:rPr>
            </w:pPr>
            <w:r w:rsidRPr="0051678B">
              <w:rPr>
                <w:rFonts w:asciiTheme="minorHAnsi" w:hAnsiTheme="minorHAnsi"/>
                <w:sz w:val="20"/>
              </w:rPr>
              <w:t xml:space="preserve">UNDP also provided advice </w:t>
            </w:r>
            <w:r w:rsidRPr="0051678B">
              <w:rPr>
                <w:rStyle w:val="spanwordwrap"/>
                <w:rFonts w:asciiTheme="minorHAnsi" w:hAnsiTheme="minorHAnsi"/>
                <w:sz w:val="20"/>
              </w:rPr>
              <w:t xml:space="preserve">for the elaboration of the </w:t>
            </w:r>
            <w:r w:rsidRPr="0051678B">
              <w:rPr>
                <w:rStyle w:val="spanwordwrap"/>
                <w:rFonts w:asciiTheme="minorHAnsi" w:hAnsiTheme="minorHAnsi"/>
                <w:b/>
                <w:sz w:val="20"/>
              </w:rPr>
              <w:t>National Employment Strategy 2017-2021</w:t>
            </w:r>
            <w:r w:rsidRPr="0051678B">
              <w:rPr>
                <w:rStyle w:val="spanwordwrap"/>
                <w:rFonts w:asciiTheme="minorHAnsi" w:hAnsiTheme="minorHAnsi"/>
                <w:sz w:val="20"/>
              </w:rPr>
              <w:t xml:space="preserve"> to make it rights based, people-</w:t>
            </w:r>
            <w:r w:rsidR="00B73CB7" w:rsidRPr="0051678B">
              <w:rPr>
                <w:rStyle w:val="spanwordwrap"/>
                <w:rFonts w:asciiTheme="minorHAnsi" w:hAnsiTheme="minorHAnsi"/>
                <w:sz w:val="20"/>
              </w:rPr>
              <w:t>centred</w:t>
            </w:r>
            <w:r w:rsidRPr="0051678B">
              <w:rPr>
                <w:rStyle w:val="spanwordwrap"/>
                <w:rFonts w:asciiTheme="minorHAnsi" w:hAnsiTheme="minorHAnsi"/>
                <w:sz w:val="20"/>
              </w:rPr>
              <w:t xml:space="preserve"> and responsive to the SDGs 1-5 and 8-10, UN right to work standards, relevant UN treaty bodies and UPR recommendations, and the Strategy has been adopted by the Government at the end of December 2016. All these development interventions are contributing to the CPD Outputs 1 and 2 in terms of enhancing capacity of public institutions to implement UPR recommendations and empowerment of the vulnerable, including women, Roma and other ethnic minorities, people with disability. </w:t>
            </w:r>
          </w:p>
          <w:p w14:paraId="063703B6" w14:textId="6867DA2E" w:rsidR="00015796" w:rsidRPr="0051678B" w:rsidRDefault="00015796" w:rsidP="00015796">
            <w:pPr>
              <w:spacing w:after="120"/>
              <w:rPr>
                <w:rFonts w:asciiTheme="minorHAnsi" w:hAnsiTheme="minorHAnsi"/>
                <w:sz w:val="20"/>
              </w:rPr>
            </w:pPr>
          </w:p>
        </w:tc>
      </w:tr>
      <w:tr w:rsidR="00015796" w:rsidRPr="0051678B" w14:paraId="57C671AE" w14:textId="77777777" w:rsidTr="00FF4697">
        <w:tc>
          <w:tcPr>
            <w:tcW w:w="3150" w:type="dxa"/>
            <w:tcBorders>
              <w:bottom w:val="single" w:sz="4" w:space="0" w:color="auto"/>
            </w:tcBorders>
            <w:shd w:val="clear" w:color="auto" w:fill="95B3D7"/>
          </w:tcPr>
          <w:p w14:paraId="22D68B17" w14:textId="77777777" w:rsidR="00015796" w:rsidRPr="0051678B" w:rsidRDefault="00015796" w:rsidP="00015796">
            <w:pPr>
              <w:rPr>
                <w:rFonts w:ascii="Calibri" w:hAnsi="Calibri"/>
                <w:bCs/>
                <w:iCs/>
                <w:sz w:val="20"/>
                <w:u w:val="single"/>
              </w:rPr>
            </w:pPr>
            <w:r w:rsidRPr="0051678B">
              <w:rPr>
                <w:rFonts w:ascii="Calibri" w:hAnsi="Calibri"/>
                <w:b/>
                <w:sz w:val="20"/>
              </w:rPr>
              <w:lastRenderedPageBreak/>
              <w:t xml:space="preserve">OUTCOME 25. </w:t>
            </w:r>
            <w:r w:rsidRPr="0051678B">
              <w:rPr>
                <w:rFonts w:ascii="Calibri" w:hAnsi="Calibri"/>
                <w:sz w:val="20"/>
              </w:rPr>
              <w:t>People have access to more sustainable regional development, economic opportunities – innovation and agriculture in particular - and decent work</w:t>
            </w:r>
          </w:p>
          <w:p w14:paraId="1BA2C414" w14:textId="77777777" w:rsidR="00015796" w:rsidRPr="0051678B" w:rsidRDefault="00015796" w:rsidP="00015796">
            <w:pPr>
              <w:autoSpaceDE w:val="0"/>
              <w:autoSpaceDN w:val="0"/>
              <w:adjustRightInd w:val="0"/>
              <w:rPr>
                <w:rFonts w:ascii="Calibri" w:hAnsi="Calibri"/>
                <w:sz w:val="20"/>
              </w:rPr>
            </w:pPr>
          </w:p>
          <w:p w14:paraId="4E48FB1F" w14:textId="77777777" w:rsidR="00015796" w:rsidRPr="0051678B" w:rsidRDefault="00015796" w:rsidP="00015796">
            <w:pPr>
              <w:pStyle w:val="BodyText2"/>
              <w:rPr>
                <w:rFonts w:ascii="Calibri" w:hAnsi="Calibri"/>
                <w:b/>
              </w:rPr>
            </w:pPr>
          </w:p>
        </w:tc>
        <w:tc>
          <w:tcPr>
            <w:tcW w:w="1440" w:type="dxa"/>
            <w:tcBorders>
              <w:bottom w:val="single" w:sz="4" w:space="0" w:color="auto"/>
            </w:tcBorders>
            <w:shd w:val="clear" w:color="auto" w:fill="auto"/>
          </w:tcPr>
          <w:p w14:paraId="698D6476" w14:textId="04B6F7E2" w:rsidR="00015796" w:rsidRPr="0051678B" w:rsidRDefault="00015796" w:rsidP="00015796">
            <w:pPr>
              <w:pStyle w:val="BodyText2"/>
              <w:rPr>
                <w:rFonts w:ascii="Calibri" w:hAnsi="Calibri"/>
              </w:rPr>
            </w:pPr>
            <w:r w:rsidRPr="0051678B">
              <w:rPr>
                <w:rFonts w:ascii="Calibri" w:eastAsia="Arial Unicode MS" w:hAnsi="Calibri"/>
                <w:b/>
                <w:bCs/>
                <w:i/>
                <w:iCs/>
              </w:rPr>
              <w:t xml:space="preserve"> </w:t>
            </w:r>
            <w:r w:rsidR="00EF2B06" w:rsidRPr="009E0B4C">
              <w:rPr>
                <w:rFonts w:ascii="Calibri" w:hAnsi="Calibri"/>
                <w:color w:val="000000"/>
              </w:rPr>
              <w:t>$</w:t>
            </w:r>
            <w:r w:rsidR="00EF2B06" w:rsidRPr="0051678B">
              <w:rPr>
                <w:rFonts w:ascii="Calibri" w:hAnsi="Calibri"/>
                <w:color w:val="000000"/>
              </w:rPr>
              <w:t xml:space="preserve"> </w:t>
            </w:r>
            <w:r w:rsidR="00EF2B06">
              <w:rPr>
                <w:rFonts w:ascii="Calibri" w:hAnsi="Calibri"/>
                <w:color w:val="000000"/>
                <w:u w:val="single"/>
              </w:rPr>
              <w:t>38</w:t>
            </w:r>
            <w:r w:rsidR="00EF2B06" w:rsidRPr="009E0B4C">
              <w:rPr>
                <w:rFonts w:ascii="Calibri" w:hAnsi="Calibri"/>
                <w:color w:val="000000"/>
                <w:u w:val="single"/>
              </w:rPr>
              <w:t>,</w:t>
            </w:r>
            <w:r w:rsidR="00EF2B06">
              <w:rPr>
                <w:rFonts w:ascii="Calibri" w:hAnsi="Calibri"/>
                <w:color w:val="000000"/>
                <w:u w:val="single"/>
              </w:rPr>
              <w:t>818</w:t>
            </w:r>
            <w:r w:rsidR="00EF2B06" w:rsidRPr="009E0B4C">
              <w:rPr>
                <w:rFonts w:ascii="Calibri" w:hAnsi="Calibri"/>
                <w:color w:val="000000"/>
                <w:u w:val="single"/>
              </w:rPr>
              <w:t>,471</w:t>
            </w:r>
            <w:r w:rsidR="00EF2B06" w:rsidRPr="0051678B">
              <w:rPr>
                <w:rFonts w:ascii="Calibri" w:hAnsi="Calibri"/>
                <w:color w:val="000000"/>
                <w:sz w:val="22"/>
                <w:szCs w:val="22"/>
              </w:rPr>
              <w:t xml:space="preserve"> </w:t>
            </w:r>
          </w:p>
        </w:tc>
        <w:tc>
          <w:tcPr>
            <w:tcW w:w="3960" w:type="dxa"/>
            <w:tcBorders>
              <w:left w:val="single" w:sz="4" w:space="0" w:color="auto"/>
              <w:bottom w:val="single" w:sz="4" w:space="0" w:color="auto"/>
            </w:tcBorders>
          </w:tcPr>
          <w:p w14:paraId="7053F62E" w14:textId="77777777" w:rsidR="00015796" w:rsidRPr="0051678B" w:rsidRDefault="00015796" w:rsidP="00015796">
            <w:pPr>
              <w:pStyle w:val="BodyText2"/>
              <w:numPr>
                <w:ilvl w:val="0"/>
                <w:numId w:val="28"/>
              </w:numPr>
              <w:rPr>
                <w:rFonts w:asciiTheme="minorHAnsi" w:hAnsiTheme="minorHAnsi"/>
                <w:i/>
              </w:rPr>
            </w:pPr>
            <w:r w:rsidRPr="0051678B">
              <w:rPr>
                <w:rFonts w:asciiTheme="minorHAnsi" w:hAnsiTheme="minorHAnsi"/>
                <w:b/>
                <w:i/>
              </w:rPr>
              <w:t>Indicator</w:t>
            </w:r>
            <w:r w:rsidRPr="0051678B">
              <w:rPr>
                <w:rFonts w:asciiTheme="minorHAnsi" w:hAnsiTheme="minorHAnsi"/>
                <w:i/>
              </w:rPr>
              <w:t xml:space="preserve">: Deprivation Index; </w:t>
            </w:r>
          </w:p>
          <w:p w14:paraId="60183174" w14:textId="1330DE9C" w:rsidR="00015796" w:rsidRPr="0051678B" w:rsidRDefault="00015796" w:rsidP="00015796">
            <w:pPr>
              <w:pStyle w:val="BodyText2"/>
              <w:ind w:left="360"/>
              <w:rPr>
                <w:rFonts w:asciiTheme="minorHAnsi" w:hAnsiTheme="minorHAnsi"/>
                <w:i/>
              </w:rPr>
            </w:pPr>
            <w:r w:rsidRPr="0051678B">
              <w:rPr>
                <w:rFonts w:asciiTheme="minorHAnsi" w:hAnsiTheme="minorHAnsi"/>
                <w:b/>
                <w:i/>
              </w:rPr>
              <w:t>Baseline</w:t>
            </w:r>
            <w:r w:rsidRPr="0051678B">
              <w:rPr>
                <w:rFonts w:asciiTheme="minorHAnsi" w:hAnsiTheme="minorHAnsi"/>
                <w:i/>
              </w:rPr>
              <w:t xml:space="preserve">: North 472, South 455, Center 462; </w:t>
            </w:r>
            <w:r w:rsidRPr="0051678B">
              <w:rPr>
                <w:rFonts w:asciiTheme="minorHAnsi" w:hAnsiTheme="minorHAnsi"/>
                <w:b/>
                <w:i/>
              </w:rPr>
              <w:t>Target</w:t>
            </w:r>
            <w:r w:rsidRPr="0051678B">
              <w:rPr>
                <w:rFonts w:asciiTheme="minorHAnsi" w:hAnsiTheme="minorHAnsi"/>
                <w:i/>
              </w:rPr>
              <w:t xml:space="preserve">: increase by </w:t>
            </w:r>
            <w:r w:rsidR="000B0788" w:rsidRPr="0051678B">
              <w:rPr>
                <w:rFonts w:asciiTheme="minorHAnsi" w:hAnsiTheme="minorHAnsi"/>
                <w:i/>
              </w:rPr>
              <w:t>10 %</w:t>
            </w:r>
            <w:r w:rsidRPr="0051678B">
              <w:rPr>
                <w:rFonts w:asciiTheme="minorHAnsi" w:hAnsiTheme="minorHAnsi"/>
                <w:i/>
              </w:rPr>
              <w:t xml:space="preserve"> per region;</w:t>
            </w:r>
          </w:p>
          <w:p w14:paraId="1B2E1AF7" w14:textId="77777777" w:rsidR="00015796" w:rsidRPr="0051678B" w:rsidRDefault="00015796" w:rsidP="00015796">
            <w:pPr>
              <w:pStyle w:val="BodyText2"/>
              <w:ind w:left="360"/>
              <w:rPr>
                <w:rFonts w:asciiTheme="minorHAnsi" w:hAnsiTheme="minorHAnsi"/>
                <w:i/>
              </w:rPr>
            </w:pPr>
          </w:p>
          <w:p w14:paraId="52CD37D1" w14:textId="77777777" w:rsidR="00015796" w:rsidRPr="0051678B" w:rsidRDefault="00015796" w:rsidP="00015796">
            <w:pPr>
              <w:pStyle w:val="BodyText2"/>
              <w:ind w:left="360"/>
              <w:rPr>
                <w:rFonts w:asciiTheme="minorHAnsi" w:hAnsiTheme="minorHAnsi"/>
                <w:i/>
              </w:rPr>
            </w:pPr>
          </w:p>
          <w:p w14:paraId="25E32EB6" w14:textId="77777777" w:rsidR="00015796" w:rsidRPr="0051678B" w:rsidRDefault="00015796" w:rsidP="00015796">
            <w:pPr>
              <w:pStyle w:val="BodyText2"/>
              <w:ind w:left="360"/>
              <w:rPr>
                <w:rFonts w:asciiTheme="minorHAnsi" w:hAnsiTheme="minorHAnsi"/>
                <w:i/>
              </w:rPr>
            </w:pPr>
            <w:r w:rsidRPr="0051678B">
              <w:rPr>
                <w:rFonts w:asciiTheme="minorHAnsi" w:hAnsiTheme="minorHAnsi"/>
                <w:i/>
              </w:rPr>
              <w:t xml:space="preserve"> </w:t>
            </w:r>
          </w:p>
          <w:p w14:paraId="1783B12B" w14:textId="77777777" w:rsidR="00015796" w:rsidRPr="0051678B" w:rsidRDefault="00015796" w:rsidP="00015796">
            <w:pPr>
              <w:pStyle w:val="BodyText2"/>
              <w:numPr>
                <w:ilvl w:val="0"/>
                <w:numId w:val="28"/>
              </w:numPr>
              <w:rPr>
                <w:rFonts w:asciiTheme="minorHAnsi" w:hAnsiTheme="minorHAnsi"/>
                <w:i/>
              </w:rPr>
            </w:pPr>
            <w:r w:rsidRPr="0051678B">
              <w:rPr>
                <w:rFonts w:asciiTheme="minorHAnsi" w:hAnsiTheme="minorHAnsi"/>
                <w:b/>
                <w:i/>
              </w:rPr>
              <w:t>Indicator:</w:t>
            </w:r>
            <w:r w:rsidRPr="0051678B">
              <w:rPr>
                <w:rFonts w:asciiTheme="minorHAnsi" w:hAnsiTheme="minorHAnsi"/>
                <w:i/>
              </w:rPr>
              <w:t xml:space="preserve"> # of projects in Transnistria (incl. gender sensitive); </w:t>
            </w:r>
          </w:p>
          <w:p w14:paraId="3230892D" w14:textId="77777777" w:rsidR="00015796" w:rsidRPr="0051678B" w:rsidRDefault="00015796" w:rsidP="00015796">
            <w:pPr>
              <w:pStyle w:val="BodyText2"/>
              <w:ind w:left="360"/>
              <w:rPr>
                <w:rFonts w:asciiTheme="minorHAnsi" w:hAnsiTheme="minorHAnsi"/>
                <w:i/>
              </w:rPr>
            </w:pPr>
            <w:r w:rsidRPr="0051678B">
              <w:rPr>
                <w:rFonts w:asciiTheme="minorHAnsi" w:hAnsiTheme="minorHAnsi"/>
                <w:b/>
                <w:i/>
              </w:rPr>
              <w:t>Baseline</w:t>
            </w:r>
            <w:r w:rsidRPr="0051678B">
              <w:rPr>
                <w:rFonts w:asciiTheme="minorHAnsi" w:hAnsiTheme="minorHAnsi"/>
                <w:i/>
              </w:rPr>
              <w:t xml:space="preserve">: 36 </w:t>
            </w:r>
            <w:r w:rsidRPr="0051678B">
              <w:rPr>
                <w:rFonts w:asciiTheme="minorHAnsi" w:hAnsiTheme="minorHAnsi"/>
                <w:b/>
                <w:i/>
              </w:rPr>
              <w:t>Target</w:t>
            </w:r>
            <w:r w:rsidRPr="0051678B">
              <w:rPr>
                <w:rFonts w:asciiTheme="minorHAnsi" w:hAnsiTheme="minorHAnsi"/>
                <w:i/>
              </w:rPr>
              <w:t>: 125;</w:t>
            </w:r>
          </w:p>
          <w:p w14:paraId="0B0B52ED" w14:textId="77777777" w:rsidR="00015796" w:rsidRPr="0051678B" w:rsidRDefault="00015796" w:rsidP="00015796">
            <w:pPr>
              <w:pStyle w:val="BodyText2"/>
              <w:numPr>
                <w:ilvl w:val="0"/>
                <w:numId w:val="28"/>
              </w:numPr>
              <w:rPr>
                <w:rFonts w:asciiTheme="minorHAnsi" w:hAnsiTheme="minorHAnsi"/>
                <w:i/>
              </w:rPr>
            </w:pPr>
            <w:r w:rsidRPr="0051678B">
              <w:rPr>
                <w:rFonts w:asciiTheme="minorHAnsi" w:hAnsiTheme="minorHAnsi"/>
                <w:b/>
                <w:i/>
              </w:rPr>
              <w:t>Indicator</w:t>
            </w:r>
            <w:r w:rsidRPr="0051678B">
              <w:rPr>
                <w:rFonts w:asciiTheme="minorHAnsi" w:hAnsiTheme="minorHAnsi"/>
                <w:i/>
              </w:rPr>
              <w:t xml:space="preserve">: Gender wage gap; </w:t>
            </w:r>
          </w:p>
          <w:p w14:paraId="4C78FDD4" w14:textId="77777777" w:rsidR="00015796" w:rsidRPr="0051678B" w:rsidRDefault="00015796" w:rsidP="00015796">
            <w:pPr>
              <w:pStyle w:val="BodyText2"/>
              <w:ind w:left="360"/>
              <w:rPr>
                <w:rFonts w:asciiTheme="minorHAnsi" w:hAnsiTheme="minorHAnsi"/>
                <w:i/>
              </w:rPr>
            </w:pPr>
            <w:r w:rsidRPr="0051678B">
              <w:rPr>
                <w:rFonts w:asciiTheme="minorHAnsi" w:hAnsiTheme="minorHAnsi"/>
                <w:b/>
                <w:i/>
              </w:rPr>
              <w:t>Baseline</w:t>
            </w:r>
            <w:r w:rsidRPr="0051678B">
              <w:rPr>
                <w:rFonts w:asciiTheme="minorHAnsi" w:hAnsiTheme="minorHAnsi"/>
                <w:i/>
              </w:rPr>
              <w:t xml:space="preserve">: 76.4%; </w:t>
            </w:r>
            <w:r w:rsidRPr="0051678B">
              <w:rPr>
                <w:rFonts w:asciiTheme="minorHAnsi" w:hAnsiTheme="minorHAnsi"/>
                <w:b/>
                <w:i/>
              </w:rPr>
              <w:t>Target</w:t>
            </w:r>
            <w:r w:rsidRPr="0051678B">
              <w:rPr>
                <w:rFonts w:asciiTheme="minorHAnsi" w:hAnsiTheme="minorHAnsi"/>
                <w:i/>
              </w:rPr>
              <w:t>: reduce by 2 p.p ;</w:t>
            </w:r>
          </w:p>
          <w:p w14:paraId="58AE7C8A" w14:textId="77777777" w:rsidR="00015796" w:rsidRPr="0051678B" w:rsidRDefault="00015796" w:rsidP="00015796">
            <w:pPr>
              <w:pStyle w:val="BodyText2"/>
              <w:numPr>
                <w:ilvl w:val="0"/>
                <w:numId w:val="28"/>
              </w:numPr>
              <w:rPr>
                <w:rFonts w:asciiTheme="minorHAnsi" w:hAnsiTheme="minorHAnsi"/>
                <w:i/>
              </w:rPr>
            </w:pPr>
            <w:r w:rsidRPr="0051678B">
              <w:rPr>
                <w:rFonts w:asciiTheme="minorHAnsi" w:hAnsiTheme="minorHAnsi"/>
                <w:b/>
                <w:i/>
              </w:rPr>
              <w:lastRenderedPageBreak/>
              <w:t>Indicator:</w:t>
            </w:r>
            <w:r w:rsidRPr="0051678B">
              <w:rPr>
                <w:rFonts w:asciiTheme="minorHAnsi" w:hAnsiTheme="minorHAnsi"/>
                <w:i/>
              </w:rPr>
              <w:t xml:space="preserve"> Employment Rate, disaggregated by urban/rural, geographical areas, gender and age </w:t>
            </w:r>
            <w:r w:rsidRPr="0051678B">
              <w:rPr>
                <w:rFonts w:asciiTheme="minorHAnsi" w:hAnsiTheme="minorHAnsi"/>
                <w:b/>
                <w:i/>
              </w:rPr>
              <w:t>Baseline</w:t>
            </w:r>
            <w:r w:rsidRPr="0051678B">
              <w:rPr>
                <w:rFonts w:asciiTheme="minorHAnsi" w:hAnsiTheme="minorHAnsi"/>
                <w:i/>
              </w:rPr>
              <w:t xml:space="preserve">: General: 39.49%; Women 37.1%; Urban: 44.1%; Rural: 36%; mun.Chisinau: 49.2%; North: 37%; Centre: 37.6%; South (incl.Gagauzia): 34.7%; People aged 55-64: 40.9%; Young aged 15-24: 18.9%; </w:t>
            </w:r>
            <w:r w:rsidRPr="0051678B">
              <w:rPr>
                <w:rFonts w:asciiTheme="minorHAnsi" w:hAnsiTheme="minorHAnsi"/>
                <w:b/>
                <w:i/>
              </w:rPr>
              <w:t>Target</w:t>
            </w:r>
            <w:r w:rsidRPr="0051678B">
              <w:rPr>
                <w:rFonts w:asciiTheme="minorHAnsi" w:hAnsiTheme="minorHAnsi"/>
                <w:i/>
              </w:rPr>
              <w:t>: increase by 10 p.p.</w:t>
            </w:r>
          </w:p>
        </w:tc>
        <w:tc>
          <w:tcPr>
            <w:tcW w:w="5490" w:type="dxa"/>
            <w:tcBorders>
              <w:bottom w:val="single" w:sz="4" w:space="0" w:color="auto"/>
            </w:tcBorders>
            <w:shd w:val="clear" w:color="auto" w:fill="auto"/>
          </w:tcPr>
          <w:p w14:paraId="38ECA1C2" w14:textId="5F6D4CE5" w:rsidR="00015796" w:rsidRPr="0051678B" w:rsidRDefault="00015796" w:rsidP="00015796">
            <w:pPr>
              <w:pStyle w:val="ListParagraph"/>
              <w:numPr>
                <w:ilvl w:val="0"/>
                <w:numId w:val="29"/>
              </w:numPr>
              <w:jc w:val="both"/>
              <w:rPr>
                <w:rFonts w:ascii="Calibri" w:hAnsi="Calibri"/>
                <w:i/>
              </w:rPr>
            </w:pPr>
            <w:r w:rsidRPr="0051678B">
              <w:rPr>
                <w:rFonts w:ascii="Calibri" w:hAnsi="Calibri"/>
                <w:i/>
                <w:sz w:val="20"/>
              </w:rPr>
              <w:lastRenderedPageBreak/>
              <w:t>Uneven regional progress: North 541 (</w:t>
            </w:r>
            <w:r w:rsidR="000B0788">
              <w:rPr>
                <w:rFonts w:ascii="Calibri" w:hAnsi="Calibri"/>
                <w:i/>
                <w:sz w:val="20"/>
              </w:rPr>
              <w:t>improved by</w:t>
            </w:r>
            <w:r w:rsidRPr="0051678B">
              <w:rPr>
                <w:rFonts w:ascii="Calibri" w:hAnsi="Calibri"/>
                <w:i/>
                <w:sz w:val="20"/>
              </w:rPr>
              <w:t xml:space="preserve"> 15%), South – 417 (8.3%</w:t>
            </w:r>
            <w:r w:rsidR="000B0788">
              <w:rPr>
                <w:rFonts w:ascii="Calibri" w:hAnsi="Calibri"/>
                <w:i/>
                <w:sz w:val="20"/>
              </w:rPr>
              <w:t xml:space="preserve"> deterioration</w:t>
            </w:r>
            <w:r w:rsidRPr="0051678B">
              <w:rPr>
                <w:rFonts w:ascii="Calibri" w:hAnsi="Calibri"/>
                <w:i/>
                <w:sz w:val="20"/>
              </w:rPr>
              <w:t xml:space="preserve">); Center – 404 (12% </w:t>
            </w:r>
            <w:r w:rsidR="000B0788">
              <w:rPr>
                <w:rFonts w:ascii="Calibri" w:hAnsi="Calibri"/>
                <w:i/>
                <w:sz w:val="20"/>
              </w:rPr>
              <w:t>deterioration</w:t>
            </w:r>
            <w:r w:rsidRPr="0051678B">
              <w:rPr>
                <w:rFonts w:ascii="Calibri" w:hAnsi="Calibri"/>
                <w:i/>
                <w:sz w:val="20"/>
              </w:rPr>
              <w:t>); Gagauzia region – 631; New methodology was developed in 2014, and data collected in 2015;;</w:t>
            </w:r>
          </w:p>
          <w:p w14:paraId="69067155" w14:textId="77777777" w:rsidR="00015796" w:rsidRPr="0051678B" w:rsidRDefault="00015796" w:rsidP="00015796">
            <w:pPr>
              <w:pStyle w:val="ListParagraph"/>
              <w:numPr>
                <w:ilvl w:val="0"/>
                <w:numId w:val="29"/>
              </w:numPr>
              <w:jc w:val="both"/>
              <w:rPr>
                <w:rFonts w:ascii="Calibri" w:hAnsi="Calibri"/>
                <w:i/>
              </w:rPr>
            </w:pPr>
            <w:r w:rsidRPr="0051678B">
              <w:rPr>
                <w:rFonts w:ascii="Calibri" w:hAnsi="Calibri"/>
                <w:i/>
                <w:sz w:val="20"/>
              </w:rPr>
              <w:t xml:space="preserve">2015: 147; </w:t>
            </w:r>
          </w:p>
          <w:p w14:paraId="3736AC43" w14:textId="77777777" w:rsidR="00015796" w:rsidRPr="0051678B" w:rsidRDefault="00015796" w:rsidP="00015796">
            <w:pPr>
              <w:jc w:val="both"/>
              <w:rPr>
                <w:rFonts w:ascii="Calibri" w:hAnsi="Calibri"/>
                <w:i/>
                <w:sz w:val="20"/>
              </w:rPr>
            </w:pPr>
          </w:p>
          <w:p w14:paraId="477B4CC6" w14:textId="77777777" w:rsidR="00015796" w:rsidRPr="0051678B" w:rsidRDefault="00015796" w:rsidP="00015796">
            <w:pPr>
              <w:jc w:val="both"/>
              <w:rPr>
                <w:rFonts w:ascii="Calibri" w:hAnsi="Calibri"/>
                <w:i/>
                <w:sz w:val="20"/>
              </w:rPr>
            </w:pPr>
          </w:p>
          <w:p w14:paraId="603D17E0" w14:textId="7137A1F7" w:rsidR="00015796" w:rsidRPr="0051678B" w:rsidRDefault="00015796" w:rsidP="00015796">
            <w:pPr>
              <w:pStyle w:val="ListParagraph"/>
              <w:numPr>
                <w:ilvl w:val="0"/>
                <w:numId w:val="29"/>
              </w:numPr>
              <w:jc w:val="both"/>
              <w:rPr>
                <w:rFonts w:ascii="Calibri" w:hAnsi="Calibri"/>
                <w:i/>
                <w:sz w:val="20"/>
              </w:rPr>
            </w:pPr>
            <w:r>
              <w:rPr>
                <w:rFonts w:ascii="Calibri" w:hAnsi="Calibri"/>
                <w:i/>
                <w:sz w:val="20"/>
              </w:rPr>
              <w:t>The indicator was deleted during mid-term review.</w:t>
            </w:r>
          </w:p>
          <w:p w14:paraId="22C9E550" w14:textId="77777777" w:rsidR="00015796" w:rsidRPr="0051678B" w:rsidRDefault="00015796" w:rsidP="00015796">
            <w:pPr>
              <w:pStyle w:val="ListParagraph"/>
              <w:jc w:val="both"/>
              <w:rPr>
                <w:rFonts w:ascii="Calibri" w:hAnsi="Calibri"/>
                <w:i/>
                <w:sz w:val="20"/>
              </w:rPr>
            </w:pPr>
          </w:p>
          <w:p w14:paraId="366EE7FC" w14:textId="77777777" w:rsidR="00015796" w:rsidRPr="0051678B" w:rsidRDefault="00015796" w:rsidP="00015796">
            <w:pPr>
              <w:pStyle w:val="ListParagraph"/>
              <w:numPr>
                <w:ilvl w:val="0"/>
                <w:numId w:val="29"/>
              </w:numPr>
              <w:jc w:val="both"/>
              <w:rPr>
                <w:rFonts w:ascii="Calibri" w:hAnsi="Calibri"/>
                <w:i/>
                <w:sz w:val="20"/>
              </w:rPr>
            </w:pPr>
            <w:r w:rsidRPr="0051678B">
              <w:rPr>
                <w:rFonts w:ascii="Calibri" w:hAnsi="Calibri"/>
                <w:i/>
                <w:sz w:val="20"/>
              </w:rPr>
              <w:t xml:space="preserve">2014: General: 39.6%; Women 37.4%; Urban: 41.8%; </w:t>
            </w:r>
            <w:r w:rsidRPr="0051678B">
              <w:rPr>
                <w:rFonts w:ascii="Calibri" w:hAnsi="Calibri"/>
                <w:i/>
                <w:sz w:val="20"/>
              </w:rPr>
              <w:lastRenderedPageBreak/>
              <w:t>Rural: 38%; mun.Chisinau: 48.5%; North: 39.9%; Centre: 37%; South (incl.Gagauzia): 33.1%; People aged 55-64: 40.7%; Young aged 15-24: 17.4%;</w:t>
            </w:r>
          </w:p>
        </w:tc>
      </w:tr>
      <w:tr w:rsidR="00015796" w:rsidRPr="0051678B" w14:paraId="19488C33" w14:textId="77777777" w:rsidTr="00FF4697">
        <w:tc>
          <w:tcPr>
            <w:tcW w:w="14040" w:type="dxa"/>
            <w:gridSpan w:val="4"/>
            <w:tcBorders>
              <w:bottom w:val="single" w:sz="4" w:space="0" w:color="auto"/>
            </w:tcBorders>
            <w:shd w:val="clear" w:color="auto" w:fill="auto"/>
          </w:tcPr>
          <w:p w14:paraId="730416D2" w14:textId="77777777" w:rsidR="00015796" w:rsidRPr="0051678B" w:rsidRDefault="00015796" w:rsidP="00015796">
            <w:pPr>
              <w:pStyle w:val="BodyText2"/>
              <w:rPr>
                <w:rFonts w:ascii="Calibri" w:hAnsi="Calibri"/>
                <w:b/>
              </w:rPr>
            </w:pPr>
            <w:r w:rsidRPr="0051678B">
              <w:rPr>
                <w:rFonts w:ascii="Calibri" w:hAnsi="Calibri"/>
                <w:b/>
              </w:rPr>
              <w:lastRenderedPageBreak/>
              <w:t>UNDP Contribution:</w:t>
            </w:r>
          </w:p>
          <w:p w14:paraId="7EEC64BB" w14:textId="77777777" w:rsidR="00015796" w:rsidRPr="0051678B" w:rsidRDefault="00015796" w:rsidP="00015796">
            <w:pPr>
              <w:pStyle w:val="BodyText2"/>
              <w:rPr>
                <w:rFonts w:ascii="Calibri" w:hAnsi="Calibri"/>
                <w:u w:val="single"/>
              </w:rPr>
            </w:pPr>
          </w:p>
          <w:p w14:paraId="4DE1503F" w14:textId="77777777" w:rsidR="00015796" w:rsidRPr="0051678B" w:rsidRDefault="00015796" w:rsidP="00015796">
            <w:pPr>
              <w:pStyle w:val="BodyText2"/>
              <w:rPr>
                <w:rFonts w:ascii="Calibri" w:hAnsi="Calibri"/>
              </w:rPr>
            </w:pPr>
            <w:r w:rsidRPr="0051678B">
              <w:rPr>
                <w:rFonts w:ascii="Calibri" w:hAnsi="Calibri"/>
                <w:u w:val="single"/>
              </w:rPr>
              <w:t>CP Outputs</w:t>
            </w:r>
            <w:r w:rsidRPr="0051678B">
              <w:rPr>
                <w:rFonts w:ascii="Calibri" w:hAnsi="Calibri"/>
              </w:rPr>
              <w:t>:</w:t>
            </w:r>
          </w:p>
          <w:p w14:paraId="57D05388" w14:textId="77777777" w:rsidR="00015796" w:rsidRPr="0051678B" w:rsidRDefault="00015796" w:rsidP="00015796">
            <w:pPr>
              <w:pStyle w:val="BodyText2"/>
              <w:rPr>
                <w:rFonts w:ascii="Calibri" w:hAnsi="Calibri"/>
              </w:rPr>
            </w:pPr>
            <w:r w:rsidRPr="0051678B">
              <w:rPr>
                <w:rFonts w:ascii="Calibri" w:hAnsi="Calibri"/>
              </w:rPr>
              <w:t>1. LPAs ensure sustainable development and access of vulnerable to public services by empowering communities, promoting PPPs and inter-municipal cooperation</w:t>
            </w:r>
          </w:p>
          <w:p w14:paraId="6E216FA8" w14:textId="5ADBA73C" w:rsidR="00015796" w:rsidRPr="0051678B" w:rsidRDefault="00015796" w:rsidP="00015796">
            <w:pPr>
              <w:pStyle w:val="BodyText2"/>
              <w:rPr>
                <w:rFonts w:ascii="Calibri" w:hAnsi="Calibri"/>
              </w:rPr>
            </w:pPr>
            <w:r w:rsidRPr="0051678B">
              <w:rPr>
                <w:rFonts w:ascii="Calibri" w:hAnsi="Calibri"/>
              </w:rPr>
              <w:t xml:space="preserve">2. Labour force competitiveness (focused on women and vulnerable) improved, by vocational education and job opportunities </w:t>
            </w:r>
          </w:p>
          <w:p w14:paraId="13C5656A" w14:textId="77777777" w:rsidR="00015796" w:rsidRPr="0051678B" w:rsidRDefault="00015796" w:rsidP="00015796">
            <w:pPr>
              <w:pStyle w:val="BodyText2"/>
              <w:rPr>
                <w:rFonts w:ascii="Calibri" w:hAnsi="Calibri"/>
                <w:i/>
              </w:rPr>
            </w:pPr>
            <w:r w:rsidRPr="0051678B">
              <w:rPr>
                <w:rFonts w:ascii="Calibri" w:hAnsi="Calibri"/>
              </w:rPr>
              <w:t>3. Partnerships created between communities, businesses, CSOs across Nistru River for better services/business infrastructure</w:t>
            </w:r>
          </w:p>
          <w:p w14:paraId="16D03DD8" w14:textId="77777777" w:rsidR="00015796" w:rsidRPr="0051678B" w:rsidRDefault="00015796" w:rsidP="00015796">
            <w:pPr>
              <w:pStyle w:val="BodyText2"/>
              <w:rPr>
                <w:rFonts w:ascii="Calibri" w:hAnsi="Calibri"/>
                <w:u w:val="single"/>
              </w:rPr>
            </w:pPr>
          </w:p>
          <w:p w14:paraId="4DE152FF" w14:textId="77777777" w:rsidR="00015796" w:rsidRPr="0051678B" w:rsidRDefault="00015796" w:rsidP="00015796">
            <w:pPr>
              <w:pStyle w:val="BodyText2"/>
              <w:rPr>
                <w:rFonts w:ascii="Calibri" w:hAnsi="Calibri"/>
              </w:rPr>
            </w:pPr>
            <w:r w:rsidRPr="0051678B">
              <w:rPr>
                <w:rFonts w:ascii="Calibri" w:hAnsi="Calibri"/>
                <w:u w:val="single"/>
              </w:rPr>
              <w:t>Progress and Achievements</w:t>
            </w:r>
            <w:r w:rsidRPr="0051678B">
              <w:rPr>
                <w:rFonts w:ascii="Calibri" w:hAnsi="Calibri"/>
              </w:rPr>
              <w:t>:</w:t>
            </w:r>
          </w:p>
          <w:p w14:paraId="5839DE12" w14:textId="7329F711" w:rsidR="00015796" w:rsidRPr="00903ACF" w:rsidRDefault="00015796" w:rsidP="008D0A4E">
            <w:pPr>
              <w:pStyle w:val="BodyText2"/>
              <w:jc w:val="both"/>
              <w:rPr>
                <w:rFonts w:ascii="Calibri" w:hAnsi="Calibri"/>
              </w:rPr>
            </w:pPr>
            <w:r w:rsidRPr="0051678B">
              <w:rPr>
                <w:rFonts w:ascii="Calibri" w:hAnsi="Calibri"/>
              </w:rPr>
              <w:t xml:space="preserve"> </w:t>
            </w:r>
            <w:r w:rsidRPr="00903ACF">
              <w:rPr>
                <w:rFonts w:ascii="Calibri" w:hAnsi="Calibri"/>
              </w:rPr>
              <w:t>As noted by the Outcome Evaluation, significant “progress has been made towards achieving the intended outcome of Access to more equitable sustainable development and economic opportunities”. With UNDP support</w:t>
            </w:r>
            <w:r>
              <w:rPr>
                <w:rFonts w:ascii="Calibri" w:hAnsi="Calibri"/>
              </w:rPr>
              <w:t>, the Government undertook</w:t>
            </w:r>
            <w:r w:rsidRPr="00903ACF">
              <w:rPr>
                <w:rFonts w:ascii="Calibri" w:hAnsi="Calibri"/>
              </w:rPr>
              <w:t xml:space="preserve"> systemic reforms </w:t>
            </w:r>
            <w:r>
              <w:rPr>
                <w:rFonts w:ascii="Calibri" w:hAnsi="Calibri"/>
              </w:rPr>
              <w:t>to</w:t>
            </w:r>
            <w:r w:rsidRPr="00903ACF">
              <w:rPr>
                <w:rFonts w:ascii="Calibri" w:hAnsi="Calibri"/>
              </w:rPr>
              <w:t xml:space="preserve"> improv</w:t>
            </w:r>
            <w:r>
              <w:rPr>
                <w:rFonts w:ascii="Calibri" w:hAnsi="Calibri"/>
              </w:rPr>
              <w:t>e</w:t>
            </w:r>
            <w:r w:rsidRPr="00903ACF">
              <w:rPr>
                <w:rFonts w:ascii="Calibri" w:hAnsi="Calibri"/>
              </w:rPr>
              <w:t xml:space="preserve"> the quality of life for all citizens. </w:t>
            </w:r>
            <w:r>
              <w:rPr>
                <w:rFonts w:ascii="Calibri" w:hAnsi="Calibri"/>
              </w:rPr>
              <w:t>It</w:t>
            </w:r>
            <w:r w:rsidRPr="00903ACF">
              <w:rPr>
                <w:rFonts w:ascii="Calibri" w:hAnsi="Calibri"/>
              </w:rPr>
              <w:t xml:space="preserve"> </w:t>
            </w:r>
            <w:r>
              <w:rPr>
                <w:rFonts w:ascii="Calibri" w:hAnsi="Calibri"/>
              </w:rPr>
              <w:t xml:space="preserve">was assisted, inter alia, in developing </w:t>
            </w:r>
            <w:r w:rsidRPr="00903ACF">
              <w:rPr>
                <w:rFonts w:ascii="Calibri" w:hAnsi="Calibri"/>
              </w:rPr>
              <w:t>local socio-economic development strategies</w:t>
            </w:r>
            <w:r>
              <w:rPr>
                <w:rFonts w:ascii="Calibri" w:hAnsi="Calibri"/>
              </w:rPr>
              <w:t xml:space="preserve">, </w:t>
            </w:r>
            <w:r w:rsidRPr="00903ACF">
              <w:rPr>
                <w:rFonts w:ascii="Calibri" w:hAnsi="Calibri"/>
              </w:rPr>
              <w:t>conducting comprehensive community profiling,</w:t>
            </w:r>
            <w:r>
              <w:rPr>
                <w:rFonts w:ascii="Calibri" w:hAnsi="Calibri"/>
              </w:rPr>
              <w:t xml:space="preserve"> and</w:t>
            </w:r>
            <w:r w:rsidRPr="00903ACF">
              <w:rPr>
                <w:rFonts w:ascii="Calibri" w:hAnsi="Calibri"/>
              </w:rPr>
              <w:t xml:space="preserve"> focusing on economic opportunities and job creation. In line with the Decentralization Strategy, the administrative capacity of 30 local governments in public procurement, property management, public finance management, tax collection and human resource management was strengthened. A Government Decision on Inter-Municipal Cooperation was adopted</w:t>
            </w:r>
            <w:r>
              <w:rPr>
                <w:rFonts w:ascii="Calibri" w:hAnsi="Calibri"/>
              </w:rPr>
              <w:t>, regulating its use</w:t>
            </w:r>
            <w:r w:rsidRPr="00903ACF">
              <w:rPr>
                <w:rFonts w:ascii="Calibri" w:hAnsi="Calibri"/>
              </w:rPr>
              <w:t>. Ten inter-municipal cooperation projects in 10 clusters of 40 rural communities of Moldova were successfully piloted. Through them, more efficient public services in water and sanitation, road maintenance, snow removal, waste management, greening, and public lighting were provided, contributing to improved living conditions and access to new services for over 120,000 women and men and 1,000 small businesses. Additionally, 200 people from rural areas (55% of them women) were supported to initiate small businesses, and 22 community and Roma mobilization projects were implemented.</w:t>
            </w:r>
          </w:p>
          <w:p w14:paraId="3F0945C9" w14:textId="77777777" w:rsidR="00015796" w:rsidRDefault="00015796" w:rsidP="008D0A4E">
            <w:pPr>
              <w:pStyle w:val="BodyText2"/>
              <w:jc w:val="both"/>
              <w:rPr>
                <w:rFonts w:ascii="Calibri" w:hAnsi="Calibri"/>
              </w:rPr>
            </w:pPr>
            <w:r>
              <w:rPr>
                <w:rFonts w:ascii="Calibri" w:hAnsi="Calibri"/>
              </w:rPr>
              <w:t>LPAs were enabled to harness the positive potential of migration for local development</w:t>
            </w:r>
            <w:r w:rsidRPr="00903ACF">
              <w:rPr>
                <w:rFonts w:ascii="Calibri" w:hAnsi="Calibri"/>
              </w:rPr>
              <w:t xml:space="preserve">. Aware of the large development potential migration brings, </w:t>
            </w:r>
            <w:r>
              <w:rPr>
                <w:rFonts w:ascii="Calibri" w:hAnsi="Calibri"/>
              </w:rPr>
              <w:t>UNDP introduced</w:t>
            </w:r>
            <w:r w:rsidRPr="00903ACF">
              <w:rPr>
                <w:rFonts w:ascii="Calibri" w:hAnsi="Calibri"/>
              </w:rPr>
              <w:t xml:space="preserve"> a model for engaging the diaspora in the development of communities back home. Unique in the region, the </w:t>
            </w:r>
            <w:r>
              <w:rPr>
                <w:rFonts w:ascii="Calibri" w:hAnsi="Calibri"/>
              </w:rPr>
              <w:t>model establishes</w:t>
            </w:r>
            <w:r w:rsidRPr="00903ACF">
              <w:rPr>
                <w:rFonts w:ascii="Calibri" w:hAnsi="Calibri"/>
              </w:rPr>
              <w:t xml:space="preserve"> a mechanism of communication and cooperation among local authorities, communities and migrants through 25 newly created Hometown Associations. These have involved 6,000 migrants in the local planning of 25 communities with over 200,000 inhabitants. Migrants already supported 100 small initiatives and are currently implementing large scale community projects </w:t>
            </w:r>
            <w:r>
              <w:rPr>
                <w:rFonts w:ascii="Calibri" w:hAnsi="Calibri"/>
              </w:rPr>
              <w:t xml:space="preserve">based on </w:t>
            </w:r>
            <w:r w:rsidRPr="00903ACF">
              <w:rPr>
                <w:rFonts w:ascii="Calibri" w:hAnsi="Calibri"/>
              </w:rPr>
              <w:t xml:space="preserve">crowdfunding </w:t>
            </w:r>
            <w:r>
              <w:rPr>
                <w:rFonts w:ascii="Calibri" w:hAnsi="Calibri"/>
              </w:rPr>
              <w:t>from</w:t>
            </w:r>
            <w:r w:rsidRPr="00903ACF">
              <w:rPr>
                <w:rFonts w:ascii="Calibri" w:hAnsi="Calibri"/>
              </w:rPr>
              <w:t xml:space="preserve"> migrants’ </w:t>
            </w:r>
            <w:r>
              <w:rPr>
                <w:rFonts w:ascii="Calibri" w:hAnsi="Calibri"/>
              </w:rPr>
              <w:t>abroad</w:t>
            </w:r>
          </w:p>
          <w:p w14:paraId="61C7036A" w14:textId="77777777" w:rsidR="00015796" w:rsidRDefault="00015796" w:rsidP="00015796">
            <w:pPr>
              <w:pStyle w:val="BodyText2"/>
              <w:rPr>
                <w:rFonts w:ascii="Calibri" w:hAnsi="Calibri"/>
              </w:rPr>
            </w:pPr>
          </w:p>
          <w:p w14:paraId="2ADAD9B8" w14:textId="77777777" w:rsidR="00015796" w:rsidRDefault="00015796" w:rsidP="00015796">
            <w:pPr>
              <w:pStyle w:val="BodyText2"/>
              <w:rPr>
                <w:rFonts w:ascii="Calibri" w:hAnsi="Calibri"/>
              </w:rPr>
            </w:pPr>
            <w:r>
              <w:rPr>
                <w:rFonts w:ascii="Calibri" w:hAnsi="Calibri"/>
              </w:rPr>
              <w:t xml:space="preserve">With </w:t>
            </w:r>
            <w:r w:rsidRPr="003B4A51">
              <w:rPr>
                <w:rFonts w:ascii="Calibri" w:hAnsi="Calibri"/>
              </w:rPr>
              <w:t>UNDP support</w:t>
            </w:r>
            <w:r>
              <w:rPr>
                <w:rFonts w:ascii="Calibri" w:hAnsi="Calibri"/>
              </w:rPr>
              <w:t xml:space="preserve">, the Government developed </w:t>
            </w:r>
            <w:r w:rsidRPr="003B4A51">
              <w:rPr>
                <w:rFonts w:ascii="Calibri" w:hAnsi="Calibri"/>
              </w:rPr>
              <w:t>a National Employment Strategy</w:t>
            </w:r>
            <w:r>
              <w:rPr>
                <w:rFonts w:ascii="Calibri" w:hAnsi="Calibri"/>
              </w:rPr>
              <w:t>, adopted</w:t>
            </w:r>
            <w:r w:rsidRPr="003B4A51">
              <w:rPr>
                <w:rFonts w:ascii="Calibri" w:hAnsi="Calibri"/>
              </w:rPr>
              <w:t xml:space="preserve"> in December 2016 - a gender responsive and migration sensitive employment policy for the next 5 years.</w:t>
            </w:r>
            <w:r>
              <w:rPr>
                <w:rFonts w:ascii="Calibri" w:hAnsi="Calibri"/>
              </w:rPr>
              <w:t xml:space="preserve"> A</w:t>
            </w:r>
            <w:r w:rsidRPr="00903ACF">
              <w:rPr>
                <w:rFonts w:ascii="Calibri" w:hAnsi="Calibri"/>
              </w:rPr>
              <w:t xml:space="preserve"> network of five </w:t>
            </w:r>
            <w:r>
              <w:rPr>
                <w:rFonts w:ascii="Calibri" w:hAnsi="Calibri"/>
              </w:rPr>
              <w:t xml:space="preserve">Career Development Centers was established since 2013 across the country, that introduced an innovative soft-skills training </w:t>
            </w:r>
            <w:r>
              <w:rPr>
                <w:rFonts w:ascii="Calibri" w:hAnsi="Calibri"/>
              </w:rPr>
              <w:lastRenderedPageBreak/>
              <w:t xml:space="preserve">model to improve employability and promote entrepreneurship for self-employment. With </w:t>
            </w:r>
            <w:r w:rsidRPr="00903ACF">
              <w:rPr>
                <w:rFonts w:ascii="Calibri" w:hAnsi="Calibri"/>
              </w:rPr>
              <w:t xml:space="preserve">an average success </w:t>
            </w:r>
            <w:r>
              <w:rPr>
                <w:rFonts w:ascii="Calibri" w:hAnsi="Calibri"/>
              </w:rPr>
              <w:t xml:space="preserve">employment </w:t>
            </w:r>
            <w:r w:rsidRPr="00903ACF">
              <w:rPr>
                <w:rFonts w:ascii="Calibri" w:hAnsi="Calibri"/>
              </w:rPr>
              <w:t>rate of 80 per cent</w:t>
            </w:r>
            <w:r>
              <w:rPr>
                <w:rFonts w:ascii="Calibri" w:hAnsi="Calibri"/>
              </w:rPr>
              <w:t xml:space="preserve"> for the more than 850 beneficiaries, and 45% for the self-employment module, the methodology was taken over by the National Employment Agency</w:t>
            </w:r>
            <w:r w:rsidRPr="00903ACF">
              <w:rPr>
                <w:rFonts w:ascii="Calibri" w:hAnsi="Calibri"/>
              </w:rPr>
              <w:t xml:space="preserve">. </w:t>
            </w:r>
          </w:p>
          <w:p w14:paraId="28DF2403" w14:textId="77777777" w:rsidR="00015796" w:rsidRDefault="00015796" w:rsidP="00015796">
            <w:pPr>
              <w:pStyle w:val="BodyText2"/>
              <w:rPr>
                <w:rFonts w:ascii="Calibri" w:hAnsi="Calibri"/>
              </w:rPr>
            </w:pPr>
            <w:r w:rsidRPr="003B4A51">
              <w:rPr>
                <w:rFonts w:ascii="Calibri" w:hAnsi="Calibri"/>
              </w:rPr>
              <w:t>A Business</w:t>
            </w:r>
            <w:r>
              <w:rPr>
                <w:rFonts w:ascii="Calibri" w:hAnsi="Calibri"/>
              </w:rPr>
              <w:t xml:space="preserve"> </w:t>
            </w:r>
            <w:r w:rsidRPr="003B4A51">
              <w:rPr>
                <w:rFonts w:ascii="Calibri" w:hAnsi="Calibri"/>
              </w:rPr>
              <w:t>Innovation Lab was set up</w:t>
            </w:r>
            <w:r>
              <w:rPr>
                <w:rFonts w:ascii="Calibri" w:hAnsi="Calibri"/>
              </w:rPr>
              <w:t xml:space="preserve"> in the Technical University of Moldova</w:t>
            </w:r>
            <w:r w:rsidRPr="003B4A51">
              <w:rPr>
                <w:rFonts w:ascii="Calibri" w:hAnsi="Calibri"/>
              </w:rPr>
              <w:t>, enabling 20 SMEs to implement innovation projects by providing co-funding, coaching and fostering collaboration. They generated at least 80 new jobs, public support for innovations, and lessons to be used for establishing a National Innovation Support Fund.</w:t>
            </w:r>
          </w:p>
          <w:p w14:paraId="13755B76" w14:textId="77777777" w:rsidR="00015796" w:rsidRDefault="00015796" w:rsidP="00015796">
            <w:pPr>
              <w:pStyle w:val="BodyText2"/>
              <w:rPr>
                <w:rFonts w:ascii="Calibri" w:hAnsi="Calibri"/>
              </w:rPr>
            </w:pPr>
            <w:r w:rsidRPr="00903ACF">
              <w:rPr>
                <w:rFonts w:ascii="Calibri" w:hAnsi="Calibri"/>
              </w:rPr>
              <w:t xml:space="preserve">With </w:t>
            </w:r>
            <w:r>
              <w:rPr>
                <w:rFonts w:ascii="Calibri" w:hAnsi="Calibri"/>
              </w:rPr>
              <w:t>UNDP</w:t>
            </w:r>
            <w:r w:rsidRPr="00903ACF">
              <w:rPr>
                <w:rFonts w:ascii="Calibri" w:hAnsi="Calibri"/>
              </w:rPr>
              <w:t xml:space="preserve"> support, </w:t>
            </w:r>
            <w:r>
              <w:rPr>
                <w:rFonts w:ascii="Calibri" w:hAnsi="Calibri"/>
              </w:rPr>
              <w:t xml:space="preserve">young </w:t>
            </w:r>
            <w:r w:rsidRPr="00903ACF">
              <w:rPr>
                <w:rFonts w:ascii="Calibri" w:hAnsi="Calibri"/>
              </w:rPr>
              <w:t xml:space="preserve">entrepreneurs from across the country, including the breakaway Transnistrian region, created new companies, which provide for </w:t>
            </w:r>
            <w:r>
              <w:rPr>
                <w:rFonts w:ascii="Calibri" w:hAnsi="Calibri"/>
              </w:rPr>
              <w:t>350 new jobs: more than 5</w:t>
            </w:r>
            <w:r w:rsidRPr="00903ACF">
              <w:rPr>
                <w:rFonts w:ascii="Calibri" w:hAnsi="Calibri"/>
              </w:rPr>
              <w:t xml:space="preserve">0 per cent for women. </w:t>
            </w:r>
            <w:r>
              <w:rPr>
                <w:rFonts w:ascii="Calibri" w:hAnsi="Calibri"/>
              </w:rPr>
              <w:t>All in all, more than 1000 new full-time jobs were created in the country with UNDP support, and more than 250,000 additional</w:t>
            </w:r>
            <w:r w:rsidRPr="00D600AA">
              <w:rPr>
                <w:rFonts w:ascii="Calibri" w:hAnsi="Calibri"/>
              </w:rPr>
              <w:t xml:space="preserve"> people benefitt</w:t>
            </w:r>
            <w:r>
              <w:rPr>
                <w:rFonts w:ascii="Calibri" w:hAnsi="Calibri"/>
              </w:rPr>
              <w:t>ed</w:t>
            </w:r>
            <w:r w:rsidRPr="00D600AA">
              <w:rPr>
                <w:rFonts w:ascii="Calibri" w:hAnsi="Calibri"/>
              </w:rPr>
              <w:t xml:space="preserve"> from UNDP's interventions</w:t>
            </w:r>
            <w:r>
              <w:rPr>
                <w:rFonts w:ascii="Calibri" w:hAnsi="Calibri"/>
              </w:rPr>
              <w:t xml:space="preserve"> to improve livelihoods. </w:t>
            </w:r>
          </w:p>
          <w:p w14:paraId="18428594" w14:textId="77777777" w:rsidR="00015796" w:rsidRPr="00903ACF" w:rsidRDefault="00015796" w:rsidP="00015796">
            <w:pPr>
              <w:pStyle w:val="BodyText2"/>
              <w:rPr>
                <w:rFonts w:ascii="Calibri" w:hAnsi="Calibri"/>
              </w:rPr>
            </w:pPr>
          </w:p>
          <w:p w14:paraId="4B0B2BB9" w14:textId="1E83A2C0" w:rsidR="00015796" w:rsidRDefault="00015796" w:rsidP="00015796">
            <w:pPr>
              <w:pStyle w:val="BodyText2"/>
              <w:rPr>
                <w:rFonts w:ascii="Calibri" w:hAnsi="Calibri"/>
              </w:rPr>
            </w:pPr>
            <w:r w:rsidRPr="00903ACF">
              <w:rPr>
                <w:rFonts w:ascii="Calibri" w:hAnsi="Calibri"/>
              </w:rPr>
              <w:t>Despite a highly fragile political situation in the country, UN</w:t>
            </w:r>
            <w:r>
              <w:rPr>
                <w:rFonts w:ascii="Calibri" w:hAnsi="Calibri"/>
              </w:rPr>
              <w:t>DP</w:t>
            </w:r>
            <w:r w:rsidRPr="00903ACF">
              <w:rPr>
                <w:rFonts w:ascii="Calibri" w:hAnsi="Calibri"/>
              </w:rPr>
              <w:t xml:space="preserve"> succeeded to boost confidence by creating alternative channels of communication between the two banks of</w:t>
            </w:r>
            <w:r>
              <w:rPr>
                <w:rFonts w:ascii="Calibri" w:hAnsi="Calibri"/>
              </w:rPr>
              <w:t xml:space="preserve"> the Nistru</w:t>
            </w:r>
            <w:r w:rsidRPr="00903ACF">
              <w:rPr>
                <w:rFonts w:ascii="Calibri" w:hAnsi="Calibri"/>
              </w:rPr>
              <w:t xml:space="preserve"> river</w:t>
            </w:r>
            <w:r>
              <w:rPr>
                <w:rFonts w:ascii="Calibri" w:hAnsi="Calibri"/>
              </w:rPr>
              <w:t xml:space="preserve">, which have </w:t>
            </w:r>
            <w:r w:rsidRPr="00903ACF">
              <w:rPr>
                <w:rFonts w:ascii="Calibri" w:hAnsi="Calibri"/>
              </w:rPr>
              <w:t>been instrumental in resolving common problems, strengthening the cooperation among technical experts, communities and business.</w:t>
            </w:r>
          </w:p>
          <w:p w14:paraId="06993173" w14:textId="77777777" w:rsidR="00015796" w:rsidRPr="004031E2" w:rsidRDefault="00015796" w:rsidP="00015796">
            <w:pPr>
              <w:pStyle w:val="BodyText2"/>
              <w:rPr>
                <w:rFonts w:ascii="Calibri" w:hAnsi="Calibri"/>
              </w:rPr>
            </w:pPr>
            <w:r>
              <w:rPr>
                <w:rFonts w:ascii="Calibri" w:hAnsi="Calibri"/>
              </w:rPr>
              <w:t>M</w:t>
            </w:r>
            <w:r w:rsidRPr="004031E2">
              <w:rPr>
                <w:rFonts w:ascii="Calibri" w:hAnsi="Calibri"/>
              </w:rPr>
              <w:t>ore than 160 common initiatives/projects</w:t>
            </w:r>
            <w:r>
              <w:rPr>
                <w:rFonts w:ascii="Calibri" w:hAnsi="Calibri"/>
              </w:rPr>
              <w:t xml:space="preserve"> have been implemented</w:t>
            </w:r>
            <w:r w:rsidRPr="004031E2">
              <w:rPr>
                <w:rFonts w:ascii="Calibri" w:hAnsi="Calibri"/>
              </w:rPr>
              <w:t>, engaging communities, local authorities, civil society and companies from both banks in collaborative work, benefitting directly and indirectly more than half of a million of people. With over 60 social infrastructure projects, about 200.000 women and men on both banks gained access to improved services and secured more resilient communities and livelihoods. The renovated, cultural, health care, educational, and other institutions generate many opportunities to organize joint events, such as sport activities, concerts, professional exchanges, etc.</w:t>
            </w:r>
            <w:r>
              <w:rPr>
                <w:rFonts w:ascii="Calibri" w:hAnsi="Calibri"/>
              </w:rPr>
              <w:t xml:space="preserve"> </w:t>
            </w:r>
            <w:r w:rsidRPr="004031E2">
              <w:rPr>
                <w:rFonts w:ascii="Calibri" w:hAnsi="Calibri"/>
              </w:rPr>
              <w:t xml:space="preserve">Over 1.800 direct beneficiaries, including 800 women and over 15.000 indirect beneficiaries have been involved in joint </w:t>
            </w:r>
            <w:r>
              <w:rPr>
                <w:rFonts w:ascii="Calibri" w:hAnsi="Calibri"/>
              </w:rPr>
              <w:t xml:space="preserve">business </w:t>
            </w:r>
            <w:r w:rsidRPr="004031E2">
              <w:rPr>
                <w:rFonts w:ascii="Calibri" w:hAnsi="Calibri"/>
              </w:rPr>
              <w:t xml:space="preserve">activities. More than 60 </w:t>
            </w:r>
            <w:r>
              <w:rPr>
                <w:rFonts w:ascii="Calibri" w:hAnsi="Calibri"/>
              </w:rPr>
              <w:t xml:space="preserve">business </w:t>
            </w:r>
            <w:r w:rsidRPr="004031E2">
              <w:rPr>
                <w:rFonts w:ascii="Calibri" w:hAnsi="Calibri"/>
              </w:rPr>
              <w:t>partnerships have been already established between businesses people from both sides. About 500 companies from both banks have carried out joint actions and received business management assistance, which offered them the opportunity to acquire good practices, promote their goods and find new partners abroad through their participation in international exhibitions. Over 1.500 business people (48% women) improved their managerial skills at a Business School</w:t>
            </w:r>
            <w:r>
              <w:rPr>
                <w:rFonts w:ascii="Calibri" w:hAnsi="Calibri"/>
              </w:rPr>
              <w:t xml:space="preserve"> established in the region,</w:t>
            </w:r>
            <w:r w:rsidRPr="004031E2">
              <w:rPr>
                <w:rFonts w:ascii="Calibri" w:hAnsi="Calibri"/>
              </w:rPr>
              <w:t xml:space="preserve"> with branches in Tiraspol, Bender and Ribnita. 71 young entrepreneurs (55% women and 36 persons from the left bank) who were supported by grants and consultancy programmes with a strong networking component, became themselves strong examples of the benefits of cooperation to their peers, as they created hundreds of jobs locally and changed their own attitudes. </w:t>
            </w:r>
          </w:p>
          <w:p w14:paraId="3E0AC911" w14:textId="77777777" w:rsidR="00015796" w:rsidRDefault="00015796" w:rsidP="00015796">
            <w:pPr>
              <w:jc w:val="both"/>
              <w:rPr>
                <w:rFonts w:ascii="Calibri" w:hAnsi="Calibri"/>
              </w:rPr>
            </w:pPr>
            <w:r>
              <w:rPr>
                <w:rFonts w:ascii="Calibri" w:hAnsi="Calibri"/>
                <w:sz w:val="20"/>
              </w:rPr>
              <w:t>Over</w:t>
            </w:r>
            <w:r w:rsidRPr="004031E2">
              <w:rPr>
                <w:rFonts w:ascii="Calibri" w:hAnsi="Calibri"/>
                <w:sz w:val="20"/>
              </w:rPr>
              <w:t xml:space="preserve"> 50 initiatives were carried out jointly by </w:t>
            </w:r>
            <w:r>
              <w:rPr>
                <w:rFonts w:ascii="Calibri" w:hAnsi="Calibri"/>
                <w:sz w:val="20"/>
              </w:rPr>
              <w:t>at least 120 civil society actors</w:t>
            </w:r>
            <w:r w:rsidRPr="004031E2">
              <w:rPr>
                <w:rFonts w:ascii="Calibri" w:hAnsi="Calibri"/>
                <w:sz w:val="20"/>
              </w:rPr>
              <w:t xml:space="preserve"> from both banks, benefitting directly more than 35.000 people from most vulnerable groups. </w:t>
            </w:r>
          </w:p>
          <w:p w14:paraId="6DE22F96" w14:textId="128487BB" w:rsidR="00015796" w:rsidRPr="0051678B" w:rsidRDefault="00015796" w:rsidP="00015796">
            <w:pPr>
              <w:jc w:val="both"/>
              <w:rPr>
                <w:rFonts w:ascii="Calibri" w:hAnsi="Calibri"/>
                <w:sz w:val="20"/>
              </w:rPr>
            </w:pPr>
            <w:r w:rsidRPr="00243971">
              <w:rPr>
                <w:rFonts w:ascii="Calibri" w:hAnsi="Calibri"/>
                <w:sz w:val="20"/>
              </w:rPr>
              <w:t>All 41 communities of Gagauzia and Taraclia have gone through a local strategic planning exercise, thus enabling people from this territorial administrative unit with special status to better tackle pressing issues at community level.</w:t>
            </w:r>
          </w:p>
        </w:tc>
      </w:tr>
      <w:tr w:rsidR="00015796" w:rsidRPr="0051678B" w14:paraId="50FBC71F" w14:textId="77777777" w:rsidTr="00FF4697">
        <w:tc>
          <w:tcPr>
            <w:tcW w:w="3150" w:type="dxa"/>
            <w:tcBorders>
              <w:bottom w:val="single" w:sz="4" w:space="0" w:color="auto"/>
            </w:tcBorders>
            <w:shd w:val="clear" w:color="auto" w:fill="95B3D7"/>
          </w:tcPr>
          <w:p w14:paraId="515135E9" w14:textId="77777777" w:rsidR="00015796" w:rsidRPr="0051678B" w:rsidRDefault="00015796" w:rsidP="00015796">
            <w:pPr>
              <w:keepNext/>
              <w:keepLines/>
              <w:spacing w:before="80"/>
              <w:ind w:right="-108"/>
              <w:rPr>
                <w:rFonts w:ascii="Calibri" w:hAnsi="Calibri"/>
                <w:sz w:val="20"/>
              </w:rPr>
            </w:pPr>
            <w:r w:rsidRPr="0051678B">
              <w:rPr>
                <w:rFonts w:ascii="Calibri" w:hAnsi="Calibri"/>
                <w:b/>
                <w:sz w:val="20"/>
              </w:rPr>
              <w:lastRenderedPageBreak/>
              <w:t xml:space="preserve">OUTCOME 26.   </w:t>
            </w:r>
            <w:r w:rsidRPr="0051678B">
              <w:rPr>
                <w:rFonts w:ascii="Calibri" w:hAnsi="Calibri"/>
                <w:bCs/>
                <w:sz w:val="20"/>
              </w:rPr>
              <w:t xml:space="preserve"> </w:t>
            </w:r>
            <w:r w:rsidRPr="0051678B">
              <w:rPr>
                <w:rFonts w:ascii="Calibri" w:hAnsi="Calibri"/>
                <w:sz w:val="20"/>
              </w:rPr>
              <w:t xml:space="preserve">Improved environmental management in significantly increased compliance with international and regional standards; </w:t>
            </w:r>
          </w:p>
          <w:p w14:paraId="338E17D8" w14:textId="77777777" w:rsidR="00015796" w:rsidRPr="0051678B" w:rsidRDefault="00015796" w:rsidP="00015796">
            <w:pPr>
              <w:pStyle w:val="BodyText2"/>
              <w:rPr>
                <w:rFonts w:ascii="Calibri" w:hAnsi="Calibri"/>
                <w:b/>
              </w:rPr>
            </w:pPr>
            <w:r w:rsidRPr="0051678B">
              <w:rPr>
                <w:rFonts w:ascii="Calibri" w:hAnsi="Calibri"/>
              </w:rPr>
              <w:t xml:space="preserve"> </w:t>
            </w:r>
          </w:p>
        </w:tc>
        <w:tc>
          <w:tcPr>
            <w:tcW w:w="1440" w:type="dxa"/>
            <w:tcBorders>
              <w:bottom w:val="single" w:sz="4" w:space="0" w:color="auto"/>
            </w:tcBorders>
            <w:shd w:val="clear" w:color="auto" w:fill="auto"/>
          </w:tcPr>
          <w:p w14:paraId="28B5A027" w14:textId="77777777" w:rsidR="00EF2B06" w:rsidRPr="009E0B4C" w:rsidRDefault="00EF2B06" w:rsidP="00EF2B06">
            <w:pPr>
              <w:widowControl/>
              <w:rPr>
                <w:rFonts w:ascii="Calibri" w:hAnsi="Calibri"/>
                <w:color w:val="000000"/>
                <w:sz w:val="22"/>
                <w:szCs w:val="22"/>
              </w:rPr>
            </w:pPr>
            <w:r w:rsidRPr="009E0B4C">
              <w:rPr>
                <w:rFonts w:ascii="Calibri" w:hAnsi="Calibri"/>
                <w:color w:val="000000"/>
                <w:sz w:val="22"/>
                <w:szCs w:val="22"/>
              </w:rPr>
              <w:t>$</w:t>
            </w:r>
            <w:r w:rsidRPr="009E0B4C">
              <w:rPr>
                <w:rFonts w:ascii="Calibri" w:hAnsi="Calibri"/>
                <w:color w:val="000000"/>
                <w:sz w:val="22"/>
                <w:szCs w:val="22"/>
                <w:u w:val="single"/>
              </w:rPr>
              <w:t>2,062,605</w:t>
            </w:r>
          </w:p>
          <w:p w14:paraId="374ABE72" w14:textId="77777777" w:rsidR="00015796" w:rsidRPr="0051678B" w:rsidRDefault="00015796" w:rsidP="00015796">
            <w:pPr>
              <w:widowControl/>
              <w:rPr>
                <w:rFonts w:ascii="Calibri" w:hAnsi="Calibri"/>
              </w:rPr>
            </w:pPr>
          </w:p>
        </w:tc>
        <w:tc>
          <w:tcPr>
            <w:tcW w:w="3960" w:type="dxa"/>
            <w:tcBorders>
              <w:left w:val="single" w:sz="4" w:space="0" w:color="auto"/>
              <w:bottom w:val="single" w:sz="4" w:space="0" w:color="auto"/>
            </w:tcBorders>
          </w:tcPr>
          <w:p w14:paraId="4978F8D9" w14:textId="77777777" w:rsidR="00015796" w:rsidRPr="0051678B" w:rsidRDefault="00015796" w:rsidP="00015796">
            <w:pPr>
              <w:numPr>
                <w:ilvl w:val="0"/>
                <w:numId w:val="26"/>
              </w:numPr>
              <w:ind w:left="312" w:hanging="312"/>
              <w:jc w:val="both"/>
              <w:rPr>
                <w:rFonts w:ascii="Calibri" w:hAnsi="Calibri"/>
                <w:i/>
                <w:sz w:val="20"/>
              </w:rPr>
            </w:pPr>
            <w:r w:rsidRPr="0051678B">
              <w:rPr>
                <w:rFonts w:ascii="Calibri" w:hAnsi="Calibri"/>
                <w:b/>
                <w:i/>
                <w:sz w:val="20"/>
              </w:rPr>
              <w:t>Indicator</w:t>
            </w:r>
            <w:r w:rsidRPr="0051678B">
              <w:rPr>
                <w:rFonts w:ascii="Calibri" w:hAnsi="Calibri"/>
                <w:i/>
                <w:sz w:val="20"/>
              </w:rPr>
              <w:t xml:space="preserve">: Environment Protection Agency established and functional </w:t>
            </w:r>
            <w:r w:rsidRPr="0051678B">
              <w:rPr>
                <w:rFonts w:ascii="Calibri" w:hAnsi="Calibri"/>
                <w:b/>
                <w:i/>
                <w:sz w:val="20"/>
              </w:rPr>
              <w:t>Baseline</w:t>
            </w:r>
            <w:r w:rsidRPr="0051678B">
              <w:rPr>
                <w:rFonts w:ascii="Calibri" w:hAnsi="Calibri"/>
                <w:i/>
                <w:sz w:val="20"/>
              </w:rPr>
              <w:t xml:space="preserve">: draft NES foresee creation of EPA; </w:t>
            </w:r>
            <w:r w:rsidRPr="0051678B">
              <w:rPr>
                <w:rFonts w:ascii="Calibri" w:hAnsi="Calibri"/>
                <w:b/>
                <w:i/>
                <w:sz w:val="20"/>
              </w:rPr>
              <w:t>Target</w:t>
            </w:r>
            <w:r w:rsidRPr="0051678B">
              <w:rPr>
                <w:rFonts w:ascii="Calibri" w:hAnsi="Calibri"/>
                <w:i/>
                <w:sz w:val="20"/>
              </w:rPr>
              <w:t xml:space="preserve">: EPA established and functional. </w:t>
            </w:r>
          </w:p>
          <w:p w14:paraId="40EF8A14" w14:textId="77777777" w:rsidR="00015796" w:rsidRPr="0051678B" w:rsidRDefault="00015796" w:rsidP="00015796">
            <w:pPr>
              <w:numPr>
                <w:ilvl w:val="0"/>
                <w:numId w:val="26"/>
              </w:numPr>
              <w:ind w:left="312" w:hanging="312"/>
              <w:jc w:val="both"/>
              <w:rPr>
                <w:rFonts w:ascii="Calibri" w:hAnsi="Calibri"/>
                <w:i/>
                <w:sz w:val="20"/>
              </w:rPr>
            </w:pPr>
            <w:r w:rsidRPr="0051678B">
              <w:rPr>
                <w:rFonts w:ascii="Calibri" w:hAnsi="Calibri"/>
                <w:b/>
                <w:i/>
                <w:sz w:val="20"/>
              </w:rPr>
              <w:t>Indicator</w:t>
            </w:r>
            <w:r w:rsidRPr="0051678B">
              <w:rPr>
                <w:rFonts w:ascii="Calibri" w:hAnsi="Calibri"/>
                <w:i/>
                <w:sz w:val="20"/>
              </w:rPr>
              <w:t xml:space="preserve">: Surface of protected areas managed in line with international requirements; </w:t>
            </w:r>
            <w:r w:rsidRPr="0051678B">
              <w:rPr>
                <w:rFonts w:ascii="Calibri" w:hAnsi="Calibri"/>
                <w:b/>
                <w:i/>
                <w:sz w:val="20"/>
              </w:rPr>
              <w:t>Baseline</w:t>
            </w:r>
            <w:r w:rsidRPr="0051678B">
              <w:rPr>
                <w:rFonts w:ascii="Calibri" w:hAnsi="Calibri"/>
                <w:i/>
                <w:sz w:val="20"/>
              </w:rPr>
              <w:t xml:space="preserve">: 4.65% (2011) </w:t>
            </w:r>
            <w:r w:rsidRPr="0051678B">
              <w:rPr>
                <w:rFonts w:ascii="Calibri" w:hAnsi="Calibri"/>
                <w:b/>
                <w:i/>
                <w:sz w:val="20"/>
              </w:rPr>
              <w:t>Target</w:t>
            </w:r>
            <w:r w:rsidRPr="0051678B">
              <w:rPr>
                <w:rFonts w:ascii="Calibri" w:hAnsi="Calibri"/>
                <w:i/>
                <w:sz w:val="20"/>
              </w:rPr>
              <w:t xml:space="preserve">: 7 % and in line with international standards </w:t>
            </w:r>
          </w:p>
          <w:p w14:paraId="4090F4A9" w14:textId="77777777" w:rsidR="00015796" w:rsidRPr="0051678B" w:rsidRDefault="00015796" w:rsidP="00015796">
            <w:pPr>
              <w:numPr>
                <w:ilvl w:val="0"/>
                <w:numId w:val="26"/>
              </w:numPr>
              <w:ind w:left="312" w:hanging="312"/>
              <w:jc w:val="both"/>
              <w:rPr>
                <w:rFonts w:ascii="Calibri" w:hAnsi="Calibri"/>
                <w:i/>
                <w:sz w:val="20"/>
              </w:rPr>
            </w:pPr>
            <w:r w:rsidRPr="0051678B">
              <w:rPr>
                <w:rFonts w:ascii="Calibri" w:hAnsi="Calibri"/>
                <w:b/>
                <w:i/>
                <w:sz w:val="20"/>
              </w:rPr>
              <w:t>Indicator</w:t>
            </w:r>
            <w:r w:rsidRPr="0051678B">
              <w:rPr>
                <w:rFonts w:ascii="Calibri" w:hAnsi="Calibri"/>
                <w:i/>
                <w:sz w:val="20"/>
              </w:rPr>
              <w:t xml:space="preserve">: Public information and participation mechanisms in place </w:t>
            </w:r>
            <w:r w:rsidRPr="0051678B">
              <w:rPr>
                <w:rFonts w:ascii="Calibri" w:hAnsi="Calibri"/>
                <w:b/>
                <w:i/>
                <w:sz w:val="20"/>
              </w:rPr>
              <w:t>Baseline</w:t>
            </w:r>
            <w:r w:rsidRPr="0051678B">
              <w:rPr>
                <w:rFonts w:ascii="Calibri" w:hAnsi="Calibri"/>
                <w:i/>
                <w:sz w:val="20"/>
              </w:rPr>
              <w:t xml:space="preserve">: None; </w:t>
            </w:r>
            <w:r w:rsidRPr="0051678B">
              <w:rPr>
                <w:rFonts w:ascii="Calibri" w:hAnsi="Calibri"/>
                <w:b/>
                <w:i/>
                <w:sz w:val="20"/>
              </w:rPr>
              <w:t>Target</w:t>
            </w:r>
            <w:r w:rsidRPr="0051678B">
              <w:rPr>
                <w:rFonts w:ascii="Calibri" w:hAnsi="Calibri"/>
                <w:i/>
                <w:sz w:val="20"/>
              </w:rPr>
              <w:t xml:space="preserve">:  Information and participation mechanisms established. </w:t>
            </w:r>
          </w:p>
          <w:p w14:paraId="1406D79B" w14:textId="77777777" w:rsidR="00015796" w:rsidRPr="0051678B" w:rsidRDefault="00015796" w:rsidP="00015796">
            <w:pPr>
              <w:jc w:val="both"/>
              <w:rPr>
                <w:rFonts w:ascii="Calibri" w:hAnsi="Calibri"/>
                <w:i/>
                <w:sz w:val="20"/>
              </w:rPr>
            </w:pPr>
          </w:p>
        </w:tc>
        <w:tc>
          <w:tcPr>
            <w:tcW w:w="5490" w:type="dxa"/>
            <w:tcBorders>
              <w:bottom w:val="single" w:sz="4" w:space="0" w:color="auto"/>
            </w:tcBorders>
            <w:shd w:val="clear" w:color="auto" w:fill="auto"/>
          </w:tcPr>
          <w:p w14:paraId="658A1179" w14:textId="77777777" w:rsidR="00015796" w:rsidRDefault="00015796" w:rsidP="00015796">
            <w:pPr>
              <w:pStyle w:val="ListParagraph"/>
              <w:numPr>
                <w:ilvl w:val="0"/>
                <w:numId w:val="30"/>
              </w:numPr>
              <w:jc w:val="both"/>
              <w:rPr>
                <w:rFonts w:ascii="Calibri" w:hAnsi="Calibri"/>
                <w:i/>
                <w:sz w:val="20"/>
              </w:rPr>
            </w:pPr>
            <w:r>
              <w:rPr>
                <w:rFonts w:ascii="Calibri" w:hAnsi="Calibri"/>
                <w:i/>
                <w:sz w:val="20"/>
              </w:rPr>
              <w:t xml:space="preserve">Creation of the Environment Protection Agency (EPA) was on the government agenda for 2015 and 2016, but did not materialized due to the political instability. Creation of EPA is planned in 2017, as part of the announced central government reform. </w:t>
            </w:r>
          </w:p>
          <w:p w14:paraId="7CCD49B0" w14:textId="77777777" w:rsidR="00015796" w:rsidRPr="001E13BC" w:rsidRDefault="00015796" w:rsidP="00015796">
            <w:pPr>
              <w:pStyle w:val="ListParagraph"/>
              <w:numPr>
                <w:ilvl w:val="0"/>
                <w:numId w:val="30"/>
              </w:numPr>
              <w:jc w:val="both"/>
              <w:rPr>
                <w:rFonts w:ascii="Calibri" w:hAnsi="Calibri"/>
                <w:i/>
                <w:sz w:val="20"/>
              </w:rPr>
            </w:pPr>
            <w:r w:rsidRPr="00B90EA0">
              <w:rPr>
                <w:rFonts w:ascii="Calibri" w:hAnsi="Calibri"/>
                <w:i/>
                <w:sz w:val="20"/>
              </w:rPr>
              <w:t xml:space="preserve">2015: 5.75% with alignment to international standards in progress supported by the adoption in 2015 of the National Biodiversity Strategy and Actions Plans in line with requirements of the Convention of Biological Diversity. </w:t>
            </w:r>
            <w:r>
              <w:rPr>
                <w:rFonts w:ascii="Calibri" w:hAnsi="Calibri"/>
                <w:i/>
                <w:sz w:val="20"/>
              </w:rPr>
              <w:t xml:space="preserve"> </w:t>
            </w:r>
            <w:r w:rsidRPr="00B90EA0">
              <w:rPr>
                <w:rFonts w:ascii="Calibri" w:hAnsi="Calibri"/>
                <w:i/>
                <w:color w:val="000000"/>
                <w:sz w:val="18"/>
                <w:szCs w:val="18"/>
              </w:rPr>
              <w:t xml:space="preserve">  </w:t>
            </w:r>
          </w:p>
          <w:p w14:paraId="6A90D301" w14:textId="77777777" w:rsidR="00015796" w:rsidRPr="001E13BC" w:rsidRDefault="00015796" w:rsidP="00015796">
            <w:pPr>
              <w:pStyle w:val="ListParagraph"/>
              <w:numPr>
                <w:ilvl w:val="0"/>
                <w:numId w:val="30"/>
              </w:numPr>
              <w:jc w:val="both"/>
              <w:rPr>
                <w:rFonts w:ascii="Calibri" w:hAnsi="Calibri"/>
                <w:i/>
                <w:sz w:val="20"/>
              </w:rPr>
            </w:pPr>
            <w:r w:rsidRPr="001E13BC">
              <w:rPr>
                <w:rFonts w:asciiTheme="minorHAnsi" w:hAnsiTheme="minorHAnsi"/>
                <w:i/>
                <w:sz w:val="20"/>
              </w:rPr>
              <w:t xml:space="preserve">The Law on Environmental Impact Assessment adopted; the Law on Strategic Environmental Assessment (SEA) was approved in the first reading; </w:t>
            </w:r>
            <w:r w:rsidRPr="001E13BC">
              <w:rPr>
                <w:rStyle w:val="roarquestion"/>
                <w:rFonts w:asciiTheme="minorHAnsi" w:hAnsiTheme="minorHAnsi"/>
                <w:i/>
                <w:sz w:val="20"/>
              </w:rPr>
              <w:t xml:space="preserve">the Protocol on Pollutant Release and Transfer Registers to the Aarhus Convention was ratified by the country in 2013; the </w:t>
            </w:r>
            <w:r w:rsidRPr="001E13BC">
              <w:rPr>
                <w:rFonts w:asciiTheme="minorHAnsi" w:hAnsiTheme="minorHAnsi"/>
                <w:i/>
                <w:sz w:val="20"/>
              </w:rPr>
              <w:t xml:space="preserve">Guidelines on Strategic Environmental Assessment is awaiting approval. </w:t>
            </w:r>
            <w:r w:rsidRPr="001E13BC">
              <w:rPr>
                <w:rStyle w:val="roarquestion"/>
                <w:rFonts w:asciiTheme="minorHAnsi" w:hAnsiTheme="minorHAnsi"/>
                <w:i/>
                <w:sz w:val="20"/>
              </w:rPr>
              <w:t xml:space="preserve"> </w:t>
            </w:r>
            <w:r w:rsidRPr="001E13BC">
              <w:rPr>
                <w:rFonts w:asciiTheme="minorHAnsi" w:hAnsiTheme="minorHAnsi"/>
                <w:i/>
                <w:sz w:val="20"/>
              </w:rPr>
              <w:t xml:space="preserve"> </w:t>
            </w:r>
          </w:p>
        </w:tc>
      </w:tr>
      <w:tr w:rsidR="00015796" w:rsidRPr="0051678B" w14:paraId="36E63115" w14:textId="77777777" w:rsidTr="00FF4697">
        <w:tc>
          <w:tcPr>
            <w:tcW w:w="14040" w:type="dxa"/>
            <w:gridSpan w:val="4"/>
            <w:shd w:val="clear" w:color="auto" w:fill="auto"/>
          </w:tcPr>
          <w:p w14:paraId="6612D078" w14:textId="77777777" w:rsidR="00015796" w:rsidRPr="0051678B" w:rsidRDefault="00015796" w:rsidP="00015796">
            <w:pPr>
              <w:pStyle w:val="BodyText2"/>
              <w:rPr>
                <w:rFonts w:ascii="Calibri" w:hAnsi="Calibri"/>
                <w:b/>
              </w:rPr>
            </w:pPr>
            <w:r w:rsidRPr="0051678B">
              <w:rPr>
                <w:rFonts w:ascii="Calibri" w:hAnsi="Calibri"/>
                <w:b/>
              </w:rPr>
              <w:t>UNDP Contribution:</w:t>
            </w:r>
          </w:p>
          <w:p w14:paraId="7AD46E1F" w14:textId="77777777" w:rsidR="00015796" w:rsidRPr="0051678B" w:rsidRDefault="00015796" w:rsidP="00015796">
            <w:pPr>
              <w:pStyle w:val="BodyText2"/>
              <w:rPr>
                <w:rFonts w:ascii="Calibri" w:hAnsi="Calibri"/>
                <w:u w:val="single"/>
              </w:rPr>
            </w:pPr>
          </w:p>
          <w:p w14:paraId="429195FF" w14:textId="77777777" w:rsidR="00015796" w:rsidRPr="0051678B" w:rsidRDefault="00015796" w:rsidP="00015796">
            <w:pPr>
              <w:pStyle w:val="BodyText2"/>
              <w:rPr>
                <w:rFonts w:ascii="Calibri" w:hAnsi="Calibri"/>
              </w:rPr>
            </w:pPr>
            <w:r w:rsidRPr="0051678B">
              <w:rPr>
                <w:rFonts w:ascii="Calibri" w:hAnsi="Calibri"/>
                <w:u w:val="single"/>
              </w:rPr>
              <w:t>CP Outputs</w:t>
            </w:r>
            <w:r w:rsidRPr="0051678B">
              <w:rPr>
                <w:rFonts w:ascii="Calibri" w:hAnsi="Calibri"/>
              </w:rPr>
              <w:t>:</w:t>
            </w:r>
          </w:p>
          <w:p w14:paraId="66341F7E" w14:textId="77777777" w:rsidR="00015796" w:rsidRPr="0051678B" w:rsidRDefault="00015796" w:rsidP="00015796">
            <w:pPr>
              <w:pStyle w:val="BodyText2"/>
              <w:rPr>
                <w:rFonts w:ascii="Calibri" w:hAnsi="Calibri"/>
              </w:rPr>
            </w:pPr>
            <w:r w:rsidRPr="0051678B">
              <w:rPr>
                <w:rFonts w:ascii="Calibri" w:hAnsi="Calibri"/>
              </w:rPr>
              <w:t xml:space="preserve">1. Better capacities of institutions for environmental management and planning at all levels, in line with Multilateral Agreements and EU acquis </w:t>
            </w:r>
          </w:p>
          <w:p w14:paraId="78A90607" w14:textId="77777777" w:rsidR="00015796" w:rsidRPr="0051678B" w:rsidRDefault="00015796" w:rsidP="00015796">
            <w:pPr>
              <w:pStyle w:val="BodyText2"/>
              <w:rPr>
                <w:rFonts w:ascii="Calibri" w:hAnsi="Calibri"/>
              </w:rPr>
            </w:pPr>
            <w:r w:rsidRPr="0051678B">
              <w:rPr>
                <w:rFonts w:ascii="Calibri" w:hAnsi="Calibri"/>
              </w:rPr>
              <w:t xml:space="preserve">2. Central, local authorities effectively manage biodiversity / ecosystem services, biodiversity conservation is integrated in land use and spatial planning </w:t>
            </w:r>
          </w:p>
          <w:p w14:paraId="075931E8" w14:textId="77777777" w:rsidR="00015796" w:rsidRPr="0051678B" w:rsidRDefault="00015796" w:rsidP="00015796">
            <w:pPr>
              <w:pStyle w:val="BodyText2"/>
              <w:rPr>
                <w:rFonts w:ascii="Calibri" w:hAnsi="Calibri"/>
              </w:rPr>
            </w:pPr>
            <w:r w:rsidRPr="0051678B">
              <w:rPr>
                <w:rFonts w:ascii="Calibri" w:hAnsi="Calibri"/>
              </w:rPr>
              <w:t>3. Effective information/ participation policies/ mechanisms enable better environment decision making</w:t>
            </w:r>
          </w:p>
          <w:p w14:paraId="03DC5266" w14:textId="77777777" w:rsidR="00015796" w:rsidRPr="0051678B" w:rsidRDefault="00015796" w:rsidP="00015796">
            <w:pPr>
              <w:pStyle w:val="BodyText2"/>
              <w:rPr>
                <w:rFonts w:ascii="Calibri" w:hAnsi="Calibri"/>
              </w:rPr>
            </w:pPr>
          </w:p>
          <w:p w14:paraId="3651C09D" w14:textId="77777777" w:rsidR="00015796" w:rsidRPr="0051678B" w:rsidRDefault="00015796" w:rsidP="00015796">
            <w:pPr>
              <w:pStyle w:val="BodyText2"/>
              <w:rPr>
                <w:rFonts w:ascii="Calibri" w:hAnsi="Calibri"/>
              </w:rPr>
            </w:pPr>
            <w:r w:rsidRPr="0051678B">
              <w:rPr>
                <w:rFonts w:ascii="Calibri" w:hAnsi="Calibri"/>
                <w:u w:val="single"/>
              </w:rPr>
              <w:t>Progress and Achievements</w:t>
            </w:r>
            <w:r w:rsidRPr="0051678B">
              <w:rPr>
                <w:rFonts w:ascii="Calibri" w:hAnsi="Calibri"/>
              </w:rPr>
              <w:t>:</w:t>
            </w:r>
          </w:p>
          <w:p w14:paraId="79570B4B" w14:textId="77777777" w:rsidR="00015796" w:rsidRPr="0051678B" w:rsidRDefault="00015796" w:rsidP="00015796">
            <w:pPr>
              <w:pStyle w:val="BodyText2"/>
              <w:rPr>
                <w:rFonts w:ascii="Calibri" w:hAnsi="Calibri"/>
              </w:rPr>
            </w:pPr>
          </w:p>
          <w:p w14:paraId="5BCC4819" w14:textId="2BF837A5" w:rsidR="00985E0C" w:rsidRDefault="00015796" w:rsidP="00015796">
            <w:pPr>
              <w:pStyle w:val="BodyText2"/>
              <w:jc w:val="both"/>
              <w:rPr>
                <w:rFonts w:ascii="Calibri" w:hAnsi="Calibri"/>
              </w:rPr>
            </w:pPr>
            <w:r w:rsidRPr="007E74CF">
              <w:rPr>
                <w:rFonts w:ascii="Calibri" w:hAnsi="Calibri"/>
              </w:rPr>
              <w:t>During the CPD cycle, progress has been made towards improving environmental management and biodiversity conservation, however the adoption of the enforcement framework for effective participation in the environmental decision-making is advancing slowly.</w:t>
            </w:r>
            <w:r>
              <w:rPr>
                <w:rFonts w:ascii="Calibri" w:hAnsi="Calibri"/>
              </w:rPr>
              <w:t xml:space="preserve"> </w:t>
            </w:r>
            <w:r w:rsidRPr="007E74CF">
              <w:rPr>
                <w:rFonts w:ascii="Calibri" w:hAnsi="Calibri"/>
              </w:rPr>
              <w:t xml:space="preserve">In 2014 the National Environmental Strategy was adopted with UNDP support laying the foundation for modernization of the national environmental management system, and initiating a comprehensive institutional reform in the sector. </w:t>
            </w:r>
          </w:p>
          <w:p w14:paraId="1B59284C" w14:textId="591637DD" w:rsidR="00015796" w:rsidRDefault="00015796" w:rsidP="00015796">
            <w:pPr>
              <w:pStyle w:val="BodyText2"/>
              <w:jc w:val="both"/>
              <w:rPr>
                <w:rFonts w:ascii="Calibri" w:hAnsi="Calibri"/>
              </w:rPr>
            </w:pPr>
          </w:p>
          <w:p w14:paraId="466B9C63" w14:textId="350DDDAB" w:rsidR="00015796" w:rsidRDefault="00015796" w:rsidP="00015796">
            <w:pPr>
              <w:pStyle w:val="BodyText2"/>
              <w:jc w:val="both"/>
              <w:rPr>
                <w:rFonts w:asciiTheme="minorHAnsi" w:hAnsiTheme="minorHAnsi"/>
              </w:rPr>
            </w:pPr>
            <w:r w:rsidRPr="007E74CF">
              <w:rPr>
                <w:rFonts w:ascii="Calibri" w:hAnsi="Calibri"/>
              </w:rPr>
              <w:t xml:space="preserve">With official establishment in 2013 of Moldova’s first National Park in the region of Orhei the coverage of the National Protected Area System has grown by 33,792 ha, or by 1%, showing a good advancement towards increase of protected areas surface in line with international requirements. </w:t>
            </w:r>
            <w:r>
              <w:rPr>
                <w:rFonts w:asciiTheme="minorHAnsi" w:hAnsiTheme="minorHAnsi"/>
              </w:rPr>
              <w:t xml:space="preserve">Additional sustainable solution for improved biodiversity conservation such as pasture and forest restoration on 722 ha of land and ecological corridors on 100 ha were piloted on the ground in 3 districts of Moldova creating premises for reduced illegal grazing and logging, but also for stabilization of land prone to erosion and landslides. Enhanced capacities for environmental management were further acquired by local public authorities through development of biodiversity and gender sensitive green landscape planning in Soroca and Stefan-Voda districts of the country.  </w:t>
            </w:r>
          </w:p>
          <w:p w14:paraId="5764B948" w14:textId="77777777" w:rsidR="00015796" w:rsidRDefault="00015796" w:rsidP="00015796">
            <w:pPr>
              <w:pStyle w:val="BodyText2"/>
              <w:jc w:val="both"/>
              <w:rPr>
                <w:rFonts w:asciiTheme="minorHAnsi" w:hAnsiTheme="minorHAnsi"/>
              </w:rPr>
            </w:pPr>
          </w:p>
          <w:p w14:paraId="295B6552" w14:textId="041A4BB3" w:rsidR="00015796" w:rsidRDefault="00015796" w:rsidP="00015796">
            <w:pPr>
              <w:pStyle w:val="BodyText2"/>
              <w:jc w:val="both"/>
              <w:rPr>
                <w:rFonts w:ascii="Calibri" w:hAnsi="Calibri"/>
              </w:rPr>
            </w:pPr>
            <w:r w:rsidRPr="007E74CF">
              <w:rPr>
                <w:rFonts w:ascii="Calibri" w:hAnsi="Calibri"/>
              </w:rPr>
              <w:t>Adoption in 2014 of the Law on Environmental Impact Assessment (EIA) with UNDP support, is an essential step towards improving transparency and public participation in environmental-decision making, while endorsement in 2016 of the Law on access to environmental information is additionally ensuring access to justice in environmental matters in line with EU/international standards</w:t>
            </w:r>
            <w:r w:rsidR="00985E0C">
              <w:rPr>
                <w:rFonts w:ascii="Calibri" w:hAnsi="Calibri"/>
              </w:rPr>
              <w:t xml:space="preserve">, </w:t>
            </w:r>
            <w:r w:rsidRPr="007E74CF">
              <w:rPr>
                <w:rFonts w:ascii="Calibri" w:hAnsi="Calibri"/>
              </w:rPr>
              <w:t>demonstrat</w:t>
            </w:r>
            <w:r w:rsidR="00985E0C">
              <w:rPr>
                <w:rFonts w:ascii="Calibri" w:hAnsi="Calibri"/>
              </w:rPr>
              <w:t>ing</w:t>
            </w:r>
            <w:r w:rsidRPr="007E74CF">
              <w:rPr>
                <w:rFonts w:ascii="Calibri" w:hAnsi="Calibri"/>
              </w:rPr>
              <w:t xml:space="preserve"> good progress towards achievement of the 3rd indicator of Outcome 26</w:t>
            </w:r>
            <w:r w:rsidR="00985E0C">
              <w:rPr>
                <w:rFonts w:ascii="Calibri" w:hAnsi="Calibri"/>
              </w:rPr>
              <w:t>.</w:t>
            </w:r>
            <w:r w:rsidRPr="007E74CF">
              <w:rPr>
                <w:rFonts w:ascii="Calibri" w:hAnsi="Calibri"/>
              </w:rPr>
              <w:t xml:space="preserve"> </w:t>
            </w:r>
          </w:p>
          <w:p w14:paraId="17BF71F9" w14:textId="77777777" w:rsidR="00015796" w:rsidRDefault="00015796" w:rsidP="00015796">
            <w:pPr>
              <w:pStyle w:val="BodyText2"/>
              <w:jc w:val="both"/>
              <w:rPr>
                <w:rFonts w:ascii="Calibri" w:hAnsi="Calibri"/>
              </w:rPr>
            </w:pPr>
          </w:p>
          <w:p w14:paraId="7B48E781" w14:textId="544ADE6D" w:rsidR="00015796" w:rsidRPr="0051678B" w:rsidRDefault="00015796" w:rsidP="008D0A4E">
            <w:pPr>
              <w:jc w:val="both"/>
              <w:rPr>
                <w:rFonts w:ascii="Calibri" w:hAnsi="Calibri"/>
              </w:rPr>
            </w:pPr>
            <w:r w:rsidRPr="00D96220">
              <w:rPr>
                <w:rFonts w:asciiTheme="minorHAnsi" w:hAnsiTheme="minorHAnsi"/>
                <w:sz w:val="20"/>
              </w:rPr>
              <w:t>Nation-wide UNDP’s extensively promoted the Environmental Fiscal Reform (EFR) as an instrument towards improved environmental management resulting in policy proposals and recommendations for greening subsidies in environmental, energy and agriculture sectors. At the local level UNDP’s technical expertise helped six pilot towns integrate environmental priorities into their local planning process, identify appropriate funding and plan for implementation, thus capacitating local public authorities with knowledge and skills for sustainable use of natural resources</w:t>
            </w:r>
          </w:p>
        </w:tc>
      </w:tr>
      <w:tr w:rsidR="00EF2B06" w:rsidRPr="0051678B" w14:paraId="5DB5DBB1" w14:textId="77777777" w:rsidTr="00FF4697">
        <w:tc>
          <w:tcPr>
            <w:tcW w:w="3150" w:type="dxa"/>
            <w:shd w:val="clear" w:color="auto" w:fill="95B3D7"/>
          </w:tcPr>
          <w:p w14:paraId="37F5B7CA" w14:textId="77777777" w:rsidR="00EF2B06" w:rsidRPr="0051678B" w:rsidRDefault="00EF2B06" w:rsidP="00EF2B06">
            <w:pPr>
              <w:pStyle w:val="BodyText2"/>
              <w:rPr>
                <w:rFonts w:ascii="Calibri" w:hAnsi="Calibri"/>
                <w:b/>
              </w:rPr>
            </w:pPr>
            <w:r w:rsidRPr="0051678B">
              <w:rPr>
                <w:rFonts w:ascii="Calibri" w:hAnsi="Calibri"/>
                <w:b/>
              </w:rPr>
              <w:lastRenderedPageBreak/>
              <w:t>OUTCOME 27.</w:t>
            </w:r>
            <w:r w:rsidRPr="0051678B">
              <w:rPr>
                <w:rFonts w:ascii="Calibri" w:hAnsi="Calibri"/>
              </w:rPr>
              <w:t xml:space="preserve"> Strengthened national policies and capacities enable climate and disaster- resilient, low emission economic development and sustainable consumption</w:t>
            </w:r>
          </w:p>
        </w:tc>
        <w:tc>
          <w:tcPr>
            <w:tcW w:w="1440" w:type="dxa"/>
            <w:shd w:val="clear" w:color="auto" w:fill="auto"/>
          </w:tcPr>
          <w:p w14:paraId="4AD5EDCE" w14:textId="77777777" w:rsidR="00EF2B06" w:rsidRPr="0051678B" w:rsidRDefault="00EF2B06" w:rsidP="00EF2B06">
            <w:pPr>
              <w:widowControl/>
              <w:rPr>
                <w:rFonts w:ascii="Calibri" w:hAnsi="Calibri"/>
                <w:sz w:val="20"/>
              </w:rPr>
            </w:pPr>
            <w:r w:rsidRPr="009E0B4C">
              <w:rPr>
                <w:rFonts w:ascii="Calibri" w:hAnsi="Calibri"/>
                <w:color w:val="000000"/>
                <w:sz w:val="20"/>
              </w:rPr>
              <w:t>$</w:t>
            </w:r>
            <w:r w:rsidRPr="0051678B">
              <w:rPr>
                <w:rFonts w:ascii="Calibri" w:hAnsi="Calibri"/>
                <w:color w:val="000000"/>
                <w:sz w:val="20"/>
              </w:rPr>
              <w:t>_</w:t>
            </w:r>
            <w:r w:rsidRPr="009E0B4C">
              <w:rPr>
                <w:rFonts w:ascii="Calibri" w:hAnsi="Calibri"/>
                <w:color w:val="000000"/>
                <w:sz w:val="20"/>
                <w:u w:val="single"/>
              </w:rPr>
              <w:t>24,</w:t>
            </w:r>
            <w:r>
              <w:rPr>
                <w:rFonts w:ascii="Calibri" w:hAnsi="Calibri"/>
                <w:color w:val="000000"/>
                <w:sz w:val="20"/>
                <w:u w:val="single"/>
              </w:rPr>
              <w:t>281</w:t>
            </w:r>
            <w:r w:rsidRPr="009E0B4C">
              <w:rPr>
                <w:rFonts w:ascii="Calibri" w:hAnsi="Calibri"/>
                <w:color w:val="000000"/>
                <w:sz w:val="20"/>
                <w:u w:val="single"/>
              </w:rPr>
              <w:t>,</w:t>
            </w:r>
            <w:r>
              <w:rPr>
                <w:rFonts w:ascii="Calibri" w:hAnsi="Calibri"/>
                <w:color w:val="000000"/>
                <w:sz w:val="20"/>
                <w:u w:val="single"/>
              </w:rPr>
              <w:t>049</w:t>
            </w:r>
            <w:r w:rsidRPr="0051678B">
              <w:rPr>
                <w:rFonts w:ascii="Calibri" w:hAnsi="Calibri"/>
                <w:color w:val="000000"/>
                <w:sz w:val="20"/>
              </w:rPr>
              <w:t xml:space="preserve">       </w:t>
            </w:r>
            <w:r w:rsidRPr="0051678B">
              <w:rPr>
                <w:rFonts w:ascii="Calibri" w:hAnsi="Calibri"/>
                <w:sz w:val="20"/>
              </w:rPr>
              <w:t xml:space="preserve">    </w:t>
            </w:r>
          </w:p>
          <w:p w14:paraId="3F648545" w14:textId="77777777" w:rsidR="00EF2B06" w:rsidRPr="0051678B" w:rsidRDefault="00EF2B06" w:rsidP="00EF2B06">
            <w:pPr>
              <w:pStyle w:val="BodyText2"/>
              <w:rPr>
                <w:rFonts w:ascii="Calibri" w:hAnsi="Calibri"/>
              </w:rPr>
            </w:pPr>
          </w:p>
        </w:tc>
        <w:tc>
          <w:tcPr>
            <w:tcW w:w="3960" w:type="dxa"/>
            <w:tcBorders>
              <w:left w:val="single" w:sz="4" w:space="0" w:color="auto"/>
            </w:tcBorders>
          </w:tcPr>
          <w:p w14:paraId="0E5981FC" w14:textId="77777777" w:rsidR="00EF2B06" w:rsidRPr="0051678B" w:rsidRDefault="00EF2B06" w:rsidP="00EF2B06">
            <w:pPr>
              <w:pStyle w:val="BodyText2"/>
              <w:numPr>
                <w:ilvl w:val="0"/>
                <w:numId w:val="31"/>
              </w:numPr>
              <w:ind w:left="402" w:hanging="402"/>
              <w:rPr>
                <w:rFonts w:ascii="Calibri" w:hAnsi="Calibri"/>
                <w:i/>
              </w:rPr>
            </w:pPr>
            <w:r w:rsidRPr="0051678B">
              <w:rPr>
                <w:rFonts w:ascii="Calibri" w:hAnsi="Calibri"/>
                <w:b/>
                <w:i/>
              </w:rPr>
              <w:t>Indicator</w:t>
            </w:r>
            <w:r w:rsidRPr="0051678B">
              <w:rPr>
                <w:rFonts w:ascii="Calibri" w:hAnsi="Calibri"/>
                <w:i/>
              </w:rPr>
              <w:t xml:space="preserve">: Number of national, sector and local policies/plans adopted/revised with climate change and DRM mainstreamed </w:t>
            </w:r>
            <w:r w:rsidRPr="0051678B">
              <w:rPr>
                <w:rFonts w:ascii="Calibri" w:hAnsi="Calibri"/>
                <w:b/>
                <w:i/>
              </w:rPr>
              <w:t>Baseline</w:t>
            </w:r>
            <w:r w:rsidRPr="0051678B">
              <w:rPr>
                <w:rFonts w:ascii="Calibri" w:hAnsi="Calibri"/>
                <w:i/>
              </w:rPr>
              <w:t xml:space="preserve">: 0; </w:t>
            </w:r>
            <w:r w:rsidRPr="0051678B">
              <w:rPr>
                <w:rFonts w:ascii="Calibri" w:hAnsi="Calibri"/>
                <w:b/>
                <w:i/>
              </w:rPr>
              <w:t>Target</w:t>
            </w:r>
            <w:r w:rsidRPr="0051678B">
              <w:rPr>
                <w:rFonts w:ascii="Calibri" w:hAnsi="Calibri"/>
                <w:i/>
              </w:rPr>
              <w:t xml:space="preserve">: DRM/CC Strategies adopted; climate screening framework for sector policies adopted and implemented; 100 local plans; </w:t>
            </w:r>
          </w:p>
          <w:p w14:paraId="1ADC52D4" w14:textId="77777777" w:rsidR="00EF2B06" w:rsidRPr="0051678B" w:rsidRDefault="00EF2B06" w:rsidP="00EF2B06">
            <w:pPr>
              <w:pStyle w:val="BodyText2"/>
              <w:numPr>
                <w:ilvl w:val="0"/>
                <w:numId w:val="31"/>
              </w:numPr>
              <w:ind w:left="402" w:hanging="402"/>
              <w:rPr>
                <w:rFonts w:ascii="Calibri" w:hAnsi="Calibri"/>
                <w:i/>
              </w:rPr>
            </w:pPr>
            <w:r w:rsidRPr="0051678B">
              <w:rPr>
                <w:rFonts w:ascii="Calibri" w:hAnsi="Calibri"/>
                <w:b/>
                <w:i/>
              </w:rPr>
              <w:t>Indicator</w:t>
            </w:r>
            <w:r w:rsidRPr="0051678B">
              <w:rPr>
                <w:rFonts w:ascii="Calibri" w:hAnsi="Calibri"/>
                <w:i/>
              </w:rPr>
              <w:t xml:space="preserve">: % of renewable energy in energy consumption; # of biomass heating installations and biomass producers (disaggregated by gender)  </w:t>
            </w:r>
            <w:r w:rsidRPr="0051678B">
              <w:rPr>
                <w:rFonts w:ascii="Calibri" w:hAnsi="Calibri"/>
                <w:b/>
                <w:i/>
              </w:rPr>
              <w:t>Baseline</w:t>
            </w:r>
            <w:r w:rsidRPr="0051678B">
              <w:rPr>
                <w:rFonts w:ascii="Calibri" w:hAnsi="Calibri"/>
                <w:i/>
              </w:rPr>
              <w:t xml:space="preserve">: 5%, 100, 0; </w:t>
            </w:r>
            <w:r w:rsidRPr="0051678B">
              <w:rPr>
                <w:rFonts w:ascii="Calibri" w:hAnsi="Calibri"/>
                <w:b/>
                <w:i/>
              </w:rPr>
              <w:t>Target</w:t>
            </w:r>
            <w:r w:rsidRPr="0051678B">
              <w:rPr>
                <w:rFonts w:ascii="Calibri" w:hAnsi="Calibri"/>
                <w:i/>
              </w:rPr>
              <w:t>: 11%, 200, 20%</w:t>
            </w:r>
          </w:p>
        </w:tc>
        <w:tc>
          <w:tcPr>
            <w:tcW w:w="5490" w:type="dxa"/>
            <w:shd w:val="clear" w:color="auto" w:fill="auto"/>
          </w:tcPr>
          <w:p w14:paraId="11623DED" w14:textId="77777777" w:rsidR="00EF2B06" w:rsidRDefault="00EF2B06" w:rsidP="00EF2B06">
            <w:pPr>
              <w:pStyle w:val="BodyText2"/>
              <w:numPr>
                <w:ilvl w:val="0"/>
                <w:numId w:val="33"/>
              </w:numPr>
              <w:ind w:left="229" w:hanging="270"/>
              <w:rPr>
                <w:rFonts w:ascii="Calibri" w:hAnsi="Calibri"/>
                <w:i/>
              </w:rPr>
            </w:pPr>
            <w:r>
              <w:rPr>
                <w:rFonts w:ascii="Calibri" w:hAnsi="Calibri"/>
                <w:i/>
              </w:rPr>
              <w:t xml:space="preserve">2016: Disaster Risk Management Strategy and Actins Plan pending approval, draft Forestry and Health Adaptation Strategies developed, recommendations for climate change adaptation mainstreaming into energy and transport sectors provided; guidelines to support climate adaptation decision making and promote medium and long term adaptation planning and budgeting prepared; 35; </w:t>
            </w:r>
          </w:p>
          <w:p w14:paraId="00EE5557" w14:textId="77777777" w:rsidR="00EF2B06" w:rsidRPr="0075001A" w:rsidRDefault="00EF2B06" w:rsidP="00EF2B06">
            <w:pPr>
              <w:pStyle w:val="BodyText2"/>
              <w:ind w:left="409"/>
              <w:rPr>
                <w:rFonts w:ascii="Calibri" w:hAnsi="Calibri"/>
                <w:i/>
              </w:rPr>
            </w:pPr>
          </w:p>
          <w:p w14:paraId="524C8C79" w14:textId="77777777" w:rsidR="00EF2B06" w:rsidRPr="0051678B" w:rsidRDefault="00EF2B06" w:rsidP="00EF2B06">
            <w:pPr>
              <w:pStyle w:val="BodyText2"/>
              <w:numPr>
                <w:ilvl w:val="0"/>
                <w:numId w:val="33"/>
              </w:numPr>
              <w:ind w:left="229" w:hanging="270"/>
              <w:rPr>
                <w:rFonts w:ascii="Calibri" w:hAnsi="Calibri"/>
                <w:i/>
              </w:rPr>
            </w:pPr>
            <w:r>
              <w:rPr>
                <w:rFonts w:ascii="Calibri" w:hAnsi="Calibri"/>
                <w:i/>
              </w:rPr>
              <w:t>2016: 14.3%; 1210 (including 67 in public institutions and 1143 in households); 70 businesses (out of which 7 female leaded)</w:t>
            </w:r>
          </w:p>
        </w:tc>
      </w:tr>
      <w:tr w:rsidR="00EF2B06" w:rsidRPr="0051678B" w14:paraId="0EEEC9EE" w14:textId="77777777" w:rsidTr="00FF4697">
        <w:tc>
          <w:tcPr>
            <w:tcW w:w="14040" w:type="dxa"/>
            <w:gridSpan w:val="4"/>
            <w:tcBorders>
              <w:bottom w:val="single" w:sz="4" w:space="0" w:color="auto"/>
            </w:tcBorders>
            <w:shd w:val="clear" w:color="auto" w:fill="auto"/>
          </w:tcPr>
          <w:p w14:paraId="24BA0386" w14:textId="77777777" w:rsidR="00EF2B06" w:rsidRPr="0051678B" w:rsidRDefault="00EF2B06" w:rsidP="00EF2B06">
            <w:pPr>
              <w:pStyle w:val="BodyText2"/>
              <w:rPr>
                <w:rFonts w:ascii="Calibri" w:hAnsi="Calibri"/>
                <w:b/>
              </w:rPr>
            </w:pPr>
            <w:r w:rsidRPr="0051678B">
              <w:rPr>
                <w:rFonts w:ascii="Calibri" w:hAnsi="Calibri"/>
                <w:b/>
              </w:rPr>
              <w:t>UNDP Contribution:</w:t>
            </w:r>
          </w:p>
          <w:p w14:paraId="0F25E694" w14:textId="77777777" w:rsidR="00EF2B06" w:rsidRPr="0051678B" w:rsidRDefault="00EF2B06" w:rsidP="00EF2B06">
            <w:pPr>
              <w:pStyle w:val="BodyText2"/>
              <w:rPr>
                <w:rFonts w:ascii="Calibri" w:hAnsi="Calibri"/>
                <w:b/>
              </w:rPr>
            </w:pPr>
          </w:p>
          <w:p w14:paraId="3C0B6667" w14:textId="77777777" w:rsidR="00EF2B06" w:rsidRPr="0051678B" w:rsidRDefault="00EF2B06" w:rsidP="00EF2B06">
            <w:pPr>
              <w:pStyle w:val="BodyText2"/>
              <w:rPr>
                <w:rFonts w:ascii="Calibri" w:hAnsi="Calibri"/>
                <w:u w:val="single"/>
              </w:rPr>
            </w:pPr>
            <w:r w:rsidRPr="0051678B">
              <w:rPr>
                <w:rFonts w:ascii="Calibri" w:hAnsi="Calibri"/>
                <w:u w:val="single"/>
              </w:rPr>
              <w:t>CP Outputs</w:t>
            </w:r>
          </w:p>
          <w:p w14:paraId="1C643E75" w14:textId="77777777" w:rsidR="00EF2B06" w:rsidRPr="0051678B" w:rsidRDefault="00EF2B06" w:rsidP="00EF2B06">
            <w:pPr>
              <w:pStyle w:val="BodyText2"/>
              <w:rPr>
                <w:rFonts w:ascii="Calibri" w:hAnsi="Calibri"/>
              </w:rPr>
            </w:pPr>
            <w:r w:rsidRPr="0051678B">
              <w:rPr>
                <w:rFonts w:ascii="Calibri" w:hAnsi="Calibri"/>
              </w:rPr>
              <w:t>1. Stronger national and local capacities to develop and integrate CCA and DRM into policies as well as implement those at all levels.</w:t>
            </w:r>
          </w:p>
          <w:p w14:paraId="4CBCDB74" w14:textId="77777777" w:rsidR="00EF2B06" w:rsidRPr="0051678B" w:rsidRDefault="00EF2B06" w:rsidP="00EF2B06">
            <w:pPr>
              <w:pStyle w:val="BodyText2"/>
              <w:rPr>
                <w:rFonts w:ascii="Calibri" w:hAnsi="Calibri"/>
              </w:rPr>
            </w:pPr>
            <w:r w:rsidRPr="0051678B">
              <w:rPr>
                <w:rFonts w:ascii="Calibri" w:hAnsi="Calibri"/>
              </w:rPr>
              <w:t xml:space="preserve">2. Enhanced local capacities to address climate and disaster risks and to access to risk information and knowledge on adaptation. </w:t>
            </w:r>
          </w:p>
          <w:p w14:paraId="043BDFE3" w14:textId="77777777" w:rsidR="00EF2B06" w:rsidRPr="0051678B" w:rsidRDefault="00EF2B06" w:rsidP="00EF2B06">
            <w:pPr>
              <w:pStyle w:val="BodyText2"/>
              <w:rPr>
                <w:rFonts w:ascii="Calibri" w:hAnsi="Calibri"/>
              </w:rPr>
            </w:pPr>
            <w:r w:rsidRPr="0051678B">
              <w:rPr>
                <w:rFonts w:ascii="Calibri" w:hAnsi="Calibri"/>
              </w:rPr>
              <w:t>3. Communities, private sector and farmers (incl. vulnerable and women) with access and knowledge to use renewable energy sources and green technologies (biomass).</w:t>
            </w:r>
          </w:p>
          <w:p w14:paraId="0808CCC7" w14:textId="77777777" w:rsidR="00EF2B06" w:rsidRPr="0051678B" w:rsidRDefault="00EF2B06" w:rsidP="00EF2B06">
            <w:pPr>
              <w:pStyle w:val="BodyText2"/>
              <w:rPr>
                <w:rFonts w:ascii="Calibri" w:hAnsi="Calibri"/>
              </w:rPr>
            </w:pPr>
          </w:p>
          <w:p w14:paraId="54A4A271" w14:textId="77777777" w:rsidR="00EF2B06" w:rsidRPr="0051678B" w:rsidRDefault="00EF2B06" w:rsidP="00EF2B06">
            <w:pPr>
              <w:pStyle w:val="BodyText2"/>
              <w:rPr>
                <w:rFonts w:ascii="Calibri" w:hAnsi="Calibri"/>
                <w:u w:val="single"/>
              </w:rPr>
            </w:pPr>
            <w:r w:rsidRPr="0051678B">
              <w:rPr>
                <w:rFonts w:ascii="Calibri" w:hAnsi="Calibri"/>
                <w:u w:val="single"/>
              </w:rPr>
              <w:t>Progress and Achievements</w:t>
            </w:r>
          </w:p>
          <w:p w14:paraId="2D504FAE" w14:textId="77777777" w:rsidR="00A10EFF" w:rsidRPr="00C42440" w:rsidRDefault="00A10EFF" w:rsidP="00A10EFF">
            <w:pPr>
              <w:pStyle w:val="BodyText2"/>
              <w:jc w:val="both"/>
              <w:rPr>
                <w:rFonts w:ascii="Calibri" w:hAnsi="Calibri"/>
              </w:rPr>
            </w:pPr>
            <w:r w:rsidRPr="00C42440">
              <w:rPr>
                <w:rFonts w:ascii="Calibri" w:hAnsi="Calibri"/>
              </w:rPr>
              <w:t xml:space="preserve">Under this outcome, significant progress was made in terms of advancing national policies in climate change and disaster risk reduction at both national and local level. In 2014 the National Climate Change Adaptation Strategy developed with UNDP support was approved creating an important enabling environment for resilient social and economic development of the country. The Strategy was followed by an iterative National Adaptation Planning process which resulted in the draft Health and Forestry Adaptation Strategies and associated Action Plans. In addition, climate change adaptation policy measures were mainstreamed into the energy and transport sectors, as </w:t>
            </w:r>
            <w:r w:rsidRPr="00C42440">
              <w:rPr>
                <w:rFonts w:ascii="Calibri" w:hAnsi="Calibri"/>
              </w:rPr>
              <w:lastRenderedPageBreak/>
              <w:t xml:space="preserve">well as into the Action Plan of the new Moldova Gender Equality Strategy 2016-2020. At the same time, with UNDP assistance the National Disaster Risk Management Strategy and Action Plan was drafted covering the whole cycle of Disaster Risk Management, with a focus on prevention and preparedness.  </w:t>
            </w:r>
          </w:p>
          <w:p w14:paraId="7D0D93D5" w14:textId="77777777" w:rsidR="00A10EFF" w:rsidRDefault="00A10EFF" w:rsidP="00A10EFF">
            <w:pPr>
              <w:jc w:val="both"/>
              <w:rPr>
                <w:rFonts w:ascii="Calibri" w:hAnsi="Calibri"/>
                <w:sz w:val="20"/>
              </w:rPr>
            </w:pPr>
            <w:r w:rsidRPr="00C42440">
              <w:rPr>
                <w:rFonts w:ascii="Calibri" w:hAnsi="Calibri"/>
                <w:sz w:val="20"/>
              </w:rPr>
              <w:t xml:space="preserve">At the local level with UNDP contribution climate change and disaster risk management is increasingly integrated into development planning in a gender-sensitive manner. </w:t>
            </w:r>
          </w:p>
          <w:p w14:paraId="0CED597A" w14:textId="77777777" w:rsidR="00A10EFF" w:rsidRDefault="00A10EFF" w:rsidP="00A10EFF">
            <w:pPr>
              <w:jc w:val="both"/>
              <w:rPr>
                <w:rFonts w:ascii="Calibri" w:hAnsi="Calibri"/>
                <w:sz w:val="20"/>
              </w:rPr>
            </w:pPr>
            <w:r>
              <w:rPr>
                <w:rFonts w:ascii="Calibri" w:hAnsi="Calibri"/>
                <w:sz w:val="20"/>
              </w:rPr>
              <w:t xml:space="preserve">The </w:t>
            </w:r>
            <w:r w:rsidRPr="00C42440">
              <w:rPr>
                <w:rFonts w:ascii="Calibri" w:hAnsi="Calibri"/>
                <w:sz w:val="20"/>
              </w:rPr>
              <w:t>training curricula and teaching methodology of the Center for Civil Protection and Emergency Situations were revised from a gender perspective, contributing to improved gender awareness by the staff of the center. For the first time in the country, gender sensitive measures have been incorporated into the Community Disaster Risk Management training modules and National Disaster Risk Management Strategy</w:t>
            </w:r>
            <w:r>
              <w:rPr>
                <w:rFonts w:ascii="Calibri" w:hAnsi="Calibri"/>
                <w:sz w:val="20"/>
              </w:rPr>
              <w:t xml:space="preserve">. </w:t>
            </w:r>
            <w:r w:rsidRPr="00C42440">
              <w:rPr>
                <w:rFonts w:ascii="Calibri" w:hAnsi="Calibri"/>
                <w:sz w:val="20"/>
              </w:rPr>
              <w:t>A toolkit for district and local level risk management was widely applied and 35 urban and local development plans integrating climate change and disaster risks were successfully piloted.</w:t>
            </w:r>
            <w:r>
              <w:rPr>
                <w:rFonts w:ascii="Calibri" w:hAnsi="Calibri"/>
                <w:sz w:val="20"/>
              </w:rPr>
              <w:t xml:space="preserve"> </w:t>
            </w:r>
            <w:r w:rsidRPr="00C42440">
              <w:rPr>
                <w:rFonts w:ascii="Calibri" w:hAnsi="Calibri"/>
                <w:sz w:val="20"/>
              </w:rPr>
              <w:t xml:space="preserve">A toolkit for district and local level risk management was widely applied and 35 urban and local development plans integrating climate change and disaster risks were successfully piloted. </w:t>
            </w:r>
            <w:r>
              <w:rPr>
                <w:rFonts w:ascii="Calibri" w:hAnsi="Calibri"/>
                <w:sz w:val="20"/>
              </w:rPr>
              <w:t xml:space="preserve">Moreover, with UNDP support, 17 </w:t>
            </w:r>
            <w:r w:rsidRPr="00C42440">
              <w:rPr>
                <w:rFonts w:ascii="Calibri" w:hAnsi="Calibri"/>
                <w:sz w:val="20"/>
              </w:rPr>
              <w:t>projects</w:t>
            </w:r>
            <w:r>
              <w:rPr>
                <w:rFonts w:ascii="Calibri" w:hAnsi="Calibri"/>
                <w:sz w:val="20"/>
              </w:rPr>
              <w:t xml:space="preserve"> were piloted,</w:t>
            </w:r>
            <w:r w:rsidRPr="00C42440">
              <w:rPr>
                <w:rFonts w:ascii="Calibri" w:hAnsi="Calibri"/>
                <w:sz w:val="20"/>
              </w:rPr>
              <w:t xml:space="preserve"> </w:t>
            </w:r>
            <w:r>
              <w:rPr>
                <w:rFonts w:ascii="Calibri" w:hAnsi="Calibri"/>
                <w:sz w:val="20"/>
              </w:rPr>
              <w:t>looking for i</w:t>
            </w:r>
            <w:r w:rsidRPr="00C42440">
              <w:rPr>
                <w:rFonts w:ascii="Calibri" w:hAnsi="Calibri"/>
                <w:sz w:val="20"/>
              </w:rPr>
              <w:t>nnovative solutions for climate risk management, including ecosystem based adaptation</w:t>
            </w:r>
            <w:r>
              <w:rPr>
                <w:rFonts w:ascii="Calibri" w:hAnsi="Calibri"/>
                <w:sz w:val="20"/>
              </w:rPr>
              <w:t>.</w:t>
            </w:r>
          </w:p>
          <w:p w14:paraId="088E63FB" w14:textId="77777777" w:rsidR="00A10EFF" w:rsidRDefault="00A10EFF" w:rsidP="00A10EFF">
            <w:pPr>
              <w:jc w:val="both"/>
              <w:rPr>
                <w:rFonts w:ascii="Calibri" w:hAnsi="Calibri"/>
                <w:sz w:val="20"/>
              </w:rPr>
            </w:pPr>
          </w:p>
          <w:p w14:paraId="599E52AC" w14:textId="77777777" w:rsidR="00A10EFF" w:rsidRDefault="00A10EFF" w:rsidP="00A10EFF">
            <w:pPr>
              <w:jc w:val="both"/>
              <w:rPr>
                <w:rFonts w:ascii="Calibri" w:hAnsi="Calibri"/>
                <w:sz w:val="20"/>
              </w:rPr>
            </w:pPr>
            <w:r>
              <w:rPr>
                <w:rFonts w:ascii="Calibri" w:hAnsi="Calibri"/>
                <w:sz w:val="20"/>
              </w:rPr>
              <w:t>O</w:t>
            </w:r>
            <w:r w:rsidRPr="00C42440">
              <w:rPr>
                <w:rFonts w:ascii="Calibri" w:hAnsi="Calibri"/>
                <w:sz w:val="20"/>
              </w:rPr>
              <w:t xml:space="preserve">n the mitigation side the country approved the Low Emission Development Strategy, setting the path for transition to low-carbon development. The Strategy prioritizes a list of Nationally-Appropriate Mitigation Actions, which identify several steps that the country should undertake to reach the sectorial greenhouse gas emissions targets in line with the Paris Agreement on Climate Change recently ratified by Moldova with UNDP support. </w:t>
            </w:r>
          </w:p>
          <w:p w14:paraId="29D67D0F" w14:textId="77777777" w:rsidR="00A10EFF" w:rsidRDefault="00A10EFF" w:rsidP="00A10EFF">
            <w:pPr>
              <w:jc w:val="both"/>
              <w:rPr>
                <w:rFonts w:ascii="Calibri" w:hAnsi="Calibri"/>
                <w:sz w:val="20"/>
              </w:rPr>
            </w:pPr>
          </w:p>
          <w:p w14:paraId="2488637F" w14:textId="4C04BEAA" w:rsidR="00A10EFF" w:rsidRDefault="00A10EFF" w:rsidP="00A10EFF">
            <w:pPr>
              <w:rPr>
                <w:rFonts w:ascii="Calibri" w:hAnsi="Calibri"/>
                <w:sz w:val="20"/>
              </w:rPr>
            </w:pPr>
            <w:r>
              <w:rPr>
                <w:rFonts w:ascii="Calibri" w:hAnsi="Calibri"/>
                <w:sz w:val="20"/>
              </w:rPr>
              <w:t>U</w:t>
            </w:r>
            <w:r w:rsidRPr="00C42440">
              <w:rPr>
                <w:rFonts w:ascii="Calibri" w:hAnsi="Calibri"/>
                <w:sz w:val="20"/>
              </w:rPr>
              <w:t>NDP support in the energy sector resulted in significant uptake of biomass and solar technologies and sustainable energy consumption in public and residential sectors. During the CPD cycle the total number of public institutions benefited from biomass and solar based heating reached 189, while contributing to comfort of 153</w:t>
            </w:r>
            <w:r>
              <w:rPr>
                <w:rFonts w:ascii="Calibri" w:hAnsi="Calibri"/>
                <w:sz w:val="20"/>
              </w:rPr>
              <w:t>,</w:t>
            </w:r>
            <w:r w:rsidRPr="00C42440">
              <w:rPr>
                <w:rFonts w:ascii="Calibri" w:hAnsi="Calibri"/>
                <w:sz w:val="20"/>
              </w:rPr>
              <w:t>527 people. Remarkable results are also achieved at the household level. Approximately 337,000 people in 1</w:t>
            </w:r>
            <w:r>
              <w:rPr>
                <w:rFonts w:ascii="Calibri" w:hAnsi="Calibri"/>
                <w:sz w:val="20"/>
              </w:rPr>
              <w:t>,</w:t>
            </w:r>
            <w:r w:rsidRPr="00C42440">
              <w:rPr>
                <w:rFonts w:ascii="Calibri" w:hAnsi="Calibri"/>
                <w:sz w:val="20"/>
              </w:rPr>
              <w:t xml:space="preserve">143 households </w:t>
            </w:r>
            <w:r>
              <w:rPr>
                <w:rFonts w:ascii="Calibri" w:hAnsi="Calibri"/>
                <w:sz w:val="20"/>
              </w:rPr>
              <w:t>benefited</w:t>
            </w:r>
            <w:r w:rsidRPr="00C42440">
              <w:rPr>
                <w:rFonts w:ascii="Calibri" w:hAnsi="Calibri"/>
                <w:sz w:val="20"/>
              </w:rPr>
              <w:t xml:space="preserve"> from alternative energy sources. 4,273 girls (59%) out of 7,227 children attending the schools, kindergartens, and rural community centres benefited from biomass-based heating systems, while 3,867 women out of 5,949 mothers and care-takers are therefore able to pursue education and full-time employment, contributing in such a way to an overall increase in the households’ income. Moreover, UNDP efforts, targeting biomass market development, led to the creation of more than 99 new jobs</w:t>
            </w:r>
            <w:r>
              <w:rPr>
                <w:rFonts w:ascii="Calibri" w:hAnsi="Calibri"/>
                <w:sz w:val="20"/>
              </w:rPr>
              <w:t xml:space="preserve"> (green jobs)</w:t>
            </w:r>
            <w:r w:rsidRPr="00C42440">
              <w:rPr>
                <w:rFonts w:ascii="Calibri" w:hAnsi="Calibri"/>
                <w:sz w:val="20"/>
              </w:rPr>
              <w:t xml:space="preserve">, mostly for biomass heating plants operators and solid biofuel producers. </w:t>
            </w:r>
          </w:p>
          <w:p w14:paraId="1F5DB7B6" w14:textId="77777777" w:rsidR="00A10EFF" w:rsidRDefault="00A10EFF" w:rsidP="00A10EFF">
            <w:pPr>
              <w:rPr>
                <w:rFonts w:ascii="Calibri" w:hAnsi="Calibri"/>
                <w:sz w:val="20"/>
              </w:rPr>
            </w:pPr>
          </w:p>
          <w:p w14:paraId="30C84AEA" w14:textId="76E2FA59" w:rsidR="00EF2B06" w:rsidRPr="00A10EFF" w:rsidRDefault="00A10EFF" w:rsidP="00A10EFF">
            <w:pPr>
              <w:rPr>
                <w:rFonts w:ascii="Calibri" w:hAnsi="Calibri"/>
                <w:sz w:val="20"/>
              </w:rPr>
            </w:pPr>
            <w:r>
              <w:rPr>
                <w:rFonts w:ascii="Calibri" w:hAnsi="Calibri"/>
                <w:sz w:val="20"/>
              </w:rPr>
              <w:t>O</w:t>
            </w:r>
            <w:r w:rsidRPr="00C42440">
              <w:rPr>
                <w:rFonts w:ascii="Calibri" w:hAnsi="Calibri"/>
                <w:sz w:val="20"/>
              </w:rPr>
              <w:t>verall,</w:t>
            </w:r>
            <w:r>
              <w:rPr>
                <w:rFonts w:ascii="Calibri" w:hAnsi="Calibri"/>
                <w:sz w:val="20"/>
              </w:rPr>
              <w:t xml:space="preserve"> </w:t>
            </w:r>
            <w:r w:rsidRPr="00C42440">
              <w:rPr>
                <w:rFonts w:ascii="Calibri" w:hAnsi="Calibri"/>
                <w:sz w:val="20"/>
              </w:rPr>
              <w:t xml:space="preserve">UNDP’ biomass and solar energy applications led to an increase of the renewable energy share in total gross domestic energy consumption </w:t>
            </w:r>
            <w:r>
              <w:rPr>
                <w:rFonts w:ascii="Calibri" w:hAnsi="Calibri"/>
                <w:sz w:val="20"/>
              </w:rPr>
              <w:t xml:space="preserve">in Moldova </w:t>
            </w:r>
            <w:r w:rsidRPr="00C42440">
              <w:rPr>
                <w:rFonts w:ascii="Calibri" w:hAnsi="Calibri"/>
                <w:sz w:val="20"/>
              </w:rPr>
              <w:t>up to 14.3%, exceeding the 11% CPD target</w:t>
            </w:r>
            <w:r>
              <w:rPr>
                <w:rFonts w:ascii="Calibri" w:hAnsi="Calibri"/>
                <w:sz w:val="20"/>
              </w:rPr>
              <w:t xml:space="preserve">. </w:t>
            </w:r>
            <w:r w:rsidRPr="00C42440">
              <w:rPr>
                <w:rFonts w:ascii="Calibri" w:hAnsi="Calibri"/>
                <w:sz w:val="20"/>
              </w:rPr>
              <w:t xml:space="preserve">98% </w:t>
            </w:r>
            <w:r>
              <w:rPr>
                <w:rFonts w:ascii="Calibri" w:hAnsi="Calibri"/>
                <w:sz w:val="20"/>
              </w:rPr>
              <w:t xml:space="preserve">of the renewable energy </w:t>
            </w:r>
            <w:r w:rsidRPr="00C42440">
              <w:rPr>
                <w:rFonts w:ascii="Calibri" w:hAnsi="Calibri"/>
                <w:sz w:val="20"/>
              </w:rPr>
              <w:t>is biomass based. To ensure sustainability of UNDP support, capacity is systematically developed at all levels, including local administrations, boiler operators, private sector, and education providers. With UNDP support the Training Programme on “Sustainable Energy Production from Renewable Sources and Implementation of Energy Efficiency in Public Buildings” was institutionalized with the Academy of Public Administration</w:t>
            </w:r>
            <w:r>
              <w:rPr>
                <w:rFonts w:ascii="Calibri" w:hAnsi="Calibri"/>
                <w:sz w:val="20"/>
              </w:rPr>
              <w:t xml:space="preserve"> </w:t>
            </w:r>
            <w:r w:rsidRPr="00C42440">
              <w:rPr>
                <w:rFonts w:ascii="Calibri" w:hAnsi="Calibri"/>
                <w:sz w:val="20"/>
              </w:rPr>
              <w:t xml:space="preserve">– the institution </w:t>
            </w:r>
            <w:r>
              <w:rPr>
                <w:rFonts w:ascii="Calibri" w:hAnsi="Calibri"/>
                <w:sz w:val="20"/>
              </w:rPr>
              <w:t xml:space="preserve">mandated to </w:t>
            </w:r>
            <w:r w:rsidRPr="00C42440">
              <w:rPr>
                <w:rFonts w:ascii="Calibri" w:hAnsi="Calibri"/>
                <w:sz w:val="20"/>
              </w:rPr>
              <w:t>conduct the professional training of civil servants and elected officials in Moldova. Capacities of the National Bureau for Statistics’ have been sustained to comply and report on implementation of EU requirements by introducing new statistical tools for tracking household energy consumption. UNDP is also significantly contributing to the positive shift in perception towards renewables and energy efficiency as a result of continuous nation-wide communication and education activities such as the National Awards Compet</w:t>
            </w:r>
            <w:r>
              <w:rPr>
                <w:rFonts w:ascii="Calibri" w:hAnsi="Calibri"/>
                <w:sz w:val="20"/>
              </w:rPr>
              <w:t xml:space="preserve">itions “Moldova Eco-Energetica”. </w:t>
            </w:r>
          </w:p>
        </w:tc>
      </w:tr>
      <w:tr w:rsidR="00EF2B06" w:rsidRPr="0051678B" w14:paraId="22BC7685" w14:textId="77777777" w:rsidTr="00FF4697">
        <w:tc>
          <w:tcPr>
            <w:tcW w:w="14040" w:type="dxa"/>
            <w:gridSpan w:val="4"/>
            <w:tcBorders>
              <w:bottom w:val="single" w:sz="4" w:space="0" w:color="auto"/>
            </w:tcBorders>
            <w:shd w:val="clear" w:color="auto" w:fill="auto"/>
          </w:tcPr>
          <w:p w14:paraId="79C5578B" w14:textId="77777777" w:rsidR="00EF2B06" w:rsidRPr="0051678B" w:rsidRDefault="00EF2B06" w:rsidP="00EF2B06">
            <w:pPr>
              <w:pStyle w:val="BodyText2"/>
              <w:rPr>
                <w:rFonts w:ascii="Calibri" w:hAnsi="Calibri"/>
                <w:b/>
              </w:rPr>
            </w:pPr>
          </w:p>
        </w:tc>
      </w:tr>
      <w:tr w:rsidR="00EF2B06" w:rsidRPr="0051678B" w14:paraId="3BF7F9E6" w14:textId="77777777" w:rsidTr="00FF4697">
        <w:tc>
          <w:tcPr>
            <w:tcW w:w="14040" w:type="dxa"/>
            <w:gridSpan w:val="4"/>
          </w:tcPr>
          <w:p w14:paraId="331B8C15" w14:textId="77777777" w:rsidR="00EF2B06" w:rsidRPr="0051678B" w:rsidRDefault="00EF2B06" w:rsidP="00EF2B06">
            <w:pPr>
              <w:rPr>
                <w:rFonts w:ascii="Calibri" w:hAnsi="Calibri"/>
                <w:b/>
                <w:sz w:val="20"/>
                <w:u w:val="single"/>
              </w:rPr>
            </w:pPr>
            <w:r w:rsidRPr="0051678B">
              <w:rPr>
                <w:rFonts w:ascii="Calibri" w:hAnsi="Calibri"/>
                <w:b/>
                <w:sz w:val="20"/>
                <w:u w:val="single"/>
              </w:rPr>
              <w:t>Summary of evaluation findings (e.g. from outcome and project evaluations, UNDAF reviews, and other assessments)</w:t>
            </w:r>
          </w:p>
          <w:p w14:paraId="3D170613" w14:textId="77777777" w:rsidR="0017685E" w:rsidRPr="0017685E" w:rsidRDefault="0017685E" w:rsidP="0017685E">
            <w:pPr>
              <w:widowControl/>
              <w:ind w:right="1267"/>
              <w:jc w:val="both"/>
              <w:rPr>
                <w:rFonts w:ascii="Calibri" w:hAnsi="Calibri"/>
                <w:sz w:val="20"/>
              </w:rPr>
            </w:pPr>
            <w:r w:rsidRPr="0017685E">
              <w:rPr>
                <w:rFonts w:ascii="Calibri" w:hAnsi="Calibri"/>
                <w:sz w:val="20"/>
              </w:rPr>
              <w:t xml:space="preserve">During the 2013–2017 programme cycle, UNDP contributed to sustainable development of Moldova, building the foundations for further consolidation of democracy; human rights and gender-equality promotion and inclusive, risk-informed growth. The UNDAF evaluation confirmed that impactful results were </w:t>
            </w:r>
            <w:r w:rsidRPr="0017685E">
              <w:rPr>
                <w:rFonts w:ascii="Calibri" w:hAnsi="Calibri"/>
                <w:sz w:val="20"/>
              </w:rPr>
              <w:lastRenderedPageBreak/>
              <w:t>delivered,</w:t>
            </w:r>
            <w:r w:rsidRPr="0017685E">
              <w:rPr>
                <w:rFonts w:ascii="Calibri" w:hAnsi="Calibri"/>
                <w:sz w:val="20"/>
              </w:rPr>
              <w:footnoteReference w:id="11"/>
            </w:r>
            <w:r w:rsidRPr="0017685E">
              <w:rPr>
                <w:rFonts w:ascii="Calibri" w:hAnsi="Calibri"/>
                <w:sz w:val="20"/>
              </w:rPr>
              <w:t xml:space="preserve"> highlighting UNDP comparative advantages, such as the ability to tap into local and international expertise networks, the capacity to swiftly respond to government’s requests for assistance, the reputation of convening power</w:t>
            </w:r>
            <w:r w:rsidRPr="0017685E">
              <w:rPr>
                <w:rFonts w:ascii="Calibri" w:hAnsi="Calibri"/>
                <w:sz w:val="20"/>
              </w:rPr>
              <w:footnoteReference w:id="12"/>
            </w:r>
            <w:r w:rsidRPr="0017685E">
              <w:rPr>
                <w:rFonts w:ascii="Calibri" w:hAnsi="Calibri"/>
                <w:sz w:val="20"/>
              </w:rPr>
              <w:t xml:space="preserve"> and being a credible and impartial partner.</w:t>
            </w:r>
            <w:r w:rsidRPr="0017685E">
              <w:rPr>
                <w:rFonts w:ascii="Calibri" w:hAnsi="Calibri"/>
                <w:sz w:val="20"/>
              </w:rPr>
              <w:footnoteReference w:id="13"/>
            </w:r>
          </w:p>
          <w:p w14:paraId="3750DFFE" w14:textId="77777777" w:rsidR="0017685E" w:rsidRPr="0017685E" w:rsidRDefault="0017685E" w:rsidP="0017685E">
            <w:pPr>
              <w:ind w:left="1627" w:right="1267"/>
              <w:jc w:val="both"/>
              <w:rPr>
                <w:rFonts w:ascii="Calibri" w:hAnsi="Calibri"/>
                <w:sz w:val="20"/>
              </w:rPr>
            </w:pPr>
          </w:p>
          <w:p w14:paraId="34ADEBFD" w14:textId="2266CEBF" w:rsidR="0017685E" w:rsidRPr="0017685E" w:rsidRDefault="0017685E" w:rsidP="0017685E">
            <w:pPr>
              <w:widowControl/>
              <w:ind w:right="1267"/>
              <w:jc w:val="both"/>
              <w:rPr>
                <w:rFonts w:ascii="Calibri" w:hAnsi="Calibri"/>
                <w:sz w:val="20"/>
              </w:rPr>
            </w:pPr>
            <w:r w:rsidRPr="0017685E">
              <w:rPr>
                <w:rFonts w:ascii="Calibri" w:hAnsi="Calibri"/>
                <w:sz w:val="20"/>
              </w:rPr>
              <w:t>The transparency of the Parliament was strengthened through the implementation of an e-Parliament system and engagement in the Open Parliament initiative. The Central Electoral Committee became a highly capable institution delivering elections in line with international standards using advanced technological solutions, with its e-learning platform recognized as regional best practice.</w:t>
            </w:r>
            <w:r w:rsidRPr="0017685E">
              <w:rPr>
                <w:sz w:val="12"/>
              </w:rPr>
              <w:footnoteReference w:id="14"/>
            </w:r>
            <w:r w:rsidRPr="0017685E">
              <w:rPr>
                <w:rFonts w:ascii="Calibri" w:hAnsi="Calibri"/>
                <w:sz w:val="20"/>
              </w:rPr>
              <w:t xml:space="preserve">  As highlighted by final programme evaluation “the impressive results achieved will have significant positive impact on all government institutions’.</w:t>
            </w:r>
            <w:r w:rsidRPr="0017685E">
              <w:rPr>
                <w:sz w:val="16"/>
              </w:rPr>
              <w:footnoteReference w:id="15"/>
            </w:r>
            <w:r w:rsidRPr="0017685E">
              <w:rPr>
                <w:rFonts w:ascii="Calibri" w:hAnsi="Calibri"/>
                <w:sz w:val="12"/>
              </w:rPr>
              <w:t xml:space="preserve"> </w:t>
            </w:r>
            <w:r w:rsidRPr="0017685E">
              <w:rPr>
                <w:rFonts w:ascii="Calibri" w:hAnsi="Calibri"/>
                <w:sz w:val="20"/>
              </w:rPr>
              <w:t xml:space="preserve">Moldova Social Innovation Lab became a partner for innovative governance, supporting public service modernization, new approaches to impact evaluation and policy design. Gender-equality and human rights aspects were integrated in national </w:t>
            </w:r>
            <w:r w:rsidR="00B73CB7" w:rsidRPr="0017685E">
              <w:rPr>
                <w:rFonts w:ascii="Calibri" w:hAnsi="Calibri"/>
                <w:sz w:val="20"/>
              </w:rPr>
              <w:t>statistics;</w:t>
            </w:r>
            <w:r w:rsidRPr="0017685E">
              <w:rPr>
                <w:rFonts w:ascii="Calibri" w:hAnsi="Calibri"/>
                <w:sz w:val="20"/>
              </w:rPr>
              <w:t xml:space="preserve"> more complete and reliable disaggregated statistical data is now available. </w:t>
            </w:r>
          </w:p>
          <w:p w14:paraId="0F432526" w14:textId="77777777" w:rsidR="0017685E" w:rsidRPr="0017685E" w:rsidRDefault="0017685E" w:rsidP="0017685E">
            <w:pPr>
              <w:pStyle w:val="ListParagraph"/>
              <w:rPr>
                <w:rFonts w:ascii="Calibri" w:hAnsi="Calibri"/>
                <w:sz w:val="20"/>
              </w:rPr>
            </w:pPr>
          </w:p>
          <w:p w14:paraId="1DF4ED49" w14:textId="77777777" w:rsidR="0017685E" w:rsidRPr="0017685E" w:rsidRDefault="0017685E" w:rsidP="0017685E">
            <w:pPr>
              <w:widowControl/>
              <w:ind w:right="1267"/>
              <w:jc w:val="both"/>
              <w:rPr>
                <w:rFonts w:ascii="Calibri" w:hAnsi="Calibri"/>
                <w:sz w:val="20"/>
              </w:rPr>
            </w:pPr>
            <w:r w:rsidRPr="0017685E">
              <w:rPr>
                <w:rFonts w:ascii="Calibri" w:hAnsi="Calibri"/>
                <w:sz w:val="20"/>
              </w:rPr>
              <w:t>Jointly with UN Women and OHCHR, UNDP engaged civil society and legislators in a comprehensive advocacy campaign, leading to the adoption of the ground-breaking law on Gender Equality in April 2016, which provides for a 40 per-cent gender quota in the Government Cabinet and on the political parties’ candidate lists. The enforcement of the law will increase the number of women in decision-making positions in line with the 2030 Agenda. With UNDP support, shelter for survivors of domestic violence was opened in the break-away Transnistrian region, providing specialized services for women from the region for the first time.</w:t>
            </w:r>
          </w:p>
          <w:p w14:paraId="583FD220" w14:textId="77777777" w:rsidR="0017685E" w:rsidRPr="0017685E" w:rsidRDefault="0017685E" w:rsidP="0017685E">
            <w:pPr>
              <w:ind w:left="1627" w:right="1267"/>
              <w:jc w:val="both"/>
              <w:rPr>
                <w:rFonts w:ascii="Calibri" w:hAnsi="Calibri"/>
                <w:sz w:val="20"/>
              </w:rPr>
            </w:pPr>
          </w:p>
          <w:p w14:paraId="236CEFD7" w14:textId="77777777" w:rsidR="0017685E" w:rsidRPr="0017685E" w:rsidRDefault="0017685E" w:rsidP="0017685E">
            <w:pPr>
              <w:widowControl/>
              <w:ind w:right="1267"/>
              <w:jc w:val="both"/>
              <w:rPr>
                <w:rFonts w:ascii="Calibri" w:hAnsi="Calibri"/>
                <w:sz w:val="20"/>
              </w:rPr>
            </w:pPr>
            <w:r w:rsidRPr="0017685E">
              <w:rPr>
                <w:rFonts w:ascii="Calibri" w:hAnsi="Calibri"/>
                <w:sz w:val="20"/>
              </w:rPr>
              <w:t>Confidence-building measures (CBMs) have created channels of cooperation, transcending existing conflict divides, and therefore contributing to a practical rapprochement of the populations across the divide. CBMs provided access to better services and decent jobs to more than 500,000 beneficiaries. UNDP’s impartiality and ability to foster win-win solutions has been recognized by diverse partners in the country.</w:t>
            </w:r>
            <w:r w:rsidRPr="0017685E">
              <w:rPr>
                <w:rFonts w:ascii="Calibri" w:hAnsi="Calibri"/>
                <w:sz w:val="20"/>
              </w:rPr>
              <w:footnoteReference w:id="16"/>
            </w:r>
            <w:r w:rsidRPr="0017685E">
              <w:rPr>
                <w:rFonts w:ascii="Calibri" w:hAnsi="Calibri"/>
                <w:sz w:val="20"/>
              </w:rPr>
              <w:t xml:space="preserve"> UNDP is perceived as ‘the only one without a hidden agenda’, ‘able to operate in the break-away Transnistrian region, identifying a modus operandi accepted by both sides’.</w:t>
            </w:r>
            <w:r w:rsidRPr="0017685E">
              <w:rPr>
                <w:rFonts w:ascii="Calibri" w:hAnsi="Calibri"/>
                <w:sz w:val="20"/>
              </w:rPr>
              <w:footnoteReference w:id="17"/>
            </w:r>
            <w:r w:rsidRPr="0017685E">
              <w:rPr>
                <w:rFonts w:ascii="Calibri" w:hAnsi="Calibri"/>
                <w:sz w:val="20"/>
              </w:rPr>
              <w:t xml:space="preserve"> UNDP’s positioning allowed for “significant development results and increasing cross-river partnerships in economic, social and cultural sectors.’</w:t>
            </w:r>
            <w:r w:rsidRPr="0017685E">
              <w:rPr>
                <w:rFonts w:ascii="Calibri" w:hAnsi="Calibri"/>
                <w:sz w:val="20"/>
              </w:rPr>
              <w:footnoteReference w:id="18"/>
            </w:r>
          </w:p>
          <w:p w14:paraId="2539D942" w14:textId="77777777" w:rsidR="0017685E" w:rsidRPr="0017685E" w:rsidRDefault="0017685E" w:rsidP="0017685E">
            <w:pPr>
              <w:ind w:left="1627" w:right="1267"/>
              <w:jc w:val="both"/>
              <w:rPr>
                <w:rFonts w:ascii="Calibri" w:hAnsi="Calibri"/>
                <w:sz w:val="20"/>
              </w:rPr>
            </w:pPr>
          </w:p>
          <w:p w14:paraId="37507DC3" w14:textId="12F53AF9" w:rsidR="0017685E" w:rsidRPr="0017685E" w:rsidRDefault="0017685E" w:rsidP="0017685E">
            <w:pPr>
              <w:widowControl/>
              <w:ind w:right="1267"/>
              <w:jc w:val="both"/>
              <w:rPr>
                <w:rFonts w:ascii="Calibri" w:hAnsi="Calibri"/>
                <w:sz w:val="20"/>
              </w:rPr>
            </w:pPr>
            <w:r w:rsidRPr="0017685E">
              <w:rPr>
                <w:rFonts w:ascii="Calibri" w:hAnsi="Calibri"/>
                <w:sz w:val="20"/>
              </w:rPr>
              <w:t xml:space="preserve">Significant progress has been made </w:t>
            </w:r>
            <w:r w:rsidR="00B73CB7" w:rsidRPr="0017685E">
              <w:rPr>
                <w:rFonts w:ascii="Calibri" w:hAnsi="Calibri"/>
                <w:sz w:val="20"/>
              </w:rPr>
              <w:t>in</w:t>
            </w:r>
            <w:r w:rsidRPr="0017685E">
              <w:rPr>
                <w:rFonts w:ascii="Calibri" w:hAnsi="Calibri"/>
                <w:sz w:val="20"/>
              </w:rPr>
              <w:t xml:space="preserve"> environmental management, climate resilience and low-carbon development, key strategic planning frameworks being established with UNDP support.</w:t>
            </w:r>
            <w:r w:rsidRPr="0017685E">
              <w:rPr>
                <w:rFonts w:ascii="Calibri" w:hAnsi="Calibri"/>
                <w:sz w:val="20"/>
              </w:rPr>
              <w:footnoteReference w:id="19"/>
            </w:r>
            <w:r w:rsidRPr="0017685E">
              <w:rPr>
                <w:rFonts w:ascii="Calibri" w:hAnsi="Calibri"/>
                <w:sz w:val="20"/>
              </w:rPr>
              <w:t xml:space="preserve"> Climate change adaptation was mainstreamed into policy documents in agriculture, energy and transport sectors, while risk-informed decision making were introduced at district level. UNDP’s interventions in the area of renewable energy increased its share in the total energy mix from 5 to 14 per-cent and strengthened the energy security of the country, connecting 157,000 people to affordable heating and creating 150 new jobs for operators and biofuel producers. The first National Park in the country was established in Orhei, increasing the share of protected areas with </w:t>
            </w:r>
            <w:r w:rsidRPr="0017685E">
              <w:rPr>
                <w:rFonts w:ascii="Calibri" w:hAnsi="Calibri"/>
                <w:sz w:val="20"/>
              </w:rPr>
              <w:lastRenderedPageBreak/>
              <w:t>1%.</w:t>
            </w:r>
            <w:r w:rsidRPr="0017685E">
              <w:rPr>
                <w:rFonts w:ascii="Calibri" w:hAnsi="Calibri"/>
                <w:sz w:val="20"/>
              </w:rPr>
              <w:footnoteReference w:id="20"/>
            </w:r>
            <w:r w:rsidRPr="0017685E">
              <w:rPr>
                <w:rFonts w:ascii="Calibri" w:hAnsi="Calibri"/>
                <w:sz w:val="20"/>
              </w:rPr>
              <w:t xml:space="preserve"> Moldova has signed the Paris Agreement and is progressing on its ratification with UNDP support. The national warning systems of the State Hydro-meteorological Service was aligned with EU Meteoalarm and EUMetNet standards including Moldova in the European weather service network with UNDP support.</w:t>
            </w:r>
          </w:p>
          <w:p w14:paraId="573C3632" w14:textId="49E04DD7" w:rsidR="00EF2B06" w:rsidRPr="00EF2B06" w:rsidRDefault="00EF2B06" w:rsidP="00EF2B06">
            <w:pPr>
              <w:pStyle w:val="BodyText2"/>
              <w:rPr>
                <w:rFonts w:ascii="Calibri" w:hAnsi="Calibri"/>
              </w:rPr>
            </w:pPr>
          </w:p>
        </w:tc>
      </w:tr>
    </w:tbl>
    <w:p w14:paraId="34891C2A" w14:textId="77777777" w:rsidR="00E46941" w:rsidRPr="0051678B" w:rsidRDefault="00E46941">
      <w:pPr>
        <w:pStyle w:val="BodyText2"/>
        <w:rPr>
          <w:rFonts w:ascii="Times New Roman" w:hAnsi="Times New Roman"/>
          <w:sz w:val="24"/>
        </w:rPr>
      </w:pPr>
    </w:p>
    <w:p w14:paraId="0B0A4BB5" w14:textId="77777777" w:rsidR="00E37E7A" w:rsidRPr="0051678B" w:rsidRDefault="00EA7740" w:rsidP="00E37E7A">
      <w:pPr>
        <w:pStyle w:val="BodyText2"/>
        <w:jc w:val="center"/>
        <w:rPr>
          <w:rFonts w:ascii="Calibri" w:hAnsi="Calibri"/>
          <w:sz w:val="24"/>
        </w:rPr>
      </w:pPr>
      <w:r w:rsidRPr="0051678B">
        <w:rPr>
          <w:rFonts w:ascii="Calibri" w:hAnsi="Calibri"/>
          <w:sz w:val="24"/>
        </w:rPr>
        <w:t xml:space="preserve">III. </w:t>
      </w:r>
      <w:r w:rsidR="00673710" w:rsidRPr="0051678B">
        <w:rPr>
          <w:rFonts w:ascii="Calibri" w:hAnsi="Calibri"/>
          <w:sz w:val="24"/>
        </w:rPr>
        <w:t xml:space="preserve">Country Programme </w:t>
      </w:r>
      <w:r w:rsidR="00E37E7A" w:rsidRPr="0051678B">
        <w:rPr>
          <w:rFonts w:ascii="Calibri" w:hAnsi="Calibri"/>
          <w:sz w:val="24"/>
        </w:rPr>
        <w:t>Resources</w:t>
      </w:r>
    </w:p>
    <w:tbl>
      <w:tblPr>
        <w:tblW w:w="13480" w:type="dxa"/>
        <w:tblInd w:w="118" w:type="dxa"/>
        <w:tblLook w:val="04A0" w:firstRow="1" w:lastRow="0" w:firstColumn="1" w:lastColumn="0" w:noHBand="0" w:noVBand="1"/>
      </w:tblPr>
      <w:tblGrid>
        <w:gridCol w:w="3840"/>
        <w:gridCol w:w="3800"/>
        <w:gridCol w:w="1980"/>
        <w:gridCol w:w="1940"/>
        <w:gridCol w:w="1920"/>
      </w:tblGrid>
      <w:tr w:rsidR="00112580" w:rsidRPr="0051678B" w14:paraId="74C5008A" w14:textId="77777777" w:rsidTr="00112580">
        <w:trPr>
          <w:trHeight w:val="330"/>
        </w:trPr>
        <w:tc>
          <w:tcPr>
            <w:tcW w:w="384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25070711" w14:textId="77777777" w:rsidR="00112580" w:rsidRPr="0051678B" w:rsidRDefault="00112580" w:rsidP="00112580">
            <w:pPr>
              <w:widowControl/>
              <w:jc w:val="center"/>
              <w:rPr>
                <w:rFonts w:ascii="Calibri" w:hAnsi="Calibri"/>
                <w:b/>
                <w:bCs/>
                <w:color w:val="FFFFFF"/>
                <w:szCs w:val="24"/>
              </w:rPr>
            </w:pPr>
            <w:r w:rsidRPr="0051678B">
              <w:rPr>
                <w:rFonts w:ascii="Calibri" w:hAnsi="Calibri"/>
                <w:b/>
                <w:bCs/>
                <w:color w:val="FFFFFF"/>
                <w:szCs w:val="24"/>
              </w:rPr>
              <w:t>Focus Area</w:t>
            </w:r>
          </w:p>
        </w:tc>
        <w:tc>
          <w:tcPr>
            <w:tcW w:w="7720" w:type="dxa"/>
            <w:gridSpan w:val="3"/>
            <w:tcBorders>
              <w:top w:val="single" w:sz="8" w:space="0" w:color="auto"/>
              <w:left w:val="nil"/>
              <w:bottom w:val="single" w:sz="8" w:space="0" w:color="auto"/>
              <w:right w:val="single" w:sz="8" w:space="0" w:color="000000"/>
            </w:tcBorders>
            <w:shd w:val="clear" w:color="000000" w:fill="000000"/>
            <w:vAlign w:val="center"/>
            <w:hideMark/>
          </w:tcPr>
          <w:p w14:paraId="19A6E661" w14:textId="77777777" w:rsidR="00112580" w:rsidRPr="0051678B" w:rsidRDefault="00112580" w:rsidP="00112580">
            <w:pPr>
              <w:widowControl/>
              <w:jc w:val="center"/>
              <w:rPr>
                <w:rFonts w:ascii="Calibri" w:hAnsi="Calibri"/>
                <w:b/>
                <w:bCs/>
                <w:color w:val="FFFFFF"/>
                <w:szCs w:val="24"/>
              </w:rPr>
            </w:pPr>
            <w:r w:rsidRPr="0051678B">
              <w:rPr>
                <w:rFonts w:ascii="Calibri" w:hAnsi="Calibri"/>
                <w:b/>
                <w:bCs/>
                <w:color w:val="FFFFFF"/>
                <w:szCs w:val="24"/>
              </w:rPr>
              <w:t xml:space="preserve"> Programme Expenditure ($) </w:t>
            </w:r>
          </w:p>
        </w:tc>
        <w:tc>
          <w:tcPr>
            <w:tcW w:w="1920" w:type="dxa"/>
            <w:tcBorders>
              <w:top w:val="single" w:sz="8" w:space="0" w:color="auto"/>
              <w:left w:val="nil"/>
              <w:bottom w:val="single" w:sz="8" w:space="0" w:color="auto"/>
              <w:right w:val="single" w:sz="8" w:space="0" w:color="auto"/>
            </w:tcBorders>
            <w:shd w:val="clear" w:color="000000" w:fill="000000"/>
            <w:vAlign w:val="center"/>
            <w:hideMark/>
          </w:tcPr>
          <w:p w14:paraId="32E0CA7E" w14:textId="77777777" w:rsidR="00112580" w:rsidRPr="0051678B" w:rsidRDefault="00112580" w:rsidP="00112580">
            <w:pPr>
              <w:widowControl/>
              <w:jc w:val="center"/>
              <w:rPr>
                <w:rFonts w:ascii="Calibri" w:hAnsi="Calibri"/>
                <w:b/>
                <w:bCs/>
                <w:color w:val="FFFFFF"/>
                <w:szCs w:val="24"/>
              </w:rPr>
            </w:pPr>
            <w:r w:rsidRPr="0051678B">
              <w:rPr>
                <w:rFonts w:ascii="Calibri" w:hAnsi="Calibri"/>
                <w:b/>
                <w:bCs/>
                <w:color w:val="FFFFFF"/>
                <w:szCs w:val="24"/>
              </w:rPr>
              <w:t>% of Total</w:t>
            </w:r>
          </w:p>
        </w:tc>
      </w:tr>
      <w:tr w:rsidR="00112580" w:rsidRPr="0051678B" w14:paraId="3B81EF63" w14:textId="77777777" w:rsidTr="00112580">
        <w:trPr>
          <w:trHeight w:val="315"/>
        </w:trPr>
        <w:tc>
          <w:tcPr>
            <w:tcW w:w="3840" w:type="dxa"/>
            <w:tcBorders>
              <w:top w:val="nil"/>
              <w:left w:val="single" w:sz="8" w:space="0" w:color="auto"/>
              <w:bottom w:val="single" w:sz="8" w:space="0" w:color="auto"/>
              <w:right w:val="single" w:sz="8" w:space="0" w:color="auto"/>
            </w:tcBorders>
            <w:shd w:val="clear" w:color="auto" w:fill="auto"/>
            <w:vAlign w:val="center"/>
            <w:hideMark/>
          </w:tcPr>
          <w:p w14:paraId="44B293E3" w14:textId="77777777" w:rsidR="00112580" w:rsidRPr="0051678B" w:rsidRDefault="00112580" w:rsidP="00112580">
            <w:pPr>
              <w:widowControl/>
              <w:rPr>
                <w:rFonts w:ascii="Calibri" w:hAnsi="Calibri"/>
                <w:color w:val="000000"/>
                <w:sz w:val="20"/>
              </w:rPr>
            </w:pPr>
            <w:r w:rsidRPr="0051678B">
              <w:rPr>
                <w:rFonts w:ascii="Calibri" w:hAnsi="Calibri"/>
                <w:color w:val="000000"/>
                <w:sz w:val="20"/>
              </w:rPr>
              <w:t> </w:t>
            </w:r>
          </w:p>
        </w:tc>
        <w:tc>
          <w:tcPr>
            <w:tcW w:w="3800" w:type="dxa"/>
            <w:tcBorders>
              <w:top w:val="nil"/>
              <w:left w:val="nil"/>
              <w:bottom w:val="single" w:sz="8" w:space="0" w:color="auto"/>
              <w:right w:val="single" w:sz="8" w:space="0" w:color="auto"/>
            </w:tcBorders>
            <w:shd w:val="clear" w:color="auto" w:fill="auto"/>
            <w:vAlign w:val="center"/>
            <w:hideMark/>
          </w:tcPr>
          <w:p w14:paraId="11E038B8" w14:textId="77777777" w:rsidR="00112580" w:rsidRPr="0051678B" w:rsidRDefault="00112580" w:rsidP="00112580">
            <w:pPr>
              <w:widowControl/>
              <w:jc w:val="center"/>
              <w:rPr>
                <w:rFonts w:ascii="Calibri" w:hAnsi="Calibri"/>
                <w:color w:val="000000"/>
                <w:sz w:val="20"/>
              </w:rPr>
            </w:pPr>
            <w:r w:rsidRPr="0051678B">
              <w:rPr>
                <w:rFonts w:ascii="Calibri" w:hAnsi="Calibri"/>
                <w:color w:val="000000"/>
                <w:sz w:val="20"/>
              </w:rPr>
              <w:t xml:space="preserve"> Regular (TRAC) </w:t>
            </w:r>
          </w:p>
        </w:tc>
        <w:tc>
          <w:tcPr>
            <w:tcW w:w="1980" w:type="dxa"/>
            <w:tcBorders>
              <w:top w:val="nil"/>
              <w:left w:val="nil"/>
              <w:bottom w:val="single" w:sz="8" w:space="0" w:color="auto"/>
              <w:right w:val="single" w:sz="8" w:space="0" w:color="auto"/>
            </w:tcBorders>
            <w:shd w:val="clear" w:color="auto" w:fill="auto"/>
            <w:vAlign w:val="center"/>
            <w:hideMark/>
          </w:tcPr>
          <w:p w14:paraId="61ECA8BC" w14:textId="77777777" w:rsidR="00112580" w:rsidRPr="0051678B" w:rsidRDefault="00112580" w:rsidP="00112580">
            <w:pPr>
              <w:widowControl/>
              <w:jc w:val="center"/>
              <w:rPr>
                <w:rFonts w:ascii="Calibri" w:hAnsi="Calibri"/>
                <w:color w:val="000000"/>
                <w:sz w:val="20"/>
              </w:rPr>
            </w:pPr>
            <w:r w:rsidRPr="0051678B">
              <w:rPr>
                <w:rFonts w:ascii="Calibri" w:hAnsi="Calibri"/>
                <w:color w:val="000000"/>
                <w:sz w:val="20"/>
              </w:rPr>
              <w:t xml:space="preserve"> Other </w:t>
            </w:r>
          </w:p>
        </w:tc>
        <w:tc>
          <w:tcPr>
            <w:tcW w:w="1940" w:type="dxa"/>
            <w:tcBorders>
              <w:top w:val="nil"/>
              <w:left w:val="nil"/>
              <w:bottom w:val="single" w:sz="8" w:space="0" w:color="auto"/>
              <w:right w:val="single" w:sz="8" w:space="0" w:color="auto"/>
            </w:tcBorders>
            <w:shd w:val="clear" w:color="auto" w:fill="auto"/>
            <w:vAlign w:val="center"/>
            <w:hideMark/>
          </w:tcPr>
          <w:p w14:paraId="4F120F7C" w14:textId="77777777" w:rsidR="00112580" w:rsidRPr="0051678B" w:rsidRDefault="00112580" w:rsidP="00112580">
            <w:pPr>
              <w:widowControl/>
              <w:jc w:val="center"/>
              <w:rPr>
                <w:rFonts w:ascii="Calibri" w:hAnsi="Calibri"/>
                <w:color w:val="000000"/>
                <w:sz w:val="20"/>
              </w:rPr>
            </w:pPr>
            <w:r w:rsidRPr="0051678B">
              <w:rPr>
                <w:rFonts w:ascii="Calibri" w:hAnsi="Calibri"/>
                <w:color w:val="000000"/>
                <w:sz w:val="20"/>
              </w:rPr>
              <w:t xml:space="preserve"> Total </w:t>
            </w:r>
          </w:p>
        </w:tc>
        <w:tc>
          <w:tcPr>
            <w:tcW w:w="1920" w:type="dxa"/>
            <w:tcBorders>
              <w:top w:val="nil"/>
              <w:left w:val="nil"/>
              <w:bottom w:val="single" w:sz="8" w:space="0" w:color="auto"/>
              <w:right w:val="single" w:sz="8" w:space="0" w:color="auto"/>
            </w:tcBorders>
            <w:shd w:val="clear" w:color="auto" w:fill="auto"/>
            <w:vAlign w:val="center"/>
            <w:hideMark/>
          </w:tcPr>
          <w:p w14:paraId="02E8E410" w14:textId="77777777" w:rsidR="00112580" w:rsidRPr="0051678B" w:rsidRDefault="00112580" w:rsidP="00112580">
            <w:pPr>
              <w:widowControl/>
              <w:jc w:val="center"/>
              <w:rPr>
                <w:rFonts w:ascii="Calibri" w:hAnsi="Calibri"/>
                <w:color w:val="000000"/>
                <w:sz w:val="20"/>
              </w:rPr>
            </w:pPr>
            <w:r w:rsidRPr="0051678B">
              <w:rPr>
                <w:rFonts w:ascii="Calibri" w:hAnsi="Calibri"/>
                <w:color w:val="000000"/>
                <w:sz w:val="20"/>
              </w:rPr>
              <w:t> </w:t>
            </w:r>
          </w:p>
        </w:tc>
      </w:tr>
      <w:tr w:rsidR="00EF2B06" w:rsidRPr="0051678B" w14:paraId="65929A31" w14:textId="77777777" w:rsidTr="00DD598B">
        <w:trPr>
          <w:trHeight w:val="315"/>
        </w:trPr>
        <w:tc>
          <w:tcPr>
            <w:tcW w:w="3840" w:type="dxa"/>
            <w:tcBorders>
              <w:top w:val="nil"/>
              <w:left w:val="single" w:sz="8" w:space="0" w:color="auto"/>
              <w:bottom w:val="single" w:sz="8" w:space="0" w:color="auto"/>
              <w:right w:val="single" w:sz="8" w:space="0" w:color="auto"/>
            </w:tcBorders>
            <w:shd w:val="clear" w:color="auto" w:fill="auto"/>
            <w:vAlign w:val="center"/>
            <w:hideMark/>
          </w:tcPr>
          <w:p w14:paraId="02C97DF1" w14:textId="77777777" w:rsidR="00EF2B06" w:rsidRPr="0051678B" w:rsidRDefault="00EF2B06" w:rsidP="00EF2B06">
            <w:pPr>
              <w:widowControl/>
              <w:rPr>
                <w:rFonts w:ascii="Calibri" w:hAnsi="Calibri"/>
                <w:color w:val="000000"/>
                <w:sz w:val="20"/>
              </w:rPr>
            </w:pPr>
            <w:r w:rsidRPr="0051678B">
              <w:rPr>
                <w:rFonts w:ascii="Calibri" w:hAnsi="Calibri"/>
                <w:color w:val="000000"/>
                <w:sz w:val="20"/>
              </w:rPr>
              <w:t>Effective Governance</w:t>
            </w:r>
          </w:p>
        </w:tc>
        <w:tc>
          <w:tcPr>
            <w:tcW w:w="3800" w:type="dxa"/>
            <w:tcBorders>
              <w:top w:val="nil"/>
              <w:left w:val="nil"/>
              <w:bottom w:val="single" w:sz="8" w:space="0" w:color="auto"/>
              <w:right w:val="single" w:sz="8" w:space="0" w:color="auto"/>
            </w:tcBorders>
            <w:shd w:val="clear" w:color="auto" w:fill="auto"/>
            <w:vAlign w:val="center"/>
            <w:hideMark/>
          </w:tcPr>
          <w:p w14:paraId="06F129EC" w14:textId="641166F0"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_</w:t>
            </w:r>
            <w:r w:rsidRPr="00D12430">
              <w:rPr>
                <w:rFonts w:ascii="Calibri" w:hAnsi="Calibri"/>
                <w:color w:val="000000"/>
                <w:sz w:val="20"/>
                <w:u w:val="single"/>
              </w:rPr>
              <w:t>638,067</w:t>
            </w:r>
            <w:r w:rsidRPr="0051678B">
              <w:rPr>
                <w:rFonts w:ascii="Calibri" w:hAnsi="Calibri"/>
                <w:color w:val="000000"/>
                <w:sz w:val="20"/>
              </w:rPr>
              <w:t>__</w:t>
            </w:r>
          </w:p>
        </w:tc>
        <w:tc>
          <w:tcPr>
            <w:tcW w:w="1980" w:type="dxa"/>
            <w:tcBorders>
              <w:top w:val="nil"/>
              <w:left w:val="nil"/>
              <w:bottom w:val="single" w:sz="8" w:space="0" w:color="auto"/>
              <w:right w:val="single" w:sz="8" w:space="0" w:color="auto"/>
            </w:tcBorders>
            <w:shd w:val="clear" w:color="auto" w:fill="auto"/>
            <w:vAlign w:val="center"/>
            <w:hideMark/>
          </w:tcPr>
          <w:p w14:paraId="6CE1EC05" w14:textId="489BF696"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xml:space="preserve"> $    </w:t>
            </w:r>
            <w:r w:rsidRPr="00D12430">
              <w:rPr>
                <w:rFonts w:ascii="Calibri" w:hAnsi="Calibri"/>
                <w:color w:val="000000"/>
                <w:sz w:val="20"/>
                <w:u w:val="single"/>
              </w:rPr>
              <w:t>31,517,934</w:t>
            </w:r>
            <w:r w:rsidRPr="0051678B">
              <w:rPr>
                <w:rFonts w:ascii="Calibri" w:hAnsi="Calibri"/>
                <w:color w:val="000000"/>
                <w:sz w:val="20"/>
              </w:rPr>
              <w:t xml:space="preserve"> </w:t>
            </w:r>
          </w:p>
        </w:tc>
        <w:tc>
          <w:tcPr>
            <w:tcW w:w="1940" w:type="dxa"/>
            <w:tcBorders>
              <w:top w:val="nil"/>
              <w:left w:val="nil"/>
              <w:bottom w:val="single" w:sz="8" w:space="0" w:color="auto"/>
              <w:right w:val="single" w:sz="8" w:space="0" w:color="auto"/>
            </w:tcBorders>
            <w:shd w:val="clear" w:color="auto" w:fill="auto"/>
            <w:hideMark/>
          </w:tcPr>
          <w:p w14:paraId="32286FDF" w14:textId="6487EEEC"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xml:space="preserve"> $    </w:t>
            </w:r>
            <w:r w:rsidRPr="00D12430">
              <w:rPr>
                <w:rFonts w:ascii="Calibri" w:hAnsi="Calibri"/>
                <w:color w:val="000000"/>
                <w:sz w:val="20"/>
                <w:u w:val="single"/>
              </w:rPr>
              <w:t>32,156,001</w:t>
            </w:r>
          </w:p>
        </w:tc>
        <w:tc>
          <w:tcPr>
            <w:tcW w:w="1920" w:type="dxa"/>
            <w:tcBorders>
              <w:top w:val="nil"/>
              <w:left w:val="nil"/>
              <w:bottom w:val="single" w:sz="8" w:space="0" w:color="auto"/>
              <w:right w:val="single" w:sz="8" w:space="0" w:color="auto"/>
            </w:tcBorders>
            <w:shd w:val="clear" w:color="auto" w:fill="auto"/>
            <w:vAlign w:val="center"/>
            <w:hideMark/>
          </w:tcPr>
          <w:p w14:paraId="54589680" w14:textId="5D602BDB" w:rsidR="00EF2B06" w:rsidRPr="0051678B" w:rsidRDefault="00EF2B06" w:rsidP="00EF2B06">
            <w:pPr>
              <w:widowControl/>
              <w:jc w:val="center"/>
              <w:rPr>
                <w:rFonts w:ascii="Calibri" w:hAnsi="Calibri"/>
                <w:color w:val="000000"/>
                <w:sz w:val="20"/>
              </w:rPr>
            </w:pPr>
            <w:r>
              <w:rPr>
                <w:rFonts w:ascii="Calibri" w:hAnsi="Calibri"/>
                <w:color w:val="000000"/>
                <w:sz w:val="20"/>
              </w:rPr>
              <w:t>32</w:t>
            </w:r>
            <w:r w:rsidRPr="0051678B">
              <w:rPr>
                <w:rFonts w:ascii="Calibri" w:hAnsi="Calibri"/>
                <w:color w:val="000000"/>
                <w:sz w:val="20"/>
              </w:rPr>
              <w:t>%</w:t>
            </w:r>
          </w:p>
        </w:tc>
      </w:tr>
      <w:tr w:rsidR="00EF2B06" w:rsidRPr="0051678B" w14:paraId="2BF6D6AD" w14:textId="77777777" w:rsidTr="00EF2B06">
        <w:trPr>
          <w:trHeight w:val="315"/>
        </w:trPr>
        <w:tc>
          <w:tcPr>
            <w:tcW w:w="3840" w:type="dxa"/>
            <w:tcBorders>
              <w:top w:val="nil"/>
              <w:left w:val="single" w:sz="8" w:space="0" w:color="auto"/>
              <w:bottom w:val="single" w:sz="8" w:space="0" w:color="auto"/>
              <w:right w:val="single" w:sz="8" w:space="0" w:color="auto"/>
            </w:tcBorders>
            <w:shd w:val="clear" w:color="auto" w:fill="auto"/>
            <w:vAlign w:val="center"/>
          </w:tcPr>
          <w:p w14:paraId="44324702" w14:textId="02B817EE" w:rsidR="00EF2B06" w:rsidRPr="0051678B" w:rsidRDefault="00EF2B06" w:rsidP="00EF2B06">
            <w:pPr>
              <w:widowControl/>
              <w:rPr>
                <w:rFonts w:ascii="Calibri" w:hAnsi="Calibri"/>
                <w:color w:val="000000"/>
                <w:sz w:val="20"/>
              </w:rPr>
            </w:pPr>
            <w:r w:rsidRPr="0051678B">
              <w:rPr>
                <w:rFonts w:ascii="Calibri" w:hAnsi="Calibri"/>
                <w:color w:val="000000"/>
                <w:sz w:val="20"/>
              </w:rPr>
              <w:t>Inclusive Growth</w:t>
            </w:r>
          </w:p>
        </w:tc>
        <w:tc>
          <w:tcPr>
            <w:tcW w:w="3800" w:type="dxa"/>
            <w:tcBorders>
              <w:top w:val="nil"/>
              <w:left w:val="nil"/>
              <w:bottom w:val="single" w:sz="8" w:space="0" w:color="auto"/>
              <w:right w:val="single" w:sz="8" w:space="0" w:color="auto"/>
            </w:tcBorders>
            <w:shd w:val="clear" w:color="auto" w:fill="auto"/>
            <w:vAlign w:val="center"/>
            <w:hideMark/>
          </w:tcPr>
          <w:p w14:paraId="57DADF35" w14:textId="1900C886"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_</w:t>
            </w:r>
            <w:r w:rsidRPr="00D12430">
              <w:rPr>
                <w:rFonts w:ascii="Calibri" w:hAnsi="Calibri"/>
                <w:color w:val="000000"/>
                <w:sz w:val="20"/>
                <w:u w:val="single"/>
              </w:rPr>
              <w:t>1,851,269</w:t>
            </w:r>
            <w:r w:rsidRPr="0051678B">
              <w:rPr>
                <w:rFonts w:ascii="Calibri" w:hAnsi="Calibri"/>
                <w:color w:val="000000"/>
                <w:sz w:val="20"/>
              </w:rPr>
              <w:t>_</w:t>
            </w:r>
          </w:p>
        </w:tc>
        <w:tc>
          <w:tcPr>
            <w:tcW w:w="1980" w:type="dxa"/>
            <w:tcBorders>
              <w:top w:val="nil"/>
              <w:left w:val="nil"/>
              <w:bottom w:val="single" w:sz="8" w:space="0" w:color="auto"/>
              <w:right w:val="single" w:sz="8" w:space="0" w:color="auto"/>
            </w:tcBorders>
            <w:shd w:val="clear" w:color="auto" w:fill="auto"/>
            <w:vAlign w:val="center"/>
            <w:hideMark/>
          </w:tcPr>
          <w:p w14:paraId="02B1D909" w14:textId="6F867CDB"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xml:space="preserve">  $    </w:t>
            </w:r>
            <w:r w:rsidRPr="00D12430">
              <w:rPr>
                <w:rFonts w:ascii="Calibri" w:hAnsi="Calibri"/>
                <w:color w:val="000000"/>
                <w:sz w:val="20"/>
                <w:u w:val="single"/>
              </w:rPr>
              <w:t>38,949,635</w:t>
            </w:r>
          </w:p>
        </w:tc>
        <w:tc>
          <w:tcPr>
            <w:tcW w:w="1940" w:type="dxa"/>
            <w:tcBorders>
              <w:top w:val="nil"/>
              <w:left w:val="nil"/>
              <w:bottom w:val="single" w:sz="8" w:space="0" w:color="auto"/>
              <w:right w:val="single" w:sz="8" w:space="0" w:color="auto"/>
            </w:tcBorders>
            <w:shd w:val="clear" w:color="auto" w:fill="auto"/>
            <w:hideMark/>
          </w:tcPr>
          <w:p w14:paraId="7BDFED81" w14:textId="21F621D5"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xml:space="preserve"> $    _</w:t>
            </w:r>
            <w:r w:rsidRPr="00D12430">
              <w:rPr>
                <w:rFonts w:ascii="Calibri" w:hAnsi="Calibri"/>
                <w:color w:val="000000"/>
                <w:sz w:val="20"/>
                <w:u w:val="single"/>
              </w:rPr>
              <w:t>40,800,904</w:t>
            </w:r>
            <w:r w:rsidRPr="0051678B">
              <w:rPr>
                <w:rFonts w:ascii="Calibri" w:hAnsi="Calibri"/>
                <w:color w:val="000000"/>
                <w:sz w:val="20"/>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58A779C1" w14:textId="531C70A5" w:rsidR="00EF2B06" w:rsidRPr="0051678B" w:rsidRDefault="00EF2B06" w:rsidP="00EF2B06">
            <w:pPr>
              <w:widowControl/>
              <w:jc w:val="center"/>
              <w:rPr>
                <w:rFonts w:ascii="Calibri" w:hAnsi="Calibri"/>
                <w:color w:val="000000"/>
                <w:sz w:val="20"/>
              </w:rPr>
            </w:pPr>
            <w:r>
              <w:rPr>
                <w:rFonts w:ascii="Calibri" w:hAnsi="Calibri"/>
                <w:color w:val="000000"/>
                <w:sz w:val="20"/>
              </w:rPr>
              <w:t>41</w:t>
            </w:r>
            <w:r w:rsidRPr="0051678B">
              <w:rPr>
                <w:rFonts w:ascii="Calibri" w:hAnsi="Calibri"/>
                <w:color w:val="000000"/>
                <w:sz w:val="20"/>
              </w:rPr>
              <w:t>%</w:t>
            </w:r>
          </w:p>
        </w:tc>
      </w:tr>
      <w:tr w:rsidR="00EF2B06" w:rsidRPr="0051678B" w14:paraId="63934339" w14:textId="77777777" w:rsidTr="00EF2B06">
        <w:trPr>
          <w:trHeight w:val="315"/>
        </w:trPr>
        <w:tc>
          <w:tcPr>
            <w:tcW w:w="3840" w:type="dxa"/>
            <w:tcBorders>
              <w:top w:val="nil"/>
              <w:left w:val="single" w:sz="8" w:space="0" w:color="auto"/>
              <w:bottom w:val="single" w:sz="8" w:space="0" w:color="auto"/>
              <w:right w:val="single" w:sz="8" w:space="0" w:color="auto"/>
            </w:tcBorders>
            <w:shd w:val="clear" w:color="auto" w:fill="auto"/>
            <w:vAlign w:val="center"/>
          </w:tcPr>
          <w:p w14:paraId="37968476" w14:textId="6B7AAFDE" w:rsidR="00EF2B06" w:rsidRPr="0051678B" w:rsidRDefault="00EF2B06" w:rsidP="00EF2B06">
            <w:pPr>
              <w:widowControl/>
              <w:rPr>
                <w:rFonts w:ascii="Calibri" w:hAnsi="Calibri"/>
                <w:color w:val="000000"/>
                <w:sz w:val="20"/>
              </w:rPr>
            </w:pPr>
            <w:r w:rsidRPr="0051678B">
              <w:rPr>
                <w:rFonts w:ascii="Calibri" w:hAnsi="Calibri"/>
                <w:color w:val="000000"/>
                <w:sz w:val="20"/>
              </w:rPr>
              <w:t>Climate Change, Environment and Energy</w:t>
            </w:r>
          </w:p>
        </w:tc>
        <w:tc>
          <w:tcPr>
            <w:tcW w:w="3800" w:type="dxa"/>
            <w:tcBorders>
              <w:top w:val="nil"/>
              <w:left w:val="nil"/>
              <w:bottom w:val="single" w:sz="8" w:space="0" w:color="auto"/>
              <w:right w:val="single" w:sz="8" w:space="0" w:color="auto"/>
            </w:tcBorders>
            <w:shd w:val="clear" w:color="auto" w:fill="auto"/>
            <w:vAlign w:val="center"/>
            <w:hideMark/>
          </w:tcPr>
          <w:p w14:paraId="24648600" w14:textId="5F905F47"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_</w:t>
            </w:r>
            <w:r w:rsidRPr="00D12430">
              <w:rPr>
                <w:rFonts w:ascii="Calibri" w:hAnsi="Calibri"/>
                <w:color w:val="000000"/>
                <w:sz w:val="20"/>
                <w:u w:val="single"/>
              </w:rPr>
              <w:t>974,773</w:t>
            </w:r>
            <w:r w:rsidRPr="0051678B">
              <w:rPr>
                <w:rFonts w:ascii="Calibri" w:hAnsi="Calibri"/>
                <w:color w:val="000000"/>
                <w:sz w:val="20"/>
              </w:rPr>
              <w:t>_</w:t>
            </w:r>
          </w:p>
        </w:tc>
        <w:tc>
          <w:tcPr>
            <w:tcW w:w="1980" w:type="dxa"/>
            <w:tcBorders>
              <w:top w:val="nil"/>
              <w:left w:val="nil"/>
              <w:bottom w:val="single" w:sz="8" w:space="0" w:color="auto"/>
              <w:right w:val="single" w:sz="8" w:space="0" w:color="auto"/>
            </w:tcBorders>
            <w:shd w:val="clear" w:color="auto" w:fill="auto"/>
            <w:vAlign w:val="center"/>
            <w:hideMark/>
          </w:tcPr>
          <w:p w14:paraId="3F756D64" w14:textId="4FE69B39"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xml:space="preserve"> $    </w:t>
            </w:r>
            <w:r w:rsidRPr="00D12430">
              <w:rPr>
                <w:rFonts w:ascii="Calibri" w:hAnsi="Calibri"/>
                <w:color w:val="000000"/>
                <w:sz w:val="20"/>
                <w:u w:val="single"/>
              </w:rPr>
              <w:t>26,286,422</w:t>
            </w:r>
            <w:r w:rsidRPr="0051678B">
              <w:rPr>
                <w:rFonts w:ascii="Calibri" w:hAnsi="Calibri"/>
                <w:color w:val="000000"/>
                <w:sz w:val="20"/>
              </w:rPr>
              <w:t xml:space="preserve"> </w:t>
            </w:r>
          </w:p>
        </w:tc>
        <w:tc>
          <w:tcPr>
            <w:tcW w:w="1940" w:type="dxa"/>
            <w:tcBorders>
              <w:top w:val="nil"/>
              <w:left w:val="nil"/>
              <w:bottom w:val="single" w:sz="8" w:space="0" w:color="auto"/>
              <w:right w:val="single" w:sz="8" w:space="0" w:color="auto"/>
            </w:tcBorders>
            <w:shd w:val="clear" w:color="auto" w:fill="auto"/>
            <w:hideMark/>
          </w:tcPr>
          <w:p w14:paraId="16F2626F" w14:textId="42011F3A"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xml:space="preserve"> $    _</w:t>
            </w:r>
            <w:r w:rsidRPr="00D12430">
              <w:rPr>
                <w:rFonts w:ascii="Calibri" w:hAnsi="Calibri"/>
                <w:color w:val="000000"/>
                <w:sz w:val="20"/>
                <w:u w:val="single"/>
              </w:rPr>
              <w:t>27,261,195</w:t>
            </w:r>
          </w:p>
        </w:tc>
        <w:tc>
          <w:tcPr>
            <w:tcW w:w="1920" w:type="dxa"/>
            <w:tcBorders>
              <w:top w:val="nil"/>
              <w:left w:val="nil"/>
              <w:bottom w:val="single" w:sz="8" w:space="0" w:color="auto"/>
              <w:right w:val="single" w:sz="8" w:space="0" w:color="auto"/>
            </w:tcBorders>
            <w:shd w:val="clear" w:color="auto" w:fill="auto"/>
            <w:vAlign w:val="center"/>
            <w:hideMark/>
          </w:tcPr>
          <w:p w14:paraId="6BB6EC47" w14:textId="404179FA" w:rsidR="00EF2B06" w:rsidRPr="0051678B" w:rsidRDefault="00EF2B06" w:rsidP="00EF2B06">
            <w:pPr>
              <w:widowControl/>
              <w:jc w:val="center"/>
              <w:rPr>
                <w:rFonts w:ascii="Calibri" w:hAnsi="Calibri"/>
                <w:color w:val="000000"/>
                <w:sz w:val="20"/>
              </w:rPr>
            </w:pPr>
            <w:r>
              <w:rPr>
                <w:rFonts w:ascii="Calibri" w:hAnsi="Calibri"/>
                <w:color w:val="000000"/>
                <w:sz w:val="20"/>
              </w:rPr>
              <w:t>27</w:t>
            </w:r>
            <w:r w:rsidRPr="0051678B">
              <w:rPr>
                <w:rFonts w:ascii="Calibri" w:hAnsi="Calibri"/>
                <w:color w:val="000000"/>
                <w:sz w:val="20"/>
              </w:rPr>
              <w:t>%</w:t>
            </w:r>
          </w:p>
        </w:tc>
      </w:tr>
      <w:tr w:rsidR="00EF2B06" w:rsidRPr="0051678B" w14:paraId="636CF7E9" w14:textId="77777777" w:rsidTr="00EF2B06">
        <w:trPr>
          <w:trHeight w:val="315"/>
        </w:trPr>
        <w:tc>
          <w:tcPr>
            <w:tcW w:w="3840" w:type="dxa"/>
            <w:tcBorders>
              <w:top w:val="nil"/>
              <w:left w:val="single" w:sz="8" w:space="0" w:color="auto"/>
              <w:bottom w:val="single" w:sz="8" w:space="0" w:color="auto"/>
              <w:right w:val="single" w:sz="8" w:space="0" w:color="auto"/>
            </w:tcBorders>
            <w:shd w:val="clear" w:color="auto" w:fill="auto"/>
            <w:vAlign w:val="center"/>
          </w:tcPr>
          <w:p w14:paraId="2386BD0C" w14:textId="5CB9D082" w:rsidR="00EF2B06" w:rsidRPr="0051678B" w:rsidRDefault="00EF2B06" w:rsidP="00EF2B06">
            <w:pPr>
              <w:widowControl/>
              <w:rPr>
                <w:color w:val="000000"/>
                <w:sz w:val="20"/>
              </w:rPr>
            </w:pPr>
            <w:r w:rsidRPr="0051678B">
              <w:rPr>
                <w:rFonts w:ascii="Calibri" w:hAnsi="Calibri"/>
                <w:color w:val="000000"/>
                <w:sz w:val="20"/>
              </w:rPr>
              <w:t>Total</w:t>
            </w:r>
          </w:p>
        </w:tc>
        <w:tc>
          <w:tcPr>
            <w:tcW w:w="3800" w:type="dxa"/>
            <w:tcBorders>
              <w:top w:val="nil"/>
              <w:left w:val="nil"/>
              <w:bottom w:val="single" w:sz="8" w:space="0" w:color="auto"/>
              <w:right w:val="single" w:sz="8" w:space="0" w:color="auto"/>
            </w:tcBorders>
            <w:shd w:val="clear" w:color="auto" w:fill="auto"/>
            <w:vAlign w:val="center"/>
            <w:hideMark/>
          </w:tcPr>
          <w:p w14:paraId="030F38F3" w14:textId="77777777"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w:t>
            </w:r>
          </w:p>
        </w:tc>
        <w:tc>
          <w:tcPr>
            <w:tcW w:w="1980" w:type="dxa"/>
            <w:tcBorders>
              <w:top w:val="nil"/>
              <w:left w:val="nil"/>
              <w:bottom w:val="single" w:sz="8" w:space="0" w:color="auto"/>
              <w:right w:val="single" w:sz="8" w:space="0" w:color="auto"/>
            </w:tcBorders>
            <w:shd w:val="clear" w:color="auto" w:fill="auto"/>
            <w:vAlign w:val="center"/>
            <w:hideMark/>
          </w:tcPr>
          <w:p w14:paraId="7A086F9B" w14:textId="77777777"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w:t>
            </w:r>
          </w:p>
        </w:tc>
        <w:tc>
          <w:tcPr>
            <w:tcW w:w="1940" w:type="dxa"/>
            <w:tcBorders>
              <w:top w:val="nil"/>
              <w:left w:val="nil"/>
              <w:bottom w:val="single" w:sz="8" w:space="0" w:color="auto"/>
              <w:right w:val="single" w:sz="8" w:space="0" w:color="auto"/>
            </w:tcBorders>
            <w:shd w:val="clear" w:color="auto" w:fill="auto"/>
            <w:vAlign w:val="center"/>
            <w:hideMark/>
          </w:tcPr>
          <w:p w14:paraId="30AE8965" w14:textId="77777777"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w:t>
            </w:r>
          </w:p>
        </w:tc>
        <w:tc>
          <w:tcPr>
            <w:tcW w:w="1920" w:type="dxa"/>
            <w:tcBorders>
              <w:top w:val="nil"/>
              <w:left w:val="nil"/>
              <w:bottom w:val="single" w:sz="8" w:space="0" w:color="auto"/>
              <w:right w:val="single" w:sz="8" w:space="0" w:color="auto"/>
            </w:tcBorders>
            <w:shd w:val="clear" w:color="auto" w:fill="auto"/>
            <w:vAlign w:val="center"/>
            <w:hideMark/>
          </w:tcPr>
          <w:p w14:paraId="32D9AA74" w14:textId="77777777" w:rsidR="00EF2B06" w:rsidRPr="0051678B" w:rsidRDefault="00EF2B06" w:rsidP="00EF2B06">
            <w:pPr>
              <w:widowControl/>
              <w:jc w:val="center"/>
              <w:rPr>
                <w:rFonts w:ascii="Calibri" w:hAnsi="Calibri"/>
                <w:color w:val="000000"/>
                <w:sz w:val="20"/>
              </w:rPr>
            </w:pPr>
            <w:r w:rsidRPr="0051678B">
              <w:rPr>
                <w:rFonts w:ascii="Calibri" w:hAnsi="Calibri"/>
                <w:color w:val="000000"/>
                <w:sz w:val="20"/>
              </w:rPr>
              <w:t> </w:t>
            </w:r>
          </w:p>
        </w:tc>
      </w:tr>
      <w:tr w:rsidR="00EF2B06" w:rsidRPr="0051678B" w14:paraId="7D2E40E0" w14:textId="77777777" w:rsidTr="00985E0C">
        <w:trPr>
          <w:trHeight w:val="315"/>
        </w:trPr>
        <w:tc>
          <w:tcPr>
            <w:tcW w:w="3840" w:type="dxa"/>
            <w:tcBorders>
              <w:top w:val="nil"/>
              <w:left w:val="single" w:sz="8" w:space="0" w:color="auto"/>
              <w:bottom w:val="single" w:sz="8" w:space="0" w:color="auto"/>
              <w:right w:val="single" w:sz="8" w:space="0" w:color="auto"/>
            </w:tcBorders>
            <w:shd w:val="clear" w:color="000000" w:fill="00B0F0"/>
            <w:vAlign w:val="center"/>
            <w:hideMark/>
          </w:tcPr>
          <w:p w14:paraId="248E8178" w14:textId="77777777" w:rsidR="00EF2B06" w:rsidRPr="0051678B" w:rsidRDefault="00EF2B06" w:rsidP="00985E0C">
            <w:pPr>
              <w:widowControl/>
              <w:jc w:val="center"/>
              <w:rPr>
                <w:rFonts w:ascii="Calibri" w:hAnsi="Calibri"/>
                <w:color w:val="000000"/>
                <w:sz w:val="20"/>
              </w:rPr>
            </w:pPr>
            <w:r w:rsidRPr="0051678B">
              <w:rPr>
                <w:rFonts w:ascii="Calibri" w:hAnsi="Calibri"/>
                <w:color w:val="000000"/>
                <w:sz w:val="20"/>
              </w:rPr>
              <w:t>Total</w:t>
            </w:r>
          </w:p>
        </w:tc>
        <w:tc>
          <w:tcPr>
            <w:tcW w:w="3800" w:type="dxa"/>
            <w:tcBorders>
              <w:top w:val="nil"/>
              <w:left w:val="nil"/>
              <w:bottom w:val="single" w:sz="8" w:space="0" w:color="auto"/>
              <w:right w:val="single" w:sz="8" w:space="0" w:color="auto"/>
            </w:tcBorders>
            <w:shd w:val="clear" w:color="000000" w:fill="00B0F0"/>
            <w:vAlign w:val="center"/>
            <w:hideMark/>
          </w:tcPr>
          <w:p w14:paraId="0A098DCC" w14:textId="77777777" w:rsidR="00EF2B06" w:rsidRPr="0051678B" w:rsidRDefault="00EF2B06" w:rsidP="00985E0C">
            <w:pPr>
              <w:widowControl/>
              <w:jc w:val="center"/>
              <w:rPr>
                <w:rFonts w:ascii="Calibri" w:hAnsi="Calibri"/>
                <w:color w:val="000000"/>
                <w:sz w:val="20"/>
              </w:rPr>
            </w:pPr>
            <w:r w:rsidRPr="0051678B">
              <w:rPr>
                <w:rFonts w:ascii="Calibri" w:hAnsi="Calibri"/>
                <w:color w:val="000000"/>
                <w:sz w:val="20"/>
              </w:rPr>
              <w:t xml:space="preserve"> $ </w:t>
            </w:r>
            <w:r>
              <w:rPr>
                <w:rFonts w:ascii="Calibri" w:hAnsi="Calibri"/>
                <w:color w:val="000000"/>
                <w:sz w:val="20"/>
              </w:rPr>
              <w:t>3,464,108</w:t>
            </w:r>
          </w:p>
        </w:tc>
        <w:tc>
          <w:tcPr>
            <w:tcW w:w="1980" w:type="dxa"/>
            <w:tcBorders>
              <w:top w:val="nil"/>
              <w:left w:val="nil"/>
              <w:bottom w:val="single" w:sz="8" w:space="0" w:color="auto"/>
              <w:right w:val="single" w:sz="8" w:space="0" w:color="auto"/>
            </w:tcBorders>
            <w:shd w:val="clear" w:color="000000" w:fill="00B0F0"/>
            <w:vAlign w:val="center"/>
            <w:hideMark/>
          </w:tcPr>
          <w:p w14:paraId="2B917D3D" w14:textId="77777777" w:rsidR="00EF2B06" w:rsidRPr="0051678B" w:rsidRDefault="00EF2B06" w:rsidP="00985E0C">
            <w:pPr>
              <w:widowControl/>
              <w:jc w:val="center"/>
              <w:rPr>
                <w:rFonts w:ascii="Calibri" w:hAnsi="Calibri"/>
                <w:color w:val="000000"/>
                <w:sz w:val="20"/>
              </w:rPr>
            </w:pPr>
            <w:r w:rsidRPr="0051678B">
              <w:rPr>
                <w:rFonts w:ascii="Calibri" w:hAnsi="Calibri"/>
                <w:color w:val="000000"/>
                <w:sz w:val="20"/>
              </w:rPr>
              <w:t xml:space="preserve"> $ </w:t>
            </w:r>
            <w:r>
              <w:rPr>
                <w:rFonts w:ascii="Calibri" w:hAnsi="Calibri"/>
                <w:color w:val="000000"/>
                <w:sz w:val="20"/>
              </w:rPr>
              <w:t>96,753,992</w:t>
            </w:r>
            <w:r w:rsidRPr="0051678B">
              <w:rPr>
                <w:rFonts w:ascii="Calibri" w:hAnsi="Calibri"/>
                <w:color w:val="000000"/>
                <w:sz w:val="20"/>
              </w:rPr>
              <w:t xml:space="preserve">    </w:t>
            </w:r>
          </w:p>
        </w:tc>
        <w:tc>
          <w:tcPr>
            <w:tcW w:w="1940" w:type="dxa"/>
            <w:tcBorders>
              <w:top w:val="nil"/>
              <w:left w:val="nil"/>
              <w:bottom w:val="single" w:sz="8" w:space="0" w:color="auto"/>
              <w:right w:val="single" w:sz="8" w:space="0" w:color="auto"/>
            </w:tcBorders>
            <w:shd w:val="clear" w:color="000000" w:fill="00B0F0"/>
            <w:vAlign w:val="center"/>
            <w:hideMark/>
          </w:tcPr>
          <w:p w14:paraId="077E547F" w14:textId="77777777" w:rsidR="00EF2B06" w:rsidRPr="0051678B" w:rsidRDefault="00EF2B06" w:rsidP="00985E0C">
            <w:pPr>
              <w:widowControl/>
              <w:jc w:val="center"/>
              <w:rPr>
                <w:rFonts w:ascii="Calibri" w:hAnsi="Calibri"/>
                <w:color w:val="000000"/>
                <w:sz w:val="20"/>
              </w:rPr>
            </w:pPr>
            <w:r w:rsidRPr="0051678B">
              <w:rPr>
                <w:rFonts w:ascii="Calibri" w:hAnsi="Calibri"/>
                <w:color w:val="000000"/>
                <w:sz w:val="20"/>
              </w:rPr>
              <w:t xml:space="preserve"> $ </w:t>
            </w:r>
            <w:r>
              <w:rPr>
                <w:rFonts w:ascii="Calibri" w:hAnsi="Calibri"/>
                <w:color w:val="000000"/>
                <w:sz w:val="20"/>
              </w:rPr>
              <w:t>100,218,100</w:t>
            </w:r>
            <w:r w:rsidRPr="0051678B">
              <w:rPr>
                <w:rFonts w:ascii="Calibri" w:hAnsi="Calibri"/>
                <w:color w:val="000000"/>
                <w:sz w:val="20"/>
              </w:rPr>
              <w:t xml:space="preserve">    </w:t>
            </w:r>
          </w:p>
        </w:tc>
        <w:tc>
          <w:tcPr>
            <w:tcW w:w="1920" w:type="dxa"/>
            <w:tcBorders>
              <w:top w:val="nil"/>
              <w:left w:val="nil"/>
              <w:bottom w:val="single" w:sz="8" w:space="0" w:color="auto"/>
              <w:right w:val="single" w:sz="8" w:space="0" w:color="auto"/>
            </w:tcBorders>
            <w:shd w:val="clear" w:color="000000" w:fill="00B0F0"/>
            <w:vAlign w:val="center"/>
            <w:hideMark/>
          </w:tcPr>
          <w:p w14:paraId="147C3C9E" w14:textId="77777777" w:rsidR="00EF2B06" w:rsidRPr="0051678B" w:rsidRDefault="00EF2B06" w:rsidP="00985E0C">
            <w:pPr>
              <w:widowControl/>
              <w:jc w:val="center"/>
              <w:rPr>
                <w:rFonts w:ascii="Calibri" w:hAnsi="Calibri"/>
                <w:color w:val="000000"/>
                <w:sz w:val="20"/>
              </w:rPr>
            </w:pPr>
            <w:r w:rsidRPr="0051678B">
              <w:rPr>
                <w:rFonts w:ascii="Calibri" w:hAnsi="Calibri"/>
                <w:color w:val="000000"/>
                <w:sz w:val="20"/>
              </w:rPr>
              <w:t>100.00%</w:t>
            </w:r>
          </w:p>
        </w:tc>
      </w:tr>
    </w:tbl>
    <w:p w14:paraId="727BDC84" w14:textId="77777777" w:rsidR="00EF2B06" w:rsidRPr="0051678B" w:rsidRDefault="00EF2B06" w:rsidP="00EF2B06">
      <w:pPr>
        <w:pStyle w:val="BodyText2"/>
        <w:jc w:val="cente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51678B" w14:paraId="7F881194" w14:textId="77777777" w:rsidTr="00621E3C">
        <w:tc>
          <w:tcPr>
            <w:tcW w:w="13950" w:type="dxa"/>
          </w:tcPr>
          <w:p w14:paraId="455F9947" w14:textId="77777777" w:rsidR="002547CF" w:rsidRPr="0051678B" w:rsidRDefault="002547CF" w:rsidP="005E0C05">
            <w:pPr>
              <w:pStyle w:val="BodyText2"/>
              <w:rPr>
                <w:rFonts w:ascii="Calibri" w:hAnsi="Calibri"/>
                <w:b/>
              </w:rPr>
            </w:pPr>
            <w:r w:rsidRPr="0051678B">
              <w:rPr>
                <w:rFonts w:ascii="Calibri" w:hAnsi="Calibri"/>
                <w:b/>
              </w:rPr>
              <w:t xml:space="preserve">Data sources:  (please indicate the main sources from which data were obtained for this report.) </w:t>
            </w:r>
          </w:p>
        </w:tc>
      </w:tr>
      <w:tr w:rsidR="00621E3C" w:rsidRPr="0051678B" w14:paraId="1F631DA9" w14:textId="77777777" w:rsidTr="00621E3C">
        <w:tc>
          <w:tcPr>
            <w:tcW w:w="13950" w:type="dxa"/>
          </w:tcPr>
          <w:p w14:paraId="0A30C460" w14:textId="77777777" w:rsidR="00621E3C" w:rsidRDefault="00621E3C" w:rsidP="00621E3C">
            <w:pPr>
              <w:pStyle w:val="BodyText2"/>
              <w:rPr>
                <w:rFonts w:asciiTheme="minorHAnsi" w:hAnsiTheme="minorHAnsi"/>
              </w:rPr>
            </w:pPr>
          </w:p>
          <w:p w14:paraId="0BEA3D64" w14:textId="1024DB70" w:rsidR="00621E3C" w:rsidRPr="00BC4F55" w:rsidRDefault="00621E3C" w:rsidP="00621E3C">
            <w:pPr>
              <w:pStyle w:val="BodyText2"/>
              <w:rPr>
                <w:rFonts w:asciiTheme="minorHAnsi" w:hAnsiTheme="minorHAnsi"/>
              </w:rPr>
            </w:pPr>
            <w:r w:rsidRPr="00BC4F55">
              <w:rPr>
                <w:rFonts w:asciiTheme="minorHAnsi" w:hAnsiTheme="minorHAnsi"/>
              </w:rPr>
              <w:t xml:space="preserve">Result </w:t>
            </w:r>
            <w:r>
              <w:rPr>
                <w:rFonts w:asciiTheme="minorHAnsi" w:hAnsiTheme="minorHAnsi"/>
              </w:rPr>
              <w:t>Oriented Annual Reports (ROAR): 2013 -2016</w:t>
            </w:r>
          </w:p>
          <w:p w14:paraId="3441E6BE" w14:textId="157525FC" w:rsidR="00621E3C" w:rsidRPr="00BC4F55" w:rsidRDefault="00621E3C" w:rsidP="00621E3C">
            <w:pPr>
              <w:pStyle w:val="BodyText2"/>
              <w:rPr>
                <w:rFonts w:asciiTheme="minorHAnsi" w:hAnsiTheme="minorHAnsi"/>
              </w:rPr>
            </w:pPr>
            <w:r>
              <w:rPr>
                <w:rFonts w:asciiTheme="minorHAnsi" w:hAnsiTheme="minorHAnsi"/>
              </w:rPr>
              <w:t>Strategic Notes (SN): 2013-</w:t>
            </w:r>
            <w:r w:rsidRPr="00BC4F55">
              <w:rPr>
                <w:rFonts w:asciiTheme="minorHAnsi" w:hAnsiTheme="minorHAnsi"/>
              </w:rPr>
              <w:t>2016</w:t>
            </w:r>
          </w:p>
          <w:p w14:paraId="5F3DD074" w14:textId="4948292E" w:rsidR="00621E3C" w:rsidRPr="00BC4F55" w:rsidRDefault="00621E3C" w:rsidP="00621E3C">
            <w:pPr>
              <w:pStyle w:val="BodyText2"/>
              <w:rPr>
                <w:rFonts w:asciiTheme="minorHAnsi" w:hAnsiTheme="minorHAnsi"/>
              </w:rPr>
            </w:pPr>
            <w:r w:rsidRPr="00BC4F55">
              <w:rPr>
                <w:rFonts w:asciiTheme="minorHAnsi" w:hAnsiTheme="minorHAnsi"/>
              </w:rPr>
              <w:t>CPD Outcome</w:t>
            </w:r>
            <w:r>
              <w:rPr>
                <w:rFonts w:asciiTheme="minorHAnsi" w:hAnsiTheme="minorHAnsi"/>
              </w:rPr>
              <w:t>s Evaluation 2015, 2016</w:t>
            </w:r>
          </w:p>
          <w:p w14:paraId="6172CC47" w14:textId="68CF4E2D" w:rsidR="00621E3C" w:rsidRPr="00BC4F55" w:rsidRDefault="00621E3C" w:rsidP="00621E3C">
            <w:pPr>
              <w:pStyle w:val="BodyText2"/>
              <w:rPr>
                <w:rFonts w:asciiTheme="minorHAnsi" w:hAnsiTheme="minorHAnsi"/>
              </w:rPr>
            </w:pPr>
            <w:r w:rsidRPr="00BC4F55">
              <w:rPr>
                <w:rFonts w:asciiTheme="minorHAnsi" w:hAnsiTheme="minorHAnsi"/>
              </w:rPr>
              <w:t xml:space="preserve">UNDAF </w:t>
            </w:r>
            <w:r>
              <w:rPr>
                <w:rFonts w:asciiTheme="minorHAnsi" w:hAnsiTheme="minorHAnsi"/>
              </w:rPr>
              <w:t>Final Evaluation 2016, UNDAF mid-term evaluation 2014</w:t>
            </w:r>
            <w:r w:rsidR="00015796">
              <w:rPr>
                <w:rFonts w:asciiTheme="minorHAnsi" w:hAnsiTheme="minorHAnsi"/>
              </w:rPr>
              <w:t>, UNDAF Annual Reports</w:t>
            </w:r>
          </w:p>
          <w:p w14:paraId="7C7541C3" w14:textId="014C43A2" w:rsidR="00621E3C" w:rsidRDefault="00621E3C" w:rsidP="00621E3C">
            <w:pPr>
              <w:pStyle w:val="BodyText2"/>
              <w:rPr>
                <w:rFonts w:asciiTheme="minorHAnsi" w:hAnsiTheme="minorHAnsi"/>
              </w:rPr>
            </w:pPr>
            <w:r>
              <w:rPr>
                <w:rFonts w:asciiTheme="minorHAnsi" w:hAnsiTheme="minorHAnsi"/>
              </w:rPr>
              <w:t>National, Regional and Global Human Development Reports</w:t>
            </w:r>
          </w:p>
          <w:p w14:paraId="63A22C00" w14:textId="2C006199" w:rsidR="00621E3C" w:rsidRDefault="00621E3C" w:rsidP="00621E3C">
            <w:pPr>
              <w:pStyle w:val="BodyText2"/>
              <w:rPr>
                <w:rFonts w:asciiTheme="minorHAnsi" w:hAnsiTheme="minorHAnsi"/>
              </w:rPr>
            </w:pPr>
            <w:r>
              <w:rPr>
                <w:rFonts w:asciiTheme="minorHAnsi" w:hAnsiTheme="minorHAnsi"/>
              </w:rPr>
              <w:t xml:space="preserve">National Bureau of Statistics </w:t>
            </w:r>
          </w:p>
          <w:p w14:paraId="25AD0027" w14:textId="5EAE9EDE" w:rsidR="00621E3C" w:rsidRDefault="00621E3C" w:rsidP="00621E3C">
            <w:pPr>
              <w:pStyle w:val="BodyText2"/>
              <w:rPr>
                <w:rFonts w:asciiTheme="minorHAnsi" w:hAnsiTheme="minorHAnsi"/>
              </w:rPr>
            </w:pPr>
            <w:r>
              <w:rPr>
                <w:rFonts w:asciiTheme="minorHAnsi" w:hAnsiTheme="minorHAnsi"/>
              </w:rPr>
              <w:t>EU assessment and impact evaluations 2015</w:t>
            </w:r>
          </w:p>
          <w:p w14:paraId="21193132" w14:textId="7524AFE2" w:rsidR="00621E3C" w:rsidRPr="00BC4F55" w:rsidRDefault="00621E3C" w:rsidP="00621E3C">
            <w:pPr>
              <w:pStyle w:val="BodyText2"/>
              <w:rPr>
                <w:rFonts w:asciiTheme="minorHAnsi" w:hAnsiTheme="minorHAnsi"/>
              </w:rPr>
            </w:pPr>
            <w:r>
              <w:rPr>
                <w:rFonts w:asciiTheme="minorHAnsi" w:hAnsiTheme="minorHAnsi"/>
              </w:rPr>
              <w:t>World Bank and IMF reports</w:t>
            </w:r>
          </w:p>
          <w:p w14:paraId="7C9C9DEA" w14:textId="77777777" w:rsidR="00621E3C" w:rsidRPr="0051678B" w:rsidRDefault="00621E3C" w:rsidP="00621E3C">
            <w:pPr>
              <w:pStyle w:val="BodyText2"/>
              <w:rPr>
                <w:rFonts w:ascii="Calibri" w:hAnsi="Calibri"/>
                <w:b/>
              </w:rPr>
            </w:pPr>
          </w:p>
        </w:tc>
      </w:tr>
    </w:tbl>
    <w:p w14:paraId="3875956A" w14:textId="77777777" w:rsidR="00635929" w:rsidRPr="0051678B" w:rsidRDefault="00635929" w:rsidP="005E0C05">
      <w:pPr>
        <w:pStyle w:val="BodyText2"/>
        <w:rPr>
          <w:rFonts w:ascii="Times New Roman" w:hAnsi="Times New Roman"/>
          <w:sz w:val="24"/>
        </w:rPr>
      </w:pPr>
    </w:p>
    <w:p w14:paraId="11F1E61E" w14:textId="77777777" w:rsidR="00AF496B" w:rsidRPr="0051678B" w:rsidRDefault="00AF496B" w:rsidP="005E0C05">
      <w:pPr>
        <w:pStyle w:val="BodyText2"/>
        <w:rPr>
          <w:rFonts w:ascii="Times New Roman" w:hAnsi="Times New Roman"/>
          <w:sz w:val="24"/>
        </w:rPr>
      </w:pPr>
    </w:p>
    <w:p w14:paraId="0815C1E0" w14:textId="77777777" w:rsidR="00CC3BCB" w:rsidRPr="0051678B" w:rsidRDefault="00CC3BCB" w:rsidP="005E0C05">
      <w:pPr>
        <w:pStyle w:val="BodyText2"/>
        <w:rPr>
          <w:rFonts w:ascii="Times New Roman" w:hAnsi="Times New Roman"/>
          <w:sz w:val="24"/>
        </w:rPr>
      </w:pPr>
    </w:p>
    <w:sectPr w:rsidR="00CC3BCB" w:rsidRPr="0051678B"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7AA72" w14:textId="77777777" w:rsidR="00F9132D" w:rsidRDefault="00F9132D">
      <w:r>
        <w:separator/>
      </w:r>
    </w:p>
  </w:endnote>
  <w:endnote w:type="continuationSeparator" w:id="0">
    <w:p w14:paraId="316B7382" w14:textId="77777777" w:rsidR="00F9132D" w:rsidRDefault="00F9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C3B4" w14:textId="07077D16" w:rsidR="00985E0C" w:rsidRDefault="00985E0C">
    <w:pPr>
      <w:pStyle w:val="Footer"/>
      <w:jc w:val="center"/>
    </w:pPr>
    <w:r>
      <w:fldChar w:fldCharType="begin"/>
    </w:r>
    <w:r>
      <w:instrText xml:space="preserve"> PAGE   \* MERGEFORMAT </w:instrText>
    </w:r>
    <w:r>
      <w:fldChar w:fldCharType="separate"/>
    </w:r>
    <w:r w:rsidR="002B32CA">
      <w:rPr>
        <w:noProof/>
      </w:rPr>
      <w:t>3</w:t>
    </w:r>
    <w:r>
      <w:fldChar w:fldCharType="end"/>
    </w:r>
  </w:p>
  <w:p w14:paraId="209F88F7" w14:textId="77777777" w:rsidR="00985E0C" w:rsidRDefault="00985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E6D2E" w14:textId="77777777" w:rsidR="00F9132D" w:rsidRDefault="00F9132D">
      <w:r>
        <w:separator/>
      </w:r>
    </w:p>
  </w:footnote>
  <w:footnote w:type="continuationSeparator" w:id="0">
    <w:p w14:paraId="4DB94461" w14:textId="77777777" w:rsidR="00F9132D" w:rsidRDefault="00F9132D">
      <w:r>
        <w:continuationSeparator/>
      </w:r>
    </w:p>
  </w:footnote>
  <w:footnote w:id="1">
    <w:p w14:paraId="108F8CBA" w14:textId="77777777" w:rsidR="00985E0C" w:rsidRPr="0064746F" w:rsidRDefault="00985E0C">
      <w:pPr>
        <w:pStyle w:val="FootnoteText"/>
        <w:rPr>
          <w:rFonts w:ascii="Calibri" w:hAnsi="Calibri"/>
        </w:rPr>
      </w:pPr>
      <w:r w:rsidRPr="0064746F">
        <w:rPr>
          <w:rStyle w:val="FootnoteReference"/>
          <w:rFonts w:ascii="Calibri" w:hAnsi="Calibri"/>
        </w:rPr>
        <w:footnoteRef/>
      </w:r>
      <w:r w:rsidRPr="0064746F">
        <w:rPr>
          <w:rFonts w:ascii="Calibri" w:hAnsi="Calibri"/>
        </w:rPr>
        <w:t xml:space="preserve"> This assessment of results is to be prepared only in the absence of a completed Assessment of Development Results (ADR) for the cycle.</w:t>
      </w:r>
    </w:p>
  </w:footnote>
  <w:footnote w:id="2">
    <w:p w14:paraId="605E05D9" w14:textId="77777777" w:rsidR="00985E0C" w:rsidRPr="007A55B3" w:rsidRDefault="00985E0C" w:rsidP="00B8039F">
      <w:pPr>
        <w:pStyle w:val="FootnoteText"/>
        <w:rPr>
          <w:sz w:val="16"/>
          <w:szCs w:val="16"/>
        </w:rPr>
      </w:pPr>
      <w:r w:rsidRPr="007A55B3">
        <w:rPr>
          <w:rStyle w:val="FootnoteReference"/>
          <w:sz w:val="16"/>
          <w:szCs w:val="16"/>
        </w:rPr>
        <w:footnoteRef/>
      </w:r>
      <w:r w:rsidRPr="007A55B3">
        <w:rPr>
          <w:sz w:val="16"/>
          <w:szCs w:val="16"/>
        </w:rPr>
        <w:t xml:space="preserve"> Final Evaluation of UN-RM Partne</w:t>
      </w:r>
      <w:r>
        <w:rPr>
          <w:sz w:val="16"/>
          <w:szCs w:val="16"/>
        </w:rPr>
        <w:t xml:space="preserve">rship Framework 2013-2017, </w:t>
      </w:r>
    </w:p>
  </w:footnote>
  <w:footnote w:id="3">
    <w:p w14:paraId="12135164" w14:textId="77777777" w:rsidR="00985E0C" w:rsidRDefault="00985E0C" w:rsidP="00B8039F">
      <w:pPr>
        <w:pStyle w:val="FootnoteText"/>
      </w:pPr>
      <w:r w:rsidRPr="00FB258B">
        <w:rPr>
          <w:sz w:val="14"/>
        </w:rPr>
        <w:footnoteRef/>
      </w:r>
      <w:r w:rsidRPr="00FB258B">
        <w:rPr>
          <w:sz w:val="14"/>
        </w:rPr>
        <w:t xml:space="preserve"> </w:t>
      </w:r>
      <w:r w:rsidRPr="00FB258B">
        <w:rPr>
          <w:sz w:val="16"/>
        </w:rPr>
        <w:t>Highlighted in the final evaluation of the Democracy Programme, operating in a particularly politicized context of Parliamentary Development, February 2017</w:t>
      </w:r>
    </w:p>
  </w:footnote>
  <w:footnote w:id="4">
    <w:p w14:paraId="0A2630F7" w14:textId="77777777" w:rsidR="00985E0C" w:rsidRPr="00E81DF4" w:rsidRDefault="00985E0C" w:rsidP="00B8039F">
      <w:pPr>
        <w:pStyle w:val="FootnoteText"/>
        <w:rPr>
          <w:sz w:val="16"/>
          <w:szCs w:val="16"/>
        </w:rPr>
      </w:pPr>
      <w:r w:rsidRPr="00502832">
        <w:rPr>
          <w:rStyle w:val="FootnoteReference"/>
          <w:sz w:val="16"/>
          <w:szCs w:val="16"/>
        </w:rPr>
        <w:footnoteRef/>
      </w:r>
      <w:r w:rsidRPr="00502832">
        <w:rPr>
          <w:sz w:val="16"/>
          <w:szCs w:val="16"/>
        </w:rPr>
        <w:t xml:space="preserve"> UNDAF Final Evaluation</w:t>
      </w:r>
      <w:r>
        <w:rPr>
          <w:sz w:val="16"/>
          <w:szCs w:val="16"/>
        </w:rPr>
        <w:t>.</w:t>
      </w:r>
    </w:p>
  </w:footnote>
  <w:footnote w:id="5">
    <w:p w14:paraId="763119B7" w14:textId="77777777" w:rsidR="00985E0C" w:rsidRPr="007A55B3" w:rsidRDefault="00985E0C" w:rsidP="00B8039F">
      <w:pPr>
        <w:pStyle w:val="FootnoteText"/>
        <w:rPr>
          <w:sz w:val="16"/>
          <w:szCs w:val="16"/>
        </w:rPr>
      </w:pPr>
      <w:r w:rsidRPr="007A55B3">
        <w:rPr>
          <w:rStyle w:val="FootnoteReference"/>
          <w:sz w:val="16"/>
          <w:szCs w:val="16"/>
        </w:rPr>
        <w:footnoteRef/>
      </w:r>
      <w:r w:rsidRPr="007A55B3">
        <w:rPr>
          <w:sz w:val="16"/>
          <w:szCs w:val="16"/>
        </w:rPr>
        <w:t xml:space="preserve"> 10 countries in the ECA region </w:t>
      </w:r>
      <w:r>
        <w:rPr>
          <w:sz w:val="16"/>
          <w:szCs w:val="16"/>
        </w:rPr>
        <w:t>planning to</w:t>
      </w:r>
      <w:r w:rsidRPr="007A55B3">
        <w:rPr>
          <w:sz w:val="16"/>
          <w:szCs w:val="16"/>
        </w:rPr>
        <w:t xml:space="preserve"> replicate the model.</w:t>
      </w:r>
    </w:p>
  </w:footnote>
  <w:footnote w:id="6">
    <w:p w14:paraId="54B48534" w14:textId="77777777" w:rsidR="00985E0C" w:rsidRDefault="00985E0C" w:rsidP="00B8039F">
      <w:pPr>
        <w:pStyle w:val="FootnoteText"/>
      </w:pPr>
      <w:r w:rsidRPr="007A55B3">
        <w:rPr>
          <w:rStyle w:val="FootnoteReference"/>
          <w:sz w:val="16"/>
          <w:szCs w:val="16"/>
        </w:rPr>
        <w:footnoteRef/>
      </w:r>
      <w:r w:rsidRPr="007A55B3">
        <w:rPr>
          <w:sz w:val="16"/>
          <w:szCs w:val="16"/>
        </w:rPr>
        <w:t xml:space="preserve">  Final Evaluation of the Democracy Programme, February 2017</w:t>
      </w:r>
    </w:p>
  </w:footnote>
  <w:footnote w:id="7">
    <w:p w14:paraId="2C670252" w14:textId="77777777" w:rsidR="00985E0C" w:rsidRPr="00502832" w:rsidRDefault="00985E0C" w:rsidP="00B8039F">
      <w:pPr>
        <w:pStyle w:val="FootnoteText"/>
        <w:rPr>
          <w:sz w:val="16"/>
          <w:szCs w:val="16"/>
        </w:rPr>
      </w:pPr>
      <w:r w:rsidRPr="00502832">
        <w:rPr>
          <w:rStyle w:val="FootnoteReference"/>
          <w:sz w:val="16"/>
          <w:szCs w:val="16"/>
        </w:rPr>
        <w:footnoteRef/>
      </w:r>
      <w:r w:rsidRPr="00502832">
        <w:rPr>
          <w:sz w:val="16"/>
          <w:szCs w:val="16"/>
        </w:rPr>
        <w:t xml:space="preserve"> UNDAF final evaluation</w:t>
      </w:r>
      <w:r>
        <w:rPr>
          <w:sz w:val="16"/>
          <w:szCs w:val="16"/>
        </w:rPr>
        <w:t>.</w:t>
      </w:r>
    </w:p>
  </w:footnote>
  <w:footnote w:id="8">
    <w:p w14:paraId="11D10955" w14:textId="77777777" w:rsidR="00985E0C" w:rsidRPr="00AE3AFB" w:rsidRDefault="00985E0C" w:rsidP="00B8039F">
      <w:pPr>
        <w:pStyle w:val="FootnoteText"/>
        <w:rPr>
          <w:sz w:val="16"/>
          <w:szCs w:val="16"/>
        </w:rPr>
      </w:pPr>
      <w:r w:rsidRPr="00AE3AFB">
        <w:rPr>
          <w:rStyle w:val="FootnoteReference"/>
          <w:sz w:val="16"/>
          <w:szCs w:val="16"/>
        </w:rPr>
        <w:footnoteRef/>
      </w:r>
      <w:r w:rsidRPr="00AE3AFB">
        <w:rPr>
          <w:sz w:val="16"/>
          <w:szCs w:val="16"/>
        </w:rPr>
        <w:t xml:space="preserve"> EU Joint Analysis. Programming on RM 2020, p. 99, https://eeas.europa.eu/sites/eeas/files/joint_analysis_0.pdf</w:t>
      </w:r>
    </w:p>
  </w:footnote>
  <w:footnote w:id="9">
    <w:p w14:paraId="1B5FC252" w14:textId="77777777" w:rsidR="00985E0C" w:rsidRPr="00AE3AFB" w:rsidRDefault="00985E0C" w:rsidP="00B8039F">
      <w:pPr>
        <w:pStyle w:val="FootnoteText"/>
        <w:rPr>
          <w:sz w:val="16"/>
          <w:szCs w:val="16"/>
        </w:rPr>
      </w:pPr>
      <w:r w:rsidRPr="00AE3AFB">
        <w:rPr>
          <w:rStyle w:val="FootnoteReference"/>
          <w:sz w:val="16"/>
          <w:szCs w:val="16"/>
        </w:rPr>
        <w:footnoteRef/>
      </w:r>
      <w:r w:rsidRPr="00AE3AFB">
        <w:rPr>
          <w:sz w:val="16"/>
          <w:szCs w:val="16"/>
        </w:rPr>
        <w:t xml:space="preserve"> Low Emissions Development Strategy of the Republic of Moldova (2016-2030) – Moldova being the first country in the world to adopt it, Climate Change Adaptation Strategy of Republic of Moldova and its Action Plan (2014-2020), Sector specific Climate Change Adaptation Strategies of health and forestry sectors and their APs (under approval), National Environmental Strategy (2014-2023), National Biodiversity Strategy (2015-2020). National DR Management Strategy and AP with a focus on prevention and preparedness </w:t>
      </w:r>
    </w:p>
  </w:footnote>
  <w:footnote w:id="10">
    <w:p w14:paraId="43AE7F5B" w14:textId="77777777" w:rsidR="00985E0C" w:rsidRPr="00AE3AFB" w:rsidRDefault="00985E0C" w:rsidP="00B8039F">
      <w:pPr>
        <w:ind w:right="1267"/>
        <w:jc w:val="both"/>
        <w:rPr>
          <w:color w:val="000000"/>
          <w:sz w:val="16"/>
          <w:szCs w:val="16"/>
        </w:rPr>
      </w:pPr>
      <w:r w:rsidRPr="00AE3AFB">
        <w:rPr>
          <w:rStyle w:val="FootnoteReference"/>
          <w:sz w:val="16"/>
          <w:szCs w:val="16"/>
        </w:rPr>
        <w:footnoteRef/>
      </w:r>
      <w:r w:rsidRPr="00AE3AFB">
        <w:rPr>
          <w:sz w:val="16"/>
          <w:szCs w:val="16"/>
        </w:rPr>
        <w:t xml:space="preserve"> </w:t>
      </w:r>
      <w:r w:rsidRPr="00AE3AFB">
        <w:rPr>
          <w:color w:val="000000"/>
          <w:sz w:val="16"/>
          <w:szCs w:val="16"/>
        </w:rPr>
        <w:t xml:space="preserve">Around 23,560 people in rural areas benefited from degraded pasture and forest restorations (190 ha in total) and improved management of 839 ha of pastures.  </w:t>
      </w:r>
    </w:p>
    <w:p w14:paraId="1858AF69" w14:textId="77777777" w:rsidR="00985E0C" w:rsidRPr="00AE3AFB" w:rsidRDefault="00985E0C" w:rsidP="00B8039F">
      <w:pPr>
        <w:pStyle w:val="FootnoteText"/>
        <w:rPr>
          <w:sz w:val="16"/>
          <w:szCs w:val="16"/>
        </w:rPr>
      </w:pPr>
    </w:p>
  </w:footnote>
  <w:footnote w:id="11">
    <w:p w14:paraId="25F571F1" w14:textId="77777777" w:rsidR="0017685E" w:rsidRPr="007A55B3" w:rsidRDefault="0017685E" w:rsidP="0017685E">
      <w:pPr>
        <w:pStyle w:val="FootnoteText"/>
        <w:rPr>
          <w:sz w:val="16"/>
          <w:szCs w:val="16"/>
        </w:rPr>
      </w:pPr>
      <w:r w:rsidRPr="007A55B3">
        <w:rPr>
          <w:rStyle w:val="FootnoteReference"/>
          <w:sz w:val="16"/>
          <w:szCs w:val="16"/>
        </w:rPr>
        <w:footnoteRef/>
      </w:r>
      <w:r w:rsidRPr="007A55B3">
        <w:rPr>
          <w:sz w:val="16"/>
          <w:szCs w:val="16"/>
        </w:rPr>
        <w:t xml:space="preserve"> Final Evaluation of UN-RM Partne</w:t>
      </w:r>
      <w:r>
        <w:rPr>
          <w:sz w:val="16"/>
          <w:szCs w:val="16"/>
        </w:rPr>
        <w:t xml:space="preserve">rship Framework 2013-2017, </w:t>
      </w:r>
    </w:p>
  </w:footnote>
  <w:footnote w:id="12">
    <w:p w14:paraId="5420E4B2" w14:textId="77777777" w:rsidR="0017685E" w:rsidRDefault="0017685E" w:rsidP="0017685E">
      <w:pPr>
        <w:pStyle w:val="FootnoteText"/>
      </w:pPr>
      <w:r w:rsidRPr="00FB258B">
        <w:rPr>
          <w:sz w:val="14"/>
        </w:rPr>
        <w:footnoteRef/>
      </w:r>
      <w:r w:rsidRPr="00FB258B">
        <w:rPr>
          <w:sz w:val="14"/>
        </w:rPr>
        <w:t xml:space="preserve"> </w:t>
      </w:r>
      <w:r w:rsidRPr="00FB258B">
        <w:rPr>
          <w:sz w:val="16"/>
        </w:rPr>
        <w:t>Highlighted in the final evaluation of the Democracy Programme, operating in a particularly politicized context of Parliamentary Development, February 2017</w:t>
      </w:r>
    </w:p>
  </w:footnote>
  <w:footnote w:id="13">
    <w:p w14:paraId="0CF258B5" w14:textId="77777777" w:rsidR="0017685E" w:rsidRPr="00E81DF4" w:rsidRDefault="0017685E" w:rsidP="0017685E">
      <w:pPr>
        <w:pStyle w:val="FootnoteText"/>
        <w:rPr>
          <w:sz w:val="16"/>
          <w:szCs w:val="16"/>
        </w:rPr>
      </w:pPr>
      <w:r w:rsidRPr="00502832">
        <w:rPr>
          <w:rStyle w:val="FootnoteReference"/>
          <w:sz w:val="16"/>
          <w:szCs w:val="16"/>
        </w:rPr>
        <w:footnoteRef/>
      </w:r>
      <w:r w:rsidRPr="00502832">
        <w:rPr>
          <w:sz w:val="16"/>
          <w:szCs w:val="16"/>
        </w:rPr>
        <w:t xml:space="preserve"> UNDAF Final Evaluation</w:t>
      </w:r>
      <w:r>
        <w:rPr>
          <w:sz w:val="16"/>
          <w:szCs w:val="16"/>
        </w:rPr>
        <w:t>.</w:t>
      </w:r>
    </w:p>
  </w:footnote>
  <w:footnote w:id="14">
    <w:p w14:paraId="4841DBA4" w14:textId="77777777" w:rsidR="0017685E" w:rsidRPr="007A55B3" w:rsidRDefault="0017685E" w:rsidP="0017685E">
      <w:pPr>
        <w:pStyle w:val="FootnoteText"/>
        <w:rPr>
          <w:sz w:val="16"/>
          <w:szCs w:val="16"/>
        </w:rPr>
      </w:pPr>
      <w:r w:rsidRPr="007A55B3">
        <w:rPr>
          <w:rStyle w:val="FootnoteReference"/>
          <w:sz w:val="16"/>
          <w:szCs w:val="16"/>
        </w:rPr>
        <w:footnoteRef/>
      </w:r>
      <w:r w:rsidRPr="007A55B3">
        <w:rPr>
          <w:sz w:val="16"/>
          <w:szCs w:val="16"/>
        </w:rPr>
        <w:t xml:space="preserve"> 10 countries in the ECA region </w:t>
      </w:r>
      <w:r>
        <w:rPr>
          <w:sz w:val="16"/>
          <w:szCs w:val="16"/>
        </w:rPr>
        <w:t>planning to</w:t>
      </w:r>
      <w:r w:rsidRPr="007A55B3">
        <w:rPr>
          <w:sz w:val="16"/>
          <w:szCs w:val="16"/>
        </w:rPr>
        <w:t xml:space="preserve"> replicate the model.</w:t>
      </w:r>
    </w:p>
  </w:footnote>
  <w:footnote w:id="15">
    <w:p w14:paraId="2193EBC9" w14:textId="77777777" w:rsidR="0017685E" w:rsidRDefault="0017685E" w:rsidP="0017685E">
      <w:pPr>
        <w:pStyle w:val="FootnoteText"/>
      </w:pPr>
      <w:r w:rsidRPr="007A55B3">
        <w:rPr>
          <w:rStyle w:val="FootnoteReference"/>
          <w:sz w:val="16"/>
          <w:szCs w:val="16"/>
        </w:rPr>
        <w:footnoteRef/>
      </w:r>
      <w:r w:rsidRPr="007A55B3">
        <w:rPr>
          <w:sz w:val="16"/>
          <w:szCs w:val="16"/>
        </w:rPr>
        <w:t xml:space="preserve">  Final Evaluation of the Democracy Programme, February 2017</w:t>
      </w:r>
    </w:p>
  </w:footnote>
  <w:footnote w:id="16">
    <w:p w14:paraId="42C94341" w14:textId="77777777" w:rsidR="0017685E" w:rsidRPr="00502832" w:rsidRDefault="0017685E" w:rsidP="0017685E">
      <w:pPr>
        <w:pStyle w:val="FootnoteText"/>
        <w:rPr>
          <w:sz w:val="16"/>
          <w:szCs w:val="16"/>
        </w:rPr>
      </w:pPr>
      <w:r w:rsidRPr="00502832">
        <w:rPr>
          <w:rStyle w:val="FootnoteReference"/>
          <w:sz w:val="16"/>
          <w:szCs w:val="16"/>
        </w:rPr>
        <w:footnoteRef/>
      </w:r>
      <w:r w:rsidRPr="00502832">
        <w:rPr>
          <w:sz w:val="16"/>
          <w:szCs w:val="16"/>
        </w:rPr>
        <w:t xml:space="preserve"> UNDAF final evaluation</w:t>
      </w:r>
      <w:r>
        <w:rPr>
          <w:sz w:val="16"/>
          <w:szCs w:val="16"/>
        </w:rPr>
        <w:t>.</w:t>
      </w:r>
    </w:p>
  </w:footnote>
  <w:footnote w:id="17">
    <w:p w14:paraId="3E25E829" w14:textId="77777777" w:rsidR="0017685E" w:rsidRPr="00AE3AFB" w:rsidRDefault="0017685E" w:rsidP="0017685E">
      <w:pPr>
        <w:pStyle w:val="FootnoteText"/>
        <w:rPr>
          <w:sz w:val="16"/>
          <w:szCs w:val="16"/>
        </w:rPr>
      </w:pPr>
      <w:r w:rsidRPr="00502832">
        <w:rPr>
          <w:rStyle w:val="FootnoteReference"/>
          <w:sz w:val="16"/>
          <w:szCs w:val="16"/>
        </w:rPr>
        <w:footnoteRef/>
      </w:r>
      <w:r w:rsidRPr="00502832">
        <w:rPr>
          <w:sz w:val="16"/>
          <w:szCs w:val="16"/>
        </w:rPr>
        <w:t xml:space="preserve"> EU </w:t>
      </w:r>
      <w:r w:rsidRPr="00AE3AFB">
        <w:rPr>
          <w:sz w:val="16"/>
          <w:szCs w:val="16"/>
        </w:rPr>
        <w:t>Commission Impact Assessment, 2015.</w:t>
      </w:r>
    </w:p>
  </w:footnote>
  <w:footnote w:id="18">
    <w:p w14:paraId="4F4834AD" w14:textId="77777777" w:rsidR="0017685E" w:rsidRPr="00AE3AFB" w:rsidRDefault="0017685E" w:rsidP="0017685E">
      <w:pPr>
        <w:pStyle w:val="FootnoteText"/>
        <w:rPr>
          <w:sz w:val="16"/>
          <w:szCs w:val="16"/>
        </w:rPr>
      </w:pPr>
      <w:r w:rsidRPr="00AE3AFB">
        <w:rPr>
          <w:rStyle w:val="FootnoteReference"/>
          <w:sz w:val="16"/>
          <w:szCs w:val="16"/>
        </w:rPr>
        <w:footnoteRef/>
      </w:r>
      <w:r w:rsidRPr="00AE3AFB">
        <w:rPr>
          <w:sz w:val="16"/>
          <w:szCs w:val="16"/>
        </w:rPr>
        <w:t xml:space="preserve"> EU Joint Analysis. Programming on RM 2020, p. 99, https://eeas.europa.eu/sites/eeas/files/joint_analysis_0.pdf</w:t>
      </w:r>
    </w:p>
  </w:footnote>
  <w:footnote w:id="19">
    <w:p w14:paraId="2019AB23" w14:textId="77777777" w:rsidR="0017685E" w:rsidRPr="00AE3AFB" w:rsidRDefault="0017685E" w:rsidP="0017685E">
      <w:pPr>
        <w:pStyle w:val="FootnoteText"/>
        <w:rPr>
          <w:sz w:val="16"/>
          <w:szCs w:val="16"/>
        </w:rPr>
      </w:pPr>
      <w:r w:rsidRPr="00AE3AFB">
        <w:rPr>
          <w:rStyle w:val="FootnoteReference"/>
          <w:sz w:val="16"/>
          <w:szCs w:val="16"/>
        </w:rPr>
        <w:footnoteRef/>
      </w:r>
      <w:r w:rsidRPr="00AE3AFB">
        <w:rPr>
          <w:sz w:val="16"/>
          <w:szCs w:val="16"/>
        </w:rPr>
        <w:t xml:space="preserve"> Low Emissions Development Strategy of the Republic of Moldova (2016-2030) – Moldova being the first country in the world to adopt it, Climate Change Adaptation Strategy of Republic of Moldova and its Action Plan (2014-2020), Sector specific Climate Change Adaptation Strategies of health and forestry sectors and their APs (under approval), National Environmental Strategy (2014-2023), National Biodiversity Strategy (2015-2020). National DR Management Strategy and AP with a focus on prevention and preparedness </w:t>
      </w:r>
    </w:p>
  </w:footnote>
  <w:footnote w:id="20">
    <w:p w14:paraId="13C732D6" w14:textId="77777777" w:rsidR="0017685E" w:rsidRPr="00AE3AFB" w:rsidRDefault="0017685E" w:rsidP="0017685E">
      <w:pPr>
        <w:ind w:right="1267"/>
        <w:jc w:val="both"/>
        <w:rPr>
          <w:color w:val="000000"/>
          <w:sz w:val="16"/>
          <w:szCs w:val="16"/>
        </w:rPr>
      </w:pPr>
      <w:r w:rsidRPr="00AE3AFB">
        <w:rPr>
          <w:rStyle w:val="FootnoteReference"/>
          <w:sz w:val="16"/>
          <w:szCs w:val="16"/>
        </w:rPr>
        <w:footnoteRef/>
      </w:r>
      <w:r w:rsidRPr="00AE3AFB">
        <w:rPr>
          <w:sz w:val="16"/>
          <w:szCs w:val="16"/>
        </w:rPr>
        <w:t xml:space="preserve"> </w:t>
      </w:r>
      <w:r w:rsidRPr="00AE3AFB">
        <w:rPr>
          <w:color w:val="000000"/>
          <w:sz w:val="16"/>
          <w:szCs w:val="16"/>
        </w:rPr>
        <w:t xml:space="preserve">Around 23,560 people in rural areas benefited from degraded pasture and forest restorations (190 ha in total) and improved management of 839 ha of pastures.  </w:t>
      </w:r>
    </w:p>
    <w:p w14:paraId="5BF5FC67" w14:textId="77777777" w:rsidR="0017685E" w:rsidRPr="00AE3AFB" w:rsidRDefault="0017685E" w:rsidP="0017685E">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342"/>
    <w:multiLevelType w:val="hybridMultilevel"/>
    <w:tmpl w:val="9EA00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9EF"/>
    <w:multiLevelType w:val="hybridMultilevel"/>
    <w:tmpl w:val="C2E44DD0"/>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AB0525"/>
    <w:multiLevelType w:val="hybridMultilevel"/>
    <w:tmpl w:val="C964899A"/>
    <w:lvl w:ilvl="0" w:tplc="5134AFA6">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159BC"/>
    <w:multiLevelType w:val="hybridMultilevel"/>
    <w:tmpl w:val="C2E44DD0"/>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4424F"/>
    <w:multiLevelType w:val="hybridMultilevel"/>
    <w:tmpl w:val="EEF85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D676F"/>
    <w:multiLevelType w:val="hybridMultilevel"/>
    <w:tmpl w:val="B49A198C"/>
    <w:lvl w:ilvl="0" w:tplc="3690C08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63B25"/>
    <w:multiLevelType w:val="hybridMultilevel"/>
    <w:tmpl w:val="B86C7CAE"/>
    <w:lvl w:ilvl="0" w:tplc="042F0019">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1FB069AB"/>
    <w:multiLevelType w:val="hybridMultilevel"/>
    <w:tmpl w:val="5F0841A2"/>
    <w:lvl w:ilvl="0" w:tplc="0409000F">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A8D6C62"/>
    <w:multiLevelType w:val="hybridMultilevel"/>
    <w:tmpl w:val="79A8BB64"/>
    <w:lvl w:ilvl="0" w:tplc="042F0019">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BAE3470"/>
    <w:multiLevelType w:val="hybridMultilevel"/>
    <w:tmpl w:val="42C27C7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654D4"/>
    <w:multiLevelType w:val="hybridMultilevel"/>
    <w:tmpl w:val="CF3CB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9"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05416"/>
    <w:multiLevelType w:val="hybridMultilevel"/>
    <w:tmpl w:val="47EECB0A"/>
    <w:lvl w:ilvl="0" w:tplc="B108F9CA">
      <w:start w:val="1"/>
      <w:numFmt w:val="lowerLetter"/>
      <w:lvlText w:val="%1)"/>
      <w:lvlJc w:val="left"/>
      <w:pPr>
        <w:ind w:left="72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AD2993"/>
    <w:multiLevelType w:val="hybridMultilevel"/>
    <w:tmpl w:val="BA56E410"/>
    <w:lvl w:ilvl="0" w:tplc="042F0019">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31688B"/>
    <w:multiLevelType w:val="hybridMultilevel"/>
    <w:tmpl w:val="C0B0C8DA"/>
    <w:lvl w:ilvl="0" w:tplc="EAAA270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116146"/>
    <w:multiLevelType w:val="hybridMultilevel"/>
    <w:tmpl w:val="B6846818"/>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7F741D"/>
    <w:multiLevelType w:val="hybridMultilevel"/>
    <w:tmpl w:val="E286D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03760"/>
    <w:multiLevelType w:val="hybridMultilevel"/>
    <w:tmpl w:val="17429B48"/>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6E883489"/>
    <w:multiLevelType w:val="hybridMultilevel"/>
    <w:tmpl w:val="88549314"/>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6F944A4B"/>
    <w:multiLevelType w:val="hybridMultilevel"/>
    <w:tmpl w:val="9B6CF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AF308D2"/>
    <w:multiLevelType w:val="hybridMultilevel"/>
    <w:tmpl w:val="683EA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12"/>
  </w:num>
  <w:num w:numId="4">
    <w:abstractNumId w:val="6"/>
  </w:num>
  <w:num w:numId="5">
    <w:abstractNumId w:val="22"/>
  </w:num>
  <w:num w:numId="6">
    <w:abstractNumId w:val="25"/>
  </w:num>
  <w:num w:numId="7">
    <w:abstractNumId w:val="3"/>
  </w:num>
  <w:num w:numId="8">
    <w:abstractNumId w:val="24"/>
  </w:num>
  <w:num w:numId="9">
    <w:abstractNumId w:val="7"/>
  </w:num>
  <w:num w:numId="10">
    <w:abstractNumId w:val="14"/>
  </w:num>
  <w:num w:numId="11">
    <w:abstractNumId w:val="34"/>
  </w:num>
  <w:num w:numId="12">
    <w:abstractNumId w:val="19"/>
  </w:num>
  <w:num w:numId="13">
    <w:abstractNumId w:val="21"/>
  </w:num>
  <w:num w:numId="14">
    <w:abstractNumId w:val="13"/>
  </w:num>
  <w:num w:numId="15">
    <w:abstractNumId w:val="1"/>
  </w:num>
  <w:num w:numId="16">
    <w:abstractNumId w:val="29"/>
  </w:num>
  <w:num w:numId="17">
    <w:abstractNumId w:val="27"/>
  </w:num>
  <w:num w:numId="18">
    <w:abstractNumId w:val="16"/>
  </w:num>
  <w:num w:numId="19">
    <w:abstractNumId w:val="32"/>
  </w:num>
  <w:num w:numId="20">
    <w:abstractNumId w:val="28"/>
  </w:num>
  <w:num w:numId="21">
    <w:abstractNumId w:val="10"/>
  </w:num>
  <w:num w:numId="22">
    <w:abstractNumId w:val="31"/>
  </w:num>
  <w:num w:numId="23">
    <w:abstractNumId w:val="20"/>
  </w:num>
  <w:num w:numId="24">
    <w:abstractNumId w:val="35"/>
  </w:num>
  <w:num w:numId="25">
    <w:abstractNumId w:val="23"/>
  </w:num>
  <w:num w:numId="26">
    <w:abstractNumId w:val="15"/>
  </w:num>
  <w:num w:numId="27">
    <w:abstractNumId w:val="8"/>
  </w:num>
  <w:num w:numId="28">
    <w:abstractNumId w:val="5"/>
  </w:num>
  <w:num w:numId="29">
    <w:abstractNumId w:val="4"/>
  </w:num>
  <w:num w:numId="30">
    <w:abstractNumId w:val="30"/>
  </w:num>
  <w:num w:numId="31">
    <w:abstractNumId w:val="33"/>
  </w:num>
  <w:num w:numId="32">
    <w:abstractNumId w:val="17"/>
  </w:num>
  <w:num w:numId="33">
    <w:abstractNumId w:val="0"/>
  </w:num>
  <w:num w:numId="34">
    <w:abstractNumId w:val="26"/>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4AB"/>
    <w:rsid w:val="00011A63"/>
    <w:rsid w:val="000128A6"/>
    <w:rsid w:val="0001368D"/>
    <w:rsid w:val="00014A40"/>
    <w:rsid w:val="00015796"/>
    <w:rsid w:val="000333C7"/>
    <w:rsid w:val="000502AD"/>
    <w:rsid w:val="00055462"/>
    <w:rsid w:val="00071109"/>
    <w:rsid w:val="00075025"/>
    <w:rsid w:val="00075905"/>
    <w:rsid w:val="0007627B"/>
    <w:rsid w:val="00077A3B"/>
    <w:rsid w:val="0008087B"/>
    <w:rsid w:val="000823AC"/>
    <w:rsid w:val="00095D94"/>
    <w:rsid w:val="00097D61"/>
    <w:rsid w:val="000A049E"/>
    <w:rsid w:val="000B0788"/>
    <w:rsid w:val="000B3799"/>
    <w:rsid w:val="000B3E9B"/>
    <w:rsid w:val="000B748D"/>
    <w:rsid w:val="000C09B4"/>
    <w:rsid w:val="000C1275"/>
    <w:rsid w:val="000C4457"/>
    <w:rsid w:val="000C46EF"/>
    <w:rsid w:val="000C5C6C"/>
    <w:rsid w:val="000D401B"/>
    <w:rsid w:val="000D6DE5"/>
    <w:rsid w:val="000F4A31"/>
    <w:rsid w:val="000F77FD"/>
    <w:rsid w:val="00110E5F"/>
    <w:rsid w:val="00111C32"/>
    <w:rsid w:val="00112580"/>
    <w:rsid w:val="00121906"/>
    <w:rsid w:val="00133921"/>
    <w:rsid w:val="00135D7A"/>
    <w:rsid w:val="00140CCD"/>
    <w:rsid w:val="001458F9"/>
    <w:rsid w:val="0015409F"/>
    <w:rsid w:val="00157815"/>
    <w:rsid w:val="001663A4"/>
    <w:rsid w:val="001667B0"/>
    <w:rsid w:val="00167DA9"/>
    <w:rsid w:val="00170E47"/>
    <w:rsid w:val="00176076"/>
    <w:rsid w:val="0017685E"/>
    <w:rsid w:val="00180CB1"/>
    <w:rsid w:val="00182556"/>
    <w:rsid w:val="001956C7"/>
    <w:rsid w:val="001A48A4"/>
    <w:rsid w:val="001A4D75"/>
    <w:rsid w:val="001B4985"/>
    <w:rsid w:val="001B721D"/>
    <w:rsid w:val="001D4E0B"/>
    <w:rsid w:val="001E055D"/>
    <w:rsid w:val="001E13BC"/>
    <w:rsid w:val="001E1DA9"/>
    <w:rsid w:val="001E6F0B"/>
    <w:rsid w:val="001F1CA4"/>
    <w:rsid w:val="001F3524"/>
    <w:rsid w:val="001F4ACE"/>
    <w:rsid w:val="0020677E"/>
    <w:rsid w:val="00206E90"/>
    <w:rsid w:val="00220378"/>
    <w:rsid w:val="00221A3C"/>
    <w:rsid w:val="00230A0E"/>
    <w:rsid w:val="002315A5"/>
    <w:rsid w:val="00232597"/>
    <w:rsid w:val="00243971"/>
    <w:rsid w:val="00253982"/>
    <w:rsid w:val="002547CF"/>
    <w:rsid w:val="0026321D"/>
    <w:rsid w:val="00263BA0"/>
    <w:rsid w:val="00264AEA"/>
    <w:rsid w:val="00264E4B"/>
    <w:rsid w:val="002666D9"/>
    <w:rsid w:val="00276D20"/>
    <w:rsid w:val="00297CDF"/>
    <w:rsid w:val="002A2DAA"/>
    <w:rsid w:val="002A691C"/>
    <w:rsid w:val="002B32CA"/>
    <w:rsid w:val="002B7F3B"/>
    <w:rsid w:val="002C17CE"/>
    <w:rsid w:val="002C2C94"/>
    <w:rsid w:val="002C44E9"/>
    <w:rsid w:val="002C4B80"/>
    <w:rsid w:val="002E18CB"/>
    <w:rsid w:val="002E587D"/>
    <w:rsid w:val="002F7E65"/>
    <w:rsid w:val="00315517"/>
    <w:rsid w:val="003172A9"/>
    <w:rsid w:val="0032175A"/>
    <w:rsid w:val="00322DEA"/>
    <w:rsid w:val="00323608"/>
    <w:rsid w:val="00324D48"/>
    <w:rsid w:val="00325549"/>
    <w:rsid w:val="00342480"/>
    <w:rsid w:val="00346615"/>
    <w:rsid w:val="00354CB5"/>
    <w:rsid w:val="00357B0E"/>
    <w:rsid w:val="00363EC5"/>
    <w:rsid w:val="00366AD1"/>
    <w:rsid w:val="00367867"/>
    <w:rsid w:val="00374F1D"/>
    <w:rsid w:val="0037523B"/>
    <w:rsid w:val="00376A52"/>
    <w:rsid w:val="00385BC3"/>
    <w:rsid w:val="00391C33"/>
    <w:rsid w:val="00392BC0"/>
    <w:rsid w:val="00393DE7"/>
    <w:rsid w:val="003B037A"/>
    <w:rsid w:val="003B340D"/>
    <w:rsid w:val="003B3CEF"/>
    <w:rsid w:val="003B422F"/>
    <w:rsid w:val="003C31D7"/>
    <w:rsid w:val="003D115C"/>
    <w:rsid w:val="003D653B"/>
    <w:rsid w:val="003E7210"/>
    <w:rsid w:val="004004FC"/>
    <w:rsid w:val="004054A1"/>
    <w:rsid w:val="00407164"/>
    <w:rsid w:val="00417008"/>
    <w:rsid w:val="00420C63"/>
    <w:rsid w:val="00424E4F"/>
    <w:rsid w:val="00433616"/>
    <w:rsid w:val="00441D4B"/>
    <w:rsid w:val="004425DD"/>
    <w:rsid w:val="004504FA"/>
    <w:rsid w:val="00450C60"/>
    <w:rsid w:val="00461D0E"/>
    <w:rsid w:val="00461D62"/>
    <w:rsid w:val="004622C6"/>
    <w:rsid w:val="004709A0"/>
    <w:rsid w:val="00473DF9"/>
    <w:rsid w:val="004810C7"/>
    <w:rsid w:val="004911AB"/>
    <w:rsid w:val="00491723"/>
    <w:rsid w:val="004919E5"/>
    <w:rsid w:val="00491A93"/>
    <w:rsid w:val="00494FAC"/>
    <w:rsid w:val="004A2EE1"/>
    <w:rsid w:val="004A5DC2"/>
    <w:rsid w:val="004B1D0D"/>
    <w:rsid w:val="004B3386"/>
    <w:rsid w:val="004B3911"/>
    <w:rsid w:val="004B6D08"/>
    <w:rsid w:val="004C595C"/>
    <w:rsid w:val="004C6F54"/>
    <w:rsid w:val="004D3DBE"/>
    <w:rsid w:val="004D4C1C"/>
    <w:rsid w:val="004E55B0"/>
    <w:rsid w:val="004E5A9F"/>
    <w:rsid w:val="004F58E4"/>
    <w:rsid w:val="00510533"/>
    <w:rsid w:val="005150D6"/>
    <w:rsid w:val="00515FB0"/>
    <w:rsid w:val="0051678B"/>
    <w:rsid w:val="00516AC8"/>
    <w:rsid w:val="00517068"/>
    <w:rsid w:val="005174C9"/>
    <w:rsid w:val="00517955"/>
    <w:rsid w:val="00524338"/>
    <w:rsid w:val="00525654"/>
    <w:rsid w:val="00525B06"/>
    <w:rsid w:val="00530FDE"/>
    <w:rsid w:val="00531348"/>
    <w:rsid w:val="00536406"/>
    <w:rsid w:val="0054602B"/>
    <w:rsid w:val="005474ED"/>
    <w:rsid w:val="0056706F"/>
    <w:rsid w:val="0058652B"/>
    <w:rsid w:val="00594573"/>
    <w:rsid w:val="005954BC"/>
    <w:rsid w:val="005A17B5"/>
    <w:rsid w:val="005A7B65"/>
    <w:rsid w:val="005B0AC0"/>
    <w:rsid w:val="005B1F2F"/>
    <w:rsid w:val="005B258D"/>
    <w:rsid w:val="005B6665"/>
    <w:rsid w:val="005C5809"/>
    <w:rsid w:val="005C6168"/>
    <w:rsid w:val="005C7820"/>
    <w:rsid w:val="005D2FB2"/>
    <w:rsid w:val="005D321D"/>
    <w:rsid w:val="005E06F4"/>
    <w:rsid w:val="005E0C05"/>
    <w:rsid w:val="005F0E6D"/>
    <w:rsid w:val="005F2E08"/>
    <w:rsid w:val="005F6261"/>
    <w:rsid w:val="005F7BED"/>
    <w:rsid w:val="00606980"/>
    <w:rsid w:val="00612159"/>
    <w:rsid w:val="0061410E"/>
    <w:rsid w:val="00614913"/>
    <w:rsid w:val="00615F74"/>
    <w:rsid w:val="006163C8"/>
    <w:rsid w:val="00617976"/>
    <w:rsid w:val="00621E3C"/>
    <w:rsid w:val="006235FF"/>
    <w:rsid w:val="0062508C"/>
    <w:rsid w:val="00626555"/>
    <w:rsid w:val="00633DC3"/>
    <w:rsid w:val="00634010"/>
    <w:rsid w:val="00635929"/>
    <w:rsid w:val="00637D60"/>
    <w:rsid w:val="006436B0"/>
    <w:rsid w:val="0064746F"/>
    <w:rsid w:val="00653423"/>
    <w:rsid w:val="00667E13"/>
    <w:rsid w:val="00667F78"/>
    <w:rsid w:val="00673710"/>
    <w:rsid w:val="0067402D"/>
    <w:rsid w:val="00674B1A"/>
    <w:rsid w:val="0068144D"/>
    <w:rsid w:val="0068219F"/>
    <w:rsid w:val="00684D43"/>
    <w:rsid w:val="006900FE"/>
    <w:rsid w:val="00691166"/>
    <w:rsid w:val="006B0C1D"/>
    <w:rsid w:val="006B392B"/>
    <w:rsid w:val="006C1E83"/>
    <w:rsid w:val="006C3D7E"/>
    <w:rsid w:val="006E200A"/>
    <w:rsid w:val="00700521"/>
    <w:rsid w:val="007009FC"/>
    <w:rsid w:val="00700B76"/>
    <w:rsid w:val="00704406"/>
    <w:rsid w:val="007345DE"/>
    <w:rsid w:val="00737AEE"/>
    <w:rsid w:val="00740614"/>
    <w:rsid w:val="0074116A"/>
    <w:rsid w:val="00743281"/>
    <w:rsid w:val="00746626"/>
    <w:rsid w:val="00760E32"/>
    <w:rsid w:val="007644E0"/>
    <w:rsid w:val="00764E41"/>
    <w:rsid w:val="007672F7"/>
    <w:rsid w:val="00771515"/>
    <w:rsid w:val="007743F9"/>
    <w:rsid w:val="00776056"/>
    <w:rsid w:val="00790C12"/>
    <w:rsid w:val="00791C2F"/>
    <w:rsid w:val="0079306B"/>
    <w:rsid w:val="007A1B4C"/>
    <w:rsid w:val="007A3F4F"/>
    <w:rsid w:val="007A5990"/>
    <w:rsid w:val="007A5D0A"/>
    <w:rsid w:val="007B340D"/>
    <w:rsid w:val="007C1B15"/>
    <w:rsid w:val="007E1663"/>
    <w:rsid w:val="007E3387"/>
    <w:rsid w:val="007E4401"/>
    <w:rsid w:val="007F4DE4"/>
    <w:rsid w:val="007F51C6"/>
    <w:rsid w:val="007F54A8"/>
    <w:rsid w:val="008018C5"/>
    <w:rsid w:val="00813F1E"/>
    <w:rsid w:val="0081403B"/>
    <w:rsid w:val="00817848"/>
    <w:rsid w:val="00820301"/>
    <w:rsid w:val="008211A9"/>
    <w:rsid w:val="00826C6E"/>
    <w:rsid w:val="00837C4B"/>
    <w:rsid w:val="00840880"/>
    <w:rsid w:val="00842737"/>
    <w:rsid w:val="00843006"/>
    <w:rsid w:val="008440D9"/>
    <w:rsid w:val="008451D7"/>
    <w:rsid w:val="00845340"/>
    <w:rsid w:val="00853818"/>
    <w:rsid w:val="00855EBF"/>
    <w:rsid w:val="0086019A"/>
    <w:rsid w:val="00860A00"/>
    <w:rsid w:val="00867257"/>
    <w:rsid w:val="00867AAC"/>
    <w:rsid w:val="0087519D"/>
    <w:rsid w:val="00882ECA"/>
    <w:rsid w:val="008A2217"/>
    <w:rsid w:val="008B021C"/>
    <w:rsid w:val="008B06DD"/>
    <w:rsid w:val="008B156F"/>
    <w:rsid w:val="008B40DD"/>
    <w:rsid w:val="008C2EBF"/>
    <w:rsid w:val="008C4130"/>
    <w:rsid w:val="008C563F"/>
    <w:rsid w:val="008D0A4E"/>
    <w:rsid w:val="008D1EBB"/>
    <w:rsid w:val="008D40A9"/>
    <w:rsid w:val="008D4556"/>
    <w:rsid w:val="008D5299"/>
    <w:rsid w:val="008D791F"/>
    <w:rsid w:val="008E255F"/>
    <w:rsid w:val="008E44BC"/>
    <w:rsid w:val="008E5D15"/>
    <w:rsid w:val="008F0A97"/>
    <w:rsid w:val="00907218"/>
    <w:rsid w:val="00914C4C"/>
    <w:rsid w:val="0091590E"/>
    <w:rsid w:val="009169C1"/>
    <w:rsid w:val="0091786C"/>
    <w:rsid w:val="00920ABA"/>
    <w:rsid w:val="00920DA0"/>
    <w:rsid w:val="00920DBC"/>
    <w:rsid w:val="00920FB6"/>
    <w:rsid w:val="0092172C"/>
    <w:rsid w:val="00931B2C"/>
    <w:rsid w:val="009321CB"/>
    <w:rsid w:val="00933FD7"/>
    <w:rsid w:val="009353D7"/>
    <w:rsid w:val="00935AB6"/>
    <w:rsid w:val="00942B3B"/>
    <w:rsid w:val="00957A66"/>
    <w:rsid w:val="0096018F"/>
    <w:rsid w:val="0096722D"/>
    <w:rsid w:val="009702B3"/>
    <w:rsid w:val="0097197E"/>
    <w:rsid w:val="00975566"/>
    <w:rsid w:val="009813BC"/>
    <w:rsid w:val="00983048"/>
    <w:rsid w:val="00985E0C"/>
    <w:rsid w:val="00990CED"/>
    <w:rsid w:val="00996C6B"/>
    <w:rsid w:val="009A22C4"/>
    <w:rsid w:val="009A7565"/>
    <w:rsid w:val="009B3649"/>
    <w:rsid w:val="009B76A1"/>
    <w:rsid w:val="009C695A"/>
    <w:rsid w:val="009D2867"/>
    <w:rsid w:val="009D521C"/>
    <w:rsid w:val="009E100B"/>
    <w:rsid w:val="009E2931"/>
    <w:rsid w:val="009E7526"/>
    <w:rsid w:val="009F21FD"/>
    <w:rsid w:val="009F7813"/>
    <w:rsid w:val="00A0001A"/>
    <w:rsid w:val="00A01CAC"/>
    <w:rsid w:val="00A10EFF"/>
    <w:rsid w:val="00A133D1"/>
    <w:rsid w:val="00A16F22"/>
    <w:rsid w:val="00A1786A"/>
    <w:rsid w:val="00A210CD"/>
    <w:rsid w:val="00A30EBB"/>
    <w:rsid w:val="00A40130"/>
    <w:rsid w:val="00A4074D"/>
    <w:rsid w:val="00A44F24"/>
    <w:rsid w:val="00A45528"/>
    <w:rsid w:val="00A510C3"/>
    <w:rsid w:val="00A57912"/>
    <w:rsid w:val="00A608DE"/>
    <w:rsid w:val="00A74149"/>
    <w:rsid w:val="00A74736"/>
    <w:rsid w:val="00A85E34"/>
    <w:rsid w:val="00A86FF4"/>
    <w:rsid w:val="00A90384"/>
    <w:rsid w:val="00A930AF"/>
    <w:rsid w:val="00AA001E"/>
    <w:rsid w:val="00AA02A4"/>
    <w:rsid w:val="00AA0CF0"/>
    <w:rsid w:val="00AA2DA4"/>
    <w:rsid w:val="00AB3566"/>
    <w:rsid w:val="00AB62D1"/>
    <w:rsid w:val="00AD2F4E"/>
    <w:rsid w:val="00AE0645"/>
    <w:rsid w:val="00AF0C50"/>
    <w:rsid w:val="00AF3809"/>
    <w:rsid w:val="00AF496B"/>
    <w:rsid w:val="00B00E5C"/>
    <w:rsid w:val="00B053BE"/>
    <w:rsid w:val="00B123CD"/>
    <w:rsid w:val="00B2050D"/>
    <w:rsid w:val="00B20976"/>
    <w:rsid w:val="00B25B8C"/>
    <w:rsid w:val="00B32ADA"/>
    <w:rsid w:val="00B432C2"/>
    <w:rsid w:val="00B52F44"/>
    <w:rsid w:val="00B635E3"/>
    <w:rsid w:val="00B64ACA"/>
    <w:rsid w:val="00B65AFE"/>
    <w:rsid w:val="00B73990"/>
    <w:rsid w:val="00B73CB7"/>
    <w:rsid w:val="00B74773"/>
    <w:rsid w:val="00B8039F"/>
    <w:rsid w:val="00B821F3"/>
    <w:rsid w:val="00B85AF1"/>
    <w:rsid w:val="00B92420"/>
    <w:rsid w:val="00B94525"/>
    <w:rsid w:val="00B96A6C"/>
    <w:rsid w:val="00BB539E"/>
    <w:rsid w:val="00BB6B5E"/>
    <w:rsid w:val="00BB6B6D"/>
    <w:rsid w:val="00BB7773"/>
    <w:rsid w:val="00BC38E0"/>
    <w:rsid w:val="00BD21F1"/>
    <w:rsid w:val="00BD55B0"/>
    <w:rsid w:val="00BD67F7"/>
    <w:rsid w:val="00BE171C"/>
    <w:rsid w:val="00BE24B2"/>
    <w:rsid w:val="00BE28B8"/>
    <w:rsid w:val="00BE2925"/>
    <w:rsid w:val="00BE3AD1"/>
    <w:rsid w:val="00BE61F1"/>
    <w:rsid w:val="00BE7D6F"/>
    <w:rsid w:val="00BF21FB"/>
    <w:rsid w:val="00BF3C19"/>
    <w:rsid w:val="00BF4C88"/>
    <w:rsid w:val="00BF6201"/>
    <w:rsid w:val="00C01059"/>
    <w:rsid w:val="00C13754"/>
    <w:rsid w:val="00C2103F"/>
    <w:rsid w:val="00C30FAF"/>
    <w:rsid w:val="00C337A5"/>
    <w:rsid w:val="00C4033D"/>
    <w:rsid w:val="00C5685B"/>
    <w:rsid w:val="00C576D1"/>
    <w:rsid w:val="00C614BD"/>
    <w:rsid w:val="00C66DE1"/>
    <w:rsid w:val="00C70DED"/>
    <w:rsid w:val="00C71EC6"/>
    <w:rsid w:val="00C7585A"/>
    <w:rsid w:val="00C77395"/>
    <w:rsid w:val="00C940DD"/>
    <w:rsid w:val="00C97E31"/>
    <w:rsid w:val="00CB647D"/>
    <w:rsid w:val="00CB6E51"/>
    <w:rsid w:val="00CB7710"/>
    <w:rsid w:val="00CC0287"/>
    <w:rsid w:val="00CC3BCB"/>
    <w:rsid w:val="00CC477B"/>
    <w:rsid w:val="00CD19C0"/>
    <w:rsid w:val="00CF1CE0"/>
    <w:rsid w:val="00CF2654"/>
    <w:rsid w:val="00D02E97"/>
    <w:rsid w:val="00D30BE3"/>
    <w:rsid w:val="00D43468"/>
    <w:rsid w:val="00D46D61"/>
    <w:rsid w:val="00D507AB"/>
    <w:rsid w:val="00D50A8E"/>
    <w:rsid w:val="00D528BD"/>
    <w:rsid w:val="00D541E7"/>
    <w:rsid w:val="00D57B82"/>
    <w:rsid w:val="00D614C2"/>
    <w:rsid w:val="00D628E3"/>
    <w:rsid w:val="00D74F88"/>
    <w:rsid w:val="00D7689C"/>
    <w:rsid w:val="00D80A4F"/>
    <w:rsid w:val="00D84DA0"/>
    <w:rsid w:val="00D86B8C"/>
    <w:rsid w:val="00D9192E"/>
    <w:rsid w:val="00DA29D8"/>
    <w:rsid w:val="00DB6F4A"/>
    <w:rsid w:val="00DC4D86"/>
    <w:rsid w:val="00DC7354"/>
    <w:rsid w:val="00DD4368"/>
    <w:rsid w:val="00DD598B"/>
    <w:rsid w:val="00DE0E64"/>
    <w:rsid w:val="00DE3F6A"/>
    <w:rsid w:val="00DF0357"/>
    <w:rsid w:val="00DF3CD5"/>
    <w:rsid w:val="00E014ED"/>
    <w:rsid w:val="00E06A4E"/>
    <w:rsid w:val="00E06B1F"/>
    <w:rsid w:val="00E1538D"/>
    <w:rsid w:val="00E1547F"/>
    <w:rsid w:val="00E24297"/>
    <w:rsid w:val="00E24A1B"/>
    <w:rsid w:val="00E32ACA"/>
    <w:rsid w:val="00E3443F"/>
    <w:rsid w:val="00E37E7A"/>
    <w:rsid w:val="00E46941"/>
    <w:rsid w:val="00E51397"/>
    <w:rsid w:val="00E5225C"/>
    <w:rsid w:val="00E770DC"/>
    <w:rsid w:val="00E8459D"/>
    <w:rsid w:val="00E91668"/>
    <w:rsid w:val="00E91CEF"/>
    <w:rsid w:val="00E94F13"/>
    <w:rsid w:val="00EA5262"/>
    <w:rsid w:val="00EA61D9"/>
    <w:rsid w:val="00EA7740"/>
    <w:rsid w:val="00EC0F5A"/>
    <w:rsid w:val="00EC45A2"/>
    <w:rsid w:val="00EC745B"/>
    <w:rsid w:val="00EC7BBC"/>
    <w:rsid w:val="00ED0C18"/>
    <w:rsid w:val="00ED14A7"/>
    <w:rsid w:val="00EE1D60"/>
    <w:rsid w:val="00EE5C13"/>
    <w:rsid w:val="00EF2B06"/>
    <w:rsid w:val="00F01FDE"/>
    <w:rsid w:val="00F11895"/>
    <w:rsid w:val="00F11D55"/>
    <w:rsid w:val="00F16195"/>
    <w:rsid w:val="00F31949"/>
    <w:rsid w:val="00F33855"/>
    <w:rsid w:val="00F37FA7"/>
    <w:rsid w:val="00F41960"/>
    <w:rsid w:val="00F43473"/>
    <w:rsid w:val="00F5069D"/>
    <w:rsid w:val="00F63BEC"/>
    <w:rsid w:val="00F711EE"/>
    <w:rsid w:val="00F80655"/>
    <w:rsid w:val="00F81B44"/>
    <w:rsid w:val="00F826EC"/>
    <w:rsid w:val="00F82859"/>
    <w:rsid w:val="00F84FD4"/>
    <w:rsid w:val="00F8599C"/>
    <w:rsid w:val="00F9132D"/>
    <w:rsid w:val="00F9617F"/>
    <w:rsid w:val="00FA337B"/>
    <w:rsid w:val="00FA77A3"/>
    <w:rsid w:val="00FB2C4C"/>
    <w:rsid w:val="00FB3DB2"/>
    <w:rsid w:val="00FB5720"/>
    <w:rsid w:val="00FC401B"/>
    <w:rsid w:val="00FE3711"/>
    <w:rsid w:val="00FF4697"/>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AC0F3"/>
  <w15:chartTrackingRefBased/>
  <w15:docId w15:val="{FE1145DE-1FAD-425F-8604-A4561DEC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lang w:val="en-GB"/>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f,fn"/>
    <w:basedOn w:val="Normal"/>
    <w:link w:val="FootnoteTextChar"/>
    <w:uiPriority w:val="99"/>
    <w:qFormat/>
    <w:rsid w:val="001F3524"/>
    <w:rPr>
      <w:sz w:val="20"/>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1F3524"/>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1F3524"/>
    <w:rPr>
      <w:vertAlign w:val="superscript"/>
    </w:rPr>
  </w:style>
  <w:style w:type="paragraph" w:customStyle="1" w:styleId="HCh">
    <w:name w:val="_ H _Ch"/>
    <w:basedOn w:val="Normal"/>
    <w:next w:val="Normal"/>
    <w:rsid w:val="00385BC3"/>
    <w:pPr>
      <w:keepNext/>
      <w:keepLines/>
      <w:widowControl/>
      <w:suppressAutoHyphens/>
      <w:spacing w:line="300" w:lineRule="exact"/>
      <w:outlineLvl w:val="0"/>
    </w:pPr>
    <w:rPr>
      <w:b/>
      <w:spacing w:val="-2"/>
      <w:w w:val="103"/>
      <w:kern w:val="14"/>
      <w:sz w:val="28"/>
    </w:rPr>
  </w:style>
  <w:style w:type="paragraph" w:styleId="NoSpacing">
    <w:name w:val="No Spacing"/>
    <w:uiPriority w:val="1"/>
    <w:qFormat/>
    <w:rsid w:val="00B123CD"/>
    <w:pPr>
      <w:widowControl w:val="0"/>
    </w:pPr>
    <w:rPr>
      <w:sz w:val="24"/>
    </w:rPr>
  </w:style>
  <w:style w:type="character" w:customStyle="1" w:styleId="BodyText2Char">
    <w:name w:val="Body Text 2 Char"/>
    <w:link w:val="BodyText2"/>
    <w:rsid w:val="00325549"/>
    <w:rPr>
      <w:rFonts w:ascii="Arial" w:hAnsi="Arial"/>
      <w:lang w:val="en-US" w:eastAsia="en-US"/>
    </w:rPr>
  </w:style>
  <w:style w:type="paragraph" w:customStyle="1" w:styleId="xmsonormal">
    <w:name w:val="x_msonormal"/>
    <w:basedOn w:val="Normal"/>
    <w:rsid w:val="00626555"/>
    <w:pPr>
      <w:widowControl/>
      <w:spacing w:before="100" w:beforeAutospacing="1" w:after="100" w:afterAutospacing="1"/>
    </w:pPr>
    <w:rPr>
      <w:szCs w:val="24"/>
      <w:lang w:eastAsia="en-GB"/>
    </w:rPr>
  </w:style>
  <w:style w:type="paragraph" w:styleId="ListParagraph">
    <w:name w:val="List Paragraph"/>
    <w:aliases w:val="List Paragraph (numbered (a)),WB Para,Bullets,List Paragraph1,Akapit z listą BS,List Paragraph 1,Scriptoria bullet points,Абзац списка,List Square,Colorful List - Accent 11,Dot pt,F5 List Paragraph,List Paragraph Char Char Char,Bullet 1,L"/>
    <w:basedOn w:val="Normal"/>
    <w:link w:val="ListParagraphChar"/>
    <w:uiPriority w:val="34"/>
    <w:qFormat/>
    <w:rsid w:val="00E46941"/>
    <w:pPr>
      <w:ind w:left="720"/>
    </w:pPr>
  </w:style>
  <w:style w:type="character" w:styleId="CommentReference">
    <w:name w:val="annotation reference"/>
    <w:basedOn w:val="DefaultParagraphFont"/>
    <w:uiPriority w:val="99"/>
    <w:rsid w:val="00D541E7"/>
    <w:rPr>
      <w:sz w:val="16"/>
      <w:szCs w:val="16"/>
    </w:rPr>
  </w:style>
  <w:style w:type="paragraph" w:styleId="CommentText">
    <w:name w:val="annotation text"/>
    <w:basedOn w:val="Normal"/>
    <w:link w:val="CommentTextChar"/>
    <w:uiPriority w:val="99"/>
    <w:rsid w:val="00D541E7"/>
    <w:rPr>
      <w:sz w:val="20"/>
    </w:rPr>
  </w:style>
  <w:style w:type="character" w:customStyle="1" w:styleId="CommentTextChar">
    <w:name w:val="Comment Text Char"/>
    <w:basedOn w:val="DefaultParagraphFont"/>
    <w:link w:val="CommentText"/>
    <w:uiPriority w:val="99"/>
    <w:rsid w:val="00D541E7"/>
  </w:style>
  <w:style w:type="paragraph" w:styleId="CommentSubject">
    <w:name w:val="annotation subject"/>
    <w:basedOn w:val="CommentText"/>
    <w:next w:val="CommentText"/>
    <w:link w:val="CommentSubjectChar"/>
    <w:rsid w:val="00D541E7"/>
    <w:rPr>
      <w:b/>
      <w:bCs/>
    </w:rPr>
  </w:style>
  <w:style w:type="character" w:customStyle="1" w:styleId="CommentSubjectChar">
    <w:name w:val="Comment Subject Char"/>
    <w:basedOn w:val="CommentTextChar"/>
    <w:link w:val="CommentSubject"/>
    <w:rsid w:val="00D541E7"/>
    <w:rPr>
      <w:b/>
      <w:bCs/>
    </w:rPr>
  </w:style>
  <w:style w:type="paragraph" w:styleId="BalloonText">
    <w:name w:val="Balloon Text"/>
    <w:basedOn w:val="Normal"/>
    <w:link w:val="BalloonTextChar"/>
    <w:semiHidden/>
    <w:unhideWhenUsed/>
    <w:rsid w:val="00D541E7"/>
    <w:rPr>
      <w:rFonts w:ascii="Segoe UI" w:hAnsi="Segoe UI" w:cs="Segoe UI"/>
      <w:sz w:val="18"/>
      <w:szCs w:val="18"/>
    </w:rPr>
  </w:style>
  <w:style w:type="character" w:customStyle="1" w:styleId="BalloonTextChar">
    <w:name w:val="Balloon Text Char"/>
    <w:basedOn w:val="DefaultParagraphFont"/>
    <w:link w:val="BalloonText"/>
    <w:semiHidden/>
    <w:rsid w:val="00D541E7"/>
    <w:rPr>
      <w:rFonts w:ascii="Segoe UI" w:hAnsi="Segoe UI" w:cs="Segoe UI"/>
      <w:sz w:val="18"/>
      <w:szCs w:val="18"/>
    </w:rPr>
  </w:style>
  <w:style w:type="character" w:customStyle="1" w:styleId="spanwordwrap">
    <w:name w:val="span_wordwrap"/>
    <w:basedOn w:val="DefaultParagraphFont"/>
    <w:rsid w:val="00920DA0"/>
  </w:style>
  <w:style w:type="character" w:styleId="Hyperlink">
    <w:name w:val="Hyperlink"/>
    <w:basedOn w:val="DefaultParagraphFont"/>
    <w:uiPriority w:val="99"/>
    <w:unhideWhenUsed/>
    <w:rsid w:val="00920DA0"/>
    <w:rPr>
      <w:color w:val="0563C1" w:themeColor="hyperlink"/>
      <w:u w:val="single"/>
    </w:rPr>
  </w:style>
  <w:style w:type="character" w:customStyle="1" w:styleId="roarquestion">
    <w:name w:val="roar_question"/>
    <w:basedOn w:val="DefaultParagraphFont"/>
    <w:rsid w:val="001E13BC"/>
  </w:style>
  <w:style w:type="character" w:customStyle="1" w:styleId="BodyTextChar">
    <w:name w:val="Body Text Char"/>
    <w:basedOn w:val="DefaultParagraphFont"/>
    <w:link w:val="BodyText"/>
    <w:rsid w:val="00621E3C"/>
    <w:rPr>
      <w:rFonts w:ascii="Univers" w:hAnsi="Univers"/>
      <w:sz w:val="22"/>
      <w:lang w:val="en-GB"/>
    </w:rPr>
  </w:style>
  <w:style w:type="character" w:styleId="Emphasis">
    <w:name w:val="Emphasis"/>
    <w:basedOn w:val="DefaultParagraphFont"/>
    <w:qFormat/>
    <w:rsid w:val="00621E3C"/>
    <w:rPr>
      <w:i/>
      <w:iCs/>
    </w:rPr>
  </w:style>
  <w:style w:type="character" w:customStyle="1" w:styleId="ListParagraphChar">
    <w:name w:val="List Paragraph Char"/>
    <w:aliases w:val="List Paragraph (numbered (a)) Char,WB Para Char,Bullets Char,List Paragraph1 Char,Akapit z listą BS Char,List Paragraph 1 Char,Scriptoria bullet points Char,Абзац списка Char,List Square Char,Colorful List - Accent 11 Char,L Char"/>
    <w:link w:val="ListParagraph"/>
    <w:uiPriority w:val="34"/>
    <w:qFormat/>
    <w:locked/>
    <w:rsid w:val="00B8039F"/>
    <w:rPr>
      <w:sz w:val="24"/>
      <w:lang w:val="en-GB"/>
    </w:rPr>
  </w:style>
  <w:style w:type="paragraph" w:customStyle="1" w:styleId="Char2">
    <w:name w:val="Char2"/>
    <w:basedOn w:val="Normal"/>
    <w:link w:val="FootnoteReference"/>
    <w:uiPriority w:val="99"/>
    <w:rsid w:val="00B8039F"/>
    <w:pPr>
      <w:widowControl/>
      <w:spacing w:after="160" w:line="240" w:lineRule="exact"/>
    </w:pPr>
    <w:rPr>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1382">
      <w:bodyDiv w:val="1"/>
      <w:marLeft w:val="0"/>
      <w:marRight w:val="0"/>
      <w:marTop w:val="0"/>
      <w:marBottom w:val="0"/>
      <w:divBdr>
        <w:top w:val="none" w:sz="0" w:space="0" w:color="auto"/>
        <w:left w:val="none" w:sz="0" w:space="0" w:color="auto"/>
        <w:bottom w:val="none" w:sz="0" w:space="0" w:color="auto"/>
        <w:right w:val="none" w:sz="0" w:space="0" w:color="auto"/>
      </w:divBdr>
    </w:div>
    <w:div w:id="447359586">
      <w:bodyDiv w:val="1"/>
      <w:marLeft w:val="0"/>
      <w:marRight w:val="0"/>
      <w:marTop w:val="0"/>
      <w:marBottom w:val="0"/>
      <w:divBdr>
        <w:top w:val="none" w:sz="0" w:space="0" w:color="auto"/>
        <w:left w:val="none" w:sz="0" w:space="0" w:color="auto"/>
        <w:bottom w:val="none" w:sz="0" w:space="0" w:color="auto"/>
        <w:right w:val="none" w:sz="0" w:space="0" w:color="auto"/>
      </w:divBdr>
    </w:div>
    <w:div w:id="542014056">
      <w:bodyDiv w:val="1"/>
      <w:marLeft w:val="0"/>
      <w:marRight w:val="0"/>
      <w:marTop w:val="0"/>
      <w:marBottom w:val="0"/>
      <w:divBdr>
        <w:top w:val="none" w:sz="0" w:space="0" w:color="auto"/>
        <w:left w:val="none" w:sz="0" w:space="0" w:color="auto"/>
        <w:bottom w:val="none" w:sz="0" w:space="0" w:color="auto"/>
        <w:right w:val="none" w:sz="0" w:space="0" w:color="auto"/>
      </w:divBdr>
    </w:div>
    <w:div w:id="691342800">
      <w:bodyDiv w:val="1"/>
      <w:marLeft w:val="0"/>
      <w:marRight w:val="0"/>
      <w:marTop w:val="0"/>
      <w:marBottom w:val="0"/>
      <w:divBdr>
        <w:top w:val="none" w:sz="0" w:space="0" w:color="auto"/>
        <w:left w:val="none" w:sz="0" w:space="0" w:color="auto"/>
        <w:bottom w:val="none" w:sz="0" w:space="0" w:color="auto"/>
        <w:right w:val="none" w:sz="0" w:space="0" w:color="auto"/>
      </w:divBdr>
    </w:div>
    <w:div w:id="699935764">
      <w:bodyDiv w:val="1"/>
      <w:marLeft w:val="0"/>
      <w:marRight w:val="0"/>
      <w:marTop w:val="0"/>
      <w:marBottom w:val="0"/>
      <w:divBdr>
        <w:top w:val="none" w:sz="0" w:space="0" w:color="auto"/>
        <w:left w:val="none" w:sz="0" w:space="0" w:color="auto"/>
        <w:bottom w:val="none" w:sz="0" w:space="0" w:color="auto"/>
        <w:right w:val="none" w:sz="0" w:space="0" w:color="auto"/>
      </w:divBdr>
    </w:div>
    <w:div w:id="766385902">
      <w:bodyDiv w:val="1"/>
      <w:marLeft w:val="0"/>
      <w:marRight w:val="0"/>
      <w:marTop w:val="0"/>
      <w:marBottom w:val="0"/>
      <w:divBdr>
        <w:top w:val="none" w:sz="0" w:space="0" w:color="auto"/>
        <w:left w:val="none" w:sz="0" w:space="0" w:color="auto"/>
        <w:bottom w:val="none" w:sz="0" w:space="0" w:color="auto"/>
        <w:right w:val="none" w:sz="0" w:space="0" w:color="auto"/>
      </w:divBdr>
    </w:div>
    <w:div w:id="830370290">
      <w:bodyDiv w:val="1"/>
      <w:marLeft w:val="0"/>
      <w:marRight w:val="0"/>
      <w:marTop w:val="0"/>
      <w:marBottom w:val="0"/>
      <w:divBdr>
        <w:top w:val="none" w:sz="0" w:space="0" w:color="auto"/>
        <w:left w:val="none" w:sz="0" w:space="0" w:color="auto"/>
        <w:bottom w:val="none" w:sz="0" w:space="0" w:color="auto"/>
        <w:right w:val="none" w:sz="0" w:space="0" w:color="auto"/>
      </w:divBdr>
    </w:div>
    <w:div w:id="979379458">
      <w:bodyDiv w:val="1"/>
      <w:marLeft w:val="0"/>
      <w:marRight w:val="0"/>
      <w:marTop w:val="0"/>
      <w:marBottom w:val="0"/>
      <w:divBdr>
        <w:top w:val="none" w:sz="0" w:space="0" w:color="auto"/>
        <w:left w:val="none" w:sz="0" w:space="0" w:color="auto"/>
        <w:bottom w:val="none" w:sz="0" w:space="0" w:color="auto"/>
        <w:right w:val="none" w:sz="0" w:space="0" w:color="auto"/>
      </w:divBdr>
    </w:div>
    <w:div w:id="1186747320">
      <w:bodyDiv w:val="1"/>
      <w:marLeft w:val="0"/>
      <w:marRight w:val="0"/>
      <w:marTop w:val="0"/>
      <w:marBottom w:val="0"/>
      <w:divBdr>
        <w:top w:val="none" w:sz="0" w:space="0" w:color="auto"/>
        <w:left w:val="none" w:sz="0" w:space="0" w:color="auto"/>
        <w:bottom w:val="none" w:sz="0" w:space="0" w:color="auto"/>
        <w:right w:val="none" w:sz="0" w:space="0" w:color="auto"/>
      </w:divBdr>
    </w:div>
    <w:div w:id="1236626742">
      <w:bodyDiv w:val="1"/>
      <w:marLeft w:val="0"/>
      <w:marRight w:val="0"/>
      <w:marTop w:val="0"/>
      <w:marBottom w:val="0"/>
      <w:divBdr>
        <w:top w:val="none" w:sz="0" w:space="0" w:color="auto"/>
        <w:left w:val="none" w:sz="0" w:space="0" w:color="auto"/>
        <w:bottom w:val="none" w:sz="0" w:space="0" w:color="auto"/>
        <w:right w:val="none" w:sz="0" w:space="0" w:color="auto"/>
      </w:divBdr>
    </w:div>
    <w:div w:id="1472988214">
      <w:bodyDiv w:val="1"/>
      <w:marLeft w:val="0"/>
      <w:marRight w:val="0"/>
      <w:marTop w:val="0"/>
      <w:marBottom w:val="0"/>
      <w:divBdr>
        <w:top w:val="none" w:sz="0" w:space="0" w:color="auto"/>
        <w:left w:val="none" w:sz="0" w:space="0" w:color="auto"/>
        <w:bottom w:val="none" w:sz="0" w:space="0" w:color="auto"/>
        <w:right w:val="none" w:sz="0" w:space="0" w:color="auto"/>
      </w:divBdr>
    </w:div>
    <w:div w:id="1754233605">
      <w:bodyDiv w:val="1"/>
      <w:marLeft w:val="0"/>
      <w:marRight w:val="0"/>
      <w:marTop w:val="0"/>
      <w:marBottom w:val="0"/>
      <w:divBdr>
        <w:top w:val="none" w:sz="0" w:space="0" w:color="auto"/>
        <w:left w:val="none" w:sz="0" w:space="0" w:color="auto"/>
        <w:bottom w:val="none" w:sz="0" w:space="0" w:color="auto"/>
        <w:right w:val="none" w:sz="0" w:space="0" w:color="auto"/>
      </w:divBdr>
    </w:div>
    <w:div w:id="1902252255">
      <w:bodyDiv w:val="1"/>
      <w:marLeft w:val="0"/>
      <w:marRight w:val="0"/>
      <w:marTop w:val="0"/>
      <w:marBottom w:val="0"/>
      <w:divBdr>
        <w:top w:val="none" w:sz="0" w:space="0" w:color="auto"/>
        <w:left w:val="none" w:sz="0" w:space="0" w:color="auto"/>
        <w:bottom w:val="none" w:sz="0" w:space="0" w:color="auto"/>
        <w:right w:val="none" w:sz="0" w:space="0" w:color="auto"/>
      </w:divBdr>
    </w:div>
    <w:div w:id="2048678789">
      <w:bodyDiv w:val="1"/>
      <w:marLeft w:val="0"/>
      <w:marRight w:val="0"/>
      <w:marTop w:val="0"/>
      <w:marBottom w:val="0"/>
      <w:divBdr>
        <w:top w:val="none" w:sz="0" w:space="0" w:color="auto"/>
        <w:left w:val="none" w:sz="0" w:space="0" w:color="auto"/>
        <w:bottom w:val="none" w:sz="0" w:space="0" w:color="auto"/>
        <w:right w:val="none" w:sz="0" w:space="0" w:color="auto"/>
      </w:divBdr>
    </w:div>
    <w:div w:id="21431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BE60-5F7F-403B-A4FF-00B576DE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7146</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47784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dc:description/>
  <cp:lastModifiedBy>Svetlana Iazykova</cp:lastModifiedBy>
  <cp:revision>2</cp:revision>
  <cp:lastPrinted>2017-05-01T21:47:00Z</cp:lastPrinted>
  <dcterms:created xsi:type="dcterms:W3CDTF">2017-05-09T15:49:00Z</dcterms:created>
  <dcterms:modified xsi:type="dcterms:W3CDTF">2017-05-09T15:49:00Z</dcterms:modified>
</cp:coreProperties>
</file>