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8D78" w14:textId="74EB7064" w:rsidR="00190138" w:rsidRPr="001150C0" w:rsidRDefault="00190138" w:rsidP="00190138">
      <w:pPr>
        <w:pStyle w:val="Header"/>
        <w:rPr>
          <w:rFonts w:ascii="Times New Roman" w:hAnsi="Times New Roman"/>
          <w:b/>
          <w:bCs/>
          <w:color w:val="000000"/>
          <w:sz w:val="28"/>
          <w:szCs w:val="28"/>
        </w:rPr>
      </w:pPr>
      <w:r w:rsidRPr="001150C0">
        <w:rPr>
          <w:rFonts w:asciiTheme="minorHAnsi" w:hAnsiTheme="minorHAnsi" w:cstheme="minorHAnsi"/>
          <w:b/>
          <w:bCs/>
          <w:color w:val="000000"/>
          <w:szCs w:val="24"/>
        </w:rPr>
        <w:t>A</w:t>
      </w:r>
      <w:r w:rsidR="002D6D11">
        <w:rPr>
          <w:rFonts w:asciiTheme="minorHAnsi" w:hAnsiTheme="minorHAnsi" w:cstheme="minorHAnsi"/>
          <w:b/>
          <w:bCs/>
          <w:color w:val="000000"/>
          <w:szCs w:val="24"/>
        </w:rPr>
        <w:t>nnex</w:t>
      </w:r>
      <w:r w:rsidRPr="001150C0">
        <w:rPr>
          <w:rFonts w:asciiTheme="minorHAnsi" w:hAnsiTheme="minorHAnsi" w:cstheme="minorHAnsi"/>
          <w:b/>
          <w:bCs/>
          <w:color w:val="000000"/>
          <w:szCs w:val="24"/>
        </w:rPr>
        <w:t xml:space="preserve"> </w:t>
      </w:r>
      <w:r w:rsidR="00CC74D9">
        <w:rPr>
          <w:rFonts w:asciiTheme="minorHAnsi" w:hAnsiTheme="minorHAnsi" w:cstheme="minorHAnsi"/>
          <w:b/>
          <w:bCs/>
          <w:color w:val="000000"/>
          <w:szCs w:val="24"/>
        </w:rPr>
        <w:t>5</w:t>
      </w:r>
      <w:bookmarkStart w:id="0" w:name="_GoBack"/>
      <w:bookmarkEnd w:id="0"/>
      <w:r w:rsidRPr="001150C0">
        <w:rPr>
          <w:rFonts w:asciiTheme="minorHAnsi" w:hAnsiTheme="minorHAnsi" w:cstheme="minorHAnsi"/>
          <w:b/>
          <w:bCs/>
          <w:color w:val="000000"/>
          <w:szCs w:val="24"/>
        </w:rPr>
        <w:t xml:space="preserve">. </w:t>
      </w:r>
      <w:r w:rsidR="00D6736F" w:rsidRPr="001150C0">
        <w:rPr>
          <w:rFonts w:asciiTheme="minorHAnsi" w:hAnsiTheme="minorHAnsi" w:cstheme="minorHAnsi"/>
          <w:b/>
          <w:bCs/>
          <w:color w:val="000000"/>
          <w:szCs w:val="24"/>
        </w:rPr>
        <w:t>Update on G</w:t>
      </w:r>
      <w:r w:rsidR="00C36300" w:rsidRPr="001150C0">
        <w:rPr>
          <w:rFonts w:asciiTheme="minorHAnsi" w:hAnsiTheme="minorHAnsi" w:cstheme="minorHAnsi"/>
          <w:b/>
          <w:bCs/>
          <w:color w:val="000000"/>
          <w:szCs w:val="24"/>
        </w:rPr>
        <w:t xml:space="preserve">eneral </w:t>
      </w:r>
      <w:r w:rsidR="00D6736F" w:rsidRPr="001150C0">
        <w:rPr>
          <w:rFonts w:asciiTheme="minorHAnsi" w:hAnsiTheme="minorHAnsi" w:cstheme="minorHAnsi"/>
          <w:b/>
          <w:bCs/>
          <w:color w:val="000000"/>
          <w:szCs w:val="24"/>
        </w:rPr>
        <w:t>M</w:t>
      </w:r>
      <w:r w:rsidR="00C36300" w:rsidRPr="001150C0">
        <w:rPr>
          <w:rFonts w:asciiTheme="minorHAnsi" w:hAnsiTheme="minorHAnsi" w:cstheme="minorHAnsi"/>
          <w:b/>
          <w:bCs/>
          <w:color w:val="000000"/>
          <w:szCs w:val="24"/>
        </w:rPr>
        <w:t xml:space="preserve">anagement </w:t>
      </w:r>
      <w:r w:rsidR="00D6736F" w:rsidRPr="001150C0">
        <w:rPr>
          <w:rFonts w:asciiTheme="minorHAnsi" w:hAnsiTheme="minorHAnsi" w:cstheme="minorHAnsi"/>
          <w:b/>
          <w:bCs/>
          <w:color w:val="000000"/>
          <w:szCs w:val="24"/>
        </w:rPr>
        <w:t>S</w:t>
      </w:r>
      <w:r w:rsidR="00C36300" w:rsidRPr="001150C0">
        <w:rPr>
          <w:rFonts w:asciiTheme="minorHAnsi" w:hAnsiTheme="minorHAnsi" w:cstheme="minorHAnsi"/>
          <w:b/>
          <w:bCs/>
          <w:color w:val="000000"/>
          <w:szCs w:val="24"/>
        </w:rPr>
        <w:t xml:space="preserve">ervices (GMS) </w:t>
      </w:r>
      <w:r w:rsidR="00CC74D9">
        <w:rPr>
          <w:rFonts w:asciiTheme="minorHAnsi" w:hAnsiTheme="minorHAnsi" w:cstheme="minorHAnsi"/>
          <w:b/>
          <w:bCs/>
          <w:color w:val="000000"/>
          <w:szCs w:val="24"/>
        </w:rPr>
        <w:t>c</w:t>
      </w:r>
      <w:r w:rsidR="00C36300" w:rsidRPr="001150C0">
        <w:rPr>
          <w:rFonts w:asciiTheme="minorHAnsi" w:hAnsiTheme="minorHAnsi" w:cstheme="minorHAnsi"/>
          <w:b/>
          <w:bCs/>
          <w:color w:val="000000"/>
          <w:szCs w:val="24"/>
        </w:rPr>
        <w:t xml:space="preserve">ost recovery </w:t>
      </w:r>
      <w:r w:rsidR="00D6736F" w:rsidRPr="001150C0">
        <w:rPr>
          <w:rFonts w:asciiTheme="minorHAnsi" w:hAnsiTheme="minorHAnsi" w:cstheme="minorHAnsi"/>
          <w:b/>
          <w:bCs/>
          <w:color w:val="000000"/>
          <w:szCs w:val="24"/>
        </w:rPr>
        <w:t>waivers</w:t>
      </w:r>
    </w:p>
    <w:p w14:paraId="0DF08A5E" w14:textId="670A767C" w:rsidR="00E37C84" w:rsidRPr="001150C0" w:rsidRDefault="00E37C84" w:rsidP="001150C0">
      <w:pPr>
        <w:pStyle w:val="ListParagraph"/>
        <w:ind w:left="360"/>
        <w:jc w:val="both"/>
        <w:rPr>
          <w:rFonts w:cstheme="minorHAnsi"/>
          <w:bCs/>
          <w:sz w:val="22"/>
          <w:szCs w:val="22"/>
        </w:rPr>
      </w:pPr>
    </w:p>
    <w:p w14:paraId="6EEE160D" w14:textId="782698C4" w:rsidR="005C08D9" w:rsidRPr="001150C0" w:rsidRDefault="005C08D9" w:rsidP="005C08D9">
      <w:pPr>
        <w:pStyle w:val="ListParagraph"/>
        <w:numPr>
          <w:ilvl w:val="0"/>
          <w:numId w:val="15"/>
        </w:numPr>
        <w:jc w:val="both"/>
        <w:rPr>
          <w:rFonts w:cstheme="minorHAnsi"/>
          <w:bCs/>
          <w:sz w:val="22"/>
          <w:szCs w:val="22"/>
        </w:rPr>
      </w:pPr>
      <w:r w:rsidRPr="001150C0">
        <w:rPr>
          <w:rFonts w:cstheme="minorHAnsi"/>
          <w:bCs/>
          <w:sz w:val="22"/>
          <w:szCs w:val="22"/>
        </w:rPr>
        <w:t>The Executive Board in its decision 2013/9 endorsed</w:t>
      </w:r>
      <w:r w:rsidR="00357A94" w:rsidRPr="001150C0">
        <w:rPr>
          <w:rFonts w:cstheme="minorHAnsi"/>
          <w:bCs/>
          <w:sz w:val="22"/>
          <w:szCs w:val="22"/>
        </w:rPr>
        <w:t xml:space="preserve"> “</w:t>
      </w:r>
      <w:r w:rsidR="00357A94" w:rsidRPr="001150C0">
        <w:rPr>
          <w:rFonts w:cstheme="minorHAnsi"/>
          <w:bCs/>
          <w:i/>
          <w:sz w:val="22"/>
          <w:szCs w:val="22"/>
        </w:rPr>
        <w:t>a general, harmonized cost recovery rate of 8 per cent for non-core contributions</w:t>
      </w:r>
      <w:r w:rsidR="00357A94" w:rsidRPr="001150C0">
        <w:rPr>
          <w:rFonts w:cstheme="minorHAnsi"/>
          <w:bCs/>
          <w:sz w:val="22"/>
          <w:szCs w:val="22"/>
        </w:rPr>
        <w:t>,”  and further</w:t>
      </w:r>
      <w:r w:rsidRPr="001150C0">
        <w:rPr>
          <w:rFonts w:cstheme="minorHAnsi"/>
          <w:bCs/>
          <w:sz w:val="22"/>
          <w:szCs w:val="22"/>
        </w:rPr>
        <w:t xml:space="preserve"> </w:t>
      </w:r>
      <w:r w:rsidR="00357A94" w:rsidRPr="001150C0">
        <w:rPr>
          <w:rFonts w:cstheme="minorHAnsi"/>
          <w:bCs/>
          <w:sz w:val="22"/>
          <w:szCs w:val="22"/>
        </w:rPr>
        <w:t xml:space="preserve">endorsed </w:t>
      </w:r>
      <w:r w:rsidRPr="001150C0">
        <w:rPr>
          <w:rFonts w:cstheme="minorHAnsi"/>
          <w:bCs/>
          <w:sz w:val="22"/>
          <w:szCs w:val="22"/>
        </w:rPr>
        <w:t xml:space="preserve">the following differentiated cost recovery rate structure:  </w:t>
      </w:r>
      <w:r w:rsidRPr="001150C0">
        <w:rPr>
          <w:rFonts w:cstheme="minorHAnsi"/>
          <w:bCs/>
          <w:i/>
          <w:sz w:val="22"/>
          <w:szCs w:val="22"/>
        </w:rPr>
        <w:t>“</w:t>
      </w:r>
      <w:r w:rsidRPr="001150C0">
        <w:rPr>
          <w:rFonts w:cstheme="minorHAnsi"/>
          <w:i/>
          <w:sz w:val="22"/>
          <w:szCs w:val="22"/>
        </w:rPr>
        <w:t>(a) a harmonized 1 per cent reduction for the thematic contributions at the global, regional and country level in UNDP, UNFPA and UNICEF (8 per cent - 1 per cent = 7 per cent), with the United Nations Entity for Gender Equality and the Empowerment of Women (UN-Women) maintaining the 8 per cent as a temporary arrangement; and (b) maintaining the existing preferential rates for government cost-sharing, South- South contributions and private-sector contributions.”</w:t>
      </w:r>
    </w:p>
    <w:p w14:paraId="35B7C1BA" w14:textId="696BFDA2" w:rsidR="005C08D9" w:rsidRPr="001150C0" w:rsidRDefault="005C08D9" w:rsidP="001150C0">
      <w:pPr>
        <w:pStyle w:val="ListParagraph"/>
        <w:ind w:left="360"/>
        <w:jc w:val="both"/>
        <w:rPr>
          <w:rFonts w:cstheme="minorHAnsi"/>
          <w:bCs/>
          <w:sz w:val="22"/>
          <w:szCs w:val="22"/>
        </w:rPr>
      </w:pPr>
      <w:r w:rsidRPr="001150C0">
        <w:rPr>
          <w:rFonts w:cstheme="minorHAnsi"/>
          <w:sz w:val="22"/>
          <w:szCs w:val="22"/>
        </w:rPr>
        <w:t xml:space="preserve"> </w:t>
      </w:r>
    </w:p>
    <w:p w14:paraId="1166F5E2" w14:textId="0C426010" w:rsidR="005C08D9" w:rsidRPr="001150C0" w:rsidRDefault="005C08D9" w:rsidP="001150C0">
      <w:pPr>
        <w:pStyle w:val="ListParagraph"/>
        <w:numPr>
          <w:ilvl w:val="0"/>
          <w:numId w:val="15"/>
        </w:numPr>
        <w:jc w:val="both"/>
        <w:rPr>
          <w:rFonts w:cstheme="minorHAnsi"/>
          <w:bCs/>
          <w:sz w:val="22"/>
          <w:szCs w:val="22"/>
        </w:rPr>
      </w:pPr>
      <w:r w:rsidRPr="001150C0">
        <w:rPr>
          <w:rFonts w:cstheme="minorHAnsi"/>
          <w:sz w:val="22"/>
          <w:szCs w:val="22"/>
        </w:rPr>
        <w:t>In the same decision, the Executive Board also decided that on an exceptional basis, and when the urgency of the circumstances requires, “</w:t>
      </w:r>
      <w:r w:rsidRPr="001150C0">
        <w:rPr>
          <w:rFonts w:cstheme="minorHAnsi"/>
          <w:i/>
          <w:sz w:val="22"/>
          <w:szCs w:val="22"/>
        </w:rPr>
        <w:t>the Administrator of UNDP and the Executive Director of UNFPA may consider granting a waiver of the cost-recovery rates on a case-by-case basis, taking into account specific priorities, modalities that incur lower management costs, and harmonization goals, and that the Executive Board will be informed of these waivers in the annual financial reports</w:t>
      </w:r>
      <w:r w:rsidRPr="001150C0">
        <w:rPr>
          <w:rFonts w:cstheme="minorHAnsi"/>
          <w:sz w:val="22"/>
          <w:szCs w:val="22"/>
        </w:rPr>
        <w:t>;”</w:t>
      </w:r>
    </w:p>
    <w:p w14:paraId="1AFDB073" w14:textId="77777777" w:rsidR="005C08D9" w:rsidRPr="001150C0" w:rsidRDefault="005C08D9" w:rsidP="001150C0">
      <w:pPr>
        <w:jc w:val="both"/>
        <w:rPr>
          <w:rFonts w:cstheme="minorHAnsi"/>
          <w:bCs/>
          <w:sz w:val="22"/>
          <w:szCs w:val="22"/>
        </w:rPr>
      </w:pPr>
    </w:p>
    <w:p w14:paraId="7276C5C2" w14:textId="690ED225" w:rsidR="005C08D9" w:rsidRPr="001150C0" w:rsidRDefault="005C08D9" w:rsidP="00304F6A">
      <w:pPr>
        <w:pStyle w:val="ListParagraph"/>
        <w:numPr>
          <w:ilvl w:val="0"/>
          <w:numId w:val="15"/>
        </w:numPr>
        <w:jc w:val="both"/>
        <w:rPr>
          <w:rFonts w:cstheme="minorHAnsi"/>
          <w:bCs/>
          <w:sz w:val="22"/>
          <w:szCs w:val="22"/>
        </w:rPr>
      </w:pPr>
      <w:r w:rsidRPr="001150C0">
        <w:rPr>
          <w:rFonts w:cstheme="minorHAnsi"/>
          <w:bCs/>
          <w:sz w:val="22"/>
          <w:szCs w:val="22"/>
        </w:rPr>
        <w:t>Consistent with decision</w:t>
      </w:r>
      <w:r w:rsidR="00357A94" w:rsidRPr="001150C0">
        <w:rPr>
          <w:rFonts w:cstheme="minorHAnsi"/>
          <w:bCs/>
          <w:sz w:val="22"/>
          <w:szCs w:val="22"/>
        </w:rPr>
        <w:t xml:space="preserve"> 2013/9</w:t>
      </w:r>
      <w:r w:rsidRPr="001150C0">
        <w:rPr>
          <w:rFonts w:cstheme="minorHAnsi"/>
          <w:bCs/>
          <w:sz w:val="22"/>
          <w:szCs w:val="22"/>
        </w:rPr>
        <w:t xml:space="preserve">, </w:t>
      </w:r>
      <w:r w:rsidR="0057707F" w:rsidRPr="001150C0">
        <w:rPr>
          <w:rFonts w:cstheme="minorHAnsi"/>
          <w:bCs/>
          <w:sz w:val="22"/>
          <w:szCs w:val="22"/>
        </w:rPr>
        <w:t xml:space="preserve">UNDP </w:t>
      </w:r>
      <w:r w:rsidRPr="001150C0">
        <w:rPr>
          <w:rFonts w:cstheme="minorHAnsi"/>
          <w:bCs/>
          <w:sz w:val="22"/>
          <w:szCs w:val="22"/>
        </w:rPr>
        <w:t xml:space="preserve">has annually reported to the </w:t>
      </w:r>
      <w:r w:rsidR="00357A94" w:rsidRPr="001150C0">
        <w:rPr>
          <w:rFonts w:cstheme="minorHAnsi"/>
          <w:bCs/>
          <w:sz w:val="22"/>
          <w:szCs w:val="22"/>
        </w:rPr>
        <w:t>Executive</w:t>
      </w:r>
      <w:r w:rsidRPr="001150C0">
        <w:rPr>
          <w:rFonts w:cstheme="minorHAnsi"/>
          <w:bCs/>
          <w:sz w:val="22"/>
          <w:szCs w:val="22"/>
        </w:rPr>
        <w:t xml:space="preserve"> board on the cost recovery waivers through the successive annual reviews of the financial situation as well as the cumulative review of the UNDP integrated budgets. In addition, UNDP </w:t>
      </w:r>
      <w:r w:rsidR="00357A94" w:rsidRPr="001150C0">
        <w:rPr>
          <w:rFonts w:cstheme="minorHAnsi"/>
          <w:bCs/>
          <w:sz w:val="22"/>
          <w:szCs w:val="22"/>
        </w:rPr>
        <w:t xml:space="preserve">continues to work </w:t>
      </w:r>
      <w:r w:rsidR="0031212A" w:rsidRPr="001150C0">
        <w:rPr>
          <w:rFonts w:cstheme="minorHAnsi"/>
          <w:bCs/>
          <w:sz w:val="22"/>
          <w:szCs w:val="22"/>
        </w:rPr>
        <w:t xml:space="preserve">closely </w:t>
      </w:r>
      <w:r w:rsidR="00357A94" w:rsidRPr="001150C0">
        <w:rPr>
          <w:rFonts w:cstheme="minorHAnsi"/>
          <w:bCs/>
          <w:sz w:val="22"/>
          <w:szCs w:val="22"/>
        </w:rPr>
        <w:t>with</w:t>
      </w:r>
      <w:r w:rsidRPr="001150C0">
        <w:rPr>
          <w:rFonts w:cstheme="minorHAnsi"/>
          <w:bCs/>
          <w:sz w:val="22"/>
          <w:szCs w:val="22"/>
        </w:rPr>
        <w:t xml:space="preserve"> UNFPA, UNICEF, and UN-Women, on the topic of cost-recovery</w:t>
      </w:r>
      <w:r w:rsidR="00357A94" w:rsidRPr="001150C0">
        <w:rPr>
          <w:rFonts w:cstheme="minorHAnsi"/>
          <w:bCs/>
          <w:sz w:val="22"/>
          <w:szCs w:val="22"/>
        </w:rPr>
        <w:t>. Most recently,</w:t>
      </w:r>
      <w:r w:rsidRPr="001150C0">
        <w:rPr>
          <w:rFonts w:cstheme="minorHAnsi"/>
          <w:bCs/>
          <w:sz w:val="22"/>
          <w:szCs w:val="22"/>
        </w:rPr>
        <w:t xml:space="preserve"> </w:t>
      </w:r>
      <w:r w:rsidR="00357A94" w:rsidRPr="001150C0">
        <w:rPr>
          <w:rFonts w:cstheme="minorHAnsi"/>
          <w:bCs/>
          <w:sz w:val="22"/>
          <w:szCs w:val="22"/>
        </w:rPr>
        <w:t xml:space="preserve">at the second regular session of the Executive Boards in September 2018, </w:t>
      </w:r>
      <w:r w:rsidRPr="001150C0">
        <w:rPr>
          <w:rFonts w:cstheme="minorHAnsi"/>
          <w:bCs/>
          <w:sz w:val="22"/>
          <w:szCs w:val="22"/>
        </w:rPr>
        <w:t xml:space="preserve">the four agencies have jointly </w:t>
      </w:r>
      <w:r w:rsidR="00357A94" w:rsidRPr="001150C0">
        <w:rPr>
          <w:rFonts w:cstheme="minorHAnsi"/>
          <w:bCs/>
          <w:sz w:val="22"/>
          <w:szCs w:val="22"/>
        </w:rPr>
        <w:t>reported</w:t>
      </w:r>
      <w:r w:rsidRPr="001150C0">
        <w:rPr>
          <w:rFonts w:cstheme="minorHAnsi"/>
          <w:bCs/>
          <w:sz w:val="22"/>
          <w:szCs w:val="22"/>
        </w:rPr>
        <w:t xml:space="preserve"> </w:t>
      </w:r>
      <w:r w:rsidR="0031212A" w:rsidRPr="001150C0">
        <w:rPr>
          <w:rFonts w:cstheme="minorHAnsi"/>
          <w:bCs/>
          <w:sz w:val="22"/>
          <w:szCs w:val="22"/>
        </w:rPr>
        <w:t xml:space="preserve">on this topic </w:t>
      </w:r>
      <w:r w:rsidRPr="001150C0">
        <w:rPr>
          <w:rFonts w:cstheme="minorHAnsi"/>
          <w:bCs/>
          <w:sz w:val="22"/>
          <w:szCs w:val="22"/>
        </w:rPr>
        <w:t>to the Executive Boards</w:t>
      </w:r>
      <w:r w:rsidR="0031212A" w:rsidRPr="001150C0">
        <w:rPr>
          <w:rFonts w:cstheme="minorHAnsi"/>
          <w:bCs/>
          <w:sz w:val="22"/>
          <w:szCs w:val="22"/>
        </w:rPr>
        <w:t>.</w:t>
      </w:r>
      <w:r w:rsidRPr="001150C0">
        <w:rPr>
          <w:rFonts w:cstheme="minorHAnsi"/>
          <w:bCs/>
          <w:sz w:val="22"/>
          <w:szCs w:val="22"/>
        </w:rPr>
        <w:t xml:space="preserve"> </w:t>
      </w:r>
    </w:p>
    <w:p w14:paraId="518D8688" w14:textId="77777777" w:rsidR="005C08D9" w:rsidRPr="001150C0" w:rsidRDefault="005C08D9" w:rsidP="001150C0">
      <w:pPr>
        <w:pStyle w:val="ListParagraph"/>
        <w:rPr>
          <w:rFonts w:cstheme="minorHAnsi"/>
          <w:bCs/>
          <w:sz w:val="22"/>
          <w:szCs w:val="22"/>
        </w:rPr>
      </w:pPr>
    </w:p>
    <w:p w14:paraId="30D3ABF9" w14:textId="5ECE221B" w:rsidR="005C08D9" w:rsidRPr="001150C0" w:rsidRDefault="005C08D9" w:rsidP="00304F6A">
      <w:pPr>
        <w:pStyle w:val="ListParagraph"/>
        <w:numPr>
          <w:ilvl w:val="0"/>
          <w:numId w:val="15"/>
        </w:numPr>
        <w:jc w:val="both"/>
        <w:rPr>
          <w:rFonts w:cstheme="minorHAnsi"/>
          <w:bCs/>
          <w:sz w:val="22"/>
          <w:szCs w:val="22"/>
        </w:rPr>
      </w:pPr>
      <w:r w:rsidRPr="001150C0">
        <w:rPr>
          <w:rFonts w:cstheme="minorHAnsi"/>
          <w:bCs/>
          <w:sz w:val="22"/>
          <w:szCs w:val="22"/>
        </w:rPr>
        <w:t xml:space="preserve">In the decision 2018/21 </w:t>
      </w:r>
      <w:r w:rsidR="00357A94" w:rsidRPr="001150C0">
        <w:rPr>
          <w:rFonts w:cstheme="minorHAnsi"/>
          <w:bCs/>
          <w:sz w:val="22"/>
          <w:szCs w:val="22"/>
        </w:rPr>
        <w:t>of the</w:t>
      </w:r>
      <w:r w:rsidRPr="001150C0">
        <w:rPr>
          <w:rFonts w:cstheme="minorHAnsi"/>
          <w:bCs/>
          <w:sz w:val="22"/>
          <w:szCs w:val="22"/>
        </w:rPr>
        <w:t xml:space="preserve"> Executive Board in September 2018, the Executive Board requested </w:t>
      </w:r>
      <w:r w:rsidRPr="001150C0">
        <w:rPr>
          <w:rFonts w:cstheme="minorHAnsi"/>
          <w:bCs/>
          <w:i/>
          <w:sz w:val="22"/>
          <w:szCs w:val="22"/>
        </w:rPr>
        <w:t>“UNDP and UNFPA, together with UNICEF and UN-Women, to reduce the granting of waivers lowering the agreed cost-recovery rates and to provide an update on the steps taken in this regard, including on the application of waivers across their organizations, to the Executive Board at its annual session in 2019</w:t>
      </w:r>
      <w:r w:rsidRPr="001150C0">
        <w:rPr>
          <w:rFonts w:cstheme="minorHAnsi"/>
          <w:bCs/>
          <w:sz w:val="22"/>
          <w:szCs w:val="22"/>
        </w:rPr>
        <w:t>”.</w:t>
      </w:r>
    </w:p>
    <w:p w14:paraId="43793717" w14:textId="77777777" w:rsidR="005C08D9" w:rsidRPr="001150C0" w:rsidRDefault="005C08D9" w:rsidP="001150C0">
      <w:pPr>
        <w:pStyle w:val="ListParagraph"/>
        <w:rPr>
          <w:rFonts w:cstheme="minorHAnsi"/>
          <w:bCs/>
          <w:sz w:val="22"/>
          <w:szCs w:val="22"/>
        </w:rPr>
      </w:pPr>
    </w:p>
    <w:p w14:paraId="67834ACA" w14:textId="05A7DEEC" w:rsidR="00985678" w:rsidRPr="001150C0" w:rsidRDefault="000C4C92" w:rsidP="00304F6A">
      <w:pPr>
        <w:pStyle w:val="ListParagraph"/>
        <w:numPr>
          <w:ilvl w:val="0"/>
          <w:numId w:val="15"/>
        </w:numPr>
        <w:jc w:val="both"/>
        <w:rPr>
          <w:rFonts w:cstheme="minorHAnsi"/>
          <w:bCs/>
          <w:sz w:val="22"/>
          <w:szCs w:val="22"/>
        </w:rPr>
      </w:pPr>
      <w:r w:rsidRPr="001150C0">
        <w:rPr>
          <w:rFonts w:cstheme="minorHAnsi"/>
          <w:bCs/>
          <w:sz w:val="22"/>
          <w:szCs w:val="22"/>
        </w:rPr>
        <w:t>UNDP makes every effort to apply t</w:t>
      </w:r>
      <w:r w:rsidR="00156ACA" w:rsidRPr="001150C0">
        <w:rPr>
          <w:rFonts w:cstheme="minorHAnsi"/>
          <w:bCs/>
          <w:sz w:val="22"/>
          <w:szCs w:val="22"/>
        </w:rPr>
        <w:t xml:space="preserve">he </w:t>
      </w:r>
      <w:r w:rsidR="008205DC" w:rsidRPr="001150C0">
        <w:rPr>
          <w:rFonts w:cstheme="minorHAnsi"/>
          <w:bCs/>
          <w:sz w:val="22"/>
          <w:szCs w:val="22"/>
        </w:rPr>
        <w:t>Executive Board decision</w:t>
      </w:r>
      <w:r w:rsidR="00A7292D" w:rsidRPr="001150C0">
        <w:rPr>
          <w:rFonts w:cstheme="minorHAnsi"/>
          <w:bCs/>
          <w:sz w:val="22"/>
          <w:szCs w:val="22"/>
        </w:rPr>
        <w:t xml:space="preserve"> </w:t>
      </w:r>
      <w:r w:rsidR="005C08D9" w:rsidRPr="001150C0">
        <w:rPr>
          <w:rFonts w:cstheme="minorHAnsi"/>
          <w:bCs/>
          <w:sz w:val="22"/>
          <w:szCs w:val="22"/>
        </w:rPr>
        <w:t>(</w:t>
      </w:r>
      <w:r w:rsidR="00A7292D" w:rsidRPr="001150C0">
        <w:rPr>
          <w:rFonts w:cstheme="minorHAnsi"/>
          <w:bCs/>
          <w:sz w:val="22"/>
          <w:szCs w:val="22"/>
        </w:rPr>
        <w:t xml:space="preserve">2013/9) </w:t>
      </w:r>
      <w:r w:rsidR="008205DC" w:rsidRPr="001150C0">
        <w:rPr>
          <w:rFonts w:cstheme="minorHAnsi"/>
          <w:bCs/>
          <w:sz w:val="22"/>
          <w:szCs w:val="22"/>
        </w:rPr>
        <w:t>regulat</w:t>
      </w:r>
      <w:r w:rsidR="005107EB" w:rsidRPr="001150C0">
        <w:rPr>
          <w:rFonts w:cstheme="minorHAnsi"/>
          <w:bCs/>
          <w:sz w:val="22"/>
          <w:szCs w:val="22"/>
        </w:rPr>
        <w:t>ing</w:t>
      </w:r>
      <w:r w:rsidR="008205DC" w:rsidRPr="001150C0">
        <w:rPr>
          <w:rFonts w:cstheme="minorHAnsi"/>
          <w:bCs/>
          <w:sz w:val="22"/>
          <w:szCs w:val="22"/>
        </w:rPr>
        <w:t xml:space="preserve"> th</w:t>
      </w:r>
      <w:r w:rsidR="000D3E7A" w:rsidRPr="001150C0">
        <w:rPr>
          <w:rFonts w:cstheme="minorHAnsi"/>
          <w:bCs/>
          <w:sz w:val="22"/>
          <w:szCs w:val="22"/>
        </w:rPr>
        <w:t>e</w:t>
      </w:r>
      <w:r w:rsidR="008205DC" w:rsidRPr="001150C0">
        <w:rPr>
          <w:rFonts w:cstheme="minorHAnsi"/>
          <w:bCs/>
          <w:sz w:val="22"/>
          <w:szCs w:val="22"/>
        </w:rPr>
        <w:t xml:space="preserve"> General Management Services (GMS) </w:t>
      </w:r>
      <w:r w:rsidR="00304F6A" w:rsidRPr="001150C0">
        <w:rPr>
          <w:rFonts w:cstheme="minorHAnsi"/>
          <w:bCs/>
          <w:sz w:val="22"/>
          <w:szCs w:val="22"/>
        </w:rPr>
        <w:t xml:space="preserve">cost recovery </w:t>
      </w:r>
      <w:r w:rsidR="005107EB" w:rsidRPr="001150C0">
        <w:rPr>
          <w:rFonts w:cstheme="minorHAnsi"/>
          <w:bCs/>
          <w:sz w:val="22"/>
          <w:szCs w:val="22"/>
        </w:rPr>
        <w:t xml:space="preserve">rate </w:t>
      </w:r>
      <w:r w:rsidR="000D3E7A" w:rsidRPr="001150C0">
        <w:rPr>
          <w:rFonts w:cstheme="minorHAnsi"/>
          <w:bCs/>
          <w:sz w:val="22"/>
          <w:szCs w:val="22"/>
        </w:rPr>
        <w:t>applied to non-core programme expenses</w:t>
      </w:r>
      <w:r w:rsidR="00304F6A" w:rsidRPr="001150C0">
        <w:rPr>
          <w:rFonts w:cstheme="minorHAnsi"/>
          <w:bCs/>
          <w:sz w:val="22"/>
          <w:szCs w:val="22"/>
        </w:rPr>
        <w:t>, to recover the costs incurred by UNDP in managing programmes funded from non-core resources</w:t>
      </w:r>
      <w:r w:rsidR="00A7292D" w:rsidRPr="001150C0">
        <w:rPr>
          <w:rFonts w:cstheme="minorHAnsi"/>
          <w:bCs/>
          <w:sz w:val="22"/>
          <w:szCs w:val="22"/>
        </w:rPr>
        <w:t xml:space="preserve">. </w:t>
      </w:r>
      <w:r w:rsidR="00304F6A" w:rsidRPr="001150C0">
        <w:rPr>
          <w:rFonts w:cstheme="minorHAnsi"/>
          <w:bCs/>
          <w:sz w:val="22"/>
          <w:szCs w:val="22"/>
        </w:rPr>
        <w:t xml:space="preserve"> </w:t>
      </w:r>
      <w:r w:rsidR="0031212A" w:rsidRPr="001150C0">
        <w:rPr>
          <w:rFonts w:cstheme="minorHAnsi"/>
          <w:bCs/>
          <w:sz w:val="22"/>
          <w:szCs w:val="22"/>
        </w:rPr>
        <w:t>Whilst infrequent, GMS waivers continue to be demanded by funding partners. UNDP considers carefully all demands by funding partners for waivers, and has agreed to such demands only in exceptional cases where the project funding would otherwise be at risk, negatively impacting UNDP’s ability to help programme countries to achieve development results.</w:t>
      </w:r>
    </w:p>
    <w:p w14:paraId="116EB120" w14:textId="77777777" w:rsidR="00985678" w:rsidRPr="001150C0" w:rsidRDefault="00985678" w:rsidP="00E90D80">
      <w:pPr>
        <w:jc w:val="both"/>
        <w:rPr>
          <w:rFonts w:asciiTheme="minorHAnsi" w:hAnsiTheme="minorHAnsi" w:cstheme="minorHAnsi"/>
          <w:sz w:val="22"/>
          <w:szCs w:val="22"/>
        </w:rPr>
      </w:pPr>
    </w:p>
    <w:p w14:paraId="458E97F8" w14:textId="43F587A7" w:rsidR="00C7010B" w:rsidRPr="001150C0" w:rsidRDefault="0031212A" w:rsidP="000F33F5">
      <w:pPr>
        <w:pStyle w:val="ListParagraph"/>
        <w:numPr>
          <w:ilvl w:val="0"/>
          <w:numId w:val="15"/>
        </w:numPr>
        <w:rPr>
          <w:rFonts w:cstheme="minorHAnsi"/>
          <w:bCs/>
          <w:sz w:val="22"/>
          <w:szCs w:val="22"/>
        </w:rPr>
      </w:pPr>
      <w:r w:rsidRPr="001150C0">
        <w:rPr>
          <w:rFonts w:cstheme="minorHAnsi"/>
          <w:bCs/>
          <w:sz w:val="22"/>
          <w:szCs w:val="22"/>
        </w:rPr>
        <w:t>Accordingly, information on GMS waivers is presented i</w:t>
      </w:r>
      <w:r w:rsidR="00C7010B" w:rsidRPr="001150C0">
        <w:rPr>
          <w:rFonts w:cstheme="minorHAnsi"/>
          <w:bCs/>
          <w:sz w:val="22"/>
          <w:szCs w:val="22"/>
        </w:rPr>
        <w:t xml:space="preserve">n </w:t>
      </w:r>
      <w:r w:rsidRPr="001150C0">
        <w:rPr>
          <w:rFonts w:cstheme="minorHAnsi"/>
          <w:bCs/>
          <w:sz w:val="22"/>
          <w:szCs w:val="22"/>
        </w:rPr>
        <w:t xml:space="preserve">this addendum in </w:t>
      </w:r>
      <w:r w:rsidR="00AE606D" w:rsidRPr="001150C0">
        <w:rPr>
          <w:rFonts w:cstheme="minorHAnsi"/>
          <w:bCs/>
          <w:sz w:val="22"/>
          <w:szCs w:val="22"/>
        </w:rPr>
        <w:t xml:space="preserve">two </w:t>
      </w:r>
      <w:r w:rsidR="00C7010B" w:rsidRPr="001150C0">
        <w:rPr>
          <w:rFonts w:cstheme="minorHAnsi"/>
          <w:bCs/>
          <w:sz w:val="22"/>
          <w:szCs w:val="22"/>
        </w:rPr>
        <w:t xml:space="preserve">segments: </w:t>
      </w:r>
    </w:p>
    <w:p w14:paraId="0ED9EBC5" w14:textId="5BD57853" w:rsidR="00DA1796" w:rsidRPr="001150C0" w:rsidRDefault="00DA1796" w:rsidP="000F33F5">
      <w:pPr>
        <w:pStyle w:val="ListParagraph"/>
        <w:numPr>
          <w:ilvl w:val="0"/>
          <w:numId w:val="13"/>
        </w:numPr>
        <w:jc w:val="both"/>
        <w:rPr>
          <w:rFonts w:cstheme="minorHAnsi"/>
          <w:bCs/>
          <w:sz w:val="22"/>
          <w:szCs w:val="22"/>
        </w:rPr>
      </w:pPr>
      <w:r w:rsidRPr="001150C0">
        <w:rPr>
          <w:rFonts w:cstheme="minorHAnsi"/>
          <w:bCs/>
          <w:sz w:val="22"/>
          <w:szCs w:val="22"/>
        </w:rPr>
        <w:t>GMS waivers issued in 2018</w:t>
      </w:r>
      <w:r w:rsidR="005107EB" w:rsidRPr="001150C0">
        <w:rPr>
          <w:rFonts w:cstheme="minorHAnsi"/>
          <w:bCs/>
          <w:sz w:val="22"/>
          <w:szCs w:val="22"/>
        </w:rPr>
        <w:t>; and</w:t>
      </w:r>
    </w:p>
    <w:p w14:paraId="264A98CC" w14:textId="4F8167AB" w:rsidR="00FE3FDC" w:rsidRPr="001150C0" w:rsidRDefault="00FE3FDC" w:rsidP="00FE3FDC">
      <w:pPr>
        <w:pStyle w:val="ListParagraph"/>
        <w:numPr>
          <w:ilvl w:val="0"/>
          <w:numId w:val="13"/>
        </w:numPr>
        <w:jc w:val="both"/>
        <w:rPr>
          <w:rFonts w:eastAsia="Times New Roman" w:cstheme="minorHAnsi"/>
          <w:bCs/>
          <w:sz w:val="22"/>
          <w:szCs w:val="22"/>
        </w:rPr>
      </w:pPr>
      <w:r w:rsidRPr="001150C0">
        <w:rPr>
          <w:rFonts w:cstheme="minorHAnsi"/>
          <w:bCs/>
          <w:sz w:val="22"/>
          <w:szCs w:val="22"/>
        </w:rPr>
        <w:t>GMS waivers issued prior to 2018 for activities on-going in 2018</w:t>
      </w:r>
    </w:p>
    <w:p w14:paraId="567A7736" w14:textId="77777777" w:rsidR="00AE606D" w:rsidRPr="001150C0" w:rsidRDefault="00AE606D" w:rsidP="00AE606D">
      <w:pPr>
        <w:jc w:val="both"/>
        <w:rPr>
          <w:rFonts w:cstheme="minorHAnsi"/>
          <w:bCs/>
          <w:sz w:val="22"/>
          <w:szCs w:val="22"/>
        </w:rPr>
      </w:pPr>
    </w:p>
    <w:p w14:paraId="01C9DB40" w14:textId="3272FA3E" w:rsidR="00B027D8" w:rsidRPr="001150C0" w:rsidRDefault="00AE606D" w:rsidP="00F05CDA">
      <w:pPr>
        <w:pStyle w:val="ListParagraph"/>
        <w:numPr>
          <w:ilvl w:val="0"/>
          <w:numId w:val="15"/>
        </w:numPr>
        <w:jc w:val="both"/>
        <w:rPr>
          <w:rFonts w:cstheme="minorHAnsi"/>
          <w:bCs/>
          <w:sz w:val="22"/>
          <w:szCs w:val="22"/>
        </w:rPr>
      </w:pPr>
      <w:r w:rsidRPr="001150C0">
        <w:rPr>
          <w:rFonts w:cstheme="minorHAnsi"/>
          <w:bCs/>
          <w:sz w:val="22"/>
          <w:szCs w:val="22"/>
        </w:rPr>
        <w:t xml:space="preserve">Separate from the </w:t>
      </w:r>
      <w:r w:rsidR="005107EB" w:rsidRPr="001150C0">
        <w:rPr>
          <w:rFonts w:cstheme="minorHAnsi"/>
          <w:bCs/>
          <w:sz w:val="22"/>
          <w:szCs w:val="22"/>
        </w:rPr>
        <w:t>above referred</w:t>
      </w:r>
      <w:r w:rsidRPr="001150C0">
        <w:rPr>
          <w:rFonts w:cstheme="minorHAnsi"/>
          <w:bCs/>
          <w:sz w:val="22"/>
          <w:szCs w:val="22"/>
        </w:rPr>
        <w:t xml:space="preserve"> GMS waivers, this addendum also sets out f</w:t>
      </w:r>
      <w:r w:rsidR="00BD279E" w:rsidRPr="001150C0">
        <w:rPr>
          <w:rFonts w:cstheme="minorHAnsi"/>
          <w:bCs/>
          <w:sz w:val="22"/>
          <w:szCs w:val="22"/>
        </w:rPr>
        <w:t>ramework agreement</w:t>
      </w:r>
      <w:r w:rsidR="0009013B" w:rsidRPr="001150C0">
        <w:rPr>
          <w:rFonts w:cstheme="minorHAnsi"/>
          <w:bCs/>
          <w:sz w:val="22"/>
          <w:szCs w:val="22"/>
        </w:rPr>
        <w:t>s</w:t>
      </w:r>
      <w:r w:rsidR="00BD279E" w:rsidRPr="001150C0">
        <w:rPr>
          <w:rFonts w:cstheme="minorHAnsi"/>
          <w:bCs/>
          <w:sz w:val="22"/>
          <w:szCs w:val="22"/>
        </w:rPr>
        <w:t xml:space="preserve"> with multilateral</w:t>
      </w:r>
      <w:r w:rsidR="00B244C6" w:rsidRPr="001150C0">
        <w:rPr>
          <w:rFonts w:cstheme="minorHAnsi"/>
          <w:bCs/>
          <w:sz w:val="22"/>
          <w:szCs w:val="22"/>
        </w:rPr>
        <w:t xml:space="preserve"> funding</w:t>
      </w:r>
      <w:r w:rsidR="00BD279E" w:rsidRPr="001150C0">
        <w:rPr>
          <w:rFonts w:cstheme="minorHAnsi"/>
          <w:bCs/>
          <w:sz w:val="22"/>
          <w:szCs w:val="22"/>
        </w:rPr>
        <w:t xml:space="preserve"> partners where </w:t>
      </w:r>
      <w:r w:rsidR="006E280F" w:rsidRPr="001150C0">
        <w:rPr>
          <w:rFonts w:cstheme="minorHAnsi"/>
          <w:bCs/>
          <w:sz w:val="22"/>
          <w:szCs w:val="22"/>
        </w:rPr>
        <w:t>G</w:t>
      </w:r>
      <w:r w:rsidR="00FE3FDC" w:rsidRPr="001150C0">
        <w:rPr>
          <w:rFonts w:cstheme="minorHAnsi"/>
          <w:bCs/>
          <w:sz w:val="22"/>
          <w:szCs w:val="22"/>
        </w:rPr>
        <w:t>MS rates</w:t>
      </w:r>
      <w:r w:rsidR="00BD279E" w:rsidRPr="001150C0">
        <w:rPr>
          <w:rFonts w:cstheme="minorHAnsi"/>
          <w:bCs/>
          <w:sz w:val="22"/>
          <w:szCs w:val="22"/>
        </w:rPr>
        <w:t xml:space="preserve"> </w:t>
      </w:r>
      <w:r w:rsidR="000B3DA6" w:rsidRPr="001150C0">
        <w:rPr>
          <w:rFonts w:cstheme="minorHAnsi"/>
          <w:bCs/>
          <w:sz w:val="22"/>
          <w:szCs w:val="22"/>
        </w:rPr>
        <w:t xml:space="preserve">were </w:t>
      </w:r>
      <w:r w:rsidR="00BD279E" w:rsidRPr="001150C0">
        <w:rPr>
          <w:rFonts w:cstheme="minorHAnsi"/>
          <w:bCs/>
          <w:sz w:val="22"/>
          <w:szCs w:val="22"/>
        </w:rPr>
        <w:t xml:space="preserve">agreed </w:t>
      </w:r>
      <w:r w:rsidR="00957047" w:rsidRPr="001150C0">
        <w:rPr>
          <w:rFonts w:cstheme="minorHAnsi"/>
          <w:bCs/>
          <w:sz w:val="22"/>
          <w:szCs w:val="22"/>
        </w:rPr>
        <w:t xml:space="preserve">below </w:t>
      </w:r>
      <w:r w:rsidR="00B244C6" w:rsidRPr="001150C0">
        <w:rPr>
          <w:rFonts w:cstheme="minorHAnsi"/>
          <w:bCs/>
          <w:sz w:val="22"/>
          <w:szCs w:val="22"/>
        </w:rPr>
        <w:t xml:space="preserve">the </w:t>
      </w:r>
      <w:r w:rsidR="000B3DA6" w:rsidRPr="001150C0">
        <w:rPr>
          <w:rFonts w:cstheme="minorHAnsi"/>
          <w:bCs/>
          <w:sz w:val="22"/>
          <w:szCs w:val="22"/>
        </w:rPr>
        <w:t xml:space="preserve">current </w:t>
      </w:r>
      <w:r w:rsidR="00B244C6" w:rsidRPr="001150C0">
        <w:rPr>
          <w:rFonts w:cstheme="minorHAnsi"/>
          <w:bCs/>
          <w:sz w:val="22"/>
          <w:szCs w:val="22"/>
        </w:rPr>
        <w:t xml:space="preserve">8% </w:t>
      </w:r>
      <w:r w:rsidR="000B3DA6" w:rsidRPr="001150C0">
        <w:rPr>
          <w:rFonts w:cstheme="minorHAnsi"/>
          <w:bCs/>
          <w:sz w:val="22"/>
          <w:szCs w:val="22"/>
        </w:rPr>
        <w:t xml:space="preserve">GMS </w:t>
      </w:r>
      <w:r w:rsidR="00B244C6" w:rsidRPr="001150C0">
        <w:rPr>
          <w:rFonts w:cstheme="minorHAnsi"/>
          <w:bCs/>
          <w:sz w:val="22"/>
          <w:szCs w:val="22"/>
        </w:rPr>
        <w:t>rate</w:t>
      </w:r>
      <w:r w:rsidR="00C72500" w:rsidRPr="001150C0">
        <w:rPr>
          <w:rFonts w:cstheme="minorHAnsi"/>
          <w:bCs/>
          <w:sz w:val="22"/>
          <w:szCs w:val="22"/>
        </w:rPr>
        <w:t>.</w:t>
      </w:r>
    </w:p>
    <w:p w14:paraId="1B41543C" w14:textId="598BD0C7" w:rsidR="00AE606D" w:rsidRPr="001150C0" w:rsidRDefault="00AE606D" w:rsidP="000F33F5">
      <w:pPr>
        <w:rPr>
          <w:rFonts w:asciiTheme="minorHAnsi" w:hAnsiTheme="minorHAnsi" w:cstheme="minorHAnsi"/>
          <w:bCs/>
          <w:sz w:val="22"/>
          <w:szCs w:val="22"/>
        </w:rPr>
      </w:pPr>
    </w:p>
    <w:p w14:paraId="5A11EC12" w14:textId="7103B6E6" w:rsidR="0068740C" w:rsidRPr="001150C0" w:rsidRDefault="0068740C" w:rsidP="000F33F5">
      <w:pPr>
        <w:rPr>
          <w:rFonts w:asciiTheme="minorHAnsi" w:hAnsiTheme="minorHAnsi" w:cstheme="minorHAnsi"/>
          <w:bCs/>
          <w:sz w:val="22"/>
          <w:szCs w:val="22"/>
        </w:rPr>
      </w:pPr>
    </w:p>
    <w:p w14:paraId="368C796F" w14:textId="461B761C" w:rsidR="0031212A" w:rsidRPr="001150C0" w:rsidRDefault="0031212A" w:rsidP="000F33F5">
      <w:pPr>
        <w:rPr>
          <w:rFonts w:asciiTheme="minorHAnsi" w:hAnsiTheme="minorHAnsi" w:cstheme="minorHAnsi"/>
          <w:bCs/>
          <w:sz w:val="22"/>
          <w:szCs w:val="22"/>
        </w:rPr>
      </w:pPr>
    </w:p>
    <w:p w14:paraId="268EE165" w14:textId="5269B5A2" w:rsidR="0031212A" w:rsidRPr="001150C0" w:rsidRDefault="0031212A" w:rsidP="000F33F5">
      <w:pPr>
        <w:rPr>
          <w:rFonts w:asciiTheme="minorHAnsi" w:hAnsiTheme="minorHAnsi" w:cstheme="minorHAnsi"/>
          <w:bCs/>
          <w:sz w:val="22"/>
          <w:szCs w:val="22"/>
        </w:rPr>
      </w:pPr>
    </w:p>
    <w:p w14:paraId="3C69EECE" w14:textId="77777777" w:rsidR="0031212A" w:rsidRPr="001150C0" w:rsidRDefault="0031212A" w:rsidP="000F33F5">
      <w:pPr>
        <w:rPr>
          <w:rFonts w:asciiTheme="minorHAnsi" w:hAnsiTheme="minorHAnsi" w:cstheme="minorHAnsi"/>
          <w:bCs/>
          <w:sz w:val="22"/>
          <w:szCs w:val="22"/>
        </w:rPr>
      </w:pPr>
    </w:p>
    <w:p w14:paraId="75F0F85F" w14:textId="01D422FE" w:rsidR="00B027D8" w:rsidRPr="001150C0" w:rsidRDefault="00B027D8" w:rsidP="000F33F5">
      <w:pPr>
        <w:pStyle w:val="ListParagraph"/>
        <w:numPr>
          <w:ilvl w:val="2"/>
          <w:numId w:val="15"/>
        </w:numPr>
        <w:jc w:val="both"/>
        <w:rPr>
          <w:rFonts w:cstheme="minorHAnsi"/>
          <w:b/>
          <w:bCs/>
          <w:sz w:val="22"/>
          <w:szCs w:val="22"/>
        </w:rPr>
      </w:pPr>
      <w:r w:rsidRPr="001150C0">
        <w:rPr>
          <w:rFonts w:cstheme="minorHAnsi"/>
          <w:b/>
          <w:bCs/>
          <w:sz w:val="22"/>
          <w:szCs w:val="22"/>
        </w:rPr>
        <w:lastRenderedPageBreak/>
        <w:t>GMS waivers issued in 2018</w:t>
      </w:r>
    </w:p>
    <w:p w14:paraId="59755825" w14:textId="03B7C430" w:rsidR="0088625C" w:rsidRPr="001150C0" w:rsidRDefault="0088625C" w:rsidP="000F33F5">
      <w:pPr>
        <w:rPr>
          <w:rFonts w:asciiTheme="minorHAnsi" w:hAnsiTheme="minorHAnsi" w:cstheme="minorHAnsi"/>
          <w:sz w:val="22"/>
          <w:szCs w:val="22"/>
        </w:rPr>
      </w:pPr>
    </w:p>
    <w:p w14:paraId="412CE8F0" w14:textId="0F83018C" w:rsidR="0088625C" w:rsidRPr="001150C0" w:rsidRDefault="0088625C" w:rsidP="00F05CDA">
      <w:pPr>
        <w:pStyle w:val="ListParagraph"/>
        <w:numPr>
          <w:ilvl w:val="0"/>
          <w:numId w:val="15"/>
        </w:numPr>
        <w:jc w:val="both"/>
        <w:rPr>
          <w:rFonts w:cstheme="minorHAnsi"/>
          <w:sz w:val="22"/>
          <w:szCs w:val="22"/>
        </w:rPr>
      </w:pPr>
      <w:r w:rsidRPr="001150C0">
        <w:rPr>
          <w:rFonts w:cstheme="minorHAnsi"/>
          <w:sz w:val="22"/>
          <w:szCs w:val="22"/>
        </w:rPr>
        <w:t xml:space="preserve">During 2018, five </w:t>
      </w:r>
      <w:r w:rsidR="00FB55CC" w:rsidRPr="001150C0">
        <w:rPr>
          <w:rFonts w:cstheme="minorHAnsi"/>
          <w:sz w:val="22"/>
          <w:szCs w:val="22"/>
        </w:rPr>
        <w:t xml:space="preserve">new </w:t>
      </w:r>
      <w:r w:rsidRPr="001150C0">
        <w:rPr>
          <w:rFonts w:cstheme="minorHAnsi"/>
          <w:sz w:val="22"/>
          <w:szCs w:val="22"/>
        </w:rPr>
        <w:t>waivers were granted</w:t>
      </w:r>
      <w:r w:rsidR="002E587B" w:rsidRPr="001150C0">
        <w:rPr>
          <w:rFonts w:cstheme="minorHAnsi"/>
          <w:sz w:val="22"/>
          <w:szCs w:val="22"/>
        </w:rPr>
        <w:t>, as listed below</w:t>
      </w:r>
      <w:r w:rsidR="000340E1" w:rsidRPr="001150C0">
        <w:rPr>
          <w:rFonts w:cstheme="minorHAnsi"/>
          <w:sz w:val="22"/>
          <w:szCs w:val="22"/>
        </w:rPr>
        <w:t xml:space="preserve"> with financial impact of $1.2m (</w:t>
      </w:r>
      <w:r w:rsidR="0031212A" w:rsidRPr="001150C0">
        <w:rPr>
          <w:rFonts w:cstheme="minorHAnsi"/>
          <w:sz w:val="22"/>
          <w:szCs w:val="22"/>
        </w:rPr>
        <w:t>which represents</w:t>
      </w:r>
      <w:r w:rsidR="00872992" w:rsidRPr="001150C0">
        <w:rPr>
          <w:rFonts w:cstheme="minorHAnsi"/>
          <w:sz w:val="22"/>
          <w:szCs w:val="22"/>
        </w:rPr>
        <w:t xml:space="preserve"> </w:t>
      </w:r>
      <w:r w:rsidR="0031212A" w:rsidRPr="001150C0">
        <w:rPr>
          <w:rFonts w:cstheme="minorHAnsi"/>
          <w:sz w:val="22"/>
          <w:szCs w:val="22"/>
        </w:rPr>
        <w:t xml:space="preserve">half of a per cent of the overall level of GMS of $239 million </w:t>
      </w:r>
      <w:r w:rsidR="00872992" w:rsidRPr="001150C0">
        <w:rPr>
          <w:rFonts w:cstheme="minorHAnsi"/>
          <w:sz w:val="22"/>
          <w:szCs w:val="22"/>
        </w:rPr>
        <w:t>in 2018</w:t>
      </w:r>
      <w:r w:rsidR="000340E1" w:rsidRPr="001150C0">
        <w:rPr>
          <w:rFonts w:cstheme="minorHAnsi"/>
          <w:sz w:val="22"/>
          <w:szCs w:val="22"/>
        </w:rPr>
        <w:t>)</w:t>
      </w:r>
      <w:r w:rsidRPr="001150C0">
        <w:rPr>
          <w:rFonts w:cstheme="minorHAnsi"/>
          <w:sz w:val="22"/>
          <w:szCs w:val="22"/>
        </w:rPr>
        <w:t>:</w:t>
      </w:r>
    </w:p>
    <w:p w14:paraId="09FC29E0" w14:textId="2811278F" w:rsidR="00DF20AE" w:rsidRPr="001150C0" w:rsidRDefault="00DF20AE" w:rsidP="000F33F5">
      <w:pPr>
        <w:jc w:val="both"/>
        <w:rPr>
          <w:rFonts w:asciiTheme="minorHAnsi" w:hAnsiTheme="minorHAnsi" w:cstheme="minorHAnsi"/>
          <w:bCs/>
          <w:sz w:val="22"/>
          <w:szCs w:val="22"/>
        </w:rPr>
      </w:pPr>
    </w:p>
    <w:p w14:paraId="3C0D323C" w14:textId="4D670F74" w:rsidR="00E90D80" w:rsidRPr="001150C0" w:rsidRDefault="00E22CED" w:rsidP="00E90D80">
      <w:pPr>
        <w:jc w:val="both"/>
        <w:rPr>
          <w:rFonts w:asciiTheme="minorHAnsi" w:hAnsiTheme="minorHAnsi" w:cstheme="minorHAnsi"/>
          <w:b/>
          <w:bCs/>
          <w:sz w:val="22"/>
          <w:szCs w:val="22"/>
        </w:rPr>
      </w:pPr>
      <w:r w:rsidRPr="001150C0">
        <w:rPr>
          <w:rFonts w:asciiTheme="minorHAnsi" w:hAnsiTheme="minorHAnsi" w:cstheme="minorHAnsi"/>
          <w:b/>
          <w:bCs/>
          <w:sz w:val="22"/>
          <w:szCs w:val="22"/>
        </w:rPr>
        <w:t>a.</w:t>
      </w:r>
      <w:r w:rsidR="00E90D80" w:rsidRPr="001150C0">
        <w:rPr>
          <w:rFonts w:asciiTheme="minorHAnsi" w:hAnsiTheme="minorHAnsi" w:cstheme="minorHAnsi"/>
          <w:b/>
          <w:bCs/>
          <w:sz w:val="22"/>
          <w:szCs w:val="22"/>
        </w:rPr>
        <w:t xml:space="preserve">    </w:t>
      </w:r>
      <w:r w:rsidR="00D07CAA" w:rsidRPr="001150C0">
        <w:rPr>
          <w:rFonts w:asciiTheme="minorHAnsi" w:hAnsiTheme="minorHAnsi" w:cstheme="minorHAnsi"/>
          <w:b/>
          <w:bCs/>
          <w:sz w:val="22"/>
          <w:szCs w:val="22"/>
        </w:rPr>
        <w:t>Three one</w:t>
      </w:r>
      <w:r w:rsidR="00E90D80" w:rsidRPr="001150C0">
        <w:rPr>
          <w:rFonts w:asciiTheme="minorHAnsi" w:hAnsiTheme="minorHAnsi" w:cstheme="minorHAnsi"/>
          <w:b/>
          <w:bCs/>
          <w:sz w:val="22"/>
          <w:szCs w:val="22"/>
        </w:rPr>
        <w:t xml:space="preserve">-time waivers to a reduced </w:t>
      </w:r>
      <w:r w:rsidR="00B270A8" w:rsidRPr="001150C0">
        <w:rPr>
          <w:rFonts w:asciiTheme="minorHAnsi" w:hAnsiTheme="minorHAnsi" w:cstheme="minorHAnsi"/>
          <w:b/>
          <w:bCs/>
          <w:sz w:val="22"/>
          <w:szCs w:val="22"/>
        </w:rPr>
        <w:t xml:space="preserve">GMS </w:t>
      </w:r>
      <w:r w:rsidR="00E90D80" w:rsidRPr="001150C0">
        <w:rPr>
          <w:rFonts w:asciiTheme="minorHAnsi" w:hAnsiTheme="minorHAnsi" w:cstheme="minorHAnsi"/>
          <w:b/>
          <w:bCs/>
          <w:sz w:val="22"/>
          <w:szCs w:val="22"/>
        </w:rPr>
        <w:t>fee:</w:t>
      </w:r>
    </w:p>
    <w:p w14:paraId="614CFB7D" w14:textId="77777777" w:rsidR="00E90D80" w:rsidRPr="001150C0" w:rsidRDefault="00E90D80" w:rsidP="00E90D80">
      <w:pPr>
        <w:jc w:val="both"/>
        <w:rPr>
          <w:rFonts w:asciiTheme="minorHAnsi" w:hAnsiTheme="minorHAnsi" w:cstheme="minorHAnsi"/>
          <w:sz w:val="22"/>
          <w:szCs w:val="22"/>
        </w:rPr>
      </w:pPr>
    </w:p>
    <w:p w14:paraId="6158E67D" w14:textId="5B1BCB95" w:rsidR="0022432C" w:rsidRPr="001150C0" w:rsidRDefault="00E746BD" w:rsidP="000F33F5">
      <w:pPr>
        <w:pStyle w:val="ListParagraph"/>
        <w:numPr>
          <w:ilvl w:val="0"/>
          <w:numId w:val="16"/>
        </w:numPr>
        <w:tabs>
          <w:tab w:val="left" w:pos="360"/>
        </w:tabs>
        <w:jc w:val="both"/>
        <w:rPr>
          <w:rFonts w:eastAsia="Times New Roman" w:cstheme="minorHAnsi"/>
          <w:sz w:val="22"/>
          <w:szCs w:val="22"/>
        </w:rPr>
      </w:pPr>
      <w:r w:rsidRPr="001150C0">
        <w:rPr>
          <w:rFonts w:eastAsia="Times New Roman" w:cstheme="minorHAnsi"/>
          <w:sz w:val="22"/>
          <w:szCs w:val="22"/>
        </w:rPr>
        <w:t>A</w:t>
      </w:r>
      <w:r w:rsidR="00E90D80" w:rsidRPr="001150C0">
        <w:rPr>
          <w:rFonts w:eastAsia="Times New Roman" w:cstheme="minorHAnsi"/>
          <w:sz w:val="22"/>
          <w:szCs w:val="22"/>
        </w:rPr>
        <w:t xml:space="preserve"> reduced (</w:t>
      </w:r>
      <w:r w:rsidR="00181DB2" w:rsidRPr="001150C0">
        <w:rPr>
          <w:rFonts w:eastAsia="Times New Roman" w:cstheme="minorHAnsi"/>
          <w:sz w:val="22"/>
          <w:szCs w:val="22"/>
        </w:rPr>
        <w:t xml:space="preserve">5 </w:t>
      </w:r>
      <w:r w:rsidR="00E90D80" w:rsidRPr="001150C0">
        <w:rPr>
          <w:rFonts w:eastAsia="Times New Roman" w:cstheme="minorHAnsi"/>
          <w:sz w:val="22"/>
          <w:szCs w:val="22"/>
        </w:rPr>
        <w:t>per cent) fee for a contribution to the "</w:t>
      </w:r>
      <w:r w:rsidR="00742B56" w:rsidRPr="001150C0">
        <w:rPr>
          <w:rFonts w:eastAsia="Times New Roman" w:cstheme="minorHAnsi"/>
          <w:sz w:val="22"/>
          <w:szCs w:val="22"/>
        </w:rPr>
        <w:t xml:space="preserve">UN </w:t>
      </w:r>
      <w:r w:rsidR="00E90D80" w:rsidRPr="001150C0">
        <w:rPr>
          <w:rFonts w:eastAsia="Times New Roman" w:cstheme="minorHAnsi"/>
          <w:sz w:val="22"/>
          <w:szCs w:val="22"/>
        </w:rPr>
        <w:t xml:space="preserve">Yemen </w:t>
      </w:r>
      <w:r w:rsidR="004B4468" w:rsidRPr="001150C0">
        <w:rPr>
          <w:rFonts w:eastAsia="Times New Roman" w:cstheme="minorHAnsi"/>
          <w:sz w:val="22"/>
          <w:szCs w:val="22"/>
        </w:rPr>
        <w:t>Humanitarian Response Plan 2018 (YHRP)</w:t>
      </w:r>
      <w:r w:rsidR="00E90D80" w:rsidRPr="001150C0">
        <w:rPr>
          <w:rFonts w:eastAsia="Times New Roman" w:cstheme="minorHAnsi"/>
          <w:sz w:val="22"/>
          <w:szCs w:val="22"/>
        </w:rPr>
        <w:t>;</w:t>
      </w:r>
    </w:p>
    <w:p w14:paraId="2A8F41D2" w14:textId="01C4E424" w:rsidR="00B17D91" w:rsidRPr="001150C0" w:rsidRDefault="00E746BD" w:rsidP="000F33F5">
      <w:pPr>
        <w:pStyle w:val="ListParagraph"/>
        <w:numPr>
          <w:ilvl w:val="0"/>
          <w:numId w:val="16"/>
        </w:numPr>
        <w:tabs>
          <w:tab w:val="left" w:pos="360"/>
        </w:tabs>
        <w:jc w:val="both"/>
        <w:rPr>
          <w:rFonts w:eastAsia="Times New Roman" w:cstheme="minorHAnsi"/>
          <w:sz w:val="22"/>
          <w:szCs w:val="22"/>
        </w:rPr>
      </w:pPr>
      <w:r w:rsidRPr="001150C0">
        <w:rPr>
          <w:rFonts w:eastAsia="Times New Roman" w:cstheme="minorHAnsi"/>
          <w:sz w:val="22"/>
          <w:szCs w:val="22"/>
        </w:rPr>
        <w:t>A</w:t>
      </w:r>
      <w:r w:rsidR="00B17D91" w:rsidRPr="001150C0">
        <w:rPr>
          <w:rFonts w:eastAsia="Times New Roman" w:cstheme="minorHAnsi"/>
          <w:sz w:val="22"/>
          <w:szCs w:val="22"/>
        </w:rPr>
        <w:t xml:space="preserve"> reduced (7 per cent) fee for a contribution to the "Yemen Humanitarian Pooled Fund / Emergency Cash Payments &amp; Civil &amp; Military Coordination in </w:t>
      </w:r>
      <w:proofErr w:type="spellStart"/>
      <w:r w:rsidR="00B17D91" w:rsidRPr="001150C0">
        <w:rPr>
          <w:rFonts w:eastAsia="Times New Roman" w:cstheme="minorHAnsi"/>
          <w:sz w:val="22"/>
          <w:szCs w:val="22"/>
        </w:rPr>
        <w:t>Hodeidah</w:t>
      </w:r>
      <w:proofErr w:type="spellEnd"/>
      <w:r w:rsidR="00B17D91" w:rsidRPr="001150C0">
        <w:rPr>
          <w:rFonts w:eastAsia="Times New Roman" w:cstheme="minorHAnsi"/>
          <w:sz w:val="22"/>
          <w:szCs w:val="22"/>
        </w:rPr>
        <w:t>";</w:t>
      </w:r>
    </w:p>
    <w:p w14:paraId="54DCEB28" w14:textId="7970E548" w:rsidR="00B17D91" w:rsidRPr="001150C0" w:rsidRDefault="00E746BD" w:rsidP="000F33F5">
      <w:pPr>
        <w:pStyle w:val="ListParagraph"/>
        <w:numPr>
          <w:ilvl w:val="0"/>
          <w:numId w:val="16"/>
        </w:numPr>
        <w:tabs>
          <w:tab w:val="left" w:pos="360"/>
        </w:tabs>
        <w:jc w:val="both"/>
        <w:rPr>
          <w:rFonts w:eastAsia="Times New Roman" w:cstheme="minorHAnsi"/>
          <w:sz w:val="22"/>
          <w:szCs w:val="22"/>
        </w:rPr>
      </w:pPr>
      <w:r w:rsidRPr="001150C0">
        <w:rPr>
          <w:rFonts w:eastAsia="Times New Roman" w:cstheme="minorHAnsi"/>
          <w:sz w:val="22"/>
          <w:szCs w:val="22"/>
        </w:rPr>
        <w:t>A</w:t>
      </w:r>
      <w:r w:rsidR="00B17D91" w:rsidRPr="001150C0">
        <w:rPr>
          <w:rFonts w:eastAsia="Times New Roman" w:cstheme="minorHAnsi"/>
          <w:sz w:val="22"/>
          <w:szCs w:val="22"/>
        </w:rPr>
        <w:t xml:space="preserve"> reduced (</w:t>
      </w:r>
      <w:r w:rsidR="00181DB2" w:rsidRPr="001150C0">
        <w:rPr>
          <w:rFonts w:eastAsia="Times New Roman" w:cstheme="minorHAnsi"/>
          <w:sz w:val="22"/>
          <w:szCs w:val="22"/>
        </w:rPr>
        <w:t xml:space="preserve">7 </w:t>
      </w:r>
      <w:r w:rsidR="00B17D91" w:rsidRPr="001150C0">
        <w:rPr>
          <w:rFonts w:eastAsia="Times New Roman" w:cstheme="minorHAnsi"/>
          <w:sz w:val="22"/>
          <w:szCs w:val="22"/>
        </w:rPr>
        <w:t xml:space="preserve">per cent) fee for a contribution to the "Yemen Humanitarian Pooled Fund / Emergency Mines Action - </w:t>
      </w:r>
      <w:proofErr w:type="spellStart"/>
      <w:r w:rsidR="00B17D91" w:rsidRPr="001150C0">
        <w:rPr>
          <w:rFonts w:eastAsia="Times New Roman" w:cstheme="minorHAnsi"/>
          <w:sz w:val="22"/>
          <w:szCs w:val="22"/>
        </w:rPr>
        <w:t>Hodeidah</w:t>
      </w:r>
      <w:proofErr w:type="spellEnd"/>
      <w:r w:rsidR="00B17D91" w:rsidRPr="001150C0">
        <w:rPr>
          <w:rFonts w:eastAsia="Times New Roman" w:cstheme="minorHAnsi"/>
          <w:sz w:val="22"/>
          <w:szCs w:val="22"/>
        </w:rPr>
        <w:t>";</w:t>
      </w:r>
    </w:p>
    <w:p w14:paraId="3A363D84" w14:textId="77777777" w:rsidR="00E90D80" w:rsidRPr="001150C0" w:rsidRDefault="00E90D80" w:rsidP="00EF58E0">
      <w:pPr>
        <w:jc w:val="both"/>
        <w:rPr>
          <w:rFonts w:asciiTheme="minorHAnsi" w:hAnsiTheme="minorHAnsi" w:cstheme="minorHAnsi"/>
          <w:sz w:val="22"/>
          <w:szCs w:val="22"/>
        </w:rPr>
      </w:pPr>
    </w:p>
    <w:p w14:paraId="4DE2BE94" w14:textId="18F4D224" w:rsidR="00E90D80" w:rsidRPr="001150C0" w:rsidRDefault="00E22CED" w:rsidP="00E90D80">
      <w:pPr>
        <w:jc w:val="both"/>
        <w:rPr>
          <w:rFonts w:asciiTheme="minorHAnsi" w:hAnsiTheme="minorHAnsi" w:cstheme="minorHAnsi"/>
          <w:b/>
          <w:bCs/>
          <w:sz w:val="22"/>
          <w:szCs w:val="22"/>
        </w:rPr>
      </w:pPr>
      <w:r w:rsidRPr="001150C0">
        <w:rPr>
          <w:rFonts w:asciiTheme="minorHAnsi" w:hAnsiTheme="minorHAnsi" w:cstheme="minorHAnsi"/>
          <w:b/>
          <w:bCs/>
          <w:sz w:val="22"/>
          <w:szCs w:val="22"/>
        </w:rPr>
        <w:t>b</w:t>
      </w:r>
      <w:r w:rsidR="00E90D80" w:rsidRPr="001150C0">
        <w:rPr>
          <w:rFonts w:asciiTheme="minorHAnsi" w:hAnsiTheme="minorHAnsi" w:cstheme="minorHAnsi"/>
          <w:b/>
          <w:bCs/>
          <w:sz w:val="22"/>
          <w:szCs w:val="22"/>
        </w:rPr>
        <w:t xml:space="preserve">.    </w:t>
      </w:r>
      <w:r w:rsidR="0089529C" w:rsidRPr="001150C0">
        <w:rPr>
          <w:rFonts w:asciiTheme="minorHAnsi" w:hAnsiTheme="minorHAnsi" w:cstheme="minorHAnsi"/>
          <w:b/>
          <w:bCs/>
          <w:sz w:val="22"/>
          <w:szCs w:val="22"/>
        </w:rPr>
        <w:t>T</w:t>
      </w:r>
      <w:r w:rsidR="007F095E" w:rsidRPr="001150C0">
        <w:rPr>
          <w:rFonts w:asciiTheme="minorHAnsi" w:hAnsiTheme="minorHAnsi" w:cstheme="minorHAnsi"/>
          <w:b/>
          <w:bCs/>
          <w:sz w:val="22"/>
          <w:szCs w:val="22"/>
        </w:rPr>
        <w:t xml:space="preserve">wo </w:t>
      </w:r>
      <w:r w:rsidR="00B270A8" w:rsidRPr="001150C0">
        <w:rPr>
          <w:rFonts w:asciiTheme="minorHAnsi" w:hAnsiTheme="minorHAnsi" w:cstheme="minorHAnsi"/>
          <w:b/>
          <w:bCs/>
          <w:sz w:val="22"/>
          <w:szCs w:val="22"/>
        </w:rPr>
        <w:t>waivers to a reduced GMS fee</w:t>
      </w:r>
      <w:r w:rsidR="00B270A8" w:rsidRPr="001150C0" w:rsidDel="00B270A8">
        <w:rPr>
          <w:rFonts w:asciiTheme="minorHAnsi" w:hAnsiTheme="minorHAnsi" w:cstheme="minorHAnsi"/>
          <w:b/>
          <w:bCs/>
          <w:sz w:val="22"/>
          <w:szCs w:val="22"/>
        </w:rPr>
        <w:t xml:space="preserve"> </w:t>
      </w:r>
      <w:r w:rsidR="00B270A8" w:rsidRPr="001150C0">
        <w:rPr>
          <w:rFonts w:asciiTheme="minorHAnsi" w:hAnsiTheme="minorHAnsi" w:cstheme="minorHAnsi"/>
          <w:b/>
          <w:bCs/>
          <w:sz w:val="22"/>
          <w:szCs w:val="22"/>
        </w:rPr>
        <w:t xml:space="preserve">in </w:t>
      </w:r>
      <w:r w:rsidR="0041004A" w:rsidRPr="001150C0">
        <w:rPr>
          <w:rFonts w:asciiTheme="minorHAnsi" w:hAnsiTheme="minorHAnsi" w:cstheme="minorHAnsi"/>
          <w:b/>
          <w:bCs/>
          <w:sz w:val="22"/>
          <w:szCs w:val="22"/>
        </w:rPr>
        <w:t xml:space="preserve">renewal </w:t>
      </w:r>
      <w:r w:rsidR="00B270A8" w:rsidRPr="001150C0">
        <w:rPr>
          <w:rFonts w:asciiTheme="minorHAnsi" w:hAnsiTheme="minorHAnsi" w:cstheme="minorHAnsi"/>
          <w:b/>
          <w:bCs/>
          <w:sz w:val="22"/>
          <w:szCs w:val="22"/>
        </w:rPr>
        <w:t xml:space="preserve">of </w:t>
      </w:r>
      <w:r w:rsidR="00E746BD" w:rsidRPr="001150C0">
        <w:rPr>
          <w:rFonts w:asciiTheme="minorHAnsi" w:hAnsiTheme="minorHAnsi" w:cstheme="minorHAnsi"/>
          <w:b/>
          <w:bCs/>
          <w:sz w:val="22"/>
          <w:szCs w:val="22"/>
        </w:rPr>
        <w:t xml:space="preserve">a </w:t>
      </w:r>
      <w:r w:rsidR="00E90D80" w:rsidRPr="001150C0">
        <w:rPr>
          <w:rFonts w:asciiTheme="minorHAnsi" w:hAnsiTheme="minorHAnsi" w:cstheme="minorHAnsi"/>
          <w:b/>
          <w:bCs/>
          <w:sz w:val="22"/>
          <w:szCs w:val="22"/>
        </w:rPr>
        <w:t xml:space="preserve">previous </w:t>
      </w:r>
      <w:r w:rsidR="00E746BD" w:rsidRPr="001150C0">
        <w:rPr>
          <w:rFonts w:asciiTheme="minorHAnsi" w:hAnsiTheme="minorHAnsi" w:cstheme="minorHAnsi"/>
          <w:b/>
          <w:bCs/>
          <w:sz w:val="22"/>
          <w:szCs w:val="22"/>
        </w:rPr>
        <w:t>waiver</w:t>
      </w:r>
      <w:r w:rsidR="00E90D80" w:rsidRPr="001150C0">
        <w:rPr>
          <w:rFonts w:asciiTheme="minorHAnsi" w:hAnsiTheme="minorHAnsi" w:cstheme="minorHAnsi"/>
          <w:b/>
          <w:bCs/>
          <w:sz w:val="22"/>
          <w:szCs w:val="22"/>
        </w:rPr>
        <w:t>:</w:t>
      </w:r>
    </w:p>
    <w:p w14:paraId="0EB61480" w14:textId="77777777" w:rsidR="00E90D80" w:rsidRPr="001150C0" w:rsidRDefault="00E90D80" w:rsidP="00E90D80">
      <w:pPr>
        <w:jc w:val="both"/>
        <w:rPr>
          <w:rFonts w:asciiTheme="minorHAnsi" w:hAnsiTheme="minorHAnsi" w:cstheme="minorHAnsi"/>
          <w:b/>
          <w:bCs/>
          <w:sz w:val="22"/>
          <w:szCs w:val="22"/>
        </w:rPr>
      </w:pPr>
    </w:p>
    <w:p w14:paraId="7A3D3914" w14:textId="032E7AAF" w:rsidR="00A31EBD" w:rsidRPr="001150C0" w:rsidRDefault="00E746BD" w:rsidP="00C72500">
      <w:pPr>
        <w:pStyle w:val="ListParagraph"/>
        <w:numPr>
          <w:ilvl w:val="0"/>
          <w:numId w:val="16"/>
        </w:numPr>
        <w:tabs>
          <w:tab w:val="left" w:pos="360"/>
        </w:tabs>
        <w:jc w:val="both"/>
        <w:rPr>
          <w:rFonts w:eastAsia="Times New Roman" w:cstheme="minorHAnsi"/>
          <w:sz w:val="22"/>
          <w:szCs w:val="22"/>
        </w:rPr>
      </w:pPr>
      <w:r w:rsidRPr="001150C0">
        <w:rPr>
          <w:rFonts w:eastAsia="Times New Roman" w:cstheme="minorHAnsi"/>
          <w:sz w:val="22"/>
          <w:szCs w:val="22"/>
        </w:rPr>
        <w:t>A</w:t>
      </w:r>
      <w:r w:rsidR="00A31EBD" w:rsidRPr="001150C0">
        <w:rPr>
          <w:rFonts w:eastAsia="Times New Roman" w:cstheme="minorHAnsi"/>
          <w:sz w:val="22"/>
          <w:szCs w:val="22"/>
        </w:rPr>
        <w:t xml:space="preserve"> reduced (5 per cent) fee for a contribution to</w:t>
      </w:r>
      <w:r w:rsidR="00A31EBD" w:rsidRPr="001150C0">
        <w:rPr>
          <w:rFonts w:cstheme="minorHAnsi"/>
          <w:sz w:val="22"/>
          <w:szCs w:val="22"/>
        </w:rPr>
        <w:t xml:space="preserve"> </w:t>
      </w:r>
      <w:r w:rsidR="00A31EBD" w:rsidRPr="001150C0">
        <w:rPr>
          <w:rFonts w:eastAsia="Times New Roman" w:cstheme="minorHAnsi"/>
          <w:sz w:val="22"/>
          <w:szCs w:val="22"/>
        </w:rPr>
        <w:t>"Country-Based Pooled Funds” in Democratic Republic of the Congo</w:t>
      </w:r>
      <w:r w:rsidR="008A7B1B" w:rsidRPr="001150C0">
        <w:rPr>
          <w:rFonts w:eastAsia="Times New Roman" w:cstheme="minorHAnsi"/>
          <w:sz w:val="22"/>
          <w:szCs w:val="22"/>
        </w:rPr>
        <w:t>;</w:t>
      </w:r>
    </w:p>
    <w:p w14:paraId="19C3B884" w14:textId="2925499E" w:rsidR="00181DB2" w:rsidRPr="001150C0" w:rsidRDefault="00E746BD" w:rsidP="00C72500">
      <w:pPr>
        <w:pStyle w:val="ListParagraph"/>
        <w:numPr>
          <w:ilvl w:val="0"/>
          <w:numId w:val="16"/>
        </w:numPr>
        <w:tabs>
          <w:tab w:val="left" w:pos="360"/>
        </w:tabs>
        <w:jc w:val="both"/>
        <w:rPr>
          <w:rFonts w:eastAsia="Times New Roman" w:cstheme="minorHAnsi"/>
          <w:sz w:val="22"/>
          <w:szCs w:val="22"/>
        </w:rPr>
      </w:pPr>
      <w:r w:rsidRPr="001150C0">
        <w:rPr>
          <w:rFonts w:eastAsia="Times New Roman" w:cstheme="minorHAnsi"/>
          <w:sz w:val="22"/>
          <w:szCs w:val="22"/>
        </w:rPr>
        <w:t>A</w:t>
      </w:r>
      <w:r w:rsidR="00AA7030" w:rsidRPr="001150C0">
        <w:rPr>
          <w:rFonts w:eastAsia="Times New Roman" w:cstheme="minorHAnsi"/>
          <w:sz w:val="22"/>
          <w:szCs w:val="22"/>
        </w:rPr>
        <w:t xml:space="preserve"> reduced (7 per cent) fee for a contribution to “Social Local Development Programme – ART GOLD-N</w:t>
      </w:r>
      <w:r w:rsidR="0022432C" w:rsidRPr="001150C0">
        <w:rPr>
          <w:rFonts w:eastAsia="Times New Roman" w:cstheme="minorHAnsi"/>
          <w:sz w:val="22"/>
          <w:szCs w:val="22"/>
        </w:rPr>
        <w:t>orth</w:t>
      </w:r>
      <w:r w:rsidR="00AA7030" w:rsidRPr="001150C0">
        <w:rPr>
          <w:rFonts w:eastAsia="Times New Roman" w:cstheme="minorHAnsi"/>
          <w:sz w:val="22"/>
          <w:szCs w:val="22"/>
        </w:rPr>
        <w:t>” in Lebanon</w:t>
      </w:r>
      <w:r w:rsidR="008A7B1B" w:rsidRPr="001150C0">
        <w:rPr>
          <w:rFonts w:eastAsia="Times New Roman" w:cstheme="minorHAnsi"/>
          <w:sz w:val="22"/>
          <w:szCs w:val="22"/>
        </w:rPr>
        <w:t>.</w:t>
      </w:r>
    </w:p>
    <w:p w14:paraId="048A6A5C" w14:textId="77777777" w:rsidR="0006493D" w:rsidRPr="001150C0" w:rsidRDefault="0006493D" w:rsidP="0006493D">
      <w:pPr>
        <w:jc w:val="both"/>
        <w:rPr>
          <w:rFonts w:asciiTheme="minorHAnsi" w:hAnsiTheme="minorHAnsi" w:cstheme="minorHAnsi"/>
          <w:sz w:val="22"/>
          <w:szCs w:val="22"/>
        </w:rPr>
      </w:pPr>
    </w:p>
    <w:p w14:paraId="4D1F0D0F" w14:textId="7CB6DE10" w:rsidR="0006493D" w:rsidRPr="001150C0" w:rsidRDefault="00F851AF" w:rsidP="00EF58E0">
      <w:pPr>
        <w:jc w:val="both"/>
        <w:rPr>
          <w:rFonts w:asciiTheme="minorHAnsi" w:hAnsiTheme="minorHAnsi" w:cstheme="minorHAnsi"/>
          <w:sz w:val="22"/>
          <w:szCs w:val="22"/>
        </w:rPr>
      </w:pPr>
      <w:r w:rsidRPr="001150C0">
        <w:rPr>
          <w:rFonts w:asciiTheme="minorHAnsi" w:hAnsiTheme="minorHAnsi" w:cstheme="minorHAnsi"/>
          <w:sz w:val="22"/>
          <w:szCs w:val="22"/>
        </w:rPr>
        <w:t xml:space="preserve"> </w:t>
      </w:r>
      <w:r w:rsidR="0006493D" w:rsidRPr="001150C0">
        <w:rPr>
          <w:rFonts w:asciiTheme="minorHAnsi" w:hAnsiTheme="minorHAnsi" w:cstheme="minorHAnsi"/>
          <w:sz w:val="22"/>
          <w:szCs w:val="22"/>
        </w:rPr>
        <w:t xml:space="preserve">The financial impact of these five waivers granted in 2018 </w:t>
      </w:r>
      <w:r w:rsidR="00AE606D" w:rsidRPr="001150C0">
        <w:rPr>
          <w:rFonts w:asciiTheme="minorHAnsi" w:hAnsiTheme="minorHAnsi" w:cstheme="minorHAnsi"/>
          <w:sz w:val="22"/>
          <w:szCs w:val="22"/>
        </w:rPr>
        <w:t xml:space="preserve">is </w:t>
      </w:r>
      <w:r w:rsidR="0006493D" w:rsidRPr="001150C0">
        <w:rPr>
          <w:rFonts w:asciiTheme="minorHAnsi" w:hAnsiTheme="minorHAnsi" w:cstheme="minorHAnsi"/>
          <w:sz w:val="22"/>
          <w:szCs w:val="22"/>
        </w:rPr>
        <w:t>summarized below:</w:t>
      </w:r>
    </w:p>
    <w:p w14:paraId="3B44D6C9" w14:textId="77777777" w:rsidR="00181DB2" w:rsidRPr="001150C0" w:rsidRDefault="00181DB2" w:rsidP="00EF58E0">
      <w:pPr>
        <w:ind w:left="360"/>
        <w:jc w:val="both"/>
        <w:rPr>
          <w:rFonts w:asciiTheme="minorHAnsi" w:hAnsiTheme="minorHAnsi" w:cstheme="minorHAnsi"/>
          <w:b/>
          <w:sz w:val="22"/>
          <w:szCs w:val="22"/>
        </w:rPr>
      </w:pPr>
    </w:p>
    <w:tbl>
      <w:tblPr>
        <w:tblStyle w:val="TableGrid"/>
        <w:tblW w:w="9450" w:type="dxa"/>
        <w:tblInd w:w="-95" w:type="dxa"/>
        <w:tblLayout w:type="fixed"/>
        <w:tblLook w:val="04A0" w:firstRow="1" w:lastRow="0" w:firstColumn="1" w:lastColumn="0" w:noHBand="0" w:noVBand="1"/>
      </w:tblPr>
      <w:tblGrid>
        <w:gridCol w:w="3690"/>
        <w:gridCol w:w="720"/>
        <w:gridCol w:w="1260"/>
        <w:gridCol w:w="1800"/>
        <w:gridCol w:w="1980"/>
      </w:tblGrid>
      <w:tr w:rsidR="00875BBA" w:rsidRPr="001150C0" w14:paraId="71B6BABD" w14:textId="77777777" w:rsidTr="00B01D89">
        <w:trPr>
          <w:trHeight w:val="692"/>
        </w:trPr>
        <w:tc>
          <w:tcPr>
            <w:tcW w:w="3690" w:type="dxa"/>
            <w:vAlign w:val="center"/>
          </w:tcPr>
          <w:p w14:paraId="5AF0AACB" w14:textId="77777777" w:rsidR="00181DB2" w:rsidRPr="001150C0" w:rsidRDefault="00181DB2" w:rsidP="00A61602">
            <w:pPr>
              <w:rPr>
                <w:rFonts w:asciiTheme="minorHAnsi" w:hAnsiTheme="minorHAnsi" w:cstheme="minorHAnsi"/>
                <w:b/>
                <w:sz w:val="22"/>
                <w:szCs w:val="22"/>
              </w:rPr>
            </w:pPr>
            <w:r w:rsidRPr="001150C0">
              <w:rPr>
                <w:rFonts w:asciiTheme="minorHAnsi" w:hAnsiTheme="minorHAnsi" w:cstheme="minorHAnsi"/>
                <w:b/>
                <w:sz w:val="22"/>
                <w:szCs w:val="22"/>
              </w:rPr>
              <w:t>Project</w:t>
            </w:r>
          </w:p>
        </w:tc>
        <w:tc>
          <w:tcPr>
            <w:tcW w:w="720" w:type="dxa"/>
            <w:vAlign w:val="center"/>
          </w:tcPr>
          <w:p w14:paraId="5DD51C6A" w14:textId="1685F52A" w:rsidR="00181DB2" w:rsidRPr="001150C0" w:rsidRDefault="00181DB2" w:rsidP="00A61602">
            <w:pPr>
              <w:rPr>
                <w:rFonts w:asciiTheme="minorHAnsi" w:hAnsiTheme="minorHAnsi" w:cstheme="minorHAnsi"/>
                <w:b/>
                <w:sz w:val="22"/>
                <w:szCs w:val="22"/>
              </w:rPr>
            </w:pPr>
            <w:r w:rsidRPr="001150C0">
              <w:rPr>
                <w:rFonts w:asciiTheme="minorHAnsi" w:hAnsiTheme="minorHAnsi" w:cstheme="minorHAnsi"/>
                <w:b/>
                <w:sz w:val="22"/>
                <w:szCs w:val="22"/>
              </w:rPr>
              <w:t xml:space="preserve">GMS rate </w:t>
            </w:r>
          </w:p>
        </w:tc>
        <w:tc>
          <w:tcPr>
            <w:tcW w:w="1260" w:type="dxa"/>
            <w:vAlign w:val="center"/>
          </w:tcPr>
          <w:p w14:paraId="53AFF336" w14:textId="255B43BE" w:rsidR="00181DB2" w:rsidRPr="001150C0" w:rsidRDefault="0078078A" w:rsidP="00A61602">
            <w:pPr>
              <w:rPr>
                <w:rFonts w:asciiTheme="minorHAnsi" w:hAnsiTheme="minorHAnsi" w:cstheme="minorHAnsi"/>
                <w:b/>
                <w:sz w:val="22"/>
                <w:szCs w:val="22"/>
              </w:rPr>
            </w:pPr>
            <w:r w:rsidRPr="001150C0">
              <w:rPr>
                <w:rFonts w:asciiTheme="minorHAnsi" w:hAnsiTheme="minorHAnsi" w:cstheme="minorHAnsi"/>
                <w:b/>
                <w:sz w:val="22"/>
                <w:szCs w:val="22"/>
              </w:rPr>
              <w:t>Funding partner</w:t>
            </w:r>
          </w:p>
        </w:tc>
        <w:tc>
          <w:tcPr>
            <w:tcW w:w="1800" w:type="dxa"/>
            <w:vAlign w:val="center"/>
          </w:tcPr>
          <w:p w14:paraId="20123D41" w14:textId="4BD1E819" w:rsidR="00181DB2" w:rsidRPr="001150C0" w:rsidRDefault="00181DB2" w:rsidP="00A61602">
            <w:pPr>
              <w:rPr>
                <w:rFonts w:asciiTheme="minorHAnsi" w:hAnsiTheme="minorHAnsi" w:cstheme="minorHAnsi"/>
                <w:b/>
                <w:sz w:val="22"/>
                <w:szCs w:val="22"/>
              </w:rPr>
            </w:pPr>
            <w:r w:rsidRPr="001150C0">
              <w:rPr>
                <w:rFonts w:asciiTheme="minorHAnsi" w:hAnsiTheme="minorHAnsi" w:cstheme="minorHAnsi"/>
                <w:b/>
                <w:sz w:val="22"/>
                <w:szCs w:val="22"/>
              </w:rPr>
              <w:t>Financial impact of GMS</w:t>
            </w:r>
            <w:r w:rsidR="00D26F28" w:rsidRPr="001150C0">
              <w:rPr>
                <w:rFonts w:asciiTheme="minorHAnsi" w:hAnsiTheme="minorHAnsi" w:cstheme="minorHAnsi"/>
                <w:b/>
                <w:sz w:val="22"/>
                <w:szCs w:val="22"/>
              </w:rPr>
              <w:t xml:space="preserve"> waived</w:t>
            </w:r>
            <w:r w:rsidRPr="001150C0">
              <w:rPr>
                <w:rFonts w:asciiTheme="minorHAnsi" w:hAnsiTheme="minorHAnsi" w:cstheme="minorHAnsi"/>
                <w:b/>
                <w:sz w:val="22"/>
                <w:szCs w:val="22"/>
              </w:rPr>
              <w:t xml:space="preserve"> </w:t>
            </w:r>
          </w:p>
        </w:tc>
        <w:tc>
          <w:tcPr>
            <w:tcW w:w="1980" w:type="dxa"/>
            <w:vAlign w:val="center"/>
          </w:tcPr>
          <w:p w14:paraId="76C4A9E5" w14:textId="3F3C6483" w:rsidR="00181DB2" w:rsidRPr="001150C0" w:rsidRDefault="00181DB2" w:rsidP="00A61602">
            <w:pPr>
              <w:rPr>
                <w:rFonts w:asciiTheme="minorHAnsi" w:hAnsiTheme="minorHAnsi" w:cstheme="minorHAnsi"/>
                <w:b/>
                <w:sz w:val="22"/>
                <w:szCs w:val="22"/>
              </w:rPr>
            </w:pPr>
            <w:r w:rsidRPr="001150C0">
              <w:rPr>
                <w:rFonts w:asciiTheme="minorHAnsi" w:hAnsiTheme="minorHAnsi" w:cstheme="minorHAnsi"/>
                <w:b/>
                <w:sz w:val="22"/>
                <w:szCs w:val="22"/>
              </w:rPr>
              <w:t xml:space="preserve">Justification </w:t>
            </w:r>
          </w:p>
        </w:tc>
      </w:tr>
      <w:tr w:rsidR="00875BBA" w:rsidRPr="001150C0" w14:paraId="2B108B58" w14:textId="77777777" w:rsidTr="00B01D89">
        <w:trPr>
          <w:trHeight w:val="593"/>
        </w:trPr>
        <w:tc>
          <w:tcPr>
            <w:tcW w:w="3690" w:type="dxa"/>
            <w:vAlign w:val="center"/>
          </w:tcPr>
          <w:p w14:paraId="0A26CAF1" w14:textId="77777777" w:rsidR="00181DB2" w:rsidRPr="001150C0" w:rsidRDefault="00181DB2" w:rsidP="00C72500">
            <w:pPr>
              <w:rPr>
                <w:rFonts w:asciiTheme="minorHAnsi" w:hAnsiTheme="minorHAnsi" w:cstheme="minorHAnsi"/>
                <w:color w:val="000000"/>
                <w:sz w:val="22"/>
                <w:szCs w:val="22"/>
                <w:lang w:val="es-ES"/>
              </w:rPr>
            </w:pPr>
            <w:r w:rsidRPr="001150C0">
              <w:rPr>
                <w:rFonts w:asciiTheme="minorHAnsi" w:hAnsiTheme="minorHAnsi" w:cstheme="minorHAnsi"/>
                <w:color w:val="000000"/>
                <w:sz w:val="22"/>
                <w:szCs w:val="22"/>
                <w:lang w:val="es-ES"/>
              </w:rPr>
              <w:t xml:space="preserve">UN Yemen </w:t>
            </w:r>
            <w:proofErr w:type="spellStart"/>
            <w:r w:rsidRPr="001150C0">
              <w:rPr>
                <w:rFonts w:asciiTheme="minorHAnsi" w:hAnsiTheme="minorHAnsi" w:cstheme="minorHAnsi"/>
                <w:color w:val="000000"/>
                <w:sz w:val="22"/>
                <w:szCs w:val="22"/>
                <w:lang w:val="es-ES"/>
              </w:rPr>
              <w:t>Humanitarian</w:t>
            </w:r>
            <w:proofErr w:type="spellEnd"/>
            <w:r w:rsidRPr="001150C0">
              <w:rPr>
                <w:rFonts w:asciiTheme="minorHAnsi" w:hAnsiTheme="minorHAnsi" w:cstheme="minorHAnsi"/>
                <w:color w:val="000000"/>
                <w:sz w:val="22"/>
                <w:szCs w:val="22"/>
                <w:lang w:val="es-ES"/>
              </w:rPr>
              <w:t xml:space="preserve"> Response Plan 2018 (YHRP)  </w:t>
            </w:r>
          </w:p>
        </w:tc>
        <w:tc>
          <w:tcPr>
            <w:tcW w:w="720" w:type="dxa"/>
            <w:vAlign w:val="center"/>
          </w:tcPr>
          <w:p w14:paraId="0D4430C8" w14:textId="77777777" w:rsidR="00181DB2" w:rsidRPr="001150C0" w:rsidRDefault="00181DB2" w:rsidP="00EF58E0">
            <w:pPr>
              <w:jc w:val="center"/>
              <w:rPr>
                <w:rFonts w:asciiTheme="minorHAnsi" w:hAnsiTheme="minorHAnsi" w:cstheme="minorHAnsi"/>
                <w:sz w:val="22"/>
                <w:szCs w:val="22"/>
              </w:rPr>
            </w:pPr>
            <w:r w:rsidRPr="001150C0">
              <w:rPr>
                <w:rFonts w:asciiTheme="minorHAnsi" w:hAnsiTheme="minorHAnsi" w:cstheme="minorHAnsi"/>
                <w:sz w:val="22"/>
                <w:szCs w:val="22"/>
              </w:rPr>
              <w:t>5%</w:t>
            </w:r>
          </w:p>
        </w:tc>
        <w:tc>
          <w:tcPr>
            <w:tcW w:w="1260" w:type="dxa"/>
            <w:vAlign w:val="center"/>
          </w:tcPr>
          <w:p w14:paraId="0C102919" w14:textId="77777777"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UNOCHA</w:t>
            </w:r>
          </w:p>
        </w:tc>
        <w:tc>
          <w:tcPr>
            <w:tcW w:w="1800" w:type="dxa"/>
            <w:vAlign w:val="center"/>
          </w:tcPr>
          <w:p w14:paraId="63055FA6" w14:textId="77777777"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$363,295</w:t>
            </w:r>
          </w:p>
        </w:tc>
        <w:tc>
          <w:tcPr>
            <w:tcW w:w="1980" w:type="dxa"/>
            <w:vAlign w:val="center"/>
          </w:tcPr>
          <w:p w14:paraId="60334CA7" w14:textId="77777777" w:rsidR="00181DB2" w:rsidRPr="001150C0" w:rsidRDefault="00181DB2" w:rsidP="00B01D89">
            <w:pPr>
              <w:rPr>
                <w:rFonts w:asciiTheme="minorHAnsi" w:hAnsiTheme="minorHAnsi" w:cstheme="minorHAnsi"/>
                <w:sz w:val="22"/>
                <w:szCs w:val="22"/>
              </w:rPr>
            </w:pPr>
            <w:r w:rsidRPr="001150C0">
              <w:rPr>
                <w:rFonts w:asciiTheme="minorHAnsi" w:hAnsiTheme="minorHAnsi" w:cstheme="minorHAnsi"/>
                <w:sz w:val="22"/>
                <w:szCs w:val="22"/>
              </w:rPr>
              <w:t>Scale of Funding</w:t>
            </w:r>
          </w:p>
        </w:tc>
      </w:tr>
      <w:tr w:rsidR="00875BBA" w:rsidRPr="001150C0" w14:paraId="19D640EC" w14:textId="77777777" w:rsidTr="00B01D89">
        <w:trPr>
          <w:trHeight w:val="272"/>
        </w:trPr>
        <w:tc>
          <w:tcPr>
            <w:tcW w:w="3690" w:type="dxa"/>
            <w:vAlign w:val="center"/>
          </w:tcPr>
          <w:p w14:paraId="34BE7F4B" w14:textId="77777777" w:rsidR="00181DB2" w:rsidRPr="001150C0" w:rsidRDefault="00181DB2" w:rsidP="00C72500">
            <w:pPr>
              <w:rPr>
                <w:rFonts w:asciiTheme="minorHAnsi" w:hAnsiTheme="minorHAnsi" w:cstheme="minorHAnsi"/>
                <w:sz w:val="22"/>
                <w:szCs w:val="22"/>
              </w:rPr>
            </w:pPr>
            <w:r w:rsidRPr="001150C0">
              <w:rPr>
                <w:rFonts w:asciiTheme="minorHAnsi" w:hAnsiTheme="minorHAnsi" w:cstheme="minorHAnsi"/>
                <w:sz w:val="22"/>
                <w:szCs w:val="22"/>
              </w:rPr>
              <w:t xml:space="preserve">Yemen Humanitarian Pooled Fund / Emergency Cash Payments &amp; Civil &amp; Military Coordination in </w:t>
            </w:r>
            <w:proofErr w:type="spellStart"/>
            <w:r w:rsidRPr="001150C0">
              <w:rPr>
                <w:rFonts w:asciiTheme="minorHAnsi" w:hAnsiTheme="minorHAnsi" w:cstheme="minorHAnsi"/>
                <w:sz w:val="22"/>
                <w:szCs w:val="22"/>
              </w:rPr>
              <w:t>Hodeidah</w:t>
            </w:r>
            <w:proofErr w:type="spellEnd"/>
          </w:p>
        </w:tc>
        <w:tc>
          <w:tcPr>
            <w:tcW w:w="720" w:type="dxa"/>
            <w:vAlign w:val="center"/>
          </w:tcPr>
          <w:p w14:paraId="0B262F4D" w14:textId="77777777" w:rsidR="00181DB2" w:rsidRPr="001150C0" w:rsidRDefault="00181DB2" w:rsidP="00EF58E0">
            <w:pPr>
              <w:jc w:val="center"/>
              <w:rPr>
                <w:rFonts w:asciiTheme="minorHAnsi" w:hAnsiTheme="minorHAnsi" w:cstheme="minorHAnsi"/>
                <w:sz w:val="22"/>
                <w:szCs w:val="22"/>
              </w:rPr>
            </w:pPr>
            <w:r w:rsidRPr="001150C0">
              <w:rPr>
                <w:rFonts w:asciiTheme="minorHAnsi" w:hAnsiTheme="minorHAnsi" w:cstheme="minorHAnsi"/>
                <w:sz w:val="22"/>
                <w:szCs w:val="22"/>
              </w:rPr>
              <w:t>7%</w:t>
            </w:r>
          </w:p>
        </w:tc>
        <w:tc>
          <w:tcPr>
            <w:tcW w:w="1260" w:type="dxa"/>
            <w:vAlign w:val="center"/>
          </w:tcPr>
          <w:p w14:paraId="52F14249" w14:textId="77777777"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UNOCHA</w:t>
            </w:r>
          </w:p>
        </w:tc>
        <w:tc>
          <w:tcPr>
            <w:tcW w:w="1800" w:type="dxa"/>
            <w:vAlign w:val="center"/>
          </w:tcPr>
          <w:p w14:paraId="0C88D5E5" w14:textId="77777777"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$15,471</w:t>
            </w:r>
          </w:p>
        </w:tc>
        <w:tc>
          <w:tcPr>
            <w:tcW w:w="1980" w:type="dxa"/>
            <w:vMerge w:val="restart"/>
            <w:vAlign w:val="center"/>
          </w:tcPr>
          <w:p w14:paraId="788270D4" w14:textId="05C90EAD" w:rsidR="00181DB2" w:rsidRPr="001150C0" w:rsidRDefault="0018415B" w:rsidP="00B01D89">
            <w:pPr>
              <w:rPr>
                <w:rFonts w:asciiTheme="minorHAnsi" w:hAnsiTheme="minorHAnsi" w:cstheme="minorHAnsi"/>
                <w:sz w:val="22"/>
                <w:szCs w:val="22"/>
              </w:rPr>
            </w:pPr>
            <w:r w:rsidRPr="001150C0">
              <w:rPr>
                <w:rFonts w:asciiTheme="minorHAnsi" w:hAnsiTheme="minorHAnsi" w:cstheme="minorHAnsi"/>
                <w:sz w:val="22"/>
                <w:szCs w:val="22"/>
              </w:rPr>
              <w:t>UN</w:t>
            </w:r>
            <w:r w:rsidR="00181DB2" w:rsidRPr="001150C0">
              <w:rPr>
                <w:rFonts w:asciiTheme="minorHAnsi" w:hAnsiTheme="minorHAnsi" w:cstheme="minorHAnsi"/>
                <w:sz w:val="22"/>
                <w:szCs w:val="22"/>
              </w:rPr>
              <w:t xml:space="preserve">OCHA </w:t>
            </w:r>
            <w:r w:rsidR="00E53705" w:rsidRPr="001150C0">
              <w:rPr>
                <w:rFonts w:asciiTheme="minorHAnsi" w:hAnsiTheme="minorHAnsi" w:cstheme="minorHAnsi"/>
                <w:sz w:val="22"/>
                <w:szCs w:val="22"/>
              </w:rPr>
              <w:t xml:space="preserve">stipulates 7% GMS </w:t>
            </w:r>
            <w:r w:rsidR="00181DB2" w:rsidRPr="001150C0">
              <w:rPr>
                <w:rFonts w:asciiTheme="minorHAnsi" w:hAnsiTheme="minorHAnsi" w:cstheme="minorHAnsi"/>
                <w:sz w:val="22"/>
                <w:szCs w:val="22"/>
              </w:rPr>
              <w:t>for the H</w:t>
            </w:r>
            <w:r w:rsidR="00DF3749" w:rsidRPr="001150C0">
              <w:rPr>
                <w:rFonts w:asciiTheme="minorHAnsi" w:hAnsiTheme="minorHAnsi" w:cstheme="minorHAnsi"/>
                <w:sz w:val="22"/>
                <w:szCs w:val="22"/>
              </w:rPr>
              <w:t>uma</w:t>
            </w:r>
            <w:r w:rsidR="00B0321B" w:rsidRPr="001150C0">
              <w:rPr>
                <w:rFonts w:asciiTheme="minorHAnsi" w:hAnsiTheme="minorHAnsi" w:cstheme="minorHAnsi"/>
                <w:sz w:val="22"/>
                <w:szCs w:val="22"/>
              </w:rPr>
              <w:t xml:space="preserve">nitarian </w:t>
            </w:r>
            <w:r w:rsidR="00181DB2" w:rsidRPr="001150C0">
              <w:rPr>
                <w:rFonts w:asciiTheme="minorHAnsi" w:hAnsiTheme="minorHAnsi" w:cstheme="minorHAnsi"/>
                <w:sz w:val="22"/>
                <w:szCs w:val="22"/>
              </w:rPr>
              <w:t>P</w:t>
            </w:r>
            <w:r w:rsidR="00B0321B" w:rsidRPr="001150C0">
              <w:rPr>
                <w:rFonts w:asciiTheme="minorHAnsi" w:hAnsiTheme="minorHAnsi" w:cstheme="minorHAnsi"/>
                <w:sz w:val="22"/>
                <w:szCs w:val="22"/>
              </w:rPr>
              <w:t xml:space="preserve">ooled </w:t>
            </w:r>
            <w:r w:rsidR="00181DB2" w:rsidRPr="001150C0">
              <w:rPr>
                <w:rFonts w:asciiTheme="minorHAnsi" w:hAnsiTheme="minorHAnsi" w:cstheme="minorHAnsi"/>
                <w:sz w:val="22"/>
                <w:szCs w:val="22"/>
              </w:rPr>
              <w:t>F</w:t>
            </w:r>
            <w:r w:rsidR="00B0321B" w:rsidRPr="001150C0">
              <w:rPr>
                <w:rFonts w:asciiTheme="minorHAnsi" w:hAnsiTheme="minorHAnsi" w:cstheme="minorHAnsi"/>
                <w:sz w:val="22"/>
                <w:szCs w:val="22"/>
              </w:rPr>
              <w:t>und</w:t>
            </w:r>
            <w:r w:rsidR="00E12203" w:rsidRPr="001150C0">
              <w:rPr>
                <w:rFonts w:asciiTheme="minorHAnsi" w:hAnsiTheme="minorHAnsi" w:cstheme="minorHAnsi"/>
                <w:sz w:val="22"/>
                <w:szCs w:val="22"/>
              </w:rPr>
              <w:t>.</w:t>
            </w:r>
          </w:p>
          <w:p w14:paraId="3F2F6F86" w14:textId="77777777" w:rsidR="00181DB2" w:rsidRPr="001150C0" w:rsidRDefault="00181DB2" w:rsidP="00B01D89">
            <w:pPr>
              <w:rPr>
                <w:rFonts w:asciiTheme="minorHAnsi" w:hAnsiTheme="minorHAnsi" w:cstheme="minorHAnsi"/>
                <w:sz w:val="22"/>
                <w:szCs w:val="22"/>
              </w:rPr>
            </w:pPr>
          </w:p>
        </w:tc>
      </w:tr>
      <w:tr w:rsidR="00875BBA" w:rsidRPr="001150C0" w14:paraId="746E7CFF" w14:textId="77777777" w:rsidTr="00B01D89">
        <w:trPr>
          <w:trHeight w:val="272"/>
        </w:trPr>
        <w:tc>
          <w:tcPr>
            <w:tcW w:w="3690" w:type="dxa"/>
            <w:vAlign w:val="center"/>
          </w:tcPr>
          <w:p w14:paraId="4B855E06" w14:textId="77777777" w:rsidR="00181DB2" w:rsidRPr="001150C0" w:rsidRDefault="00181DB2" w:rsidP="00C72500">
            <w:pPr>
              <w:rPr>
                <w:rFonts w:asciiTheme="minorHAnsi" w:hAnsiTheme="minorHAnsi" w:cstheme="minorHAnsi"/>
                <w:sz w:val="22"/>
                <w:szCs w:val="22"/>
              </w:rPr>
            </w:pPr>
            <w:r w:rsidRPr="001150C0">
              <w:rPr>
                <w:rFonts w:asciiTheme="minorHAnsi" w:hAnsiTheme="minorHAnsi" w:cstheme="minorHAnsi"/>
                <w:sz w:val="22"/>
                <w:szCs w:val="22"/>
              </w:rPr>
              <w:t xml:space="preserve">Humanitarian Pooled Fund / Emergency Mines Action - </w:t>
            </w:r>
            <w:proofErr w:type="spellStart"/>
            <w:r w:rsidRPr="001150C0">
              <w:rPr>
                <w:rFonts w:asciiTheme="minorHAnsi" w:hAnsiTheme="minorHAnsi" w:cstheme="minorHAnsi"/>
                <w:sz w:val="22"/>
                <w:szCs w:val="22"/>
              </w:rPr>
              <w:t>Hodeidah</w:t>
            </w:r>
            <w:proofErr w:type="spellEnd"/>
          </w:p>
        </w:tc>
        <w:tc>
          <w:tcPr>
            <w:tcW w:w="720" w:type="dxa"/>
            <w:vAlign w:val="center"/>
          </w:tcPr>
          <w:p w14:paraId="5674E02C" w14:textId="77777777" w:rsidR="00181DB2" w:rsidRPr="001150C0" w:rsidRDefault="00181DB2" w:rsidP="00EF58E0">
            <w:pPr>
              <w:jc w:val="center"/>
              <w:rPr>
                <w:rFonts w:asciiTheme="minorHAnsi" w:hAnsiTheme="minorHAnsi" w:cstheme="minorHAnsi"/>
                <w:sz w:val="22"/>
                <w:szCs w:val="22"/>
              </w:rPr>
            </w:pPr>
            <w:r w:rsidRPr="001150C0">
              <w:rPr>
                <w:rFonts w:asciiTheme="minorHAnsi" w:hAnsiTheme="minorHAnsi" w:cstheme="minorHAnsi"/>
                <w:sz w:val="22"/>
                <w:szCs w:val="22"/>
              </w:rPr>
              <w:t>7%</w:t>
            </w:r>
          </w:p>
        </w:tc>
        <w:tc>
          <w:tcPr>
            <w:tcW w:w="1260" w:type="dxa"/>
            <w:vAlign w:val="center"/>
          </w:tcPr>
          <w:p w14:paraId="5CC8E993" w14:textId="77777777"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UNOCHA</w:t>
            </w:r>
          </w:p>
        </w:tc>
        <w:tc>
          <w:tcPr>
            <w:tcW w:w="1800" w:type="dxa"/>
            <w:vAlign w:val="center"/>
          </w:tcPr>
          <w:p w14:paraId="22B59454" w14:textId="77777777"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$9,920</w:t>
            </w:r>
          </w:p>
        </w:tc>
        <w:tc>
          <w:tcPr>
            <w:tcW w:w="1980" w:type="dxa"/>
            <w:vMerge/>
            <w:vAlign w:val="center"/>
          </w:tcPr>
          <w:p w14:paraId="2B0831E2" w14:textId="77777777" w:rsidR="00181DB2" w:rsidRPr="001150C0" w:rsidRDefault="00181DB2" w:rsidP="00B01D89">
            <w:pPr>
              <w:rPr>
                <w:rFonts w:asciiTheme="minorHAnsi" w:hAnsiTheme="minorHAnsi" w:cstheme="minorHAnsi"/>
                <w:sz w:val="22"/>
                <w:szCs w:val="22"/>
              </w:rPr>
            </w:pPr>
          </w:p>
        </w:tc>
      </w:tr>
      <w:tr w:rsidR="00875BBA" w:rsidRPr="001150C0" w14:paraId="7D422347" w14:textId="77777777" w:rsidTr="00B01D89">
        <w:trPr>
          <w:trHeight w:val="962"/>
        </w:trPr>
        <w:tc>
          <w:tcPr>
            <w:tcW w:w="3690" w:type="dxa"/>
            <w:vAlign w:val="center"/>
          </w:tcPr>
          <w:p w14:paraId="4DBE30EE" w14:textId="77777777" w:rsidR="00181DB2" w:rsidRPr="001150C0" w:rsidRDefault="00181DB2" w:rsidP="00A61602">
            <w:pPr>
              <w:rPr>
                <w:rFonts w:asciiTheme="minorHAnsi" w:hAnsiTheme="minorHAnsi" w:cstheme="minorHAnsi"/>
                <w:sz w:val="22"/>
                <w:szCs w:val="22"/>
              </w:rPr>
            </w:pPr>
            <w:r w:rsidRPr="001150C0">
              <w:rPr>
                <w:rFonts w:asciiTheme="minorHAnsi" w:hAnsiTheme="minorHAnsi" w:cstheme="minorHAnsi"/>
                <w:sz w:val="22"/>
                <w:szCs w:val="22"/>
              </w:rPr>
              <w:t>DRC - Country Based Pooled Funds</w:t>
            </w:r>
          </w:p>
        </w:tc>
        <w:tc>
          <w:tcPr>
            <w:tcW w:w="720" w:type="dxa"/>
            <w:vAlign w:val="center"/>
          </w:tcPr>
          <w:p w14:paraId="146802B0" w14:textId="77777777" w:rsidR="00181DB2" w:rsidRPr="001150C0" w:rsidRDefault="00181DB2" w:rsidP="00EF58E0">
            <w:pPr>
              <w:jc w:val="center"/>
              <w:rPr>
                <w:rFonts w:asciiTheme="minorHAnsi" w:hAnsiTheme="minorHAnsi" w:cstheme="minorHAnsi"/>
                <w:sz w:val="22"/>
                <w:szCs w:val="22"/>
              </w:rPr>
            </w:pPr>
            <w:r w:rsidRPr="001150C0">
              <w:rPr>
                <w:rFonts w:asciiTheme="minorHAnsi" w:hAnsiTheme="minorHAnsi" w:cstheme="minorHAnsi"/>
                <w:sz w:val="22"/>
                <w:szCs w:val="22"/>
              </w:rPr>
              <w:t>5%</w:t>
            </w:r>
          </w:p>
        </w:tc>
        <w:tc>
          <w:tcPr>
            <w:tcW w:w="1260" w:type="dxa"/>
            <w:vAlign w:val="center"/>
          </w:tcPr>
          <w:p w14:paraId="753BE6D0" w14:textId="15268B8E"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MPTF</w:t>
            </w:r>
            <w:r w:rsidR="00C22488" w:rsidRPr="001150C0">
              <w:rPr>
                <w:rFonts w:asciiTheme="minorHAnsi" w:hAnsiTheme="minorHAnsi" w:cstheme="minorHAnsi"/>
                <w:sz w:val="22"/>
                <w:szCs w:val="22"/>
              </w:rPr>
              <w:t>O</w:t>
            </w:r>
          </w:p>
        </w:tc>
        <w:tc>
          <w:tcPr>
            <w:tcW w:w="1800" w:type="dxa"/>
            <w:vAlign w:val="center"/>
          </w:tcPr>
          <w:p w14:paraId="1612A157" w14:textId="77777777"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$837,685</w:t>
            </w:r>
          </w:p>
        </w:tc>
        <w:tc>
          <w:tcPr>
            <w:tcW w:w="1980" w:type="dxa"/>
            <w:vAlign w:val="center"/>
          </w:tcPr>
          <w:p w14:paraId="63C4501C" w14:textId="4C10C585" w:rsidR="00181DB2" w:rsidRPr="001150C0" w:rsidRDefault="00C2434D" w:rsidP="00B01D89">
            <w:pPr>
              <w:rPr>
                <w:rFonts w:asciiTheme="minorHAnsi" w:hAnsiTheme="minorHAnsi" w:cstheme="minorHAnsi"/>
                <w:sz w:val="22"/>
                <w:szCs w:val="22"/>
              </w:rPr>
            </w:pPr>
            <w:r w:rsidRPr="001150C0">
              <w:rPr>
                <w:rFonts w:asciiTheme="minorHAnsi" w:hAnsiTheme="minorHAnsi" w:cstheme="minorHAnsi"/>
                <w:sz w:val="22"/>
                <w:szCs w:val="22"/>
              </w:rPr>
              <w:t>UNOCHA</w:t>
            </w:r>
            <w:r w:rsidR="00E53705" w:rsidRPr="001150C0">
              <w:rPr>
                <w:rFonts w:asciiTheme="minorHAnsi" w:hAnsiTheme="minorHAnsi" w:cstheme="minorHAnsi"/>
                <w:sz w:val="22"/>
                <w:szCs w:val="22"/>
              </w:rPr>
              <w:t xml:space="preserve"> stipulates </w:t>
            </w:r>
            <w:r w:rsidRPr="001150C0">
              <w:rPr>
                <w:rFonts w:asciiTheme="minorHAnsi" w:hAnsiTheme="minorHAnsi" w:cstheme="minorHAnsi"/>
                <w:sz w:val="22"/>
                <w:szCs w:val="22"/>
              </w:rPr>
              <w:t xml:space="preserve">5% GMS </w:t>
            </w:r>
            <w:r w:rsidR="00802307" w:rsidRPr="001150C0">
              <w:rPr>
                <w:rFonts w:asciiTheme="minorHAnsi" w:hAnsiTheme="minorHAnsi" w:cstheme="minorHAnsi"/>
                <w:sz w:val="22"/>
                <w:szCs w:val="22"/>
              </w:rPr>
              <w:t xml:space="preserve">for their </w:t>
            </w:r>
            <w:r w:rsidR="00AC07C2" w:rsidRPr="001150C0">
              <w:rPr>
                <w:rFonts w:asciiTheme="minorHAnsi" w:hAnsiTheme="minorHAnsi" w:cstheme="minorHAnsi"/>
                <w:sz w:val="22"/>
                <w:szCs w:val="22"/>
              </w:rPr>
              <w:t xml:space="preserve">pooled funds.   </w:t>
            </w:r>
            <w:r w:rsidRPr="001150C0">
              <w:rPr>
                <w:rFonts w:asciiTheme="minorHAnsi" w:hAnsiTheme="minorHAnsi" w:cstheme="minorHAnsi"/>
                <w:sz w:val="22"/>
                <w:szCs w:val="22"/>
              </w:rPr>
              <w:t xml:space="preserve"> </w:t>
            </w:r>
            <w:r w:rsidR="00AC07C2" w:rsidRPr="001150C0">
              <w:rPr>
                <w:rFonts w:asciiTheme="minorHAnsi" w:hAnsiTheme="minorHAnsi" w:cstheme="minorHAnsi"/>
                <w:sz w:val="22"/>
                <w:szCs w:val="22"/>
              </w:rPr>
              <w:t xml:space="preserve"> </w:t>
            </w:r>
          </w:p>
        </w:tc>
      </w:tr>
      <w:tr w:rsidR="00875BBA" w:rsidRPr="001150C0" w14:paraId="3C632B18" w14:textId="77777777" w:rsidTr="00B01D89">
        <w:trPr>
          <w:trHeight w:val="692"/>
        </w:trPr>
        <w:tc>
          <w:tcPr>
            <w:tcW w:w="3690" w:type="dxa"/>
            <w:vAlign w:val="center"/>
          </w:tcPr>
          <w:p w14:paraId="6D504437" w14:textId="77777777" w:rsidR="00181DB2" w:rsidRPr="001150C0" w:rsidRDefault="00181DB2" w:rsidP="00802307">
            <w:pPr>
              <w:rPr>
                <w:rFonts w:asciiTheme="minorHAnsi" w:hAnsiTheme="minorHAnsi" w:cstheme="minorHAnsi"/>
                <w:sz w:val="22"/>
                <w:szCs w:val="22"/>
              </w:rPr>
            </w:pPr>
            <w:r w:rsidRPr="001150C0">
              <w:rPr>
                <w:rFonts w:asciiTheme="minorHAnsi" w:hAnsiTheme="minorHAnsi" w:cstheme="minorHAnsi"/>
                <w:sz w:val="22"/>
                <w:szCs w:val="22"/>
              </w:rPr>
              <w:t>Social Local Development Programme - ART GOLD-N</w:t>
            </w:r>
            <w:r w:rsidR="0022432C" w:rsidRPr="001150C0">
              <w:rPr>
                <w:rFonts w:asciiTheme="minorHAnsi" w:hAnsiTheme="minorHAnsi" w:cstheme="minorHAnsi"/>
                <w:sz w:val="22"/>
                <w:szCs w:val="22"/>
              </w:rPr>
              <w:t xml:space="preserve">orth in Lebanon </w:t>
            </w:r>
          </w:p>
        </w:tc>
        <w:tc>
          <w:tcPr>
            <w:tcW w:w="720" w:type="dxa"/>
            <w:vAlign w:val="center"/>
          </w:tcPr>
          <w:p w14:paraId="3B55E1B3" w14:textId="77777777" w:rsidR="00181DB2" w:rsidRPr="001150C0" w:rsidRDefault="00181DB2" w:rsidP="00EF58E0">
            <w:pPr>
              <w:jc w:val="center"/>
              <w:rPr>
                <w:rFonts w:asciiTheme="minorHAnsi" w:hAnsiTheme="minorHAnsi" w:cstheme="minorHAnsi"/>
                <w:sz w:val="22"/>
                <w:szCs w:val="22"/>
              </w:rPr>
            </w:pPr>
            <w:r w:rsidRPr="001150C0">
              <w:rPr>
                <w:rFonts w:asciiTheme="minorHAnsi" w:hAnsiTheme="minorHAnsi" w:cstheme="minorHAnsi"/>
                <w:sz w:val="22"/>
                <w:szCs w:val="22"/>
              </w:rPr>
              <w:t>7%</w:t>
            </w:r>
          </w:p>
        </w:tc>
        <w:tc>
          <w:tcPr>
            <w:tcW w:w="1260" w:type="dxa"/>
            <w:vAlign w:val="center"/>
          </w:tcPr>
          <w:p w14:paraId="68C06345" w14:textId="77777777"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Agency for Sustainable Mediterranean Cities and Territories</w:t>
            </w:r>
          </w:p>
        </w:tc>
        <w:tc>
          <w:tcPr>
            <w:tcW w:w="1800" w:type="dxa"/>
            <w:vAlign w:val="center"/>
          </w:tcPr>
          <w:p w14:paraId="37AD46B4" w14:textId="77777777" w:rsidR="00181DB2" w:rsidRPr="001150C0" w:rsidRDefault="00181DB2" w:rsidP="009F540C">
            <w:pPr>
              <w:jc w:val="center"/>
              <w:rPr>
                <w:rFonts w:asciiTheme="minorHAnsi" w:hAnsiTheme="minorHAnsi" w:cstheme="minorHAnsi"/>
                <w:sz w:val="22"/>
                <w:szCs w:val="22"/>
              </w:rPr>
            </w:pPr>
            <w:r w:rsidRPr="001150C0">
              <w:rPr>
                <w:rFonts w:asciiTheme="minorHAnsi" w:hAnsiTheme="minorHAnsi" w:cstheme="minorHAnsi"/>
                <w:sz w:val="22"/>
                <w:szCs w:val="22"/>
              </w:rPr>
              <w:t>$145</w:t>
            </w:r>
          </w:p>
        </w:tc>
        <w:tc>
          <w:tcPr>
            <w:tcW w:w="1980" w:type="dxa"/>
            <w:vAlign w:val="center"/>
          </w:tcPr>
          <w:p w14:paraId="0D7E2BCE" w14:textId="03A31357" w:rsidR="00181DB2" w:rsidRPr="001150C0" w:rsidRDefault="001F09D7" w:rsidP="00B01D89">
            <w:pPr>
              <w:rPr>
                <w:rFonts w:asciiTheme="minorHAnsi" w:hAnsiTheme="minorHAnsi" w:cstheme="minorHAnsi"/>
                <w:sz w:val="22"/>
                <w:szCs w:val="22"/>
              </w:rPr>
            </w:pPr>
            <w:r w:rsidRPr="001150C0">
              <w:rPr>
                <w:rFonts w:asciiTheme="minorHAnsi" w:hAnsiTheme="minorHAnsi" w:cstheme="minorHAnsi"/>
                <w:sz w:val="22"/>
                <w:szCs w:val="22"/>
              </w:rPr>
              <w:t>Final e</w:t>
            </w:r>
            <w:r w:rsidR="00181DB2" w:rsidRPr="001150C0">
              <w:rPr>
                <w:rFonts w:asciiTheme="minorHAnsi" w:hAnsiTheme="minorHAnsi" w:cstheme="minorHAnsi"/>
                <w:sz w:val="22"/>
                <w:szCs w:val="22"/>
              </w:rPr>
              <w:t xml:space="preserve">xtension </w:t>
            </w:r>
            <w:r w:rsidRPr="001150C0">
              <w:rPr>
                <w:rFonts w:asciiTheme="minorHAnsi" w:hAnsiTheme="minorHAnsi" w:cstheme="minorHAnsi"/>
                <w:sz w:val="22"/>
                <w:szCs w:val="22"/>
              </w:rPr>
              <w:t xml:space="preserve">relating to the final tranche </w:t>
            </w:r>
            <w:r w:rsidR="00E12203" w:rsidRPr="001150C0">
              <w:rPr>
                <w:rFonts w:asciiTheme="minorHAnsi" w:hAnsiTheme="minorHAnsi" w:cstheme="minorHAnsi"/>
                <w:sz w:val="22"/>
                <w:szCs w:val="22"/>
              </w:rPr>
              <w:t>of</w:t>
            </w:r>
            <w:r w:rsidR="00181DB2" w:rsidRPr="001150C0">
              <w:rPr>
                <w:rFonts w:asciiTheme="minorHAnsi" w:hAnsiTheme="minorHAnsi" w:cstheme="minorHAnsi"/>
                <w:sz w:val="22"/>
                <w:szCs w:val="22"/>
              </w:rPr>
              <w:t xml:space="preserve"> previous arrangement</w:t>
            </w:r>
          </w:p>
        </w:tc>
      </w:tr>
      <w:tr w:rsidR="00AE606D" w:rsidRPr="001150C0" w14:paraId="77269946" w14:textId="77777777" w:rsidTr="00B01D89">
        <w:trPr>
          <w:trHeight w:val="692"/>
        </w:trPr>
        <w:tc>
          <w:tcPr>
            <w:tcW w:w="5670" w:type="dxa"/>
            <w:gridSpan w:val="3"/>
            <w:vAlign w:val="center"/>
          </w:tcPr>
          <w:p w14:paraId="2BDD9B39" w14:textId="57F05417" w:rsidR="00AE606D" w:rsidRPr="001150C0" w:rsidRDefault="00AE606D" w:rsidP="00F05CDA">
            <w:pPr>
              <w:rPr>
                <w:rFonts w:asciiTheme="minorHAnsi" w:hAnsiTheme="minorHAnsi" w:cstheme="minorHAnsi"/>
                <w:b/>
                <w:sz w:val="22"/>
                <w:szCs w:val="22"/>
              </w:rPr>
            </w:pPr>
            <w:r w:rsidRPr="001150C0">
              <w:rPr>
                <w:rFonts w:asciiTheme="minorHAnsi" w:hAnsiTheme="minorHAnsi" w:cstheme="minorHAnsi"/>
                <w:b/>
                <w:sz w:val="22"/>
                <w:szCs w:val="22"/>
              </w:rPr>
              <w:t>Total impact:</w:t>
            </w:r>
          </w:p>
        </w:tc>
        <w:tc>
          <w:tcPr>
            <w:tcW w:w="1800" w:type="dxa"/>
            <w:vAlign w:val="center"/>
          </w:tcPr>
          <w:p w14:paraId="6F989682" w14:textId="186F7679" w:rsidR="00AE606D" w:rsidRPr="001150C0" w:rsidRDefault="00AE606D" w:rsidP="009F540C">
            <w:pPr>
              <w:jc w:val="center"/>
              <w:rPr>
                <w:rFonts w:asciiTheme="minorHAnsi" w:hAnsiTheme="minorHAnsi" w:cstheme="minorHAnsi"/>
                <w:b/>
                <w:sz w:val="22"/>
                <w:szCs w:val="22"/>
              </w:rPr>
            </w:pPr>
            <w:r w:rsidRPr="001150C0">
              <w:rPr>
                <w:rFonts w:asciiTheme="minorHAnsi" w:hAnsiTheme="minorHAnsi" w:cstheme="minorHAnsi"/>
                <w:b/>
                <w:sz w:val="22"/>
                <w:szCs w:val="22"/>
              </w:rPr>
              <w:t>$1,226,516</w:t>
            </w:r>
            <w:r w:rsidR="0031212A" w:rsidRPr="001150C0">
              <w:rPr>
                <w:rFonts w:asciiTheme="minorHAnsi" w:hAnsiTheme="minorHAnsi" w:cstheme="minorHAnsi"/>
                <w:b/>
                <w:sz w:val="22"/>
                <w:szCs w:val="22"/>
              </w:rPr>
              <w:t xml:space="preserve">( 0.5% compared to 2018 GMS  </w:t>
            </w:r>
            <w:r w:rsidR="0049499F" w:rsidRPr="001150C0">
              <w:rPr>
                <w:rFonts w:asciiTheme="minorHAnsi" w:hAnsiTheme="minorHAnsi" w:cstheme="minorHAnsi"/>
                <w:b/>
                <w:sz w:val="22"/>
                <w:szCs w:val="22"/>
              </w:rPr>
              <w:t>of $239m</w:t>
            </w:r>
            <w:r w:rsidR="0031212A" w:rsidRPr="001150C0">
              <w:rPr>
                <w:rFonts w:asciiTheme="minorHAnsi" w:hAnsiTheme="minorHAnsi" w:cstheme="minorHAnsi"/>
                <w:b/>
                <w:sz w:val="22"/>
                <w:szCs w:val="22"/>
              </w:rPr>
              <w:t xml:space="preserve"> in 2018)</w:t>
            </w:r>
          </w:p>
        </w:tc>
        <w:tc>
          <w:tcPr>
            <w:tcW w:w="1980" w:type="dxa"/>
            <w:vAlign w:val="center"/>
          </w:tcPr>
          <w:p w14:paraId="4BD2F5A5" w14:textId="1D0026FC" w:rsidR="00AE606D" w:rsidRPr="001150C0" w:rsidRDefault="00AE606D" w:rsidP="009F540C">
            <w:pPr>
              <w:jc w:val="center"/>
              <w:rPr>
                <w:rFonts w:asciiTheme="minorHAnsi" w:hAnsiTheme="minorHAnsi" w:cstheme="minorHAnsi"/>
                <w:b/>
                <w:sz w:val="22"/>
                <w:szCs w:val="22"/>
              </w:rPr>
            </w:pPr>
          </w:p>
        </w:tc>
      </w:tr>
    </w:tbl>
    <w:p w14:paraId="190E153E" w14:textId="77777777" w:rsidR="00B01D89" w:rsidRPr="001150C0" w:rsidRDefault="00B01D89" w:rsidP="00B01D89">
      <w:pPr>
        <w:pStyle w:val="ListParagraph"/>
        <w:tabs>
          <w:tab w:val="left" w:pos="360"/>
        </w:tabs>
        <w:ind w:left="1890"/>
        <w:jc w:val="both"/>
        <w:rPr>
          <w:rFonts w:cstheme="minorHAnsi"/>
          <w:b/>
          <w:sz w:val="22"/>
          <w:szCs w:val="22"/>
        </w:rPr>
      </w:pPr>
    </w:p>
    <w:p w14:paraId="706880A1" w14:textId="25F73DE4" w:rsidR="00957047" w:rsidRPr="001150C0" w:rsidRDefault="00957047" w:rsidP="00D83824">
      <w:pPr>
        <w:pStyle w:val="ListParagraph"/>
        <w:numPr>
          <w:ilvl w:val="0"/>
          <w:numId w:val="19"/>
        </w:numPr>
        <w:tabs>
          <w:tab w:val="left" w:pos="360"/>
        </w:tabs>
        <w:jc w:val="both"/>
        <w:rPr>
          <w:rFonts w:cstheme="minorHAnsi"/>
          <w:b/>
          <w:sz w:val="22"/>
          <w:szCs w:val="22"/>
        </w:rPr>
      </w:pPr>
      <w:r w:rsidRPr="001150C0">
        <w:rPr>
          <w:rFonts w:cstheme="minorHAnsi"/>
          <w:b/>
          <w:bCs/>
          <w:sz w:val="22"/>
          <w:szCs w:val="22"/>
        </w:rPr>
        <w:lastRenderedPageBreak/>
        <w:t>GMS waivers issued prior to 2018 for activities on-going in 2018</w:t>
      </w:r>
    </w:p>
    <w:p w14:paraId="713841AD" w14:textId="77777777" w:rsidR="00957047" w:rsidRPr="001150C0" w:rsidRDefault="00957047" w:rsidP="00EF58E0">
      <w:pPr>
        <w:tabs>
          <w:tab w:val="left" w:pos="360"/>
        </w:tabs>
        <w:jc w:val="both"/>
        <w:rPr>
          <w:rFonts w:asciiTheme="minorHAnsi" w:hAnsiTheme="minorHAnsi" w:cstheme="minorHAnsi"/>
          <w:sz w:val="22"/>
          <w:szCs w:val="22"/>
        </w:rPr>
      </w:pPr>
    </w:p>
    <w:p w14:paraId="4CFA2D8C" w14:textId="29E44F24" w:rsidR="00F851AF" w:rsidRPr="001150C0" w:rsidRDefault="00CF2588" w:rsidP="00F851AF">
      <w:pPr>
        <w:pStyle w:val="ListParagraph"/>
        <w:numPr>
          <w:ilvl w:val="0"/>
          <w:numId w:val="15"/>
        </w:numPr>
        <w:tabs>
          <w:tab w:val="left" w:pos="360"/>
        </w:tabs>
        <w:jc w:val="both"/>
        <w:rPr>
          <w:rFonts w:cstheme="minorHAnsi"/>
          <w:sz w:val="22"/>
          <w:szCs w:val="22"/>
        </w:rPr>
      </w:pPr>
      <w:r w:rsidRPr="001150C0">
        <w:rPr>
          <w:rFonts w:cstheme="minorHAnsi"/>
          <w:sz w:val="22"/>
          <w:szCs w:val="22"/>
        </w:rPr>
        <w:t xml:space="preserve">In addition to the above, two further projects </w:t>
      </w:r>
      <w:r w:rsidR="00742B56" w:rsidRPr="001150C0">
        <w:rPr>
          <w:rFonts w:cstheme="minorHAnsi"/>
          <w:sz w:val="22"/>
          <w:szCs w:val="22"/>
        </w:rPr>
        <w:t>with</w:t>
      </w:r>
      <w:r w:rsidRPr="001150C0">
        <w:rPr>
          <w:rFonts w:cstheme="minorHAnsi"/>
          <w:sz w:val="22"/>
          <w:szCs w:val="22"/>
        </w:rPr>
        <w:t xml:space="preserve"> </w:t>
      </w:r>
      <w:r w:rsidR="000E239F" w:rsidRPr="001150C0">
        <w:rPr>
          <w:rFonts w:cstheme="minorHAnsi"/>
          <w:sz w:val="22"/>
          <w:szCs w:val="22"/>
        </w:rPr>
        <w:t>reduced GMS rates were ongoing in 2018</w:t>
      </w:r>
      <w:r w:rsidR="00D55544" w:rsidRPr="001150C0">
        <w:rPr>
          <w:rFonts w:cstheme="minorHAnsi"/>
          <w:sz w:val="22"/>
          <w:szCs w:val="22"/>
        </w:rPr>
        <w:t xml:space="preserve"> where the donors have insisted on </w:t>
      </w:r>
      <w:r w:rsidR="0031212A" w:rsidRPr="001150C0">
        <w:rPr>
          <w:rFonts w:cstheme="minorHAnsi"/>
          <w:sz w:val="22"/>
          <w:szCs w:val="22"/>
        </w:rPr>
        <w:t>retaining</w:t>
      </w:r>
      <w:r w:rsidR="00D55544" w:rsidRPr="001150C0">
        <w:rPr>
          <w:rFonts w:cstheme="minorHAnsi"/>
          <w:sz w:val="22"/>
          <w:szCs w:val="22"/>
        </w:rPr>
        <w:t xml:space="preserve"> the previous</w:t>
      </w:r>
      <w:r w:rsidR="0031212A" w:rsidRPr="001150C0">
        <w:rPr>
          <w:rFonts w:cstheme="minorHAnsi"/>
          <w:sz w:val="22"/>
          <w:szCs w:val="22"/>
        </w:rPr>
        <w:t>ly agreed</w:t>
      </w:r>
      <w:r w:rsidR="00D55544" w:rsidRPr="001150C0">
        <w:rPr>
          <w:rFonts w:cstheme="minorHAnsi"/>
          <w:sz w:val="22"/>
          <w:szCs w:val="22"/>
        </w:rPr>
        <w:t xml:space="preserve"> GMS rates</w:t>
      </w:r>
      <w:r w:rsidR="00F851AF" w:rsidRPr="001150C0">
        <w:rPr>
          <w:rFonts w:cstheme="minorHAnsi"/>
          <w:sz w:val="22"/>
          <w:szCs w:val="22"/>
        </w:rPr>
        <w:t>:</w:t>
      </w:r>
    </w:p>
    <w:p w14:paraId="5622A49A" w14:textId="77777777" w:rsidR="00D83824" w:rsidRPr="001150C0" w:rsidRDefault="00D83824" w:rsidP="00D83824">
      <w:pPr>
        <w:pStyle w:val="ListParagraph"/>
        <w:tabs>
          <w:tab w:val="left" w:pos="360"/>
        </w:tabs>
        <w:ind w:left="360"/>
        <w:jc w:val="both"/>
        <w:rPr>
          <w:rFonts w:cstheme="minorHAnsi"/>
          <w:sz w:val="22"/>
          <w:szCs w:val="22"/>
        </w:rPr>
      </w:pPr>
    </w:p>
    <w:p w14:paraId="038FC908" w14:textId="4C7784B3" w:rsidR="00F851AF" w:rsidRPr="001150C0" w:rsidRDefault="000914E1" w:rsidP="00D83824">
      <w:pPr>
        <w:pStyle w:val="ListParagraph"/>
        <w:numPr>
          <w:ilvl w:val="1"/>
          <w:numId w:val="15"/>
        </w:numPr>
        <w:tabs>
          <w:tab w:val="left" w:pos="360"/>
        </w:tabs>
        <w:ind w:left="720"/>
        <w:jc w:val="both"/>
        <w:rPr>
          <w:rFonts w:cstheme="minorHAnsi"/>
          <w:sz w:val="22"/>
          <w:szCs w:val="22"/>
        </w:rPr>
      </w:pPr>
      <w:r w:rsidRPr="001150C0">
        <w:rPr>
          <w:rFonts w:cstheme="minorHAnsi"/>
          <w:sz w:val="22"/>
          <w:szCs w:val="22"/>
        </w:rPr>
        <w:t>A</w:t>
      </w:r>
      <w:r w:rsidR="0033282E" w:rsidRPr="001150C0">
        <w:rPr>
          <w:rFonts w:cstheme="minorHAnsi"/>
          <w:sz w:val="22"/>
          <w:szCs w:val="22"/>
        </w:rPr>
        <w:t xml:space="preserve"> reduced (4 per cent) fee</w:t>
      </w:r>
      <w:r w:rsidR="00A31EBD" w:rsidRPr="001150C0">
        <w:rPr>
          <w:rFonts w:cstheme="minorHAnsi"/>
          <w:sz w:val="22"/>
          <w:szCs w:val="22"/>
        </w:rPr>
        <w:t xml:space="preserve"> was applied</w:t>
      </w:r>
      <w:r w:rsidR="0033282E" w:rsidRPr="001150C0">
        <w:rPr>
          <w:rFonts w:cstheme="minorHAnsi"/>
          <w:sz w:val="22"/>
          <w:szCs w:val="22"/>
        </w:rPr>
        <w:t xml:space="preserve"> for a contribution from Global Fund for "Commitment Towards Fast Tracking 90-90-90 Targets and Ending AIDS by 2030" in Zimbabwe</w:t>
      </w:r>
      <w:r w:rsidR="004A0DFF" w:rsidRPr="001150C0">
        <w:rPr>
          <w:rFonts w:cstheme="minorHAnsi"/>
          <w:sz w:val="22"/>
          <w:szCs w:val="22"/>
        </w:rPr>
        <w:t xml:space="preserve">, as previously reported </w:t>
      </w:r>
      <w:r w:rsidR="00973250" w:rsidRPr="001150C0">
        <w:rPr>
          <w:rFonts w:cstheme="minorHAnsi"/>
          <w:sz w:val="22"/>
          <w:szCs w:val="22"/>
        </w:rPr>
        <w:t>in the annexes to the Annual review of the situation, 2017 (DP/2018/19)</w:t>
      </w:r>
      <w:r w:rsidR="00F851AF" w:rsidRPr="001150C0">
        <w:rPr>
          <w:rFonts w:cstheme="minorHAnsi"/>
          <w:sz w:val="22"/>
          <w:szCs w:val="22"/>
        </w:rPr>
        <w:t>; and</w:t>
      </w:r>
    </w:p>
    <w:p w14:paraId="789FAAD4" w14:textId="0677699E" w:rsidR="007143FA" w:rsidRPr="001150C0" w:rsidRDefault="00973250" w:rsidP="00D83824">
      <w:pPr>
        <w:pStyle w:val="ListParagraph"/>
        <w:numPr>
          <w:ilvl w:val="1"/>
          <w:numId w:val="15"/>
        </w:numPr>
        <w:tabs>
          <w:tab w:val="left" w:pos="360"/>
        </w:tabs>
        <w:ind w:left="720"/>
        <w:jc w:val="both"/>
        <w:rPr>
          <w:rFonts w:cstheme="minorHAnsi"/>
          <w:sz w:val="22"/>
          <w:szCs w:val="22"/>
        </w:rPr>
      </w:pPr>
      <w:r w:rsidRPr="001150C0">
        <w:rPr>
          <w:rFonts w:cstheme="minorHAnsi"/>
          <w:sz w:val="22"/>
          <w:szCs w:val="22"/>
        </w:rPr>
        <w:t>A</w:t>
      </w:r>
      <w:r w:rsidR="007143FA" w:rsidRPr="001150C0">
        <w:rPr>
          <w:rFonts w:cstheme="minorHAnsi"/>
          <w:sz w:val="22"/>
          <w:szCs w:val="22"/>
        </w:rPr>
        <w:t xml:space="preserve"> reduced (4 per cent) fee was applied for contributions to </w:t>
      </w:r>
      <w:r w:rsidR="00712750" w:rsidRPr="001150C0">
        <w:rPr>
          <w:rFonts w:cstheme="minorHAnsi"/>
          <w:sz w:val="22"/>
          <w:szCs w:val="22"/>
        </w:rPr>
        <w:t>"</w:t>
      </w:r>
      <w:r w:rsidR="007143FA" w:rsidRPr="001150C0">
        <w:rPr>
          <w:rFonts w:cstheme="minorHAnsi"/>
          <w:sz w:val="22"/>
          <w:szCs w:val="22"/>
        </w:rPr>
        <w:t>Law &amp; Order Trust Fund for Afghanistan – MOIA (Ministry of Interior Affairs) Afghanistan Development Outcome – Capacities for reform and accountable and efficient MOIA management and oversight are improved with integrated civilian and uniformed leadership and management and Support to payroll management</w:t>
      </w:r>
      <w:r w:rsidR="00316FCB" w:rsidRPr="001150C0">
        <w:rPr>
          <w:rFonts w:cstheme="minorHAnsi"/>
          <w:sz w:val="22"/>
          <w:szCs w:val="22"/>
        </w:rPr>
        <w:t>”</w:t>
      </w:r>
      <w:r w:rsidR="00A4625D" w:rsidRPr="001150C0">
        <w:rPr>
          <w:rFonts w:cstheme="minorHAnsi"/>
          <w:sz w:val="22"/>
          <w:szCs w:val="22"/>
        </w:rPr>
        <w:t>, as previously reported in the annexes to the Annual review of the financial situation, 2015 (DP/2015/26)</w:t>
      </w:r>
      <w:r w:rsidR="00712750" w:rsidRPr="001150C0">
        <w:rPr>
          <w:rFonts w:cstheme="minorHAnsi"/>
          <w:sz w:val="22"/>
          <w:szCs w:val="22"/>
        </w:rPr>
        <w:t>.</w:t>
      </w:r>
    </w:p>
    <w:p w14:paraId="20698C3E" w14:textId="77777777" w:rsidR="0006493D" w:rsidRPr="001150C0" w:rsidRDefault="0006493D" w:rsidP="007143FA">
      <w:pPr>
        <w:jc w:val="both"/>
        <w:rPr>
          <w:rFonts w:asciiTheme="minorHAnsi" w:hAnsiTheme="minorHAnsi" w:cstheme="minorHAnsi"/>
          <w:sz w:val="22"/>
          <w:szCs w:val="22"/>
        </w:rPr>
      </w:pPr>
    </w:p>
    <w:p w14:paraId="0C35EF6F" w14:textId="36BCD765" w:rsidR="0006493D" w:rsidRPr="001150C0" w:rsidRDefault="0006493D" w:rsidP="007143FA">
      <w:pPr>
        <w:jc w:val="both"/>
        <w:rPr>
          <w:rFonts w:asciiTheme="minorHAnsi" w:hAnsiTheme="minorHAnsi" w:cstheme="minorHAnsi"/>
          <w:sz w:val="22"/>
          <w:szCs w:val="22"/>
        </w:rPr>
      </w:pPr>
      <w:r w:rsidRPr="001150C0">
        <w:rPr>
          <w:rFonts w:asciiTheme="minorHAnsi" w:hAnsiTheme="minorHAnsi" w:cstheme="minorHAnsi"/>
          <w:sz w:val="22"/>
          <w:szCs w:val="22"/>
        </w:rPr>
        <w:t xml:space="preserve">The financial impact of these </w:t>
      </w:r>
      <w:r w:rsidR="00AE606D" w:rsidRPr="001150C0">
        <w:rPr>
          <w:rFonts w:asciiTheme="minorHAnsi" w:hAnsiTheme="minorHAnsi" w:cstheme="minorHAnsi"/>
          <w:sz w:val="22"/>
          <w:szCs w:val="22"/>
        </w:rPr>
        <w:t xml:space="preserve">two waivers </w:t>
      </w:r>
      <w:r w:rsidR="00316FCB" w:rsidRPr="001150C0">
        <w:rPr>
          <w:rFonts w:asciiTheme="minorHAnsi" w:hAnsiTheme="minorHAnsi" w:cstheme="minorHAnsi"/>
          <w:sz w:val="22"/>
          <w:szCs w:val="22"/>
        </w:rPr>
        <w:t xml:space="preserve">in 2018 </w:t>
      </w:r>
      <w:r w:rsidRPr="001150C0">
        <w:rPr>
          <w:rFonts w:asciiTheme="minorHAnsi" w:hAnsiTheme="minorHAnsi" w:cstheme="minorHAnsi"/>
          <w:sz w:val="22"/>
          <w:szCs w:val="22"/>
        </w:rPr>
        <w:t>is summarized below:</w:t>
      </w:r>
    </w:p>
    <w:p w14:paraId="0C2F1EB0" w14:textId="77777777" w:rsidR="00E12203" w:rsidRPr="001150C0" w:rsidRDefault="00E12203" w:rsidP="00E90D80">
      <w:pPr>
        <w:jc w:val="both"/>
        <w:rPr>
          <w:rFonts w:asciiTheme="minorHAnsi" w:hAnsiTheme="minorHAnsi" w:cstheme="minorHAnsi"/>
          <w:color w:val="FF0000"/>
          <w:sz w:val="22"/>
          <w:szCs w:val="22"/>
        </w:rPr>
      </w:pPr>
    </w:p>
    <w:tbl>
      <w:tblPr>
        <w:tblStyle w:val="TableGrid"/>
        <w:tblW w:w="9402" w:type="dxa"/>
        <w:tblInd w:w="-95" w:type="dxa"/>
        <w:tblLook w:val="04A0" w:firstRow="1" w:lastRow="0" w:firstColumn="1" w:lastColumn="0" w:noHBand="0" w:noVBand="1"/>
      </w:tblPr>
      <w:tblGrid>
        <w:gridCol w:w="2880"/>
        <w:gridCol w:w="720"/>
        <w:gridCol w:w="2335"/>
        <w:gridCol w:w="1890"/>
        <w:gridCol w:w="1577"/>
      </w:tblGrid>
      <w:tr w:rsidR="00E12203" w:rsidRPr="001150C0" w14:paraId="5796B7B6" w14:textId="77777777" w:rsidTr="007F213D">
        <w:trPr>
          <w:trHeight w:val="665"/>
        </w:trPr>
        <w:tc>
          <w:tcPr>
            <w:tcW w:w="2880" w:type="dxa"/>
            <w:vAlign w:val="center"/>
          </w:tcPr>
          <w:p w14:paraId="06B9039B" w14:textId="77777777" w:rsidR="00E12203" w:rsidRPr="001150C0" w:rsidRDefault="00E12203" w:rsidP="00D26F28">
            <w:pPr>
              <w:jc w:val="center"/>
              <w:rPr>
                <w:rFonts w:asciiTheme="minorHAnsi" w:hAnsiTheme="minorHAnsi" w:cstheme="minorHAnsi"/>
                <w:b/>
                <w:sz w:val="22"/>
                <w:szCs w:val="22"/>
              </w:rPr>
            </w:pPr>
            <w:r w:rsidRPr="001150C0">
              <w:rPr>
                <w:rFonts w:asciiTheme="minorHAnsi" w:hAnsiTheme="minorHAnsi" w:cstheme="minorHAnsi"/>
                <w:b/>
                <w:sz w:val="22"/>
                <w:szCs w:val="22"/>
              </w:rPr>
              <w:t>Project</w:t>
            </w:r>
          </w:p>
        </w:tc>
        <w:tc>
          <w:tcPr>
            <w:tcW w:w="720" w:type="dxa"/>
            <w:vAlign w:val="center"/>
          </w:tcPr>
          <w:p w14:paraId="02CC1798" w14:textId="2E1B80DB" w:rsidR="00E12203" w:rsidRPr="001150C0" w:rsidRDefault="00E12203" w:rsidP="00D26F28">
            <w:pPr>
              <w:jc w:val="center"/>
              <w:rPr>
                <w:rFonts w:asciiTheme="minorHAnsi" w:hAnsiTheme="minorHAnsi" w:cstheme="minorHAnsi"/>
                <w:b/>
                <w:sz w:val="22"/>
                <w:szCs w:val="22"/>
              </w:rPr>
            </w:pPr>
            <w:r w:rsidRPr="001150C0">
              <w:rPr>
                <w:rFonts w:asciiTheme="minorHAnsi" w:hAnsiTheme="minorHAnsi" w:cstheme="minorHAnsi"/>
                <w:b/>
                <w:sz w:val="22"/>
                <w:szCs w:val="22"/>
              </w:rPr>
              <w:t xml:space="preserve">GMS rate </w:t>
            </w:r>
          </w:p>
        </w:tc>
        <w:tc>
          <w:tcPr>
            <w:tcW w:w="2335" w:type="dxa"/>
            <w:vAlign w:val="center"/>
          </w:tcPr>
          <w:p w14:paraId="6AB1E43A" w14:textId="702B1CB6" w:rsidR="00E12203" w:rsidRPr="001150C0" w:rsidRDefault="00AD79E7" w:rsidP="00D26F28">
            <w:pPr>
              <w:jc w:val="center"/>
              <w:rPr>
                <w:rFonts w:asciiTheme="minorHAnsi" w:hAnsiTheme="minorHAnsi" w:cstheme="minorHAnsi"/>
                <w:b/>
                <w:sz w:val="22"/>
                <w:szCs w:val="22"/>
              </w:rPr>
            </w:pPr>
            <w:r w:rsidRPr="001150C0">
              <w:rPr>
                <w:rFonts w:asciiTheme="minorHAnsi" w:hAnsiTheme="minorHAnsi" w:cstheme="minorHAnsi"/>
                <w:b/>
                <w:sz w:val="22"/>
                <w:szCs w:val="22"/>
              </w:rPr>
              <w:t>Funding partner</w:t>
            </w:r>
          </w:p>
        </w:tc>
        <w:tc>
          <w:tcPr>
            <w:tcW w:w="1890" w:type="dxa"/>
            <w:vAlign w:val="center"/>
          </w:tcPr>
          <w:p w14:paraId="458D8640" w14:textId="7B473902" w:rsidR="00E12203" w:rsidRPr="001150C0" w:rsidRDefault="00E12203" w:rsidP="00D26F28">
            <w:pPr>
              <w:jc w:val="center"/>
              <w:rPr>
                <w:rFonts w:asciiTheme="minorHAnsi" w:hAnsiTheme="minorHAnsi" w:cstheme="minorHAnsi"/>
                <w:b/>
                <w:sz w:val="22"/>
                <w:szCs w:val="22"/>
              </w:rPr>
            </w:pPr>
            <w:r w:rsidRPr="001150C0">
              <w:rPr>
                <w:rFonts w:asciiTheme="minorHAnsi" w:hAnsiTheme="minorHAnsi" w:cstheme="minorHAnsi"/>
                <w:b/>
                <w:sz w:val="22"/>
                <w:szCs w:val="22"/>
              </w:rPr>
              <w:t>Financial impact of GMS waived</w:t>
            </w:r>
            <w:r w:rsidR="00855AAB" w:rsidRPr="001150C0">
              <w:rPr>
                <w:rFonts w:asciiTheme="minorHAnsi" w:hAnsiTheme="minorHAnsi" w:cstheme="minorHAnsi"/>
                <w:b/>
                <w:sz w:val="22"/>
                <w:szCs w:val="22"/>
              </w:rPr>
              <w:t xml:space="preserve"> </w:t>
            </w:r>
          </w:p>
        </w:tc>
        <w:tc>
          <w:tcPr>
            <w:tcW w:w="1577" w:type="dxa"/>
            <w:vAlign w:val="center"/>
          </w:tcPr>
          <w:p w14:paraId="6164156C" w14:textId="61590970" w:rsidR="00E12203" w:rsidRPr="001150C0" w:rsidRDefault="00E12203" w:rsidP="00D26F28">
            <w:pPr>
              <w:jc w:val="center"/>
              <w:rPr>
                <w:rFonts w:asciiTheme="minorHAnsi" w:hAnsiTheme="minorHAnsi" w:cstheme="minorHAnsi"/>
                <w:b/>
                <w:sz w:val="22"/>
                <w:szCs w:val="22"/>
              </w:rPr>
            </w:pPr>
            <w:r w:rsidRPr="001150C0">
              <w:rPr>
                <w:rFonts w:asciiTheme="minorHAnsi" w:hAnsiTheme="minorHAnsi" w:cstheme="minorHAnsi"/>
                <w:b/>
                <w:sz w:val="22"/>
                <w:szCs w:val="22"/>
              </w:rPr>
              <w:t>Justification</w:t>
            </w:r>
          </w:p>
        </w:tc>
      </w:tr>
      <w:tr w:rsidR="00E12203" w:rsidRPr="001150C0" w14:paraId="00058E74" w14:textId="77777777" w:rsidTr="007F213D">
        <w:trPr>
          <w:trHeight w:val="1610"/>
        </w:trPr>
        <w:tc>
          <w:tcPr>
            <w:tcW w:w="2880" w:type="dxa"/>
            <w:tcBorders>
              <w:bottom w:val="single" w:sz="4" w:space="0" w:color="auto"/>
            </w:tcBorders>
            <w:vAlign w:val="center"/>
          </w:tcPr>
          <w:p w14:paraId="4C129509" w14:textId="77777777" w:rsidR="00E12203" w:rsidRPr="001150C0" w:rsidRDefault="00E12203" w:rsidP="005016CE">
            <w:pPr>
              <w:jc w:val="center"/>
              <w:rPr>
                <w:rFonts w:asciiTheme="minorHAnsi" w:hAnsiTheme="minorHAnsi" w:cstheme="minorHAnsi"/>
                <w:color w:val="000000"/>
                <w:sz w:val="22"/>
                <w:szCs w:val="22"/>
              </w:rPr>
            </w:pPr>
            <w:r w:rsidRPr="001150C0">
              <w:rPr>
                <w:rFonts w:asciiTheme="minorHAnsi" w:hAnsiTheme="minorHAnsi" w:cstheme="minorHAnsi"/>
                <w:sz w:val="22"/>
                <w:szCs w:val="22"/>
              </w:rPr>
              <w:t>"Commitment Towards Fast Tracking 90-90-90 Targets and Ending AIDS by 2030" in Zimbabwe</w:t>
            </w:r>
            <w:r w:rsidR="005016CE" w:rsidRPr="001150C0">
              <w:rPr>
                <w:rFonts w:asciiTheme="minorHAnsi" w:hAnsiTheme="minorHAnsi" w:cstheme="minorHAnsi"/>
                <w:sz w:val="22"/>
                <w:szCs w:val="22"/>
              </w:rPr>
              <w:t xml:space="preserve"> (Approved in 2017)</w:t>
            </w:r>
          </w:p>
        </w:tc>
        <w:tc>
          <w:tcPr>
            <w:tcW w:w="720" w:type="dxa"/>
            <w:tcBorders>
              <w:bottom w:val="single" w:sz="4" w:space="0" w:color="auto"/>
            </w:tcBorders>
            <w:vAlign w:val="center"/>
          </w:tcPr>
          <w:p w14:paraId="7FEC64E4" w14:textId="77777777" w:rsidR="00E12203" w:rsidRPr="001150C0" w:rsidRDefault="00E12203" w:rsidP="009F540C">
            <w:pPr>
              <w:jc w:val="center"/>
              <w:rPr>
                <w:rFonts w:asciiTheme="minorHAnsi" w:hAnsiTheme="minorHAnsi" w:cstheme="minorHAnsi"/>
                <w:sz w:val="22"/>
                <w:szCs w:val="22"/>
              </w:rPr>
            </w:pPr>
            <w:r w:rsidRPr="001150C0">
              <w:rPr>
                <w:rFonts w:asciiTheme="minorHAnsi" w:hAnsiTheme="minorHAnsi" w:cstheme="minorHAnsi"/>
                <w:sz w:val="22"/>
                <w:szCs w:val="22"/>
              </w:rPr>
              <w:t>4%</w:t>
            </w:r>
          </w:p>
        </w:tc>
        <w:tc>
          <w:tcPr>
            <w:tcW w:w="2335" w:type="dxa"/>
            <w:vAlign w:val="center"/>
          </w:tcPr>
          <w:p w14:paraId="2AE76AE0" w14:textId="77777777" w:rsidR="00E12203" w:rsidRPr="001150C0" w:rsidRDefault="00E12203" w:rsidP="009F540C">
            <w:pPr>
              <w:jc w:val="center"/>
              <w:rPr>
                <w:rFonts w:asciiTheme="minorHAnsi" w:hAnsiTheme="minorHAnsi" w:cstheme="minorHAnsi"/>
                <w:sz w:val="22"/>
                <w:szCs w:val="22"/>
              </w:rPr>
            </w:pPr>
            <w:r w:rsidRPr="001150C0">
              <w:rPr>
                <w:rFonts w:asciiTheme="minorHAnsi" w:hAnsiTheme="minorHAnsi" w:cstheme="minorHAnsi"/>
                <w:sz w:val="22"/>
                <w:szCs w:val="22"/>
              </w:rPr>
              <w:t>GFATM</w:t>
            </w:r>
          </w:p>
        </w:tc>
        <w:tc>
          <w:tcPr>
            <w:tcW w:w="1890" w:type="dxa"/>
            <w:vAlign w:val="center"/>
          </w:tcPr>
          <w:p w14:paraId="0AFBEA85" w14:textId="77777777" w:rsidR="00E12203" w:rsidRPr="001150C0" w:rsidRDefault="00E12203" w:rsidP="00E12203">
            <w:pPr>
              <w:jc w:val="center"/>
              <w:rPr>
                <w:rFonts w:asciiTheme="minorHAnsi" w:hAnsiTheme="minorHAnsi" w:cstheme="minorHAnsi"/>
                <w:color w:val="000000"/>
                <w:sz w:val="22"/>
                <w:szCs w:val="22"/>
              </w:rPr>
            </w:pPr>
          </w:p>
          <w:p w14:paraId="7D60AD4E" w14:textId="2D630844" w:rsidR="00E12203" w:rsidRPr="001150C0" w:rsidRDefault="00E22C23" w:rsidP="00937FAC">
            <w:pPr>
              <w:jc w:val="center"/>
              <w:rPr>
                <w:rFonts w:asciiTheme="minorHAnsi" w:hAnsiTheme="minorHAnsi" w:cstheme="minorHAnsi"/>
                <w:sz w:val="22"/>
                <w:szCs w:val="22"/>
              </w:rPr>
            </w:pPr>
            <w:r w:rsidRPr="001150C0">
              <w:rPr>
                <w:rFonts w:asciiTheme="minorHAnsi" w:hAnsiTheme="minorHAnsi" w:cstheme="minorHAnsi"/>
                <w:sz w:val="22"/>
                <w:szCs w:val="22"/>
              </w:rPr>
              <w:t>$</w:t>
            </w:r>
            <w:r w:rsidR="00855AAB" w:rsidRPr="001150C0">
              <w:rPr>
                <w:rFonts w:asciiTheme="minorHAnsi" w:hAnsiTheme="minorHAnsi" w:cstheme="minorHAnsi"/>
                <w:sz w:val="22"/>
                <w:szCs w:val="22"/>
              </w:rPr>
              <w:t>3,51</w:t>
            </w:r>
            <w:r w:rsidR="00937FAC" w:rsidRPr="001150C0">
              <w:rPr>
                <w:rFonts w:asciiTheme="minorHAnsi" w:hAnsiTheme="minorHAnsi" w:cstheme="minorHAnsi"/>
                <w:sz w:val="22"/>
                <w:szCs w:val="22"/>
              </w:rPr>
              <w:t>8</w:t>
            </w:r>
            <w:r w:rsidR="00855AAB" w:rsidRPr="001150C0">
              <w:rPr>
                <w:rFonts w:asciiTheme="minorHAnsi" w:hAnsiTheme="minorHAnsi" w:cstheme="minorHAnsi"/>
                <w:sz w:val="22"/>
                <w:szCs w:val="22"/>
              </w:rPr>
              <w:t>,</w:t>
            </w:r>
            <w:r w:rsidR="00937FAC" w:rsidRPr="001150C0">
              <w:rPr>
                <w:rFonts w:asciiTheme="minorHAnsi" w:hAnsiTheme="minorHAnsi" w:cstheme="minorHAnsi"/>
                <w:sz w:val="22"/>
                <w:szCs w:val="22"/>
              </w:rPr>
              <w:t>566</w:t>
            </w:r>
          </w:p>
        </w:tc>
        <w:tc>
          <w:tcPr>
            <w:tcW w:w="1577" w:type="dxa"/>
            <w:vAlign w:val="center"/>
          </w:tcPr>
          <w:p w14:paraId="00E583FF" w14:textId="673315CB" w:rsidR="00E12203" w:rsidRPr="001150C0" w:rsidRDefault="00F7150E" w:rsidP="00E5300A">
            <w:pPr>
              <w:jc w:val="center"/>
              <w:rPr>
                <w:rFonts w:asciiTheme="minorHAnsi" w:hAnsiTheme="minorHAnsi" w:cstheme="minorHAnsi"/>
                <w:sz w:val="22"/>
                <w:szCs w:val="22"/>
              </w:rPr>
            </w:pPr>
            <w:r w:rsidRPr="001150C0">
              <w:rPr>
                <w:rFonts w:asciiTheme="minorHAnsi" w:hAnsiTheme="minorHAnsi" w:cstheme="minorHAnsi"/>
                <w:sz w:val="22"/>
                <w:szCs w:val="22"/>
              </w:rPr>
              <w:t xml:space="preserve">Project size and scale </w:t>
            </w:r>
          </w:p>
        </w:tc>
      </w:tr>
      <w:tr w:rsidR="00E12203" w:rsidRPr="001150C0" w14:paraId="42CE3364" w14:textId="77777777" w:rsidTr="00D83824">
        <w:trPr>
          <w:trHeight w:val="1700"/>
        </w:trPr>
        <w:tc>
          <w:tcPr>
            <w:tcW w:w="2880" w:type="dxa"/>
            <w:tcBorders>
              <w:bottom w:val="nil"/>
            </w:tcBorders>
            <w:vAlign w:val="center"/>
          </w:tcPr>
          <w:p w14:paraId="7036B02F" w14:textId="13FBE69F" w:rsidR="00E12203" w:rsidRPr="001150C0" w:rsidRDefault="00E12203" w:rsidP="009F540C">
            <w:pPr>
              <w:jc w:val="center"/>
              <w:rPr>
                <w:rFonts w:asciiTheme="minorHAnsi" w:hAnsiTheme="minorHAnsi" w:cstheme="minorHAnsi"/>
                <w:sz w:val="22"/>
                <w:szCs w:val="22"/>
              </w:rPr>
            </w:pPr>
            <w:r w:rsidRPr="001150C0">
              <w:rPr>
                <w:rFonts w:asciiTheme="minorHAnsi" w:hAnsiTheme="minorHAnsi" w:cstheme="minorHAnsi"/>
                <w:sz w:val="22"/>
                <w:szCs w:val="22"/>
              </w:rPr>
              <w:t>"Law &amp; Order Trust Fund for Afghanistan – MOIA (Ministry of Interior Affairs)</w:t>
            </w:r>
            <w:r w:rsidR="00205CD2" w:rsidRPr="001150C0">
              <w:rPr>
                <w:rFonts w:asciiTheme="minorHAnsi" w:hAnsiTheme="minorHAnsi" w:cstheme="minorHAnsi"/>
                <w:sz w:val="22"/>
                <w:szCs w:val="22"/>
              </w:rPr>
              <w:t>”</w:t>
            </w:r>
            <w:r w:rsidR="005016CE" w:rsidRPr="001150C0">
              <w:rPr>
                <w:rFonts w:asciiTheme="minorHAnsi" w:hAnsiTheme="minorHAnsi" w:cstheme="minorHAnsi"/>
                <w:sz w:val="22"/>
                <w:szCs w:val="22"/>
              </w:rPr>
              <w:t xml:space="preserve"> (Approved in 2014)</w:t>
            </w:r>
          </w:p>
        </w:tc>
        <w:tc>
          <w:tcPr>
            <w:tcW w:w="720" w:type="dxa"/>
            <w:tcBorders>
              <w:bottom w:val="nil"/>
            </w:tcBorders>
            <w:vAlign w:val="center"/>
          </w:tcPr>
          <w:p w14:paraId="7D1201AD" w14:textId="77777777" w:rsidR="00E12203" w:rsidRPr="001150C0" w:rsidRDefault="00E12203" w:rsidP="009F540C">
            <w:pPr>
              <w:jc w:val="center"/>
              <w:rPr>
                <w:rFonts w:asciiTheme="minorHAnsi" w:hAnsiTheme="minorHAnsi" w:cstheme="minorHAnsi"/>
                <w:sz w:val="22"/>
                <w:szCs w:val="22"/>
              </w:rPr>
            </w:pPr>
            <w:r w:rsidRPr="001150C0">
              <w:rPr>
                <w:rFonts w:asciiTheme="minorHAnsi" w:hAnsiTheme="minorHAnsi" w:cstheme="minorHAnsi"/>
                <w:sz w:val="22"/>
                <w:szCs w:val="22"/>
              </w:rPr>
              <w:t>4%</w:t>
            </w:r>
          </w:p>
        </w:tc>
        <w:tc>
          <w:tcPr>
            <w:tcW w:w="2335" w:type="dxa"/>
            <w:vAlign w:val="center"/>
          </w:tcPr>
          <w:p w14:paraId="36D754D7" w14:textId="1A7D95C2" w:rsidR="00E12203" w:rsidRPr="001150C0" w:rsidRDefault="00E12203" w:rsidP="005116B9">
            <w:pPr>
              <w:rPr>
                <w:rFonts w:asciiTheme="minorHAnsi" w:hAnsiTheme="minorHAnsi" w:cstheme="minorHAnsi"/>
                <w:sz w:val="22"/>
                <w:szCs w:val="22"/>
              </w:rPr>
            </w:pPr>
            <w:r w:rsidRPr="001150C0">
              <w:rPr>
                <w:rFonts w:asciiTheme="minorHAnsi" w:hAnsiTheme="minorHAnsi" w:cstheme="minorHAnsi"/>
                <w:sz w:val="22"/>
                <w:szCs w:val="22"/>
              </w:rPr>
              <w:t>Multiple donors</w:t>
            </w:r>
            <w:r w:rsidR="005116B9" w:rsidRPr="001150C0">
              <w:rPr>
                <w:rFonts w:asciiTheme="minorHAnsi" w:hAnsiTheme="minorHAnsi" w:cstheme="minorHAnsi"/>
                <w:sz w:val="22"/>
                <w:szCs w:val="22"/>
              </w:rPr>
              <w:t>, see details below:</w:t>
            </w:r>
          </w:p>
        </w:tc>
        <w:tc>
          <w:tcPr>
            <w:tcW w:w="1890" w:type="dxa"/>
            <w:vAlign w:val="center"/>
          </w:tcPr>
          <w:p w14:paraId="7DDE93D8" w14:textId="025C27D1" w:rsidR="00E12203" w:rsidRPr="001150C0" w:rsidRDefault="005116B9" w:rsidP="00216CF7">
            <w:pPr>
              <w:jc w:val="center"/>
              <w:rPr>
                <w:rFonts w:asciiTheme="minorHAnsi" w:hAnsiTheme="minorHAnsi" w:cstheme="minorHAnsi"/>
                <w:sz w:val="22"/>
                <w:szCs w:val="22"/>
              </w:rPr>
            </w:pPr>
            <w:r w:rsidRPr="001150C0">
              <w:rPr>
                <w:rFonts w:asciiTheme="minorHAnsi" w:hAnsiTheme="minorHAnsi" w:cstheme="minorHAnsi"/>
                <w:sz w:val="22"/>
                <w:szCs w:val="22"/>
              </w:rPr>
              <w:t xml:space="preserve">Total: </w:t>
            </w:r>
            <w:r w:rsidR="00E22C23" w:rsidRPr="001150C0">
              <w:rPr>
                <w:rFonts w:asciiTheme="minorHAnsi" w:hAnsiTheme="minorHAnsi" w:cstheme="minorHAnsi"/>
                <w:sz w:val="22"/>
                <w:szCs w:val="22"/>
              </w:rPr>
              <w:t>$</w:t>
            </w:r>
            <w:r w:rsidR="00216CF7" w:rsidRPr="001150C0">
              <w:rPr>
                <w:rFonts w:asciiTheme="minorHAnsi" w:hAnsiTheme="minorHAnsi" w:cstheme="minorHAnsi"/>
                <w:sz w:val="22"/>
                <w:szCs w:val="22"/>
              </w:rPr>
              <w:t>14,635,077</w:t>
            </w:r>
          </w:p>
        </w:tc>
        <w:tc>
          <w:tcPr>
            <w:tcW w:w="1577" w:type="dxa"/>
            <w:vAlign w:val="center"/>
          </w:tcPr>
          <w:p w14:paraId="5EDABA35" w14:textId="7AED5AC3" w:rsidR="00E12203" w:rsidRPr="001150C0" w:rsidRDefault="00FE69E8" w:rsidP="00EF58E0">
            <w:pPr>
              <w:rPr>
                <w:rFonts w:asciiTheme="minorHAnsi" w:hAnsiTheme="minorHAnsi" w:cstheme="minorHAnsi"/>
                <w:sz w:val="22"/>
                <w:szCs w:val="22"/>
              </w:rPr>
            </w:pPr>
            <w:r w:rsidRPr="001150C0">
              <w:rPr>
                <w:rFonts w:asciiTheme="minorHAnsi" w:hAnsiTheme="minorHAnsi" w:cstheme="minorHAnsi"/>
                <w:sz w:val="22"/>
                <w:szCs w:val="22"/>
              </w:rPr>
              <w:t>Project size</w:t>
            </w:r>
            <w:r w:rsidR="0059546B" w:rsidRPr="001150C0">
              <w:rPr>
                <w:rFonts w:asciiTheme="minorHAnsi" w:hAnsiTheme="minorHAnsi" w:cstheme="minorHAnsi"/>
                <w:sz w:val="22"/>
                <w:szCs w:val="22"/>
              </w:rPr>
              <w:t xml:space="preserve"> and scale, with annual delivery of $391m in 2018 </w:t>
            </w:r>
          </w:p>
          <w:p w14:paraId="08265D19" w14:textId="77777777" w:rsidR="00E12203" w:rsidRPr="001150C0" w:rsidRDefault="00E12203" w:rsidP="009F540C">
            <w:pPr>
              <w:rPr>
                <w:rFonts w:asciiTheme="minorHAnsi" w:hAnsiTheme="minorHAnsi" w:cstheme="minorHAnsi"/>
                <w:sz w:val="22"/>
                <w:szCs w:val="22"/>
              </w:rPr>
            </w:pPr>
          </w:p>
        </w:tc>
      </w:tr>
      <w:tr w:rsidR="006F7750" w:rsidRPr="001150C0" w14:paraId="663604FD" w14:textId="77777777" w:rsidTr="00D83824">
        <w:trPr>
          <w:trHeight w:val="350"/>
        </w:trPr>
        <w:tc>
          <w:tcPr>
            <w:tcW w:w="2880" w:type="dxa"/>
            <w:tcBorders>
              <w:top w:val="nil"/>
              <w:bottom w:val="nil"/>
            </w:tcBorders>
            <w:vAlign w:val="center"/>
          </w:tcPr>
          <w:p w14:paraId="5E04F50E" w14:textId="77777777" w:rsidR="006F7750" w:rsidRPr="001150C0" w:rsidRDefault="006F7750" w:rsidP="009F540C">
            <w:pPr>
              <w:jc w:val="center"/>
              <w:rPr>
                <w:rFonts w:asciiTheme="minorHAnsi" w:hAnsiTheme="minorHAnsi" w:cstheme="minorHAnsi"/>
                <w:sz w:val="22"/>
                <w:szCs w:val="22"/>
              </w:rPr>
            </w:pPr>
          </w:p>
        </w:tc>
        <w:tc>
          <w:tcPr>
            <w:tcW w:w="720" w:type="dxa"/>
            <w:tcBorders>
              <w:top w:val="nil"/>
              <w:bottom w:val="nil"/>
            </w:tcBorders>
            <w:vAlign w:val="center"/>
          </w:tcPr>
          <w:p w14:paraId="7F3A0DEC" w14:textId="77777777" w:rsidR="006F7750" w:rsidRPr="001150C0" w:rsidRDefault="006F7750" w:rsidP="009F540C">
            <w:pPr>
              <w:jc w:val="center"/>
              <w:rPr>
                <w:rFonts w:asciiTheme="minorHAnsi" w:hAnsiTheme="minorHAnsi" w:cstheme="minorHAnsi"/>
                <w:sz w:val="22"/>
                <w:szCs w:val="22"/>
              </w:rPr>
            </w:pPr>
          </w:p>
        </w:tc>
        <w:tc>
          <w:tcPr>
            <w:tcW w:w="2335" w:type="dxa"/>
            <w:vAlign w:val="center"/>
          </w:tcPr>
          <w:p w14:paraId="71350FE4" w14:textId="7662F2CA" w:rsidR="006F7750" w:rsidRPr="001150C0" w:rsidRDefault="00A3626E" w:rsidP="00AE606D">
            <w:pPr>
              <w:rPr>
                <w:rFonts w:asciiTheme="minorHAnsi" w:hAnsiTheme="minorHAnsi" w:cstheme="minorHAnsi"/>
                <w:sz w:val="22"/>
                <w:szCs w:val="22"/>
              </w:rPr>
            </w:pPr>
            <w:r w:rsidRPr="001150C0">
              <w:rPr>
                <w:rFonts w:ascii="Calibri" w:hAnsi="Calibri"/>
                <w:color w:val="000000"/>
                <w:sz w:val="22"/>
                <w:szCs w:val="22"/>
              </w:rPr>
              <w:t>Government of Japan</w:t>
            </w:r>
          </w:p>
        </w:tc>
        <w:tc>
          <w:tcPr>
            <w:tcW w:w="1890" w:type="dxa"/>
            <w:vAlign w:val="center"/>
          </w:tcPr>
          <w:p w14:paraId="5FBDA5C2" w14:textId="15A5902C" w:rsidR="00A3626E" w:rsidRPr="001150C0" w:rsidRDefault="00E22C23" w:rsidP="00A3626E">
            <w:pPr>
              <w:jc w:val="center"/>
              <w:rPr>
                <w:rFonts w:ascii="Calibri" w:hAnsi="Calibri"/>
                <w:color w:val="000000"/>
                <w:sz w:val="22"/>
                <w:szCs w:val="22"/>
              </w:rPr>
            </w:pPr>
            <w:r w:rsidRPr="001150C0">
              <w:rPr>
                <w:rFonts w:ascii="Calibri" w:hAnsi="Calibri"/>
                <w:color w:val="000000"/>
                <w:sz w:val="22"/>
                <w:szCs w:val="22"/>
              </w:rPr>
              <w:t>$</w:t>
            </w:r>
            <w:r w:rsidR="00A3626E" w:rsidRPr="001150C0">
              <w:rPr>
                <w:rFonts w:ascii="Calibri" w:hAnsi="Calibri"/>
                <w:color w:val="000000"/>
                <w:sz w:val="22"/>
                <w:szCs w:val="22"/>
              </w:rPr>
              <w:t xml:space="preserve">4,673,636 </w:t>
            </w:r>
          </w:p>
          <w:p w14:paraId="1BAF9318" w14:textId="77777777" w:rsidR="006F7750" w:rsidRPr="001150C0" w:rsidRDefault="006F7750" w:rsidP="00216CF7">
            <w:pPr>
              <w:jc w:val="center"/>
              <w:rPr>
                <w:rFonts w:asciiTheme="minorHAnsi" w:hAnsiTheme="minorHAnsi" w:cstheme="minorHAnsi"/>
                <w:sz w:val="22"/>
                <w:szCs w:val="22"/>
              </w:rPr>
            </w:pPr>
          </w:p>
        </w:tc>
        <w:tc>
          <w:tcPr>
            <w:tcW w:w="1577" w:type="dxa"/>
            <w:vAlign w:val="center"/>
          </w:tcPr>
          <w:p w14:paraId="39AABD89" w14:textId="77777777" w:rsidR="006F7750" w:rsidRPr="001150C0" w:rsidRDefault="006F7750" w:rsidP="00EF58E0">
            <w:pPr>
              <w:rPr>
                <w:rFonts w:asciiTheme="minorHAnsi" w:hAnsiTheme="minorHAnsi" w:cstheme="minorHAnsi"/>
                <w:sz w:val="22"/>
                <w:szCs w:val="22"/>
              </w:rPr>
            </w:pPr>
          </w:p>
        </w:tc>
      </w:tr>
      <w:tr w:rsidR="006F7750" w:rsidRPr="001150C0" w14:paraId="73E05D21" w14:textId="77777777" w:rsidTr="00D83824">
        <w:trPr>
          <w:trHeight w:val="440"/>
        </w:trPr>
        <w:tc>
          <w:tcPr>
            <w:tcW w:w="2880" w:type="dxa"/>
            <w:tcBorders>
              <w:top w:val="nil"/>
              <w:bottom w:val="nil"/>
            </w:tcBorders>
            <w:vAlign w:val="center"/>
          </w:tcPr>
          <w:p w14:paraId="087B38E8" w14:textId="77777777" w:rsidR="006F7750" w:rsidRPr="001150C0" w:rsidRDefault="006F7750" w:rsidP="009F540C">
            <w:pPr>
              <w:jc w:val="center"/>
              <w:rPr>
                <w:rFonts w:asciiTheme="minorHAnsi" w:hAnsiTheme="minorHAnsi" w:cstheme="minorHAnsi"/>
                <w:sz w:val="22"/>
                <w:szCs w:val="22"/>
              </w:rPr>
            </w:pPr>
          </w:p>
        </w:tc>
        <w:tc>
          <w:tcPr>
            <w:tcW w:w="720" w:type="dxa"/>
            <w:tcBorders>
              <w:top w:val="nil"/>
              <w:bottom w:val="nil"/>
            </w:tcBorders>
            <w:vAlign w:val="center"/>
          </w:tcPr>
          <w:p w14:paraId="7A42E449" w14:textId="77777777" w:rsidR="006F7750" w:rsidRPr="001150C0" w:rsidRDefault="006F7750" w:rsidP="009F540C">
            <w:pPr>
              <w:jc w:val="center"/>
              <w:rPr>
                <w:rFonts w:asciiTheme="minorHAnsi" w:hAnsiTheme="minorHAnsi" w:cstheme="minorHAnsi"/>
                <w:sz w:val="22"/>
                <w:szCs w:val="22"/>
              </w:rPr>
            </w:pPr>
          </w:p>
        </w:tc>
        <w:tc>
          <w:tcPr>
            <w:tcW w:w="2335" w:type="dxa"/>
            <w:vAlign w:val="center"/>
          </w:tcPr>
          <w:p w14:paraId="733CB3B6" w14:textId="4D093355" w:rsidR="006F7750" w:rsidRPr="001150C0" w:rsidRDefault="00A3626E" w:rsidP="00AE606D">
            <w:pPr>
              <w:rPr>
                <w:rFonts w:asciiTheme="minorHAnsi" w:hAnsiTheme="minorHAnsi" w:cstheme="minorHAnsi"/>
                <w:sz w:val="22"/>
                <w:szCs w:val="22"/>
              </w:rPr>
            </w:pPr>
            <w:r w:rsidRPr="001150C0">
              <w:rPr>
                <w:rFonts w:ascii="Calibri" w:hAnsi="Calibri"/>
                <w:color w:val="000000"/>
                <w:sz w:val="22"/>
                <w:szCs w:val="22"/>
              </w:rPr>
              <w:t>European Commission</w:t>
            </w:r>
          </w:p>
        </w:tc>
        <w:tc>
          <w:tcPr>
            <w:tcW w:w="1890" w:type="dxa"/>
            <w:vAlign w:val="center"/>
          </w:tcPr>
          <w:p w14:paraId="63B037C9" w14:textId="0B989B04" w:rsidR="00B32A5F" w:rsidRPr="001150C0" w:rsidRDefault="00E22C23" w:rsidP="00B32A5F">
            <w:pPr>
              <w:jc w:val="center"/>
              <w:rPr>
                <w:rFonts w:ascii="Calibri" w:hAnsi="Calibri"/>
                <w:color w:val="000000"/>
                <w:sz w:val="22"/>
                <w:szCs w:val="22"/>
              </w:rPr>
            </w:pPr>
            <w:r w:rsidRPr="001150C0">
              <w:rPr>
                <w:rFonts w:ascii="Calibri" w:hAnsi="Calibri"/>
                <w:color w:val="000000"/>
                <w:sz w:val="22"/>
                <w:szCs w:val="22"/>
              </w:rPr>
              <w:t>$</w:t>
            </w:r>
            <w:r w:rsidR="00B32A5F" w:rsidRPr="001150C0">
              <w:rPr>
                <w:rFonts w:ascii="Calibri" w:hAnsi="Calibri"/>
                <w:color w:val="000000"/>
                <w:sz w:val="22"/>
                <w:szCs w:val="22"/>
              </w:rPr>
              <w:t xml:space="preserve">1,643,704 </w:t>
            </w:r>
          </w:p>
          <w:p w14:paraId="7AC73C3C" w14:textId="1BA557B8" w:rsidR="006F7750" w:rsidRPr="001150C0" w:rsidRDefault="006F7750" w:rsidP="00D223F2">
            <w:pPr>
              <w:jc w:val="center"/>
              <w:rPr>
                <w:rFonts w:asciiTheme="minorHAnsi" w:hAnsiTheme="minorHAnsi" w:cstheme="minorHAnsi"/>
                <w:sz w:val="22"/>
                <w:szCs w:val="22"/>
              </w:rPr>
            </w:pPr>
          </w:p>
        </w:tc>
        <w:tc>
          <w:tcPr>
            <w:tcW w:w="1577" w:type="dxa"/>
            <w:vAlign w:val="center"/>
          </w:tcPr>
          <w:p w14:paraId="485EB206" w14:textId="77777777" w:rsidR="006F7750" w:rsidRPr="001150C0" w:rsidRDefault="006F7750" w:rsidP="00EF58E0">
            <w:pPr>
              <w:rPr>
                <w:rFonts w:asciiTheme="minorHAnsi" w:hAnsiTheme="minorHAnsi" w:cstheme="minorHAnsi"/>
                <w:sz w:val="22"/>
                <w:szCs w:val="22"/>
              </w:rPr>
            </w:pPr>
          </w:p>
        </w:tc>
      </w:tr>
      <w:tr w:rsidR="006F7750" w:rsidRPr="001150C0" w14:paraId="5732EB59" w14:textId="77777777" w:rsidTr="00D83824">
        <w:trPr>
          <w:trHeight w:val="503"/>
        </w:trPr>
        <w:tc>
          <w:tcPr>
            <w:tcW w:w="2880" w:type="dxa"/>
            <w:tcBorders>
              <w:top w:val="nil"/>
              <w:bottom w:val="nil"/>
            </w:tcBorders>
            <w:vAlign w:val="center"/>
          </w:tcPr>
          <w:p w14:paraId="0A80FBE4" w14:textId="77777777" w:rsidR="006F7750" w:rsidRPr="001150C0" w:rsidRDefault="006F7750" w:rsidP="009F540C">
            <w:pPr>
              <w:jc w:val="center"/>
              <w:rPr>
                <w:rFonts w:asciiTheme="minorHAnsi" w:hAnsiTheme="minorHAnsi" w:cstheme="minorHAnsi"/>
                <w:sz w:val="22"/>
                <w:szCs w:val="22"/>
              </w:rPr>
            </w:pPr>
          </w:p>
        </w:tc>
        <w:tc>
          <w:tcPr>
            <w:tcW w:w="720" w:type="dxa"/>
            <w:tcBorders>
              <w:top w:val="nil"/>
              <w:bottom w:val="nil"/>
            </w:tcBorders>
            <w:vAlign w:val="center"/>
          </w:tcPr>
          <w:p w14:paraId="114C170C" w14:textId="77777777" w:rsidR="006F7750" w:rsidRPr="001150C0" w:rsidRDefault="006F7750" w:rsidP="009F540C">
            <w:pPr>
              <w:jc w:val="center"/>
              <w:rPr>
                <w:rFonts w:asciiTheme="minorHAnsi" w:hAnsiTheme="minorHAnsi" w:cstheme="minorHAnsi"/>
                <w:sz w:val="22"/>
                <w:szCs w:val="22"/>
              </w:rPr>
            </w:pPr>
          </w:p>
        </w:tc>
        <w:tc>
          <w:tcPr>
            <w:tcW w:w="2335" w:type="dxa"/>
            <w:vAlign w:val="center"/>
          </w:tcPr>
          <w:p w14:paraId="2F1CEA32" w14:textId="2A5FBBC3" w:rsidR="006F7750" w:rsidRPr="001150C0" w:rsidRDefault="00A3626E" w:rsidP="005116B9">
            <w:pPr>
              <w:rPr>
                <w:rFonts w:asciiTheme="minorHAnsi" w:hAnsiTheme="minorHAnsi" w:cstheme="minorHAnsi"/>
                <w:sz w:val="22"/>
                <w:szCs w:val="22"/>
              </w:rPr>
            </w:pPr>
            <w:r w:rsidRPr="001150C0">
              <w:rPr>
                <w:rFonts w:asciiTheme="minorHAnsi" w:hAnsiTheme="minorHAnsi" w:cstheme="minorHAnsi"/>
                <w:sz w:val="22"/>
                <w:szCs w:val="22"/>
              </w:rPr>
              <w:t>Government of Germany</w:t>
            </w:r>
          </w:p>
        </w:tc>
        <w:tc>
          <w:tcPr>
            <w:tcW w:w="1890" w:type="dxa"/>
            <w:vAlign w:val="center"/>
          </w:tcPr>
          <w:p w14:paraId="7973DD8A" w14:textId="787F9050" w:rsidR="00B32A5F" w:rsidRPr="001150C0" w:rsidRDefault="00E22C23" w:rsidP="00B32A5F">
            <w:pPr>
              <w:jc w:val="center"/>
              <w:rPr>
                <w:rFonts w:ascii="Calibri" w:hAnsi="Calibri"/>
                <w:color w:val="000000"/>
                <w:sz w:val="22"/>
                <w:szCs w:val="22"/>
              </w:rPr>
            </w:pPr>
            <w:r w:rsidRPr="001150C0">
              <w:rPr>
                <w:rFonts w:ascii="Calibri" w:hAnsi="Calibri"/>
                <w:color w:val="000000"/>
                <w:sz w:val="22"/>
                <w:szCs w:val="22"/>
              </w:rPr>
              <w:t>$</w:t>
            </w:r>
            <w:r w:rsidR="00B32A5F" w:rsidRPr="001150C0">
              <w:rPr>
                <w:rFonts w:ascii="Calibri" w:hAnsi="Calibri"/>
                <w:color w:val="000000"/>
                <w:sz w:val="22"/>
                <w:szCs w:val="22"/>
              </w:rPr>
              <w:t xml:space="preserve">2,969,172 </w:t>
            </w:r>
          </w:p>
          <w:p w14:paraId="03515AE8" w14:textId="77777777" w:rsidR="006F7750" w:rsidRPr="001150C0" w:rsidRDefault="006F7750" w:rsidP="00216CF7">
            <w:pPr>
              <w:jc w:val="center"/>
              <w:rPr>
                <w:rFonts w:asciiTheme="minorHAnsi" w:hAnsiTheme="minorHAnsi" w:cstheme="minorHAnsi"/>
                <w:sz w:val="22"/>
                <w:szCs w:val="22"/>
              </w:rPr>
            </w:pPr>
          </w:p>
        </w:tc>
        <w:tc>
          <w:tcPr>
            <w:tcW w:w="1577" w:type="dxa"/>
            <w:vAlign w:val="center"/>
          </w:tcPr>
          <w:p w14:paraId="6319287B" w14:textId="77777777" w:rsidR="006F7750" w:rsidRPr="001150C0" w:rsidRDefault="006F7750" w:rsidP="00EF58E0">
            <w:pPr>
              <w:rPr>
                <w:rFonts w:asciiTheme="minorHAnsi" w:hAnsiTheme="minorHAnsi" w:cstheme="minorHAnsi"/>
                <w:sz w:val="22"/>
                <w:szCs w:val="22"/>
              </w:rPr>
            </w:pPr>
          </w:p>
        </w:tc>
      </w:tr>
      <w:tr w:rsidR="006F7750" w:rsidRPr="001150C0" w14:paraId="566CFC04" w14:textId="77777777" w:rsidTr="00D83824">
        <w:trPr>
          <w:trHeight w:val="323"/>
        </w:trPr>
        <w:tc>
          <w:tcPr>
            <w:tcW w:w="2880" w:type="dxa"/>
            <w:tcBorders>
              <w:top w:val="nil"/>
              <w:bottom w:val="nil"/>
            </w:tcBorders>
            <w:vAlign w:val="center"/>
          </w:tcPr>
          <w:p w14:paraId="73437331" w14:textId="77777777" w:rsidR="006F7750" w:rsidRPr="001150C0" w:rsidRDefault="006F7750" w:rsidP="009F540C">
            <w:pPr>
              <w:jc w:val="center"/>
              <w:rPr>
                <w:rFonts w:asciiTheme="minorHAnsi" w:hAnsiTheme="minorHAnsi" w:cstheme="minorHAnsi"/>
                <w:sz w:val="22"/>
                <w:szCs w:val="22"/>
              </w:rPr>
            </w:pPr>
          </w:p>
        </w:tc>
        <w:tc>
          <w:tcPr>
            <w:tcW w:w="720" w:type="dxa"/>
            <w:tcBorders>
              <w:top w:val="nil"/>
              <w:bottom w:val="nil"/>
            </w:tcBorders>
            <w:vAlign w:val="center"/>
          </w:tcPr>
          <w:p w14:paraId="7DA7261E" w14:textId="77777777" w:rsidR="006F7750" w:rsidRPr="001150C0" w:rsidRDefault="006F7750" w:rsidP="009F540C">
            <w:pPr>
              <w:jc w:val="center"/>
              <w:rPr>
                <w:rFonts w:asciiTheme="minorHAnsi" w:hAnsiTheme="minorHAnsi" w:cstheme="minorHAnsi"/>
                <w:sz w:val="22"/>
                <w:szCs w:val="22"/>
              </w:rPr>
            </w:pPr>
          </w:p>
        </w:tc>
        <w:tc>
          <w:tcPr>
            <w:tcW w:w="2335" w:type="dxa"/>
            <w:vAlign w:val="center"/>
          </w:tcPr>
          <w:p w14:paraId="106E4EE7" w14:textId="750318C5" w:rsidR="006F7750" w:rsidRPr="001150C0" w:rsidRDefault="00B32A5F" w:rsidP="00AE606D">
            <w:pPr>
              <w:rPr>
                <w:rFonts w:asciiTheme="minorHAnsi" w:hAnsiTheme="minorHAnsi" w:cstheme="minorHAnsi"/>
                <w:sz w:val="22"/>
                <w:szCs w:val="22"/>
              </w:rPr>
            </w:pPr>
            <w:r w:rsidRPr="001150C0">
              <w:rPr>
                <w:rFonts w:ascii="Calibri" w:hAnsi="Calibri"/>
                <w:color w:val="000000"/>
                <w:sz w:val="22"/>
                <w:szCs w:val="22"/>
              </w:rPr>
              <w:t>Government of Italy</w:t>
            </w:r>
          </w:p>
        </w:tc>
        <w:tc>
          <w:tcPr>
            <w:tcW w:w="1890" w:type="dxa"/>
            <w:vAlign w:val="center"/>
          </w:tcPr>
          <w:p w14:paraId="23E48423" w14:textId="50D03F2D" w:rsidR="00B32A5F" w:rsidRPr="001150C0" w:rsidRDefault="00E22C23" w:rsidP="00B32A5F">
            <w:pPr>
              <w:jc w:val="center"/>
              <w:rPr>
                <w:rFonts w:ascii="Calibri" w:hAnsi="Calibri"/>
                <w:color w:val="000000"/>
                <w:sz w:val="22"/>
                <w:szCs w:val="22"/>
              </w:rPr>
            </w:pPr>
            <w:r w:rsidRPr="001150C0">
              <w:rPr>
                <w:rFonts w:ascii="Calibri" w:hAnsi="Calibri"/>
                <w:color w:val="000000"/>
                <w:sz w:val="22"/>
                <w:szCs w:val="22"/>
              </w:rPr>
              <w:t>$</w:t>
            </w:r>
            <w:r w:rsidR="00B32A5F" w:rsidRPr="001150C0">
              <w:rPr>
                <w:rFonts w:ascii="Calibri" w:hAnsi="Calibri"/>
                <w:color w:val="000000"/>
                <w:sz w:val="22"/>
                <w:szCs w:val="22"/>
              </w:rPr>
              <w:t xml:space="preserve">2,373,257 </w:t>
            </w:r>
          </w:p>
          <w:p w14:paraId="72D5AD16" w14:textId="77777777" w:rsidR="006F7750" w:rsidRPr="001150C0" w:rsidRDefault="006F7750" w:rsidP="00216CF7">
            <w:pPr>
              <w:jc w:val="center"/>
              <w:rPr>
                <w:rFonts w:asciiTheme="minorHAnsi" w:hAnsiTheme="minorHAnsi" w:cstheme="minorHAnsi"/>
                <w:sz w:val="22"/>
                <w:szCs w:val="22"/>
              </w:rPr>
            </w:pPr>
          </w:p>
        </w:tc>
        <w:tc>
          <w:tcPr>
            <w:tcW w:w="1577" w:type="dxa"/>
            <w:vAlign w:val="center"/>
          </w:tcPr>
          <w:p w14:paraId="0A5E158A" w14:textId="77777777" w:rsidR="006F7750" w:rsidRPr="001150C0" w:rsidRDefault="006F7750" w:rsidP="00EF58E0">
            <w:pPr>
              <w:rPr>
                <w:rFonts w:asciiTheme="minorHAnsi" w:hAnsiTheme="minorHAnsi" w:cstheme="minorHAnsi"/>
                <w:sz w:val="22"/>
                <w:szCs w:val="22"/>
              </w:rPr>
            </w:pPr>
          </w:p>
        </w:tc>
      </w:tr>
      <w:tr w:rsidR="006F7750" w:rsidRPr="001150C0" w14:paraId="1326A654" w14:textId="77777777" w:rsidTr="00D83824">
        <w:trPr>
          <w:trHeight w:val="584"/>
        </w:trPr>
        <w:tc>
          <w:tcPr>
            <w:tcW w:w="2880" w:type="dxa"/>
            <w:tcBorders>
              <w:top w:val="nil"/>
              <w:bottom w:val="nil"/>
            </w:tcBorders>
            <w:vAlign w:val="center"/>
          </w:tcPr>
          <w:p w14:paraId="50CDC4AC" w14:textId="77777777" w:rsidR="006F7750" w:rsidRPr="001150C0" w:rsidRDefault="006F7750" w:rsidP="009F540C">
            <w:pPr>
              <w:jc w:val="center"/>
              <w:rPr>
                <w:rFonts w:asciiTheme="minorHAnsi" w:hAnsiTheme="minorHAnsi" w:cstheme="minorHAnsi"/>
                <w:sz w:val="22"/>
                <w:szCs w:val="22"/>
              </w:rPr>
            </w:pPr>
          </w:p>
        </w:tc>
        <w:tc>
          <w:tcPr>
            <w:tcW w:w="720" w:type="dxa"/>
            <w:tcBorders>
              <w:top w:val="nil"/>
              <w:bottom w:val="nil"/>
            </w:tcBorders>
            <w:vAlign w:val="center"/>
          </w:tcPr>
          <w:p w14:paraId="00FEC917" w14:textId="77777777" w:rsidR="006F7750" w:rsidRPr="001150C0" w:rsidRDefault="006F7750" w:rsidP="009F540C">
            <w:pPr>
              <w:jc w:val="center"/>
              <w:rPr>
                <w:rFonts w:asciiTheme="minorHAnsi" w:hAnsiTheme="minorHAnsi" w:cstheme="minorHAnsi"/>
                <w:sz w:val="22"/>
                <w:szCs w:val="22"/>
              </w:rPr>
            </w:pPr>
          </w:p>
        </w:tc>
        <w:tc>
          <w:tcPr>
            <w:tcW w:w="2335" w:type="dxa"/>
            <w:vAlign w:val="center"/>
          </w:tcPr>
          <w:p w14:paraId="49751939" w14:textId="326A94E5" w:rsidR="006F7750" w:rsidRPr="001150C0" w:rsidRDefault="00B32A5F" w:rsidP="005116B9">
            <w:pPr>
              <w:rPr>
                <w:rFonts w:asciiTheme="minorHAnsi" w:hAnsiTheme="minorHAnsi" w:cstheme="minorHAnsi"/>
                <w:sz w:val="22"/>
                <w:szCs w:val="22"/>
              </w:rPr>
            </w:pPr>
            <w:r w:rsidRPr="001150C0">
              <w:rPr>
                <w:rFonts w:ascii="Calibri" w:hAnsi="Calibri"/>
                <w:color w:val="000000"/>
                <w:sz w:val="22"/>
                <w:szCs w:val="22"/>
              </w:rPr>
              <w:t>Government of the United Kingdo</w:t>
            </w:r>
            <w:r w:rsidR="00AE606D" w:rsidRPr="001150C0">
              <w:rPr>
                <w:rFonts w:ascii="Calibri" w:hAnsi="Calibri"/>
                <w:color w:val="000000"/>
                <w:sz w:val="22"/>
                <w:szCs w:val="22"/>
              </w:rPr>
              <w:t>m</w:t>
            </w:r>
          </w:p>
        </w:tc>
        <w:tc>
          <w:tcPr>
            <w:tcW w:w="1890" w:type="dxa"/>
            <w:vAlign w:val="center"/>
          </w:tcPr>
          <w:p w14:paraId="63418004" w14:textId="601493C3" w:rsidR="00B32A5F" w:rsidRPr="001150C0" w:rsidRDefault="00E22C23" w:rsidP="00B32A5F">
            <w:pPr>
              <w:jc w:val="center"/>
              <w:rPr>
                <w:rFonts w:ascii="Calibri" w:hAnsi="Calibri"/>
                <w:color w:val="000000"/>
                <w:sz w:val="22"/>
                <w:szCs w:val="22"/>
              </w:rPr>
            </w:pPr>
            <w:r w:rsidRPr="001150C0">
              <w:rPr>
                <w:rFonts w:ascii="Calibri" w:hAnsi="Calibri"/>
                <w:color w:val="000000"/>
                <w:sz w:val="22"/>
                <w:szCs w:val="22"/>
              </w:rPr>
              <w:t>$</w:t>
            </w:r>
            <w:r w:rsidR="00B32A5F" w:rsidRPr="001150C0">
              <w:rPr>
                <w:rFonts w:ascii="Calibri" w:hAnsi="Calibri"/>
                <w:color w:val="000000"/>
                <w:sz w:val="22"/>
                <w:szCs w:val="22"/>
              </w:rPr>
              <w:t xml:space="preserve">1,775,929 </w:t>
            </w:r>
          </w:p>
          <w:p w14:paraId="2C557D72" w14:textId="77777777" w:rsidR="006F7750" w:rsidRPr="001150C0" w:rsidRDefault="006F7750" w:rsidP="00216CF7">
            <w:pPr>
              <w:jc w:val="center"/>
              <w:rPr>
                <w:rFonts w:asciiTheme="minorHAnsi" w:hAnsiTheme="minorHAnsi" w:cstheme="minorHAnsi"/>
                <w:sz w:val="22"/>
                <w:szCs w:val="22"/>
              </w:rPr>
            </w:pPr>
          </w:p>
        </w:tc>
        <w:tc>
          <w:tcPr>
            <w:tcW w:w="1577" w:type="dxa"/>
            <w:vAlign w:val="center"/>
          </w:tcPr>
          <w:p w14:paraId="66BA4645" w14:textId="77777777" w:rsidR="006F7750" w:rsidRPr="001150C0" w:rsidRDefault="006F7750" w:rsidP="00EF58E0">
            <w:pPr>
              <w:rPr>
                <w:rFonts w:asciiTheme="minorHAnsi" w:hAnsiTheme="minorHAnsi" w:cstheme="minorHAnsi"/>
                <w:sz w:val="22"/>
                <w:szCs w:val="22"/>
              </w:rPr>
            </w:pPr>
          </w:p>
        </w:tc>
      </w:tr>
      <w:tr w:rsidR="006F7750" w:rsidRPr="001150C0" w14:paraId="0FCFC5D5" w14:textId="77777777" w:rsidTr="00D83824">
        <w:trPr>
          <w:trHeight w:val="314"/>
        </w:trPr>
        <w:tc>
          <w:tcPr>
            <w:tcW w:w="2880" w:type="dxa"/>
            <w:tcBorders>
              <w:top w:val="nil"/>
              <w:bottom w:val="nil"/>
            </w:tcBorders>
            <w:vAlign w:val="center"/>
          </w:tcPr>
          <w:p w14:paraId="125E3F1D" w14:textId="77777777" w:rsidR="006F7750" w:rsidRPr="001150C0" w:rsidRDefault="006F7750" w:rsidP="009F540C">
            <w:pPr>
              <w:jc w:val="center"/>
              <w:rPr>
                <w:rFonts w:asciiTheme="minorHAnsi" w:hAnsiTheme="minorHAnsi" w:cstheme="minorHAnsi"/>
                <w:sz w:val="22"/>
                <w:szCs w:val="22"/>
              </w:rPr>
            </w:pPr>
          </w:p>
        </w:tc>
        <w:tc>
          <w:tcPr>
            <w:tcW w:w="720" w:type="dxa"/>
            <w:tcBorders>
              <w:top w:val="nil"/>
              <w:bottom w:val="nil"/>
            </w:tcBorders>
            <w:vAlign w:val="center"/>
          </w:tcPr>
          <w:p w14:paraId="44A7EB1D" w14:textId="77777777" w:rsidR="006F7750" w:rsidRPr="001150C0" w:rsidRDefault="006F7750" w:rsidP="009F540C">
            <w:pPr>
              <w:jc w:val="center"/>
              <w:rPr>
                <w:rFonts w:asciiTheme="minorHAnsi" w:hAnsiTheme="minorHAnsi" w:cstheme="minorHAnsi"/>
                <w:sz w:val="22"/>
                <w:szCs w:val="22"/>
              </w:rPr>
            </w:pPr>
          </w:p>
        </w:tc>
        <w:tc>
          <w:tcPr>
            <w:tcW w:w="2335" w:type="dxa"/>
            <w:vAlign w:val="center"/>
          </w:tcPr>
          <w:p w14:paraId="78F39E7C" w14:textId="12DA360E" w:rsidR="006F7750" w:rsidRPr="001150C0" w:rsidRDefault="00B32A5F" w:rsidP="00AE606D">
            <w:pPr>
              <w:rPr>
                <w:rFonts w:asciiTheme="minorHAnsi" w:hAnsiTheme="minorHAnsi" w:cstheme="minorHAnsi"/>
                <w:sz w:val="22"/>
                <w:szCs w:val="22"/>
              </w:rPr>
            </w:pPr>
            <w:r w:rsidRPr="001150C0">
              <w:rPr>
                <w:rFonts w:ascii="Calibri" w:hAnsi="Calibri"/>
                <w:color w:val="000000"/>
                <w:sz w:val="22"/>
                <w:szCs w:val="22"/>
              </w:rPr>
              <w:t>Government of Australia</w:t>
            </w:r>
          </w:p>
        </w:tc>
        <w:tc>
          <w:tcPr>
            <w:tcW w:w="1890" w:type="dxa"/>
            <w:vAlign w:val="center"/>
          </w:tcPr>
          <w:p w14:paraId="2BC65F0D" w14:textId="107587B2" w:rsidR="00B32A5F" w:rsidRPr="001150C0" w:rsidRDefault="00E22C23" w:rsidP="00B32A5F">
            <w:pPr>
              <w:jc w:val="center"/>
              <w:rPr>
                <w:rFonts w:ascii="Calibri" w:hAnsi="Calibri"/>
                <w:color w:val="000000"/>
                <w:sz w:val="22"/>
                <w:szCs w:val="22"/>
              </w:rPr>
            </w:pPr>
            <w:r w:rsidRPr="001150C0">
              <w:rPr>
                <w:rFonts w:ascii="Calibri" w:hAnsi="Calibri"/>
                <w:color w:val="000000"/>
                <w:sz w:val="22"/>
                <w:szCs w:val="22"/>
              </w:rPr>
              <w:t>$</w:t>
            </w:r>
            <w:r w:rsidR="00B32A5F" w:rsidRPr="001150C0">
              <w:rPr>
                <w:rFonts w:ascii="Calibri" w:hAnsi="Calibri"/>
                <w:color w:val="000000"/>
                <w:sz w:val="22"/>
                <w:szCs w:val="22"/>
              </w:rPr>
              <w:t xml:space="preserve">546,695 </w:t>
            </w:r>
          </w:p>
          <w:p w14:paraId="3513EAEA" w14:textId="77777777" w:rsidR="006F7750" w:rsidRPr="001150C0" w:rsidRDefault="006F7750" w:rsidP="00216CF7">
            <w:pPr>
              <w:jc w:val="center"/>
              <w:rPr>
                <w:rFonts w:asciiTheme="minorHAnsi" w:hAnsiTheme="minorHAnsi" w:cstheme="minorHAnsi"/>
                <w:sz w:val="22"/>
                <w:szCs w:val="22"/>
              </w:rPr>
            </w:pPr>
          </w:p>
        </w:tc>
        <w:tc>
          <w:tcPr>
            <w:tcW w:w="1577" w:type="dxa"/>
            <w:vAlign w:val="center"/>
          </w:tcPr>
          <w:p w14:paraId="5827F430" w14:textId="77777777" w:rsidR="006F7750" w:rsidRPr="001150C0" w:rsidRDefault="006F7750" w:rsidP="00EF58E0">
            <w:pPr>
              <w:rPr>
                <w:rFonts w:asciiTheme="minorHAnsi" w:hAnsiTheme="minorHAnsi" w:cstheme="minorHAnsi"/>
                <w:sz w:val="22"/>
                <w:szCs w:val="22"/>
              </w:rPr>
            </w:pPr>
          </w:p>
        </w:tc>
      </w:tr>
      <w:tr w:rsidR="006F7750" w:rsidRPr="001150C0" w14:paraId="291EF202" w14:textId="77777777" w:rsidTr="00D83824">
        <w:trPr>
          <w:trHeight w:val="521"/>
        </w:trPr>
        <w:tc>
          <w:tcPr>
            <w:tcW w:w="2880" w:type="dxa"/>
            <w:tcBorders>
              <w:top w:val="nil"/>
              <w:bottom w:val="nil"/>
            </w:tcBorders>
            <w:vAlign w:val="center"/>
          </w:tcPr>
          <w:p w14:paraId="4C9290D4" w14:textId="77777777" w:rsidR="006F7750" w:rsidRPr="001150C0" w:rsidRDefault="006F7750" w:rsidP="009F540C">
            <w:pPr>
              <w:jc w:val="center"/>
              <w:rPr>
                <w:rFonts w:asciiTheme="minorHAnsi" w:hAnsiTheme="minorHAnsi" w:cstheme="minorHAnsi"/>
                <w:sz w:val="22"/>
                <w:szCs w:val="22"/>
              </w:rPr>
            </w:pPr>
          </w:p>
        </w:tc>
        <w:tc>
          <w:tcPr>
            <w:tcW w:w="720" w:type="dxa"/>
            <w:tcBorders>
              <w:top w:val="nil"/>
              <w:bottom w:val="nil"/>
            </w:tcBorders>
            <w:vAlign w:val="center"/>
          </w:tcPr>
          <w:p w14:paraId="2DCAE0EB" w14:textId="77777777" w:rsidR="006F7750" w:rsidRPr="001150C0" w:rsidRDefault="006F7750" w:rsidP="009F540C">
            <w:pPr>
              <w:jc w:val="center"/>
              <w:rPr>
                <w:rFonts w:asciiTheme="minorHAnsi" w:hAnsiTheme="minorHAnsi" w:cstheme="minorHAnsi"/>
                <w:sz w:val="22"/>
                <w:szCs w:val="22"/>
              </w:rPr>
            </w:pPr>
          </w:p>
        </w:tc>
        <w:tc>
          <w:tcPr>
            <w:tcW w:w="2335" w:type="dxa"/>
            <w:vAlign w:val="center"/>
          </w:tcPr>
          <w:p w14:paraId="5B237149" w14:textId="58586D8F" w:rsidR="006F7750" w:rsidRPr="001150C0" w:rsidRDefault="00B32A5F" w:rsidP="005116B9">
            <w:pPr>
              <w:rPr>
                <w:rFonts w:asciiTheme="minorHAnsi" w:hAnsiTheme="minorHAnsi" w:cstheme="minorHAnsi"/>
                <w:sz w:val="22"/>
                <w:szCs w:val="22"/>
              </w:rPr>
            </w:pPr>
            <w:r w:rsidRPr="001150C0">
              <w:rPr>
                <w:rFonts w:ascii="Calibri" w:hAnsi="Calibri"/>
                <w:color w:val="000000"/>
                <w:sz w:val="22"/>
                <w:szCs w:val="22"/>
              </w:rPr>
              <w:t>Government of Norway</w:t>
            </w:r>
          </w:p>
        </w:tc>
        <w:tc>
          <w:tcPr>
            <w:tcW w:w="1890" w:type="dxa"/>
            <w:vAlign w:val="center"/>
          </w:tcPr>
          <w:p w14:paraId="2AFBEC32" w14:textId="07E361B4" w:rsidR="00B32A5F" w:rsidRPr="001150C0" w:rsidRDefault="00E22C23" w:rsidP="00B32A5F">
            <w:pPr>
              <w:jc w:val="center"/>
              <w:rPr>
                <w:rFonts w:ascii="Calibri" w:hAnsi="Calibri"/>
                <w:color w:val="000000"/>
                <w:sz w:val="22"/>
                <w:szCs w:val="22"/>
              </w:rPr>
            </w:pPr>
            <w:r w:rsidRPr="001150C0">
              <w:rPr>
                <w:rFonts w:ascii="Calibri" w:hAnsi="Calibri"/>
                <w:color w:val="000000"/>
                <w:sz w:val="22"/>
                <w:szCs w:val="22"/>
              </w:rPr>
              <w:t>$</w:t>
            </w:r>
            <w:r w:rsidR="00B32A5F" w:rsidRPr="001150C0">
              <w:rPr>
                <w:rFonts w:ascii="Calibri" w:hAnsi="Calibri"/>
                <w:color w:val="000000"/>
                <w:sz w:val="22"/>
                <w:szCs w:val="22"/>
              </w:rPr>
              <w:t xml:space="preserve">222,696 </w:t>
            </w:r>
          </w:p>
          <w:p w14:paraId="79BDD628" w14:textId="77777777" w:rsidR="006F7750" w:rsidRPr="001150C0" w:rsidRDefault="006F7750" w:rsidP="00216CF7">
            <w:pPr>
              <w:jc w:val="center"/>
              <w:rPr>
                <w:rFonts w:asciiTheme="minorHAnsi" w:hAnsiTheme="minorHAnsi" w:cstheme="minorHAnsi"/>
                <w:sz w:val="22"/>
                <w:szCs w:val="22"/>
              </w:rPr>
            </w:pPr>
          </w:p>
        </w:tc>
        <w:tc>
          <w:tcPr>
            <w:tcW w:w="1577" w:type="dxa"/>
            <w:vAlign w:val="center"/>
          </w:tcPr>
          <w:p w14:paraId="02CDB82B" w14:textId="77777777" w:rsidR="006F7750" w:rsidRPr="001150C0" w:rsidRDefault="006F7750" w:rsidP="00EF58E0">
            <w:pPr>
              <w:rPr>
                <w:rFonts w:asciiTheme="minorHAnsi" w:hAnsiTheme="minorHAnsi" w:cstheme="minorHAnsi"/>
                <w:sz w:val="22"/>
                <w:szCs w:val="22"/>
              </w:rPr>
            </w:pPr>
          </w:p>
        </w:tc>
      </w:tr>
      <w:tr w:rsidR="006F7750" w:rsidRPr="001150C0" w14:paraId="06195258" w14:textId="77777777" w:rsidTr="00D83824">
        <w:trPr>
          <w:trHeight w:val="575"/>
        </w:trPr>
        <w:tc>
          <w:tcPr>
            <w:tcW w:w="2880" w:type="dxa"/>
            <w:tcBorders>
              <w:top w:val="nil"/>
              <w:bottom w:val="nil"/>
            </w:tcBorders>
            <w:vAlign w:val="center"/>
          </w:tcPr>
          <w:p w14:paraId="17C80C13" w14:textId="77777777" w:rsidR="006F7750" w:rsidRPr="001150C0" w:rsidRDefault="006F7750" w:rsidP="009F540C">
            <w:pPr>
              <w:jc w:val="center"/>
              <w:rPr>
                <w:rFonts w:asciiTheme="minorHAnsi" w:hAnsiTheme="minorHAnsi" w:cstheme="minorHAnsi"/>
                <w:sz w:val="22"/>
                <w:szCs w:val="22"/>
              </w:rPr>
            </w:pPr>
          </w:p>
        </w:tc>
        <w:tc>
          <w:tcPr>
            <w:tcW w:w="720" w:type="dxa"/>
            <w:tcBorders>
              <w:top w:val="nil"/>
              <w:bottom w:val="nil"/>
            </w:tcBorders>
            <w:vAlign w:val="center"/>
          </w:tcPr>
          <w:p w14:paraId="7083E647" w14:textId="77777777" w:rsidR="006F7750" w:rsidRPr="001150C0" w:rsidRDefault="006F7750" w:rsidP="009F540C">
            <w:pPr>
              <w:jc w:val="center"/>
              <w:rPr>
                <w:rFonts w:asciiTheme="minorHAnsi" w:hAnsiTheme="minorHAnsi" w:cstheme="minorHAnsi"/>
                <w:sz w:val="22"/>
                <w:szCs w:val="22"/>
              </w:rPr>
            </w:pPr>
          </w:p>
        </w:tc>
        <w:tc>
          <w:tcPr>
            <w:tcW w:w="2335" w:type="dxa"/>
            <w:vAlign w:val="center"/>
          </w:tcPr>
          <w:p w14:paraId="0F262689" w14:textId="536FE2CF" w:rsidR="006F7750" w:rsidRPr="001150C0" w:rsidRDefault="00B32A5F" w:rsidP="00AE606D">
            <w:pPr>
              <w:jc w:val="center"/>
              <w:rPr>
                <w:rFonts w:asciiTheme="minorHAnsi" w:hAnsiTheme="minorHAnsi" w:cstheme="minorHAnsi"/>
                <w:sz w:val="22"/>
                <w:szCs w:val="22"/>
              </w:rPr>
            </w:pPr>
            <w:r w:rsidRPr="001150C0">
              <w:rPr>
                <w:rFonts w:ascii="Calibri" w:hAnsi="Calibri"/>
                <w:color w:val="000000"/>
                <w:sz w:val="22"/>
                <w:szCs w:val="22"/>
              </w:rPr>
              <w:t>Government of Republic Of Korea</w:t>
            </w:r>
          </w:p>
        </w:tc>
        <w:tc>
          <w:tcPr>
            <w:tcW w:w="1890" w:type="dxa"/>
            <w:vAlign w:val="center"/>
          </w:tcPr>
          <w:p w14:paraId="3204A934" w14:textId="3927E60C" w:rsidR="00B32A5F" w:rsidRPr="001150C0" w:rsidRDefault="00E22C23" w:rsidP="00B32A5F">
            <w:pPr>
              <w:jc w:val="center"/>
              <w:rPr>
                <w:rFonts w:ascii="Calibri" w:hAnsi="Calibri"/>
                <w:color w:val="000000"/>
                <w:sz w:val="22"/>
                <w:szCs w:val="22"/>
              </w:rPr>
            </w:pPr>
            <w:r w:rsidRPr="001150C0">
              <w:rPr>
                <w:rFonts w:ascii="Calibri" w:hAnsi="Calibri"/>
                <w:color w:val="000000"/>
                <w:sz w:val="22"/>
                <w:szCs w:val="22"/>
              </w:rPr>
              <w:t>$</w:t>
            </w:r>
            <w:r w:rsidR="00B32A5F" w:rsidRPr="001150C0">
              <w:rPr>
                <w:rFonts w:ascii="Calibri" w:hAnsi="Calibri"/>
                <w:color w:val="000000"/>
                <w:sz w:val="22"/>
                <w:szCs w:val="22"/>
              </w:rPr>
              <w:t xml:space="preserve">151,977 </w:t>
            </w:r>
          </w:p>
          <w:p w14:paraId="45A1093F" w14:textId="77777777" w:rsidR="006F7750" w:rsidRPr="001150C0" w:rsidRDefault="006F7750" w:rsidP="00216CF7">
            <w:pPr>
              <w:jc w:val="center"/>
              <w:rPr>
                <w:rFonts w:asciiTheme="minorHAnsi" w:hAnsiTheme="minorHAnsi" w:cstheme="minorHAnsi"/>
                <w:sz w:val="22"/>
                <w:szCs w:val="22"/>
              </w:rPr>
            </w:pPr>
          </w:p>
        </w:tc>
        <w:tc>
          <w:tcPr>
            <w:tcW w:w="1577" w:type="dxa"/>
            <w:vAlign w:val="center"/>
          </w:tcPr>
          <w:p w14:paraId="4DEC878F" w14:textId="77777777" w:rsidR="006F7750" w:rsidRPr="001150C0" w:rsidRDefault="006F7750" w:rsidP="00EF58E0">
            <w:pPr>
              <w:rPr>
                <w:rFonts w:asciiTheme="minorHAnsi" w:hAnsiTheme="minorHAnsi" w:cstheme="minorHAnsi"/>
                <w:sz w:val="22"/>
                <w:szCs w:val="22"/>
              </w:rPr>
            </w:pPr>
          </w:p>
        </w:tc>
      </w:tr>
      <w:tr w:rsidR="00B32A5F" w:rsidRPr="001150C0" w14:paraId="21DA65A4" w14:textId="77777777" w:rsidTr="00D83824">
        <w:trPr>
          <w:trHeight w:val="485"/>
        </w:trPr>
        <w:tc>
          <w:tcPr>
            <w:tcW w:w="2880" w:type="dxa"/>
            <w:tcBorders>
              <w:top w:val="nil"/>
              <w:bottom w:val="nil"/>
            </w:tcBorders>
            <w:vAlign w:val="center"/>
          </w:tcPr>
          <w:p w14:paraId="117912E7" w14:textId="77777777" w:rsidR="00B32A5F" w:rsidRPr="001150C0" w:rsidRDefault="00B32A5F" w:rsidP="009F540C">
            <w:pPr>
              <w:jc w:val="center"/>
              <w:rPr>
                <w:rFonts w:asciiTheme="minorHAnsi" w:hAnsiTheme="minorHAnsi" w:cstheme="minorHAnsi"/>
                <w:sz w:val="22"/>
                <w:szCs w:val="22"/>
              </w:rPr>
            </w:pPr>
          </w:p>
        </w:tc>
        <w:tc>
          <w:tcPr>
            <w:tcW w:w="720" w:type="dxa"/>
            <w:tcBorders>
              <w:top w:val="nil"/>
              <w:bottom w:val="nil"/>
            </w:tcBorders>
            <w:vAlign w:val="center"/>
          </w:tcPr>
          <w:p w14:paraId="6CD6F16C" w14:textId="77777777" w:rsidR="00B32A5F" w:rsidRPr="001150C0" w:rsidRDefault="00B32A5F" w:rsidP="009F540C">
            <w:pPr>
              <w:jc w:val="center"/>
              <w:rPr>
                <w:rFonts w:asciiTheme="minorHAnsi" w:hAnsiTheme="minorHAnsi" w:cstheme="minorHAnsi"/>
                <w:sz w:val="22"/>
                <w:szCs w:val="22"/>
              </w:rPr>
            </w:pPr>
          </w:p>
        </w:tc>
        <w:tc>
          <w:tcPr>
            <w:tcW w:w="2335" w:type="dxa"/>
            <w:vAlign w:val="center"/>
          </w:tcPr>
          <w:p w14:paraId="0CF89D58" w14:textId="065D1391" w:rsidR="00B32A5F" w:rsidRPr="001150C0" w:rsidRDefault="00DA2204" w:rsidP="00AE606D">
            <w:pPr>
              <w:jc w:val="center"/>
              <w:rPr>
                <w:rFonts w:ascii="Calibri" w:hAnsi="Calibri"/>
                <w:color w:val="000000"/>
                <w:sz w:val="22"/>
                <w:szCs w:val="22"/>
              </w:rPr>
            </w:pPr>
            <w:r w:rsidRPr="001150C0">
              <w:rPr>
                <w:rFonts w:ascii="Calibri" w:hAnsi="Calibri"/>
                <w:color w:val="000000"/>
                <w:sz w:val="22"/>
                <w:szCs w:val="22"/>
              </w:rPr>
              <w:t>Government of New Zealand</w:t>
            </w:r>
          </w:p>
        </w:tc>
        <w:tc>
          <w:tcPr>
            <w:tcW w:w="1890" w:type="dxa"/>
            <w:vAlign w:val="center"/>
          </w:tcPr>
          <w:p w14:paraId="194F9A9E" w14:textId="4AB121EA" w:rsidR="00DA2204" w:rsidRPr="001150C0" w:rsidRDefault="00E22C23" w:rsidP="00DA2204">
            <w:pPr>
              <w:jc w:val="center"/>
              <w:rPr>
                <w:rFonts w:ascii="Calibri" w:hAnsi="Calibri"/>
                <w:color w:val="000000"/>
                <w:sz w:val="22"/>
                <w:szCs w:val="22"/>
              </w:rPr>
            </w:pPr>
            <w:r w:rsidRPr="001150C0">
              <w:rPr>
                <w:rFonts w:ascii="Calibri" w:hAnsi="Calibri"/>
                <w:color w:val="000000"/>
                <w:sz w:val="22"/>
                <w:szCs w:val="22"/>
              </w:rPr>
              <w:t>$</w:t>
            </w:r>
            <w:r w:rsidR="00DA2204" w:rsidRPr="001150C0">
              <w:rPr>
                <w:rFonts w:ascii="Calibri" w:hAnsi="Calibri"/>
                <w:color w:val="000000"/>
                <w:sz w:val="22"/>
                <w:szCs w:val="22"/>
              </w:rPr>
              <w:t xml:space="preserve">87,692 </w:t>
            </w:r>
          </w:p>
          <w:p w14:paraId="38B8FC08" w14:textId="77777777" w:rsidR="00B32A5F" w:rsidRPr="001150C0" w:rsidRDefault="00B32A5F" w:rsidP="00B32A5F">
            <w:pPr>
              <w:jc w:val="center"/>
              <w:rPr>
                <w:rFonts w:ascii="Calibri" w:hAnsi="Calibri"/>
                <w:color w:val="000000"/>
                <w:sz w:val="22"/>
                <w:szCs w:val="22"/>
              </w:rPr>
            </w:pPr>
          </w:p>
        </w:tc>
        <w:tc>
          <w:tcPr>
            <w:tcW w:w="1577" w:type="dxa"/>
            <w:vAlign w:val="center"/>
          </w:tcPr>
          <w:p w14:paraId="2BA98830" w14:textId="77777777" w:rsidR="00B32A5F" w:rsidRPr="001150C0" w:rsidRDefault="00B32A5F" w:rsidP="00EF58E0">
            <w:pPr>
              <w:rPr>
                <w:rFonts w:asciiTheme="minorHAnsi" w:hAnsiTheme="minorHAnsi" w:cstheme="minorHAnsi"/>
                <w:sz w:val="22"/>
                <w:szCs w:val="22"/>
              </w:rPr>
            </w:pPr>
          </w:p>
        </w:tc>
      </w:tr>
      <w:tr w:rsidR="00DA2204" w:rsidRPr="001150C0" w14:paraId="7BD76828" w14:textId="77777777" w:rsidTr="00D83824">
        <w:trPr>
          <w:trHeight w:val="530"/>
        </w:trPr>
        <w:tc>
          <w:tcPr>
            <w:tcW w:w="2880" w:type="dxa"/>
            <w:tcBorders>
              <w:top w:val="nil"/>
              <w:bottom w:val="nil"/>
            </w:tcBorders>
            <w:vAlign w:val="center"/>
          </w:tcPr>
          <w:p w14:paraId="06342954" w14:textId="77777777" w:rsidR="00DA2204" w:rsidRPr="001150C0" w:rsidRDefault="00DA2204" w:rsidP="009F540C">
            <w:pPr>
              <w:jc w:val="center"/>
              <w:rPr>
                <w:rFonts w:asciiTheme="minorHAnsi" w:hAnsiTheme="minorHAnsi" w:cstheme="minorHAnsi"/>
                <w:sz w:val="22"/>
                <w:szCs w:val="22"/>
              </w:rPr>
            </w:pPr>
          </w:p>
        </w:tc>
        <w:tc>
          <w:tcPr>
            <w:tcW w:w="720" w:type="dxa"/>
            <w:tcBorders>
              <w:top w:val="nil"/>
              <w:bottom w:val="nil"/>
            </w:tcBorders>
            <w:vAlign w:val="center"/>
          </w:tcPr>
          <w:p w14:paraId="1A222DCC" w14:textId="77777777" w:rsidR="00DA2204" w:rsidRPr="001150C0" w:rsidRDefault="00DA2204" w:rsidP="009F540C">
            <w:pPr>
              <w:jc w:val="center"/>
              <w:rPr>
                <w:rFonts w:asciiTheme="minorHAnsi" w:hAnsiTheme="minorHAnsi" w:cstheme="minorHAnsi"/>
                <w:sz w:val="22"/>
                <w:szCs w:val="22"/>
              </w:rPr>
            </w:pPr>
          </w:p>
        </w:tc>
        <w:tc>
          <w:tcPr>
            <w:tcW w:w="2335" w:type="dxa"/>
            <w:vAlign w:val="center"/>
          </w:tcPr>
          <w:p w14:paraId="2C439A04" w14:textId="3BC45886" w:rsidR="00DA2204" w:rsidRPr="001150C0" w:rsidRDefault="00DA2204" w:rsidP="00AE606D">
            <w:pPr>
              <w:jc w:val="center"/>
              <w:rPr>
                <w:rFonts w:ascii="Calibri" w:hAnsi="Calibri"/>
                <w:color w:val="000000"/>
                <w:sz w:val="22"/>
                <w:szCs w:val="22"/>
              </w:rPr>
            </w:pPr>
            <w:r w:rsidRPr="001150C0">
              <w:rPr>
                <w:rFonts w:ascii="Calibri" w:hAnsi="Calibri"/>
                <w:color w:val="000000"/>
                <w:sz w:val="22"/>
                <w:szCs w:val="22"/>
              </w:rPr>
              <w:t>Government of United States of America</w:t>
            </w:r>
          </w:p>
        </w:tc>
        <w:tc>
          <w:tcPr>
            <w:tcW w:w="1890" w:type="dxa"/>
            <w:vAlign w:val="center"/>
          </w:tcPr>
          <w:p w14:paraId="70A66C1B" w14:textId="086EF9C2" w:rsidR="00DA2204" w:rsidRPr="001150C0" w:rsidRDefault="00E22C23" w:rsidP="00DA2204">
            <w:pPr>
              <w:jc w:val="center"/>
              <w:rPr>
                <w:rFonts w:ascii="Calibri" w:hAnsi="Calibri"/>
                <w:color w:val="000000"/>
                <w:sz w:val="22"/>
                <w:szCs w:val="22"/>
              </w:rPr>
            </w:pPr>
            <w:r w:rsidRPr="001150C0">
              <w:rPr>
                <w:rFonts w:ascii="Calibri" w:hAnsi="Calibri"/>
                <w:color w:val="000000"/>
                <w:sz w:val="22"/>
                <w:szCs w:val="22"/>
              </w:rPr>
              <w:t>$</w:t>
            </w:r>
            <w:r w:rsidR="00DA2204" w:rsidRPr="001150C0">
              <w:rPr>
                <w:rFonts w:ascii="Calibri" w:hAnsi="Calibri"/>
                <w:color w:val="000000"/>
                <w:sz w:val="22"/>
                <w:szCs w:val="22"/>
              </w:rPr>
              <w:t xml:space="preserve">41,248 </w:t>
            </w:r>
          </w:p>
          <w:p w14:paraId="38785A0E" w14:textId="77777777" w:rsidR="00DA2204" w:rsidRPr="001150C0" w:rsidRDefault="00DA2204" w:rsidP="00DA2204">
            <w:pPr>
              <w:jc w:val="center"/>
              <w:rPr>
                <w:rFonts w:ascii="Calibri" w:hAnsi="Calibri"/>
                <w:color w:val="000000"/>
                <w:sz w:val="22"/>
                <w:szCs w:val="22"/>
              </w:rPr>
            </w:pPr>
          </w:p>
        </w:tc>
        <w:tc>
          <w:tcPr>
            <w:tcW w:w="1577" w:type="dxa"/>
            <w:vAlign w:val="center"/>
          </w:tcPr>
          <w:p w14:paraId="7C239350" w14:textId="77777777" w:rsidR="00DA2204" w:rsidRPr="001150C0" w:rsidRDefault="00DA2204" w:rsidP="00EF58E0">
            <w:pPr>
              <w:rPr>
                <w:rFonts w:asciiTheme="minorHAnsi" w:hAnsiTheme="minorHAnsi" w:cstheme="minorHAnsi"/>
                <w:sz w:val="22"/>
                <w:szCs w:val="22"/>
              </w:rPr>
            </w:pPr>
          </w:p>
        </w:tc>
      </w:tr>
      <w:tr w:rsidR="00DA2204" w:rsidRPr="001150C0" w14:paraId="3AC35B18" w14:textId="77777777" w:rsidTr="00D83824">
        <w:trPr>
          <w:trHeight w:val="197"/>
        </w:trPr>
        <w:tc>
          <w:tcPr>
            <w:tcW w:w="2880" w:type="dxa"/>
            <w:tcBorders>
              <w:top w:val="nil"/>
              <w:bottom w:val="nil"/>
            </w:tcBorders>
            <w:vAlign w:val="center"/>
          </w:tcPr>
          <w:p w14:paraId="5BE81510" w14:textId="77777777" w:rsidR="00DA2204" w:rsidRPr="001150C0" w:rsidRDefault="00DA2204" w:rsidP="009F540C">
            <w:pPr>
              <w:jc w:val="center"/>
              <w:rPr>
                <w:rFonts w:asciiTheme="minorHAnsi" w:hAnsiTheme="minorHAnsi" w:cstheme="minorHAnsi"/>
                <w:sz w:val="22"/>
                <w:szCs w:val="22"/>
              </w:rPr>
            </w:pPr>
          </w:p>
        </w:tc>
        <w:tc>
          <w:tcPr>
            <w:tcW w:w="720" w:type="dxa"/>
            <w:tcBorders>
              <w:top w:val="nil"/>
              <w:bottom w:val="nil"/>
            </w:tcBorders>
            <w:vAlign w:val="center"/>
          </w:tcPr>
          <w:p w14:paraId="717CEFEF" w14:textId="77777777" w:rsidR="00DA2204" w:rsidRPr="001150C0" w:rsidRDefault="00DA2204" w:rsidP="009F540C">
            <w:pPr>
              <w:jc w:val="center"/>
              <w:rPr>
                <w:rFonts w:asciiTheme="minorHAnsi" w:hAnsiTheme="minorHAnsi" w:cstheme="minorHAnsi"/>
                <w:sz w:val="22"/>
                <w:szCs w:val="22"/>
              </w:rPr>
            </w:pPr>
          </w:p>
        </w:tc>
        <w:tc>
          <w:tcPr>
            <w:tcW w:w="2335" w:type="dxa"/>
            <w:vAlign w:val="center"/>
          </w:tcPr>
          <w:p w14:paraId="610D9DF5" w14:textId="7684E504" w:rsidR="00DA2204" w:rsidRPr="001150C0" w:rsidRDefault="00DA2204" w:rsidP="00F05CDA">
            <w:pPr>
              <w:rPr>
                <w:rFonts w:ascii="Calibri" w:hAnsi="Calibri"/>
                <w:color w:val="000000"/>
                <w:sz w:val="22"/>
                <w:szCs w:val="22"/>
              </w:rPr>
            </w:pPr>
            <w:r w:rsidRPr="001150C0">
              <w:rPr>
                <w:rFonts w:ascii="Calibri" w:hAnsi="Calibri"/>
                <w:color w:val="000000"/>
                <w:sz w:val="22"/>
                <w:szCs w:val="22"/>
              </w:rPr>
              <w:t>Government of Croatia</w:t>
            </w:r>
          </w:p>
        </w:tc>
        <w:tc>
          <w:tcPr>
            <w:tcW w:w="1890" w:type="dxa"/>
            <w:vAlign w:val="center"/>
          </w:tcPr>
          <w:p w14:paraId="0444EF0A" w14:textId="24704299" w:rsidR="00DA2204" w:rsidRPr="001150C0" w:rsidRDefault="00E22C23" w:rsidP="00DA2204">
            <w:pPr>
              <w:jc w:val="center"/>
              <w:rPr>
                <w:rFonts w:ascii="Calibri" w:hAnsi="Calibri"/>
                <w:color w:val="000000"/>
                <w:sz w:val="22"/>
                <w:szCs w:val="22"/>
              </w:rPr>
            </w:pPr>
            <w:r w:rsidRPr="001150C0">
              <w:rPr>
                <w:rFonts w:ascii="Calibri" w:hAnsi="Calibri"/>
                <w:color w:val="000000"/>
                <w:sz w:val="22"/>
                <w:szCs w:val="22"/>
              </w:rPr>
              <w:t>$</w:t>
            </w:r>
            <w:r w:rsidR="00DA2204" w:rsidRPr="001150C0">
              <w:rPr>
                <w:rFonts w:ascii="Calibri" w:hAnsi="Calibri"/>
                <w:color w:val="000000"/>
                <w:sz w:val="22"/>
                <w:szCs w:val="22"/>
              </w:rPr>
              <w:t xml:space="preserve">38,462 </w:t>
            </w:r>
          </w:p>
          <w:p w14:paraId="62719CD7" w14:textId="77777777" w:rsidR="00DA2204" w:rsidRPr="001150C0" w:rsidRDefault="00DA2204" w:rsidP="00DA2204">
            <w:pPr>
              <w:jc w:val="center"/>
              <w:rPr>
                <w:rFonts w:ascii="Calibri" w:hAnsi="Calibri"/>
                <w:color w:val="000000"/>
                <w:sz w:val="22"/>
                <w:szCs w:val="22"/>
              </w:rPr>
            </w:pPr>
          </w:p>
        </w:tc>
        <w:tc>
          <w:tcPr>
            <w:tcW w:w="1577" w:type="dxa"/>
            <w:vAlign w:val="center"/>
          </w:tcPr>
          <w:p w14:paraId="3B9ABFF8" w14:textId="77777777" w:rsidR="00DA2204" w:rsidRPr="001150C0" w:rsidRDefault="00DA2204" w:rsidP="00EF58E0">
            <w:pPr>
              <w:rPr>
                <w:rFonts w:asciiTheme="minorHAnsi" w:hAnsiTheme="minorHAnsi" w:cstheme="minorHAnsi"/>
                <w:sz w:val="22"/>
                <w:szCs w:val="22"/>
              </w:rPr>
            </w:pPr>
          </w:p>
        </w:tc>
      </w:tr>
      <w:tr w:rsidR="00DA2204" w:rsidRPr="001150C0" w14:paraId="5BB8B690" w14:textId="77777777" w:rsidTr="00D83824">
        <w:trPr>
          <w:trHeight w:val="530"/>
        </w:trPr>
        <w:tc>
          <w:tcPr>
            <w:tcW w:w="2880" w:type="dxa"/>
            <w:tcBorders>
              <w:top w:val="nil"/>
              <w:bottom w:val="nil"/>
            </w:tcBorders>
            <w:vAlign w:val="center"/>
          </w:tcPr>
          <w:p w14:paraId="2732FD63" w14:textId="77777777" w:rsidR="00DA2204" w:rsidRPr="001150C0" w:rsidRDefault="00DA2204" w:rsidP="009F540C">
            <w:pPr>
              <w:jc w:val="center"/>
              <w:rPr>
                <w:rFonts w:asciiTheme="minorHAnsi" w:hAnsiTheme="minorHAnsi" w:cstheme="minorHAnsi"/>
                <w:sz w:val="22"/>
                <w:szCs w:val="22"/>
              </w:rPr>
            </w:pPr>
          </w:p>
        </w:tc>
        <w:tc>
          <w:tcPr>
            <w:tcW w:w="720" w:type="dxa"/>
            <w:tcBorders>
              <w:top w:val="nil"/>
              <w:bottom w:val="nil"/>
            </w:tcBorders>
            <w:vAlign w:val="center"/>
          </w:tcPr>
          <w:p w14:paraId="6A2F7D87" w14:textId="77777777" w:rsidR="00DA2204" w:rsidRPr="001150C0" w:rsidRDefault="00DA2204" w:rsidP="009F540C">
            <w:pPr>
              <w:jc w:val="center"/>
              <w:rPr>
                <w:rFonts w:asciiTheme="minorHAnsi" w:hAnsiTheme="minorHAnsi" w:cstheme="minorHAnsi"/>
                <w:sz w:val="22"/>
                <w:szCs w:val="22"/>
              </w:rPr>
            </w:pPr>
          </w:p>
        </w:tc>
        <w:tc>
          <w:tcPr>
            <w:tcW w:w="2335" w:type="dxa"/>
            <w:vAlign w:val="center"/>
          </w:tcPr>
          <w:p w14:paraId="3AEF9795" w14:textId="6352D093" w:rsidR="00DA2204" w:rsidRPr="001150C0" w:rsidRDefault="00DA2204" w:rsidP="00AE606D">
            <w:pPr>
              <w:jc w:val="center"/>
              <w:rPr>
                <w:rFonts w:ascii="Calibri" w:hAnsi="Calibri"/>
                <w:color w:val="000000"/>
                <w:sz w:val="22"/>
                <w:szCs w:val="22"/>
              </w:rPr>
            </w:pPr>
            <w:r w:rsidRPr="001150C0">
              <w:rPr>
                <w:rFonts w:ascii="Calibri" w:hAnsi="Calibri"/>
                <w:color w:val="000000"/>
                <w:sz w:val="22"/>
                <w:szCs w:val="22"/>
              </w:rPr>
              <w:t>Government of Switzerland</w:t>
            </w:r>
          </w:p>
        </w:tc>
        <w:tc>
          <w:tcPr>
            <w:tcW w:w="1890" w:type="dxa"/>
            <w:vAlign w:val="center"/>
          </w:tcPr>
          <w:p w14:paraId="629E6783" w14:textId="01B7A720" w:rsidR="00A967AA" w:rsidRPr="001150C0" w:rsidRDefault="00E22C23" w:rsidP="00A967AA">
            <w:pPr>
              <w:jc w:val="center"/>
              <w:rPr>
                <w:rFonts w:ascii="Calibri" w:hAnsi="Calibri"/>
                <w:color w:val="000000"/>
                <w:sz w:val="22"/>
                <w:szCs w:val="22"/>
              </w:rPr>
            </w:pPr>
            <w:r w:rsidRPr="001150C0">
              <w:rPr>
                <w:rFonts w:ascii="Calibri" w:hAnsi="Calibri"/>
                <w:color w:val="000000"/>
                <w:sz w:val="22"/>
                <w:szCs w:val="22"/>
              </w:rPr>
              <w:t>$</w:t>
            </w:r>
            <w:r w:rsidR="00A967AA" w:rsidRPr="001150C0">
              <w:rPr>
                <w:rFonts w:ascii="Calibri" w:hAnsi="Calibri"/>
                <w:color w:val="000000"/>
                <w:sz w:val="22"/>
                <w:szCs w:val="22"/>
              </w:rPr>
              <w:t xml:space="preserve">34,487 </w:t>
            </w:r>
          </w:p>
          <w:p w14:paraId="14970C6B" w14:textId="77777777" w:rsidR="00DA2204" w:rsidRPr="001150C0" w:rsidRDefault="00DA2204" w:rsidP="00DA2204">
            <w:pPr>
              <w:jc w:val="center"/>
              <w:rPr>
                <w:rFonts w:ascii="Calibri" w:hAnsi="Calibri"/>
                <w:color w:val="000000"/>
                <w:sz w:val="22"/>
                <w:szCs w:val="22"/>
              </w:rPr>
            </w:pPr>
          </w:p>
        </w:tc>
        <w:tc>
          <w:tcPr>
            <w:tcW w:w="1577" w:type="dxa"/>
            <w:vAlign w:val="center"/>
          </w:tcPr>
          <w:p w14:paraId="01C41DD2" w14:textId="77777777" w:rsidR="00DA2204" w:rsidRPr="001150C0" w:rsidRDefault="00DA2204" w:rsidP="00EF58E0">
            <w:pPr>
              <w:rPr>
                <w:rFonts w:asciiTheme="minorHAnsi" w:hAnsiTheme="minorHAnsi" w:cstheme="minorHAnsi"/>
                <w:sz w:val="22"/>
                <w:szCs w:val="22"/>
              </w:rPr>
            </w:pPr>
          </w:p>
        </w:tc>
      </w:tr>
      <w:tr w:rsidR="00A967AA" w:rsidRPr="001150C0" w14:paraId="18723144" w14:textId="77777777" w:rsidTr="00D83824">
        <w:trPr>
          <w:trHeight w:val="350"/>
        </w:trPr>
        <w:tc>
          <w:tcPr>
            <w:tcW w:w="2880" w:type="dxa"/>
            <w:tcBorders>
              <w:top w:val="nil"/>
              <w:bottom w:val="nil"/>
            </w:tcBorders>
            <w:vAlign w:val="center"/>
          </w:tcPr>
          <w:p w14:paraId="5E6E192D" w14:textId="77777777" w:rsidR="00A967AA" w:rsidRPr="001150C0" w:rsidRDefault="00A967AA" w:rsidP="009F540C">
            <w:pPr>
              <w:jc w:val="center"/>
              <w:rPr>
                <w:rFonts w:asciiTheme="minorHAnsi" w:hAnsiTheme="minorHAnsi" w:cstheme="minorHAnsi"/>
                <w:sz w:val="22"/>
                <w:szCs w:val="22"/>
              </w:rPr>
            </w:pPr>
          </w:p>
        </w:tc>
        <w:tc>
          <w:tcPr>
            <w:tcW w:w="720" w:type="dxa"/>
            <w:tcBorders>
              <w:top w:val="nil"/>
              <w:bottom w:val="nil"/>
            </w:tcBorders>
            <w:vAlign w:val="center"/>
          </w:tcPr>
          <w:p w14:paraId="40C8C610" w14:textId="77777777" w:rsidR="00A967AA" w:rsidRPr="001150C0" w:rsidRDefault="00A967AA" w:rsidP="009F540C">
            <w:pPr>
              <w:jc w:val="center"/>
              <w:rPr>
                <w:rFonts w:asciiTheme="minorHAnsi" w:hAnsiTheme="minorHAnsi" w:cstheme="minorHAnsi"/>
                <w:sz w:val="22"/>
                <w:szCs w:val="22"/>
              </w:rPr>
            </w:pPr>
          </w:p>
        </w:tc>
        <w:tc>
          <w:tcPr>
            <w:tcW w:w="2335" w:type="dxa"/>
            <w:vAlign w:val="center"/>
          </w:tcPr>
          <w:p w14:paraId="7163312C" w14:textId="7B1876A2" w:rsidR="00A967AA" w:rsidRPr="001150C0" w:rsidRDefault="00A967AA" w:rsidP="00AE606D">
            <w:pPr>
              <w:jc w:val="center"/>
              <w:rPr>
                <w:rFonts w:ascii="Calibri" w:hAnsi="Calibri"/>
                <w:color w:val="000000"/>
                <w:sz w:val="22"/>
                <w:szCs w:val="22"/>
              </w:rPr>
            </w:pPr>
            <w:r w:rsidRPr="001150C0">
              <w:rPr>
                <w:rFonts w:ascii="Calibri" w:hAnsi="Calibri"/>
                <w:color w:val="000000"/>
                <w:sz w:val="22"/>
                <w:szCs w:val="22"/>
              </w:rPr>
              <w:t>Government of Netherlands</w:t>
            </w:r>
          </w:p>
        </w:tc>
        <w:tc>
          <w:tcPr>
            <w:tcW w:w="1890" w:type="dxa"/>
            <w:vAlign w:val="center"/>
          </w:tcPr>
          <w:p w14:paraId="4E85ADAC" w14:textId="7D932B4C" w:rsidR="00A967AA" w:rsidRPr="001150C0" w:rsidRDefault="00E22C23" w:rsidP="00A967AA">
            <w:pPr>
              <w:jc w:val="center"/>
              <w:rPr>
                <w:rFonts w:ascii="Calibri" w:hAnsi="Calibri"/>
                <w:color w:val="000000"/>
                <w:sz w:val="22"/>
                <w:szCs w:val="22"/>
              </w:rPr>
            </w:pPr>
            <w:r w:rsidRPr="001150C0">
              <w:rPr>
                <w:rFonts w:ascii="Calibri" w:hAnsi="Calibri"/>
                <w:color w:val="000000"/>
                <w:sz w:val="22"/>
                <w:szCs w:val="22"/>
              </w:rPr>
              <w:t>$</w:t>
            </w:r>
            <w:r w:rsidR="00A967AA" w:rsidRPr="001150C0">
              <w:rPr>
                <w:rFonts w:ascii="Calibri" w:hAnsi="Calibri"/>
                <w:color w:val="000000"/>
                <w:sz w:val="22"/>
                <w:szCs w:val="22"/>
              </w:rPr>
              <w:t xml:space="preserve">29,372 </w:t>
            </w:r>
          </w:p>
          <w:p w14:paraId="05624B44" w14:textId="77777777" w:rsidR="00A967AA" w:rsidRPr="001150C0" w:rsidRDefault="00A967AA" w:rsidP="00A967AA">
            <w:pPr>
              <w:jc w:val="center"/>
              <w:rPr>
                <w:rFonts w:ascii="Calibri" w:hAnsi="Calibri"/>
                <w:color w:val="000000"/>
                <w:sz w:val="22"/>
                <w:szCs w:val="22"/>
              </w:rPr>
            </w:pPr>
          </w:p>
        </w:tc>
        <w:tc>
          <w:tcPr>
            <w:tcW w:w="1577" w:type="dxa"/>
            <w:vAlign w:val="center"/>
          </w:tcPr>
          <w:p w14:paraId="26EE20EF" w14:textId="77777777" w:rsidR="00A967AA" w:rsidRPr="001150C0" w:rsidRDefault="00A967AA" w:rsidP="00EF58E0">
            <w:pPr>
              <w:rPr>
                <w:rFonts w:asciiTheme="minorHAnsi" w:hAnsiTheme="minorHAnsi" w:cstheme="minorHAnsi"/>
                <w:sz w:val="22"/>
                <w:szCs w:val="22"/>
              </w:rPr>
            </w:pPr>
          </w:p>
        </w:tc>
      </w:tr>
      <w:tr w:rsidR="00A967AA" w:rsidRPr="001150C0" w14:paraId="391E3E7C" w14:textId="77777777" w:rsidTr="00D83824">
        <w:trPr>
          <w:trHeight w:val="701"/>
        </w:trPr>
        <w:tc>
          <w:tcPr>
            <w:tcW w:w="2880" w:type="dxa"/>
            <w:tcBorders>
              <w:top w:val="nil"/>
              <w:bottom w:val="nil"/>
            </w:tcBorders>
            <w:vAlign w:val="center"/>
          </w:tcPr>
          <w:p w14:paraId="31946B05" w14:textId="77777777" w:rsidR="00A967AA" w:rsidRPr="001150C0" w:rsidRDefault="00A967AA" w:rsidP="009F540C">
            <w:pPr>
              <w:jc w:val="center"/>
              <w:rPr>
                <w:rFonts w:asciiTheme="minorHAnsi" w:hAnsiTheme="minorHAnsi" w:cstheme="minorHAnsi"/>
                <w:sz w:val="22"/>
                <w:szCs w:val="22"/>
              </w:rPr>
            </w:pPr>
          </w:p>
        </w:tc>
        <w:tc>
          <w:tcPr>
            <w:tcW w:w="720" w:type="dxa"/>
            <w:tcBorders>
              <w:top w:val="nil"/>
              <w:bottom w:val="nil"/>
            </w:tcBorders>
            <w:vAlign w:val="center"/>
          </w:tcPr>
          <w:p w14:paraId="25DA6A92" w14:textId="77777777" w:rsidR="00A967AA" w:rsidRPr="001150C0" w:rsidRDefault="00A967AA" w:rsidP="009F540C">
            <w:pPr>
              <w:jc w:val="center"/>
              <w:rPr>
                <w:rFonts w:asciiTheme="minorHAnsi" w:hAnsiTheme="minorHAnsi" w:cstheme="minorHAnsi"/>
                <w:sz w:val="22"/>
                <w:szCs w:val="22"/>
              </w:rPr>
            </w:pPr>
          </w:p>
        </w:tc>
        <w:tc>
          <w:tcPr>
            <w:tcW w:w="2335" w:type="dxa"/>
            <w:vAlign w:val="center"/>
          </w:tcPr>
          <w:p w14:paraId="47372F04" w14:textId="748C1FE2" w:rsidR="00A967AA" w:rsidRPr="001150C0" w:rsidRDefault="00A967AA" w:rsidP="00AE606D">
            <w:pPr>
              <w:jc w:val="center"/>
              <w:rPr>
                <w:rFonts w:ascii="Calibri" w:hAnsi="Calibri"/>
                <w:color w:val="000000"/>
                <w:sz w:val="22"/>
                <w:szCs w:val="22"/>
              </w:rPr>
            </w:pPr>
            <w:r w:rsidRPr="001150C0">
              <w:rPr>
                <w:rFonts w:ascii="Calibri" w:hAnsi="Calibri"/>
                <w:color w:val="000000"/>
                <w:sz w:val="22"/>
                <w:szCs w:val="22"/>
              </w:rPr>
              <w:t>Government of Estonia, Republic</w:t>
            </w:r>
          </w:p>
        </w:tc>
        <w:tc>
          <w:tcPr>
            <w:tcW w:w="1890" w:type="dxa"/>
            <w:vAlign w:val="center"/>
          </w:tcPr>
          <w:p w14:paraId="3D6199A5" w14:textId="11F0F70E" w:rsidR="00A967AA" w:rsidRPr="001150C0" w:rsidRDefault="00E22C23" w:rsidP="00A967AA">
            <w:pPr>
              <w:jc w:val="center"/>
              <w:rPr>
                <w:rFonts w:ascii="Calibri" w:hAnsi="Calibri"/>
                <w:color w:val="000000"/>
                <w:sz w:val="22"/>
                <w:szCs w:val="22"/>
              </w:rPr>
            </w:pPr>
            <w:r w:rsidRPr="001150C0">
              <w:rPr>
                <w:rFonts w:ascii="Calibri" w:hAnsi="Calibri"/>
                <w:color w:val="000000"/>
                <w:sz w:val="22"/>
                <w:szCs w:val="22"/>
              </w:rPr>
              <w:t>$</w:t>
            </w:r>
            <w:r w:rsidR="00A967AA" w:rsidRPr="001150C0">
              <w:rPr>
                <w:rFonts w:ascii="Calibri" w:hAnsi="Calibri"/>
                <w:color w:val="000000"/>
                <w:sz w:val="22"/>
                <w:szCs w:val="22"/>
              </w:rPr>
              <w:t xml:space="preserve">19,135 </w:t>
            </w:r>
          </w:p>
          <w:p w14:paraId="2B138D56" w14:textId="77777777" w:rsidR="00A967AA" w:rsidRPr="001150C0" w:rsidRDefault="00A967AA" w:rsidP="00A967AA">
            <w:pPr>
              <w:jc w:val="center"/>
              <w:rPr>
                <w:rFonts w:ascii="Calibri" w:hAnsi="Calibri"/>
                <w:color w:val="000000"/>
                <w:sz w:val="22"/>
                <w:szCs w:val="22"/>
              </w:rPr>
            </w:pPr>
          </w:p>
        </w:tc>
        <w:tc>
          <w:tcPr>
            <w:tcW w:w="1577" w:type="dxa"/>
            <w:vAlign w:val="center"/>
          </w:tcPr>
          <w:p w14:paraId="2821F0C3" w14:textId="77777777" w:rsidR="00A967AA" w:rsidRPr="001150C0" w:rsidRDefault="00A967AA" w:rsidP="00EF58E0">
            <w:pPr>
              <w:rPr>
                <w:rFonts w:asciiTheme="minorHAnsi" w:hAnsiTheme="minorHAnsi" w:cstheme="minorHAnsi"/>
                <w:sz w:val="22"/>
                <w:szCs w:val="22"/>
              </w:rPr>
            </w:pPr>
          </w:p>
        </w:tc>
      </w:tr>
      <w:tr w:rsidR="00A967AA" w:rsidRPr="001150C0" w14:paraId="77377A91" w14:textId="77777777" w:rsidTr="00D83824">
        <w:trPr>
          <w:trHeight w:val="332"/>
        </w:trPr>
        <w:tc>
          <w:tcPr>
            <w:tcW w:w="2880" w:type="dxa"/>
            <w:tcBorders>
              <w:top w:val="nil"/>
              <w:bottom w:val="nil"/>
            </w:tcBorders>
            <w:vAlign w:val="center"/>
          </w:tcPr>
          <w:p w14:paraId="71033BEB" w14:textId="77777777" w:rsidR="00A967AA" w:rsidRPr="001150C0" w:rsidRDefault="00A967AA" w:rsidP="009F540C">
            <w:pPr>
              <w:jc w:val="center"/>
              <w:rPr>
                <w:rFonts w:asciiTheme="minorHAnsi" w:hAnsiTheme="minorHAnsi" w:cstheme="minorHAnsi"/>
                <w:sz w:val="22"/>
                <w:szCs w:val="22"/>
              </w:rPr>
            </w:pPr>
          </w:p>
        </w:tc>
        <w:tc>
          <w:tcPr>
            <w:tcW w:w="720" w:type="dxa"/>
            <w:tcBorders>
              <w:top w:val="nil"/>
              <w:bottom w:val="nil"/>
            </w:tcBorders>
            <w:vAlign w:val="center"/>
          </w:tcPr>
          <w:p w14:paraId="241E8FB9" w14:textId="77777777" w:rsidR="00A967AA" w:rsidRPr="001150C0" w:rsidRDefault="00A967AA" w:rsidP="009F540C">
            <w:pPr>
              <w:jc w:val="center"/>
              <w:rPr>
                <w:rFonts w:asciiTheme="minorHAnsi" w:hAnsiTheme="minorHAnsi" w:cstheme="minorHAnsi"/>
                <w:sz w:val="22"/>
                <w:szCs w:val="22"/>
              </w:rPr>
            </w:pPr>
          </w:p>
        </w:tc>
        <w:tc>
          <w:tcPr>
            <w:tcW w:w="2335" w:type="dxa"/>
            <w:vAlign w:val="center"/>
          </w:tcPr>
          <w:p w14:paraId="437C6EAB" w14:textId="3EB004D5" w:rsidR="00A967AA" w:rsidRPr="001150C0" w:rsidRDefault="001508DC" w:rsidP="00AE606D">
            <w:pPr>
              <w:jc w:val="center"/>
              <w:rPr>
                <w:rFonts w:ascii="Calibri" w:hAnsi="Calibri"/>
                <w:color w:val="000000"/>
                <w:sz w:val="22"/>
                <w:szCs w:val="22"/>
              </w:rPr>
            </w:pPr>
            <w:r w:rsidRPr="001150C0">
              <w:rPr>
                <w:rFonts w:ascii="Calibri" w:hAnsi="Calibri"/>
                <w:color w:val="000000"/>
                <w:sz w:val="22"/>
                <w:szCs w:val="22"/>
              </w:rPr>
              <w:t>Government of Afghanistan</w:t>
            </w:r>
          </w:p>
        </w:tc>
        <w:tc>
          <w:tcPr>
            <w:tcW w:w="1890" w:type="dxa"/>
            <w:vAlign w:val="center"/>
          </w:tcPr>
          <w:p w14:paraId="6434D876" w14:textId="3105FBBF" w:rsidR="001508DC" w:rsidRPr="001150C0" w:rsidRDefault="00465DC9" w:rsidP="001508DC">
            <w:pPr>
              <w:jc w:val="center"/>
              <w:rPr>
                <w:rFonts w:ascii="Calibri" w:hAnsi="Calibri"/>
                <w:color w:val="000000"/>
                <w:sz w:val="22"/>
                <w:szCs w:val="22"/>
              </w:rPr>
            </w:pPr>
            <w:r w:rsidRPr="001150C0">
              <w:rPr>
                <w:rFonts w:ascii="Calibri" w:hAnsi="Calibri"/>
                <w:color w:val="000000"/>
                <w:sz w:val="22"/>
                <w:szCs w:val="22"/>
              </w:rPr>
              <w:t>$</w:t>
            </w:r>
            <w:r w:rsidR="001508DC" w:rsidRPr="001150C0">
              <w:rPr>
                <w:rFonts w:ascii="Calibri" w:hAnsi="Calibri"/>
                <w:color w:val="000000"/>
                <w:sz w:val="22"/>
                <w:szCs w:val="22"/>
              </w:rPr>
              <w:t xml:space="preserve">14,282 </w:t>
            </w:r>
          </w:p>
          <w:p w14:paraId="17AE7462" w14:textId="77777777" w:rsidR="00A967AA" w:rsidRPr="001150C0" w:rsidRDefault="00A967AA" w:rsidP="00A967AA">
            <w:pPr>
              <w:jc w:val="center"/>
              <w:rPr>
                <w:rFonts w:ascii="Calibri" w:hAnsi="Calibri"/>
                <w:color w:val="000000"/>
                <w:sz w:val="22"/>
                <w:szCs w:val="22"/>
              </w:rPr>
            </w:pPr>
          </w:p>
        </w:tc>
        <w:tc>
          <w:tcPr>
            <w:tcW w:w="1577" w:type="dxa"/>
            <w:vAlign w:val="center"/>
          </w:tcPr>
          <w:p w14:paraId="1AB39A69" w14:textId="77777777" w:rsidR="00A967AA" w:rsidRPr="001150C0" w:rsidRDefault="00A967AA" w:rsidP="00EF58E0">
            <w:pPr>
              <w:rPr>
                <w:rFonts w:asciiTheme="minorHAnsi" w:hAnsiTheme="minorHAnsi" w:cstheme="minorHAnsi"/>
                <w:sz w:val="22"/>
                <w:szCs w:val="22"/>
              </w:rPr>
            </w:pPr>
          </w:p>
        </w:tc>
      </w:tr>
      <w:tr w:rsidR="001508DC" w:rsidRPr="001150C0" w14:paraId="7FDCD81F" w14:textId="77777777" w:rsidTr="00D83824">
        <w:trPr>
          <w:trHeight w:val="413"/>
        </w:trPr>
        <w:tc>
          <w:tcPr>
            <w:tcW w:w="2880" w:type="dxa"/>
            <w:tcBorders>
              <w:top w:val="nil"/>
              <w:bottom w:val="nil"/>
            </w:tcBorders>
            <w:vAlign w:val="center"/>
          </w:tcPr>
          <w:p w14:paraId="12033993" w14:textId="77777777" w:rsidR="001508DC" w:rsidRPr="001150C0" w:rsidRDefault="001508DC" w:rsidP="009F540C">
            <w:pPr>
              <w:jc w:val="center"/>
              <w:rPr>
                <w:rFonts w:asciiTheme="minorHAnsi" w:hAnsiTheme="minorHAnsi" w:cstheme="minorHAnsi"/>
                <w:sz w:val="22"/>
                <w:szCs w:val="22"/>
              </w:rPr>
            </w:pPr>
          </w:p>
        </w:tc>
        <w:tc>
          <w:tcPr>
            <w:tcW w:w="720" w:type="dxa"/>
            <w:tcBorders>
              <w:top w:val="nil"/>
              <w:bottom w:val="nil"/>
            </w:tcBorders>
            <w:vAlign w:val="center"/>
          </w:tcPr>
          <w:p w14:paraId="20C48456" w14:textId="77777777" w:rsidR="001508DC" w:rsidRPr="001150C0" w:rsidRDefault="001508DC" w:rsidP="009F540C">
            <w:pPr>
              <w:jc w:val="center"/>
              <w:rPr>
                <w:rFonts w:asciiTheme="minorHAnsi" w:hAnsiTheme="minorHAnsi" w:cstheme="minorHAnsi"/>
                <w:sz w:val="22"/>
                <w:szCs w:val="22"/>
              </w:rPr>
            </w:pPr>
          </w:p>
        </w:tc>
        <w:tc>
          <w:tcPr>
            <w:tcW w:w="2335" w:type="dxa"/>
            <w:vAlign w:val="center"/>
          </w:tcPr>
          <w:p w14:paraId="2E15991B" w14:textId="01B6303B" w:rsidR="001508DC" w:rsidRPr="001150C0" w:rsidRDefault="001508DC" w:rsidP="00AE606D">
            <w:pPr>
              <w:jc w:val="center"/>
              <w:rPr>
                <w:rFonts w:ascii="Calibri" w:hAnsi="Calibri"/>
                <w:color w:val="000000"/>
                <w:sz w:val="22"/>
                <w:szCs w:val="22"/>
              </w:rPr>
            </w:pPr>
            <w:r w:rsidRPr="001150C0">
              <w:rPr>
                <w:rFonts w:ascii="Calibri" w:hAnsi="Calibri"/>
                <w:color w:val="000000"/>
                <w:sz w:val="22"/>
                <w:szCs w:val="22"/>
              </w:rPr>
              <w:t>Government of Poland</w:t>
            </w:r>
          </w:p>
        </w:tc>
        <w:tc>
          <w:tcPr>
            <w:tcW w:w="1890" w:type="dxa"/>
            <w:vAlign w:val="center"/>
          </w:tcPr>
          <w:p w14:paraId="13DC9168" w14:textId="4D97A860" w:rsidR="001508DC" w:rsidRPr="001150C0" w:rsidRDefault="00465DC9" w:rsidP="001508DC">
            <w:pPr>
              <w:jc w:val="center"/>
              <w:rPr>
                <w:rFonts w:ascii="Calibri" w:hAnsi="Calibri"/>
                <w:color w:val="000000"/>
                <w:sz w:val="22"/>
                <w:szCs w:val="22"/>
              </w:rPr>
            </w:pPr>
            <w:r w:rsidRPr="001150C0">
              <w:rPr>
                <w:rFonts w:ascii="Calibri" w:hAnsi="Calibri"/>
                <w:color w:val="000000"/>
                <w:sz w:val="22"/>
                <w:szCs w:val="22"/>
              </w:rPr>
              <w:t>$</w:t>
            </w:r>
            <w:r w:rsidR="001508DC" w:rsidRPr="001150C0">
              <w:rPr>
                <w:rFonts w:ascii="Calibri" w:hAnsi="Calibri"/>
                <w:color w:val="000000"/>
                <w:sz w:val="22"/>
                <w:szCs w:val="22"/>
              </w:rPr>
              <w:t xml:space="preserve">11,108 </w:t>
            </w:r>
          </w:p>
          <w:p w14:paraId="0D9F6DB0" w14:textId="77777777" w:rsidR="001508DC" w:rsidRPr="001150C0" w:rsidRDefault="001508DC" w:rsidP="001508DC">
            <w:pPr>
              <w:jc w:val="center"/>
              <w:rPr>
                <w:rFonts w:ascii="Calibri" w:hAnsi="Calibri"/>
                <w:color w:val="000000"/>
                <w:sz w:val="22"/>
                <w:szCs w:val="22"/>
              </w:rPr>
            </w:pPr>
          </w:p>
        </w:tc>
        <w:tc>
          <w:tcPr>
            <w:tcW w:w="1577" w:type="dxa"/>
            <w:vAlign w:val="center"/>
          </w:tcPr>
          <w:p w14:paraId="383FBA5A" w14:textId="77777777" w:rsidR="001508DC" w:rsidRPr="001150C0" w:rsidRDefault="001508DC" w:rsidP="00EF58E0">
            <w:pPr>
              <w:rPr>
                <w:rFonts w:asciiTheme="minorHAnsi" w:hAnsiTheme="minorHAnsi" w:cstheme="minorHAnsi"/>
                <w:sz w:val="22"/>
                <w:szCs w:val="22"/>
              </w:rPr>
            </w:pPr>
          </w:p>
        </w:tc>
      </w:tr>
      <w:tr w:rsidR="001508DC" w:rsidRPr="001150C0" w14:paraId="53AF9E25" w14:textId="77777777" w:rsidTr="00D83824">
        <w:trPr>
          <w:trHeight w:val="404"/>
        </w:trPr>
        <w:tc>
          <w:tcPr>
            <w:tcW w:w="2880" w:type="dxa"/>
            <w:tcBorders>
              <w:top w:val="nil"/>
              <w:bottom w:val="single" w:sz="4" w:space="0" w:color="auto"/>
            </w:tcBorders>
            <w:vAlign w:val="center"/>
          </w:tcPr>
          <w:p w14:paraId="12023879" w14:textId="77777777" w:rsidR="001508DC" w:rsidRPr="001150C0" w:rsidRDefault="001508DC" w:rsidP="009F540C">
            <w:pPr>
              <w:jc w:val="center"/>
              <w:rPr>
                <w:rFonts w:asciiTheme="minorHAnsi" w:hAnsiTheme="minorHAnsi" w:cstheme="minorHAnsi"/>
                <w:sz w:val="22"/>
                <w:szCs w:val="22"/>
              </w:rPr>
            </w:pPr>
          </w:p>
        </w:tc>
        <w:tc>
          <w:tcPr>
            <w:tcW w:w="720" w:type="dxa"/>
            <w:tcBorders>
              <w:top w:val="nil"/>
              <w:bottom w:val="single" w:sz="4" w:space="0" w:color="auto"/>
            </w:tcBorders>
            <w:vAlign w:val="center"/>
          </w:tcPr>
          <w:p w14:paraId="7A3D38F8" w14:textId="77777777" w:rsidR="001508DC" w:rsidRPr="001150C0" w:rsidRDefault="001508DC" w:rsidP="009F540C">
            <w:pPr>
              <w:jc w:val="center"/>
              <w:rPr>
                <w:rFonts w:asciiTheme="minorHAnsi" w:hAnsiTheme="minorHAnsi" w:cstheme="minorHAnsi"/>
                <w:sz w:val="22"/>
                <w:szCs w:val="22"/>
              </w:rPr>
            </w:pPr>
          </w:p>
        </w:tc>
        <w:tc>
          <w:tcPr>
            <w:tcW w:w="2335" w:type="dxa"/>
            <w:tcBorders>
              <w:bottom w:val="single" w:sz="4" w:space="0" w:color="auto"/>
            </w:tcBorders>
            <w:vAlign w:val="center"/>
          </w:tcPr>
          <w:p w14:paraId="19BF7915" w14:textId="4564FA89" w:rsidR="001508DC" w:rsidRPr="001150C0" w:rsidRDefault="001508DC" w:rsidP="00AE606D">
            <w:pPr>
              <w:jc w:val="center"/>
              <w:rPr>
                <w:rFonts w:ascii="Calibri" w:hAnsi="Calibri"/>
                <w:color w:val="000000"/>
                <w:sz w:val="22"/>
                <w:szCs w:val="22"/>
              </w:rPr>
            </w:pPr>
            <w:r w:rsidRPr="001150C0">
              <w:rPr>
                <w:rFonts w:ascii="Calibri" w:hAnsi="Calibri"/>
                <w:color w:val="000000"/>
                <w:sz w:val="22"/>
                <w:szCs w:val="22"/>
              </w:rPr>
              <w:t>Government of Romania</w:t>
            </w:r>
          </w:p>
        </w:tc>
        <w:tc>
          <w:tcPr>
            <w:tcW w:w="1890" w:type="dxa"/>
            <w:tcBorders>
              <w:bottom w:val="single" w:sz="4" w:space="0" w:color="auto"/>
            </w:tcBorders>
            <w:vAlign w:val="center"/>
          </w:tcPr>
          <w:p w14:paraId="004698F7" w14:textId="5EE6E9DF" w:rsidR="001508DC" w:rsidRPr="001150C0" w:rsidRDefault="005116B9" w:rsidP="001508DC">
            <w:pPr>
              <w:jc w:val="center"/>
              <w:rPr>
                <w:rFonts w:ascii="Calibri" w:hAnsi="Calibri"/>
                <w:color w:val="000000"/>
                <w:sz w:val="22"/>
                <w:szCs w:val="22"/>
              </w:rPr>
            </w:pPr>
            <w:r w:rsidRPr="001150C0">
              <w:rPr>
                <w:rFonts w:ascii="Calibri" w:hAnsi="Calibri"/>
                <w:color w:val="000000"/>
                <w:sz w:val="22"/>
                <w:szCs w:val="22"/>
              </w:rPr>
              <w:t>$</w:t>
            </w:r>
            <w:r w:rsidR="001508DC" w:rsidRPr="001150C0">
              <w:rPr>
                <w:rFonts w:ascii="Calibri" w:hAnsi="Calibri"/>
                <w:color w:val="000000"/>
                <w:sz w:val="22"/>
                <w:szCs w:val="22"/>
              </w:rPr>
              <w:t xml:space="preserve">2,226 </w:t>
            </w:r>
          </w:p>
          <w:p w14:paraId="6194DF30" w14:textId="77777777" w:rsidR="001508DC" w:rsidRPr="001150C0" w:rsidRDefault="001508DC" w:rsidP="001508DC">
            <w:pPr>
              <w:jc w:val="center"/>
              <w:rPr>
                <w:rFonts w:ascii="Calibri" w:hAnsi="Calibri"/>
                <w:color w:val="000000"/>
                <w:sz w:val="22"/>
                <w:szCs w:val="22"/>
              </w:rPr>
            </w:pPr>
          </w:p>
        </w:tc>
        <w:tc>
          <w:tcPr>
            <w:tcW w:w="1577" w:type="dxa"/>
            <w:tcBorders>
              <w:bottom w:val="single" w:sz="4" w:space="0" w:color="auto"/>
            </w:tcBorders>
            <w:vAlign w:val="center"/>
          </w:tcPr>
          <w:p w14:paraId="274315FF" w14:textId="77777777" w:rsidR="001508DC" w:rsidRPr="001150C0" w:rsidRDefault="001508DC" w:rsidP="00EF58E0">
            <w:pPr>
              <w:rPr>
                <w:rFonts w:asciiTheme="minorHAnsi" w:hAnsiTheme="minorHAnsi" w:cstheme="minorHAnsi"/>
                <w:sz w:val="22"/>
                <w:szCs w:val="22"/>
              </w:rPr>
            </w:pPr>
          </w:p>
        </w:tc>
      </w:tr>
      <w:tr w:rsidR="00AE606D" w:rsidRPr="001150C0" w14:paraId="2A16F264" w14:textId="77777777" w:rsidTr="00F05CDA">
        <w:trPr>
          <w:trHeight w:val="404"/>
        </w:trPr>
        <w:tc>
          <w:tcPr>
            <w:tcW w:w="5935" w:type="dxa"/>
            <w:gridSpan w:val="3"/>
            <w:tcBorders>
              <w:top w:val="single" w:sz="4" w:space="0" w:color="auto"/>
            </w:tcBorders>
            <w:vAlign w:val="center"/>
          </w:tcPr>
          <w:p w14:paraId="39D494DC" w14:textId="4AED398B" w:rsidR="00AE606D" w:rsidRPr="001150C0" w:rsidRDefault="00AE606D" w:rsidP="00F05CDA">
            <w:pPr>
              <w:rPr>
                <w:rFonts w:ascii="Calibri" w:hAnsi="Calibri"/>
                <w:b/>
                <w:color w:val="000000"/>
                <w:sz w:val="22"/>
                <w:szCs w:val="22"/>
              </w:rPr>
            </w:pPr>
            <w:r w:rsidRPr="001150C0">
              <w:rPr>
                <w:rFonts w:ascii="Calibri" w:hAnsi="Calibri"/>
                <w:b/>
                <w:color w:val="000000"/>
                <w:sz w:val="22"/>
                <w:szCs w:val="22"/>
              </w:rPr>
              <w:t>Total Impact:</w:t>
            </w:r>
          </w:p>
        </w:tc>
        <w:tc>
          <w:tcPr>
            <w:tcW w:w="1890" w:type="dxa"/>
            <w:tcBorders>
              <w:top w:val="single" w:sz="4" w:space="0" w:color="auto"/>
            </w:tcBorders>
            <w:vAlign w:val="center"/>
          </w:tcPr>
          <w:p w14:paraId="2B5F9DB4" w14:textId="192D55BB" w:rsidR="00AE606D" w:rsidRPr="001150C0" w:rsidRDefault="00AE606D" w:rsidP="001508DC">
            <w:pPr>
              <w:jc w:val="center"/>
              <w:rPr>
                <w:rFonts w:ascii="Calibri" w:hAnsi="Calibri"/>
                <w:b/>
                <w:color w:val="000000"/>
                <w:sz w:val="22"/>
                <w:szCs w:val="22"/>
              </w:rPr>
            </w:pPr>
            <w:r w:rsidRPr="001150C0">
              <w:rPr>
                <w:rFonts w:ascii="Calibri" w:hAnsi="Calibri"/>
                <w:b/>
                <w:color w:val="000000"/>
                <w:sz w:val="22"/>
                <w:szCs w:val="22"/>
              </w:rPr>
              <w:t>$18,153,643</w:t>
            </w:r>
          </w:p>
        </w:tc>
        <w:tc>
          <w:tcPr>
            <w:tcW w:w="1577" w:type="dxa"/>
            <w:tcBorders>
              <w:top w:val="single" w:sz="4" w:space="0" w:color="auto"/>
            </w:tcBorders>
            <w:vAlign w:val="center"/>
          </w:tcPr>
          <w:p w14:paraId="0E31DDCE" w14:textId="77777777" w:rsidR="00AE606D" w:rsidRPr="001150C0" w:rsidRDefault="00AE606D" w:rsidP="00EF58E0">
            <w:pPr>
              <w:rPr>
                <w:rFonts w:asciiTheme="minorHAnsi" w:hAnsiTheme="minorHAnsi" w:cstheme="minorHAnsi"/>
                <w:sz w:val="22"/>
                <w:szCs w:val="22"/>
              </w:rPr>
            </w:pPr>
          </w:p>
        </w:tc>
      </w:tr>
    </w:tbl>
    <w:p w14:paraId="7B965CB7" w14:textId="46C0C2E6" w:rsidR="00E12203" w:rsidRPr="001150C0" w:rsidRDefault="00E12203" w:rsidP="00E90D80">
      <w:pPr>
        <w:jc w:val="both"/>
        <w:rPr>
          <w:rFonts w:asciiTheme="minorHAnsi" w:hAnsiTheme="minorHAnsi" w:cstheme="minorHAnsi"/>
          <w:color w:val="FF0000"/>
          <w:sz w:val="22"/>
          <w:szCs w:val="22"/>
        </w:rPr>
      </w:pPr>
    </w:p>
    <w:p w14:paraId="4FAF8632" w14:textId="77777777" w:rsidR="005116B9" w:rsidRPr="001150C0" w:rsidRDefault="005116B9" w:rsidP="005116B9">
      <w:pPr>
        <w:rPr>
          <w:rFonts w:asciiTheme="minorHAnsi" w:hAnsiTheme="minorHAnsi" w:cstheme="minorHAnsi"/>
          <w:color w:val="000000"/>
          <w:sz w:val="22"/>
          <w:szCs w:val="22"/>
        </w:rPr>
      </w:pPr>
    </w:p>
    <w:p w14:paraId="1BBC1A89" w14:textId="2F6CB36E" w:rsidR="005116B9" w:rsidRPr="001150C0" w:rsidRDefault="005116B9" w:rsidP="005116B9">
      <w:pPr>
        <w:pStyle w:val="ListParagraph"/>
        <w:numPr>
          <w:ilvl w:val="0"/>
          <w:numId w:val="15"/>
        </w:numPr>
        <w:rPr>
          <w:rFonts w:cstheme="minorHAnsi"/>
          <w:b/>
          <w:sz w:val="22"/>
          <w:szCs w:val="22"/>
        </w:rPr>
      </w:pPr>
      <w:r w:rsidRPr="001150C0">
        <w:rPr>
          <w:rFonts w:cstheme="minorHAnsi"/>
          <w:color w:val="000000"/>
          <w:sz w:val="22"/>
          <w:szCs w:val="22"/>
        </w:rPr>
        <w:t xml:space="preserve">A </w:t>
      </w:r>
      <w:r w:rsidR="00F851AF" w:rsidRPr="001150C0">
        <w:rPr>
          <w:rFonts w:cstheme="minorHAnsi"/>
          <w:color w:val="000000"/>
          <w:sz w:val="22"/>
          <w:szCs w:val="22"/>
        </w:rPr>
        <w:t>summary</w:t>
      </w:r>
      <w:r w:rsidRPr="001150C0">
        <w:rPr>
          <w:rFonts w:cstheme="minorHAnsi"/>
          <w:color w:val="000000"/>
          <w:sz w:val="22"/>
          <w:szCs w:val="22"/>
        </w:rPr>
        <w:t xml:space="preserve"> of </w:t>
      </w:r>
      <w:r w:rsidR="00AE606D" w:rsidRPr="001150C0">
        <w:rPr>
          <w:rFonts w:cstheme="minorHAnsi"/>
          <w:color w:val="000000"/>
          <w:sz w:val="22"/>
          <w:szCs w:val="22"/>
        </w:rPr>
        <w:t xml:space="preserve">the </w:t>
      </w:r>
      <w:r w:rsidRPr="001150C0">
        <w:rPr>
          <w:rFonts w:cstheme="minorHAnsi"/>
          <w:color w:val="000000"/>
          <w:sz w:val="22"/>
          <w:szCs w:val="22"/>
        </w:rPr>
        <w:t xml:space="preserve">GMS waivers approved in </w:t>
      </w:r>
      <w:r w:rsidR="001F09D7" w:rsidRPr="001150C0">
        <w:rPr>
          <w:rFonts w:cstheme="minorHAnsi"/>
          <w:color w:val="000000"/>
          <w:sz w:val="22"/>
          <w:szCs w:val="22"/>
        </w:rPr>
        <w:t xml:space="preserve">the </w:t>
      </w:r>
      <w:r w:rsidRPr="001150C0">
        <w:rPr>
          <w:rFonts w:cstheme="minorHAnsi"/>
          <w:color w:val="000000"/>
          <w:sz w:val="22"/>
          <w:szCs w:val="22"/>
        </w:rPr>
        <w:t>last three years</w:t>
      </w:r>
      <w:r w:rsidR="001F09D7" w:rsidRPr="001150C0">
        <w:rPr>
          <w:rFonts w:cstheme="minorHAnsi"/>
          <w:color w:val="000000"/>
          <w:sz w:val="22"/>
          <w:szCs w:val="22"/>
        </w:rPr>
        <w:t xml:space="preserve"> with the associated financial impact</w:t>
      </w:r>
      <w:r w:rsidRPr="001150C0">
        <w:rPr>
          <w:rFonts w:cstheme="minorHAnsi"/>
          <w:color w:val="000000"/>
          <w:sz w:val="22"/>
          <w:szCs w:val="22"/>
        </w:rPr>
        <w:t xml:space="preserve"> is </w:t>
      </w:r>
      <w:r w:rsidR="00F851AF" w:rsidRPr="001150C0">
        <w:rPr>
          <w:rFonts w:cstheme="minorHAnsi"/>
          <w:color w:val="000000"/>
          <w:sz w:val="22"/>
          <w:szCs w:val="22"/>
        </w:rPr>
        <w:t>set out</w:t>
      </w:r>
      <w:r w:rsidRPr="001150C0">
        <w:rPr>
          <w:rFonts w:cstheme="minorHAnsi"/>
          <w:color w:val="000000"/>
          <w:sz w:val="22"/>
          <w:szCs w:val="22"/>
        </w:rPr>
        <w:t xml:space="preserve"> </w:t>
      </w:r>
      <w:r w:rsidR="001F09D7" w:rsidRPr="001150C0">
        <w:rPr>
          <w:rFonts w:cstheme="minorHAnsi"/>
          <w:color w:val="000000"/>
          <w:sz w:val="22"/>
          <w:szCs w:val="22"/>
        </w:rPr>
        <w:t xml:space="preserve">in the </w:t>
      </w:r>
      <w:r w:rsidRPr="001150C0">
        <w:rPr>
          <w:rFonts w:cstheme="minorHAnsi"/>
          <w:color w:val="000000"/>
          <w:sz w:val="22"/>
          <w:szCs w:val="22"/>
        </w:rPr>
        <w:t>below</w:t>
      </w:r>
      <w:r w:rsidR="001F09D7" w:rsidRPr="001150C0">
        <w:rPr>
          <w:rFonts w:cstheme="minorHAnsi"/>
          <w:color w:val="000000"/>
          <w:sz w:val="22"/>
          <w:szCs w:val="22"/>
        </w:rPr>
        <w:t xml:space="preserve"> table</w:t>
      </w:r>
      <w:r w:rsidRPr="001150C0">
        <w:rPr>
          <w:rFonts w:cstheme="minorHAnsi"/>
          <w:color w:val="000000"/>
          <w:sz w:val="22"/>
          <w:szCs w:val="22"/>
        </w:rPr>
        <w:t xml:space="preserve">. </w:t>
      </w:r>
      <w:r w:rsidRPr="001150C0">
        <w:rPr>
          <w:rFonts w:cstheme="minorHAnsi"/>
          <w:b/>
          <w:sz w:val="22"/>
          <w:szCs w:val="22"/>
        </w:rPr>
        <w:t xml:space="preserve"> </w:t>
      </w:r>
      <w:r w:rsidR="0031212A" w:rsidRPr="001150C0">
        <w:rPr>
          <w:rFonts w:cstheme="minorHAnsi"/>
          <w:sz w:val="22"/>
          <w:szCs w:val="22"/>
        </w:rPr>
        <w:t xml:space="preserve">It indicates that over the 2016-2018 period, both in the number of waivers granted and in the financial impact of the GMS waivers granted in these years there has been a notable decline – from 12 to 5 (7 fewer waivers – almost 60% drop) and from $3.7 million to $1,2 million ($1.5 million reduction in financial impact – an 66% drop). </w:t>
      </w:r>
      <w:r w:rsidR="003333A3" w:rsidRPr="001150C0">
        <w:rPr>
          <w:rFonts w:cstheme="minorHAnsi"/>
          <w:sz w:val="22"/>
          <w:szCs w:val="22"/>
        </w:rPr>
        <w:t xml:space="preserve">The table also indicates that there has been a slight increase in the financial impact of GMS waivers granted in previous years- from $17.0 million in 2016 to $18.2 million in 2017 ($1.2m increase in financial impact – a 7% increase in the impact). </w:t>
      </w:r>
      <w:r w:rsidR="00AD415D" w:rsidRPr="001150C0">
        <w:rPr>
          <w:rFonts w:cstheme="minorHAnsi"/>
          <w:sz w:val="22"/>
          <w:szCs w:val="22"/>
        </w:rPr>
        <w:t>The latter reflects donor reluctance to agree to higher cost recovery rates relating to previously signed contribution agreements, noting that the development activities are already in progress – in some cases over multiple years.</w:t>
      </w:r>
    </w:p>
    <w:p w14:paraId="0B7BAD97" w14:textId="77777777" w:rsidR="00AE606D" w:rsidRPr="001150C0" w:rsidRDefault="00AE606D" w:rsidP="00F05CDA">
      <w:pPr>
        <w:pStyle w:val="ListParagraph"/>
        <w:ind w:left="360"/>
        <w:rPr>
          <w:rFonts w:cstheme="minorHAnsi"/>
          <w:b/>
          <w:sz w:val="22"/>
          <w:szCs w:val="22"/>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800"/>
        <w:gridCol w:w="1710"/>
        <w:gridCol w:w="1960"/>
      </w:tblGrid>
      <w:tr w:rsidR="005116B9" w:rsidRPr="001150C0" w14:paraId="71FD9C09" w14:textId="77777777" w:rsidTr="009F540C">
        <w:trPr>
          <w:trHeight w:val="295"/>
        </w:trPr>
        <w:tc>
          <w:tcPr>
            <w:tcW w:w="3870" w:type="dxa"/>
            <w:shd w:val="clear" w:color="auto" w:fill="auto"/>
            <w:noWrap/>
            <w:vAlign w:val="center"/>
            <w:hideMark/>
          </w:tcPr>
          <w:p w14:paraId="1A52C29A" w14:textId="77777777" w:rsidR="005116B9" w:rsidRPr="001150C0" w:rsidRDefault="005116B9" w:rsidP="009F540C">
            <w:pPr>
              <w:rPr>
                <w:rFonts w:asciiTheme="minorHAnsi" w:hAnsiTheme="minorHAnsi" w:cstheme="minorHAnsi"/>
                <w:b/>
                <w:color w:val="000000"/>
                <w:sz w:val="22"/>
                <w:szCs w:val="22"/>
              </w:rPr>
            </w:pPr>
            <w:r w:rsidRPr="001150C0">
              <w:rPr>
                <w:rFonts w:asciiTheme="minorHAnsi" w:hAnsiTheme="minorHAnsi" w:cstheme="minorHAnsi"/>
                <w:b/>
                <w:color w:val="000000"/>
                <w:sz w:val="22"/>
                <w:szCs w:val="22"/>
              </w:rPr>
              <w:t> </w:t>
            </w:r>
          </w:p>
        </w:tc>
        <w:tc>
          <w:tcPr>
            <w:tcW w:w="1800" w:type="dxa"/>
            <w:shd w:val="clear" w:color="auto" w:fill="auto"/>
            <w:noWrap/>
            <w:vAlign w:val="bottom"/>
            <w:hideMark/>
          </w:tcPr>
          <w:p w14:paraId="740056B3" w14:textId="77777777" w:rsidR="005116B9" w:rsidRPr="001150C0" w:rsidRDefault="005116B9" w:rsidP="009F540C">
            <w:pPr>
              <w:jc w:val="center"/>
              <w:rPr>
                <w:rFonts w:asciiTheme="minorHAnsi" w:hAnsiTheme="minorHAnsi" w:cstheme="minorHAnsi"/>
                <w:b/>
                <w:color w:val="000000"/>
                <w:sz w:val="22"/>
                <w:szCs w:val="22"/>
              </w:rPr>
            </w:pPr>
            <w:r w:rsidRPr="001150C0">
              <w:rPr>
                <w:rFonts w:asciiTheme="minorHAnsi" w:hAnsiTheme="minorHAnsi" w:cstheme="minorHAnsi"/>
                <w:b/>
                <w:color w:val="000000"/>
                <w:sz w:val="22"/>
                <w:szCs w:val="22"/>
              </w:rPr>
              <w:t>2016</w:t>
            </w:r>
          </w:p>
        </w:tc>
        <w:tc>
          <w:tcPr>
            <w:tcW w:w="1710" w:type="dxa"/>
            <w:shd w:val="clear" w:color="auto" w:fill="auto"/>
            <w:noWrap/>
            <w:vAlign w:val="bottom"/>
            <w:hideMark/>
          </w:tcPr>
          <w:p w14:paraId="4C0AF92D" w14:textId="77777777" w:rsidR="005116B9" w:rsidRPr="001150C0" w:rsidRDefault="005116B9" w:rsidP="009F540C">
            <w:pPr>
              <w:jc w:val="center"/>
              <w:rPr>
                <w:rFonts w:asciiTheme="minorHAnsi" w:hAnsiTheme="minorHAnsi" w:cstheme="minorHAnsi"/>
                <w:b/>
                <w:color w:val="000000"/>
                <w:sz w:val="22"/>
                <w:szCs w:val="22"/>
              </w:rPr>
            </w:pPr>
            <w:r w:rsidRPr="001150C0">
              <w:rPr>
                <w:rFonts w:asciiTheme="minorHAnsi" w:hAnsiTheme="minorHAnsi" w:cstheme="minorHAnsi"/>
                <w:b/>
                <w:color w:val="000000"/>
                <w:sz w:val="22"/>
                <w:szCs w:val="22"/>
              </w:rPr>
              <w:t>2017</w:t>
            </w:r>
          </w:p>
        </w:tc>
        <w:tc>
          <w:tcPr>
            <w:tcW w:w="1960" w:type="dxa"/>
            <w:shd w:val="clear" w:color="auto" w:fill="auto"/>
            <w:noWrap/>
            <w:vAlign w:val="bottom"/>
            <w:hideMark/>
          </w:tcPr>
          <w:p w14:paraId="5C061FC4" w14:textId="77777777" w:rsidR="005116B9" w:rsidRPr="001150C0" w:rsidRDefault="005116B9" w:rsidP="009F540C">
            <w:pPr>
              <w:jc w:val="center"/>
              <w:rPr>
                <w:rFonts w:asciiTheme="minorHAnsi" w:hAnsiTheme="minorHAnsi" w:cstheme="minorHAnsi"/>
                <w:b/>
                <w:color w:val="000000"/>
                <w:sz w:val="22"/>
                <w:szCs w:val="22"/>
              </w:rPr>
            </w:pPr>
            <w:r w:rsidRPr="001150C0">
              <w:rPr>
                <w:rFonts w:asciiTheme="minorHAnsi" w:hAnsiTheme="minorHAnsi" w:cstheme="minorHAnsi"/>
                <w:b/>
                <w:color w:val="000000"/>
                <w:sz w:val="22"/>
                <w:szCs w:val="22"/>
              </w:rPr>
              <w:t>2018</w:t>
            </w:r>
          </w:p>
        </w:tc>
      </w:tr>
      <w:tr w:rsidR="005116B9" w:rsidRPr="001150C0" w14:paraId="6C77C870" w14:textId="77777777" w:rsidTr="00F05CDA">
        <w:trPr>
          <w:trHeight w:val="440"/>
        </w:trPr>
        <w:tc>
          <w:tcPr>
            <w:tcW w:w="3870" w:type="dxa"/>
            <w:shd w:val="clear" w:color="auto" w:fill="auto"/>
            <w:noWrap/>
            <w:vAlign w:val="center"/>
            <w:hideMark/>
          </w:tcPr>
          <w:p w14:paraId="2957EC73" w14:textId="37229527" w:rsidR="007F664A" w:rsidRPr="001150C0" w:rsidRDefault="005116B9" w:rsidP="009F540C">
            <w:pPr>
              <w:rPr>
                <w:rFonts w:asciiTheme="minorHAnsi" w:hAnsiTheme="minorHAnsi" w:cstheme="minorHAnsi"/>
                <w:b/>
                <w:color w:val="000000"/>
                <w:sz w:val="22"/>
                <w:szCs w:val="22"/>
                <w:u w:val="single"/>
              </w:rPr>
            </w:pPr>
            <w:r w:rsidRPr="001150C0">
              <w:rPr>
                <w:rFonts w:asciiTheme="minorHAnsi" w:hAnsiTheme="minorHAnsi" w:cstheme="minorHAnsi"/>
                <w:b/>
                <w:color w:val="000000"/>
                <w:sz w:val="22"/>
                <w:szCs w:val="22"/>
                <w:u w:val="single"/>
              </w:rPr>
              <w:t>Number of GMS waivers</w:t>
            </w:r>
            <w:r w:rsidR="007F664A" w:rsidRPr="001150C0">
              <w:rPr>
                <w:rFonts w:asciiTheme="minorHAnsi" w:hAnsiTheme="minorHAnsi" w:cstheme="minorHAnsi"/>
                <w:b/>
                <w:color w:val="000000"/>
                <w:sz w:val="22"/>
                <w:szCs w:val="22"/>
                <w:u w:val="single"/>
              </w:rPr>
              <w:t xml:space="preserve"> granted:</w:t>
            </w:r>
          </w:p>
        </w:tc>
        <w:tc>
          <w:tcPr>
            <w:tcW w:w="1800" w:type="dxa"/>
            <w:shd w:val="clear" w:color="auto" w:fill="auto"/>
            <w:noWrap/>
            <w:vAlign w:val="bottom"/>
            <w:hideMark/>
          </w:tcPr>
          <w:p w14:paraId="2D16AFE6" w14:textId="4A529A4A" w:rsidR="005116B9" w:rsidRPr="001150C0" w:rsidRDefault="005116B9"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12</w:t>
            </w:r>
            <w:r w:rsidR="005107EB" w:rsidRPr="001150C0">
              <w:rPr>
                <w:rFonts w:asciiTheme="minorHAnsi" w:hAnsiTheme="minorHAnsi" w:cstheme="minorHAnsi"/>
                <w:color w:val="000000"/>
                <w:sz w:val="22"/>
                <w:szCs w:val="22"/>
              </w:rPr>
              <w:t xml:space="preserve"> </w:t>
            </w:r>
          </w:p>
        </w:tc>
        <w:tc>
          <w:tcPr>
            <w:tcW w:w="1710" w:type="dxa"/>
            <w:shd w:val="clear" w:color="auto" w:fill="auto"/>
            <w:noWrap/>
            <w:vAlign w:val="bottom"/>
            <w:hideMark/>
          </w:tcPr>
          <w:p w14:paraId="5A66E644" w14:textId="71E28B46" w:rsidR="005116B9" w:rsidRPr="001150C0" w:rsidRDefault="007F664A"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6</w:t>
            </w:r>
          </w:p>
        </w:tc>
        <w:tc>
          <w:tcPr>
            <w:tcW w:w="1960" w:type="dxa"/>
            <w:shd w:val="clear" w:color="auto" w:fill="auto"/>
            <w:noWrap/>
            <w:vAlign w:val="bottom"/>
            <w:hideMark/>
          </w:tcPr>
          <w:p w14:paraId="389CA522" w14:textId="0A6E4264" w:rsidR="005116B9" w:rsidRPr="001150C0" w:rsidRDefault="007F664A"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5</w:t>
            </w:r>
          </w:p>
        </w:tc>
      </w:tr>
      <w:tr w:rsidR="005116B9" w:rsidRPr="001150C0" w14:paraId="3C3047F9" w14:textId="77777777" w:rsidTr="00F05CDA">
        <w:trPr>
          <w:trHeight w:val="311"/>
        </w:trPr>
        <w:tc>
          <w:tcPr>
            <w:tcW w:w="3870" w:type="dxa"/>
            <w:shd w:val="clear" w:color="auto" w:fill="auto"/>
            <w:noWrap/>
            <w:vAlign w:val="bottom"/>
            <w:hideMark/>
          </w:tcPr>
          <w:p w14:paraId="7865B8A2" w14:textId="77777777" w:rsidR="007F664A" w:rsidRPr="001150C0" w:rsidRDefault="007F664A" w:rsidP="009F540C">
            <w:pPr>
              <w:rPr>
                <w:rFonts w:asciiTheme="minorHAnsi" w:hAnsiTheme="minorHAnsi" w:cstheme="minorHAnsi"/>
                <w:b/>
                <w:color w:val="000000"/>
                <w:sz w:val="22"/>
                <w:szCs w:val="22"/>
              </w:rPr>
            </w:pPr>
          </w:p>
          <w:p w14:paraId="4A516EA4" w14:textId="445C9C1A" w:rsidR="005116B9" w:rsidRPr="001150C0" w:rsidRDefault="005116B9" w:rsidP="009F540C">
            <w:pPr>
              <w:rPr>
                <w:rFonts w:asciiTheme="minorHAnsi" w:hAnsiTheme="minorHAnsi" w:cstheme="minorHAnsi"/>
                <w:b/>
                <w:color w:val="000000"/>
                <w:sz w:val="22"/>
                <w:szCs w:val="22"/>
                <w:u w:val="single"/>
              </w:rPr>
            </w:pPr>
            <w:r w:rsidRPr="001150C0">
              <w:rPr>
                <w:rFonts w:asciiTheme="minorHAnsi" w:hAnsiTheme="minorHAnsi" w:cstheme="minorHAnsi"/>
                <w:b/>
                <w:color w:val="000000"/>
                <w:sz w:val="22"/>
                <w:szCs w:val="22"/>
                <w:u w:val="single"/>
              </w:rPr>
              <w:t>Financial impact of GMS waive</w:t>
            </w:r>
            <w:r w:rsidR="007F664A" w:rsidRPr="001150C0">
              <w:rPr>
                <w:rFonts w:asciiTheme="minorHAnsi" w:hAnsiTheme="minorHAnsi" w:cstheme="minorHAnsi"/>
                <w:b/>
                <w:color w:val="000000"/>
                <w:sz w:val="22"/>
                <w:szCs w:val="22"/>
                <w:u w:val="single"/>
              </w:rPr>
              <w:t>rs</w:t>
            </w:r>
            <w:r w:rsidR="001F09D7" w:rsidRPr="001150C0">
              <w:rPr>
                <w:rFonts w:asciiTheme="minorHAnsi" w:hAnsiTheme="minorHAnsi" w:cstheme="minorHAnsi"/>
                <w:b/>
                <w:color w:val="000000"/>
                <w:sz w:val="22"/>
                <w:szCs w:val="22"/>
                <w:u w:val="single"/>
              </w:rPr>
              <w:t>:</w:t>
            </w:r>
          </w:p>
        </w:tc>
        <w:tc>
          <w:tcPr>
            <w:tcW w:w="1800" w:type="dxa"/>
            <w:shd w:val="clear" w:color="auto" w:fill="auto"/>
            <w:noWrap/>
            <w:vAlign w:val="bottom"/>
          </w:tcPr>
          <w:p w14:paraId="310E7075" w14:textId="783E3A1F" w:rsidR="005116B9" w:rsidRPr="001150C0" w:rsidRDefault="005116B9" w:rsidP="009F540C">
            <w:pPr>
              <w:jc w:val="center"/>
              <w:rPr>
                <w:rFonts w:asciiTheme="minorHAnsi" w:hAnsiTheme="minorHAnsi" w:cstheme="minorHAnsi"/>
                <w:color w:val="000000"/>
                <w:sz w:val="22"/>
                <w:szCs w:val="22"/>
              </w:rPr>
            </w:pPr>
          </w:p>
        </w:tc>
        <w:tc>
          <w:tcPr>
            <w:tcW w:w="1710" w:type="dxa"/>
            <w:shd w:val="clear" w:color="auto" w:fill="auto"/>
            <w:noWrap/>
            <w:vAlign w:val="bottom"/>
          </w:tcPr>
          <w:p w14:paraId="11FCFB0B" w14:textId="6320B149" w:rsidR="005116B9" w:rsidRPr="001150C0" w:rsidRDefault="005116B9" w:rsidP="009F540C">
            <w:pPr>
              <w:jc w:val="center"/>
              <w:rPr>
                <w:rFonts w:asciiTheme="minorHAnsi" w:hAnsiTheme="minorHAnsi" w:cstheme="minorHAnsi"/>
                <w:color w:val="000000"/>
                <w:sz w:val="22"/>
                <w:szCs w:val="22"/>
              </w:rPr>
            </w:pPr>
          </w:p>
        </w:tc>
        <w:tc>
          <w:tcPr>
            <w:tcW w:w="1960" w:type="dxa"/>
            <w:shd w:val="clear" w:color="auto" w:fill="auto"/>
            <w:noWrap/>
            <w:vAlign w:val="bottom"/>
          </w:tcPr>
          <w:p w14:paraId="313793DD" w14:textId="0E9F1BF9" w:rsidR="005116B9" w:rsidRPr="001150C0" w:rsidRDefault="005116B9" w:rsidP="009F540C">
            <w:pPr>
              <w:jc w:val="center"/>
              <w:rPr>
                <w:rFonts w:asciiTheme="minorHAnsi" w:hAnsiTheme="minorHAnsi" w:cstheme="minorHAnsi"/>
                <w:color w:val="000000"/>
                <w:sz w:val="22"/>
                <w:szCs w:val="22"/>
              </w:rPr>
            </w:pPr>
          </w:p>
        </w:tc>
      </w:tr>
      <w:tr w:rsidR="007F664A" w:rsidRPr="001150C0" w14:paraId="56A667EB" w14:textId="77777777" w:rsidTr="009F540C">
        <w:trPr>
          <w:trHeight w:val="311"/>
        </w:trPr>
        <w:tc>
          <w:tcPr>
            <w:tcW w:w="3870" w:type="dxa"/>
            <w:shd w:val="clear" w:color="auto" w:fill="auto"/>
            <w:noWrap/>
            <w:vAlign w:val="bottom"/>
          </w:tcPr>
          <w:p w14:paraId="05998053" w14:textId="77859DCC" w:rsidR="007F664A" w:rsidRPr="001150C0" w:rsidRDefault="00742B56" w:rsidP="00F05CDA">
            <w:pPr>
              <w:jc w:val="center"/>
              <w:rPr>
                <w:rFonts w:asciiTheme="minorHAnsi" w:hAnsiTheme="minorHAnsi" w:cstheme="minorHAnsi"/>
                <w:i/>
                <w:color w:val="000000"/>
                <w:sz w:val="21"/>
                <w:szCs w:val="22"/>
              </w:rPr>
            </w:pPr>
            <w:r w:rsidRPr="001150C0">
              <w:rPr>
                <w:rFonts w:asciiTheme="minorHAnsi" w:hAnsiTheme="minorHAnsi" w:cstheme="minorHAnsi"/>
                <w:i/>
                <w:color w:val="000000"/>
                <w:sz w:val="21"/>
                <w:szCs w:val="22"/>
              </w:rPr>
              <w:t xml:space="preserve">Impact of GMS waivers </w:t>
            </w:r>
            <w:r w:rsidR="001F09D7" w:rsidRPr="001150C0">
              <w:rPr>
                <w:rFonts w:asciiTheme="minorHAnsi" w:hAnsiTheme="minorHAnsi" w:cstheme="minorHAnsi"/>
                <w:i/>
                <w:color w:val="000000"/>
                <w:sz w:val="21"/>
                <w:szCs w:val="22"/>
              </w:rPr>
              <w:t>which were granted in the year</w:t>
            </w:r>
            <w:r w:rsidRPr="001150C0">
              <w:rPr>
                <w:rFonts w:asciiTheme="minorHAnsi" w:hAnsiTheme="minorHAnsi" w:cstheme="minorHAnsi"/>
                <w:i/>
                <w:color w:val="000000"/>
                <w:sz w:val="21"/>
                <w:szCs w:val="22"/>
              </w:rPr>
              <w:t>:</w:t>
            </w:r>
          </w:p>
        </w:tc>
        <w:tc>
          <w:tcPr>
            <w:tcW w:w="1800" w:type="dxa"/>
            <w:shd w:val="clear" w:color="auto" w:fill="auto"/>
            <w:noWrap/>
            <w:vAlign w:val="bottom"/>
          </w:tcPr>
          <w:p w14:paraId="6CDC92B1" w14:textId="6F46760D" w:rsidR="007F664A" w:rsidRPr="001150C0" w:rsidRDefault="00742B56" w:rsidP="007F664A">
            <w:pPr>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$3,673,980</w:t>
            </w:r>
          </w:p>
        </w:tc>
        <w:tc>
          <w:tcPr>
            <w:tcW w:w="1710" w:type="dxa"/>
            <w:shd w:val="clear" w:color="auto" w:fill="auto"/>
            <w:noWrap/>
            <w:vAlign w:val="bottom"/>
          </w:tcPr>
          <w:p w14:paraId="64F48663" w14:textId="147DB90E" w:rsidR="007F664A" w:rsidRPr="001150C0" w:rsidRDefault="00742B56"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$12,075,664</w:t>
            </w:r>
          </w:p>
        </w:tc>
        <w:tc>
          <w:tcPr>
            <w:tcW w:w="1960" w:type="dxa"/>
            <w:shd w:val="clear" w:color="auto" w:fill="auto"/>
            <w:noWrap/>
            <w:vAlign w:val="bottom"/>
          </w:tcPr>
          <w:p w14:paraId="13D467FF" w14:textId="0900E884" w:rsidR="007F664A" w:rsidRPr="001150C0" w:rsidRDefault="007F664A" w:rsidP="009F540C">
            <w:pPr>
              <w:jc w:val="center"/>
              <w:rPr>
                <w:rFonts w:asciiTheme="minorHAnsi" w:hAnsiTheme="minorHAnsi" w:cstheme="minorHAnsi"/>
                <w:color w:val="000000"/>
                <w:sz w:val="22"/>
                <w:szCs w:val="22"/>
              </w:rPr>
            </w:pPr>
            <w:r w:rsidRPr="001150C0">
              <w:rPr>
                <w:rFonts w:asciiTheme="minorHAnsi" w:hAnsiTheme="minorHAnsi" w:cstheme="minorHAnsi"/>
                <w:sz w:val="22"/>
                <w:szCs w:val="22"/>
              </w:rPr>
              <w:t>$1,226,516</w:t>
            </w:r>
          </w:p>
        </w:tc>
      </w:tr>
      <w:tr w:rsidR="007F664A" w:rsidRPr="001150C0" w14:paraId="11BC98C8" w14:textId="77777777" w:rsidTr="009F540C">
        <w:trPr>
          <w:trHeight w:val="311"/>
        </w:trPr>
        <w:tc>
          <w:tcPr>
            <w:tcW w:w="3870" w:type="dxa"/>
            <w:shd w:val="clear" w:color="auto" w:fill="auto"/>
            <w:noWrap/>
            <w:vAlign w:val="bottom"/>
          </w:tcPr>
          <w:p w14:paraId="5C957A53" w14:textId="02A343B9" w:rsidR="007F664A" w:rsidRPr="001150C0" w:rsidRDefault="007F664A" w:rsidP="00F05CDA">
            <w:pPr>
              <w:jc w:val="center"/>
              <w:rPr>
                <w:rFonts w:asciiTheme="minorHAnsi" w:hAnsiTheme="minorHAnsi" w:cstheme="minorHAnsi"/>
                <w:i/>
                <w:color w:val="000000"/>
                <w:sz w:val="21"/>
                <w:szCs w:val="22"/>
              </w:rPr>
            </w:pPr>
            <w:r w:rsidRPr="001150C0">
              <w:rPr>
                <w:rFonts w:asciiTheme="minorHAnsi" w:hAnsiTheme="minorHAnsi" w:cstheme="minorHAnsi"/>
                <w:i/>
                <w:color w:val="000000"/>
                <w:sz w:val="21"/>
                <w:szCs w:val="22"/>
              </w:rPr>
              <w:t xml:space="preserve">Impact of GMS waivers </w:t>
            </w:r>
            <w:r w:rsidR="001F09D7" w:rsidRPr="001150C0">
              <w:rPr>
                <w:rFonts w:asciiTheme="minorHAnsi" w:hAnsiTheme="minorHAnsi" w:cstheme="minorHAnsi"/>
                <w:i/>
                <w:color w:val="000000"/>
                <w:sz w:val="21"/>
                <w:szCs w:val="22"/>
              </w:rPr>
              <w:t xml:space="preserve">which were granted </w:t>
            </w:r>
            <w:r w:rsidRPr="001150C0">
              <w:rPr>
                <w:rFonts w:asciiTheme="minorHAnsi" w:hAnsiTheme="minorHAnsi" w:cstheme="minorHAnsi"/>
                <w:i/>
                <w:color w:val="000000"/>
                <w:sz w:val="21"/>
                <w:szCs w:val="22"/>
              </w:rPr>
              <w:t>in previous years</w:t>
            </w:r>
            <w:r w:rsidR="001F09D7" w:rsidRPr="001150C0">
              <w:rPr>
                <w:rFonts w:asciiTheme="minorHAnsi" w:hAnsiTheme="minorHAnsi" w:cstheme="minorHAnsi"/>
                <w:i/>
                <w:color w:val="000000"/>
                <w:sz w:val="21"/>
                <w:szCs w:val="22"/>
              </w:rPr>
              <w:t>:</w:t>
            </w:r>
          </w:p>
        </w:tc>
        <w:tc>
          <w:tcPr>
            <w:tcW w:w="1800" w:type="dxa"/>
            <w:shd w:val="clear" w:color="auto" w:fill="auto"/>
            <w:noWrap/>
            <w:vAlign w:val="bottom"/>
          </w:tcPr>
          <w:p w14:paraId="6D829C70" w14:textId="3A9B24AA" w:rsidR="007F664A" w:rsidRPr="001150C0" w:rsidRDefault="007F664A" w:rsidP="00F05CDA">
            <w:pPr>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$16,974,697</w:t>
            </w:r>
          </w:p>
        </w:tc>
        <w:tc>
          <w:tcPr>
            <w:tcW w:w="1710" w:type="dxa"/>
            <w:shd w:val="clear" w:color="auto" w:fill="auto"/>
            <w:noWrap/>
            <w:vAlign w:val="bottom"/>
          </w:tcPr>
          <w:p w14:paraId="46B8702B" w14:textId="3C4FEB0E" w:rsidR="007F664A" w:rsidRPr="001150C0" w:rsidRDefault="007F664A"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$17,127,497</w:t>
            </w:r>
          </w:p>
        </w:tc>
        <w:tc>
          <w:tcPr>
            <w:tcW w:w="1960" w:type="dxa"/>
            <w:shd w:val="clear" w:color="auto" w:fill="auto"/>
            <w:noWrap/>
            <w:vAlign w:val="bottom"/>
          </w:tcPr>
          <w:p w14:paraId="2CB408A6" w14:textId="715D0B45" w:rsidR="007F664A" w:rsidRPr="001150C0" w:rsidRDefault="007F664A"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$18,153,643</w:t>
            </w:r>
          </w:p>
        </w:tc>
      </w:tr>
      <w:tr w:rsidR="007F664A" w:rsidRPr="001150C0" w14:paraId="0B2FA633" w14:textId="77777777" w:rsidTr="009F540C">
        <w:trPr>
          <w:trHeight w:val="311"/>
        </w:trPr>
        <w:tc>
          <w:tcPr>
            <w:tcW w:w="3870" w:type="dxa"/>
            <w:shd w:val="clear" w:color="auto" w:fill="auto"/>
            <w:noWrap/>
            <w:vAlign w:val="bottom"/>
          </w:tcPr>
          <w:p w14:paraId="1AF48C60" w14:textId="27C7F2DE" w:rsidR="007F664A" w:rsidRPr="001150C0" w:rsidRDefault="007F664A" w:rsidP="00F05CDA">
            <w:pPr>
              <w:jc w:val="center"/>
              <w:rPr>
                <w:rFonts w:asciiTheme="minorHAnsi" w:hAnsiTheme="minorHAnsi" w:cstheme="minorHAnsi"/>
                <w:b/>
                <w:i/>
                <w:color w:val="000000"/>
                <w:sz w:val="21"/>
                <w:szCs w:val="22"/>
              </w:rPr>
            </w:pPr>
            <w:r w:rsidRPr="001150C0">
              <w:rPr>
                <w:rFonts w:asciiTheme="minorHAnsi" w:hAnsiTheme="minorHAnsi" w:cstheme="minorHAnsi"/>
                <w:b/>
                <w:i/>
                <w:color w:val="000000"/>
                <w:sz w:val="21"/>
                <w:szCs w:val="22"/>
              </w:rPr>
              <w:t>Total financial impact</w:t>
            </w:r>
          </w:p>
        </w:tc>
        <w:tc>
          <w:tcPr>
            <w:tcW w:w="1800" w:type="dxa"/>
            <w:shd w:val="clear" w:color="auto" w:fill="auto"/>
            <w:noWrap/>
            <w:vAlign w:val="bottom"/>
          </w:tcPr>
          <w:p w14:paraId="32BA03A9" w14:textId="67736E15" w:rsidR="007F664A" w:rsidRPr="001150C0" w:rsidRDefault="007F664A" w:rsidP="007F664A">
            <w:pPr>
              <w:jc w:val="center"/>
              <w:rPr>
                <w:rFonts w:asciiTheme="minorHAnsi" w:hAnsiTheme="minorHAnsi" w:cstheme="minorHAnsi"/>
                <w:b/>
                <w:color w:val="000000"/>
                <w:sz w:val="22"/>
                <w:szCs w:val="22"/>
              </w:rPr>
            </w:pPr>
            <w:r w:rsidRPr="001150C0">
              <w:rPr>
                <w:rFonts w:asciiTheme="minorHAnsi" w:hAnsiTheme="minorHAnsi" w:cstheme="minorHAnsi"/>
                <w:b/>
                <w:color w:val="000000"/>
                <w:sz w:val="22"/>
                <w:szCs w:val="22"/>
              </w:rPr>
              <w:t xml:space="preserve"> $20,648,677 </w:t>
            </w:r>
          </w:p>
        </w:tc>
        <w:tc>
          <w:tcPr>
            <w:tcW w:w="1710" w:type="dxa"/>
            <w:shd w:val="clear" w:color="auto" w:fill="auto"/>
            <w:noWrap/>
            <w:vAlign w:val="bottom"/>
          </w:tcPr>
          <w:p w14:paraId="252B3A7F" w14:textId="2099E438" w:rsidR="007F664A" w:rsidRPr="001150C0" w:rsidRDefault="007F664A" w:rsidP="007F664A">
            <w:pPr>
              <w:jc w:val="center"/>
              <w:rPr>
                <w:rFonts w:asciiTheme="minorHAnsi" w:hAnsiTheme="minorHAnsi" w:cstheme="minorHAnsi"/>
                <w:b/>
                <w:color w:val="000000"/>
                <w:sz w:val="22"/>
                <w:szCs w:val="22"/>
              </w:rPr>
            </w:pPr>
            <w:r w:rsidRPr="001150C0">
              <w:rPr>
                <w:rFonts w:asciiTheme="minorHAnsi" w:hAnsiTheme="minorHAnsi" w:cstheme="minorHAnsi"/>
                <w:b/>
                <w:color w:val="000000"/>
                <w:sz w:val="22"/>
                <w:szCs w:val="22"/>
              </w:rPr>
              <w:t xml:space="preserve"> $29,203,161 </w:t>
            </w:r>
          </w:p>
        </w:tc>
        <w:tc>
          <w:tcPr>
            <w:tcW w:w="1960" w:type="dxa"/>
            <w:shd w:val="clear" w:color="auto" w:fill="auto"/>
            <w:noWrap/>
            <w:vAlign w:val="bottom"/>
          </w:tcPr>
          <w:p w14:paraId="066FD449" w14:textId="4AD4FB67" w:rsidR="007F664A" w:rsidRPr="001150C0" w:rsidRDefault="007F664A" w:rsidP="007F664A">
            <w:pPr>
              <w:jc w:val="center"/>
              <w:rPr>
                <w:rFonts w:asciiTheme="minorHAnsi" w:hAnsiTheme="minorHAnsi" w:cstheme="minorHAnsi"/>
                <w:b/>
                <w:color w:val="000000"/>
                <w:sz w:val="22"/>
                <w:szCs w:val="22"/>
              </w:rPr>
            </w:pPr>
            <w:r w:rsidRPr="001150C0">
              <w:rPr>
                <w:rFonts w:asciiTheme="minorHAnsi" w:hAnsiTheme="minorHAnsi" w:cstheme="minorHAnsi"/>
                <w:b/>
                <w:color w:val="000000"/>
                <w:sz w:val="22"/>
                <w:szCs w:val="22"/>
              </w:rPr>
              <w:t xml:space="preserve"> $19,380,159 </w:t>
            </w:r>
          </w:p>
        </w:tc>
      </w:tr>
    </w:tbl>
    <w:p w14:paraId="2345E843" w14:textId="77777777" w:rsidR="005116B9" w:rsidRPr="001150C0" w:rsidRDefault="005116B9" w:rsidP="005116B9">
      <w:pPr>
        <w:pStyle w:val="Header"/>
        <w:rPr>
          <w:rFonts w:asciiTheme="minorHAnsi" w:hAnsiTheme="minorHAnsi" w:cstheme="minorHAnsi"/>
          <w:b/>
          <w:bCs/>
          <w:color w:val="000000"/>
          <w:sz w:val="22"/>
          <w:szCs w:val="22"/>
        </w:rPr>
      </w:pPr>
    </w:p>
    <w:p w14:paraId="4BEC0CC9" w14:textId="1EE7D55A" w:rsidR="005116B9" w:rsidRPr="001150C0" w:rsidRDefault="005116B9" w:rsidP="005116B9">
      <w:pPr>
        <w:rPr>
          <w:rFonts w:asciiTheme="minorHAnsi" w:hAnsiTheme="minorHAnsi" w:cstheme="minorHAnsi"/>
          <w:sz w:val="22"/>
          <w:szCs w:val="22"/>
        </w:rPr>
      </w:pPr>
    </w:p>
    <w:p w14:paraId="261AF74B" w14:textId="66C5DAAD" w:rsidR="00EF3467" w:rsidRPr="001150C0" w:rsidRDefault="00B244C6" w:rsidP="00F05CDA">
      <w:pPr>
        <w:rPr>
          <w:rFonts w:cstheme="minorHAnsi"/>
          <w:b/>
          <w:sz w:val="22"/>
          <w:szCs w:val="22"/>
        </w:rPr>
      </w:pPr>
      <w:r w:rsidRPr="001150C0">
        <w:rPr>
          <w:rFonts w:cstheme="minorHAnsi"/>
          <w:b/>
          <w:sz w:val="22"/>
          <w:szCs w:val="22"/>
        </w:rPr>
        <w:lastRenderedPageBreak/>
        <w:t xml:space="preserve">Framework agreement with multilateral funding partners </w:t>
      </w:r>
    </w:p>
    <w:p w14:paraId="23023E01" w14:textId="77777777" w:rsidR="00443BF1" w:rsidRPr="001150C0" w:rsidRDefault="00443BF1" w:rsidP="007E1B90">
      <w:pPr>
        <w:jc w:val="both"/>
        <w:rPr>
          <w:rFonts w:asciiTheme="minorHAnsi" w:hAnsiTheme="minorHAnsi" w:cstheme="minorHAnsi"/>
          <w:color w:val="000000"/>
          <w:sz w:val="22"/>
          <w:szCs w:val="22"/>
        </w:rPr>
      </w:pPr>
    </w:p>
    <w:p w14:paraId="738DC438" w14:textId="11EA9CC0" w:rsidR="00E90D80" w:rsidRPr="001150C0" w:rsidRDefault="0068740C" w:rsidP="00F05CDA">
      <w:pPr>
        <w:pStyle w:val="ListParagraph"/>
        <w:numPr>
          <w:ilvl w:val="0"/>
          <w:numId w:val="15"/>
        </w:numPr>
        <w:jc w:val="both"/>
        <w:rPr>
          <w:rFonts w:cstheme="minorHAnsi"/>
          <w:sz w:val="22"/>
          <w:szCs w:val="22"/>
        </w:rPr>
      </w:pPr>
      <w:r w:rsidRPr="001150C0">
        <w:rPr>
          <w:rFonts w:cstheme="minorHAnsi"/>
          <w:color w:val="000000"/>
          <w:sz w:val="22"/>
          <w:szCs w:val="22"/>
        </w:rPr>
        <w:t>In addition to the GMS waivers detailed in the first section of this addendum, t</w:t>
      </w:r>
      <w:r w:rsidR="00E34955" w:rsidRPr="001150C0">
        <w:rPr>
          <w:rFonts w:cstheme="minorHAnsi"/>
          <w:color w:val="000000"/>
          <w:sz w:val="22"/>
          <w:szCs w:val="22"/>
        </w:rPr>
        <w:t xml:space="preserve">here are </w:t>
      </w:r>
      <w:r w:rsidR="00443BF1" w:rsidRPr="001150C0">
        <w:rPr>
          <w:rFonts w:cstheme="minorHAnsi"/>
          <w:color w:val="000000"/>
          <w:sz w:val="22"/>
          <w:szCs w:val="22"/>
        </w:rPr>
        <w:t>a</w:t>
      </w:r>
      <w:r w:rsidR="001D55DA" w:rsidRPr="001150C0">
        <w:rPr>
          <w:rFonts w:cstheme="minorHAnsi"/>
          <w:color w:val="000000"/>
          <w:sz w:val="22"/>
          <w:szCs w:val="22"/>
        </w:rPr>
        <w:t xml:space="preserve"> number of</w:t>
      </w:r>
      <w:r w:rsidR="005A529C" w:rsidRPr="001150C0">
        <w:rPr>
          <w:rFonts w:cstheme="minorHAnsi"/>
          <w:color w:val="000000"/>
          <w:sz w:val="22"/>
          <w:szCs w:val="22"/>
        </w:rPr>
        <w:t xml:space="preserve"> </w:t>
      </w:r>
      <w:r w:rsidR="001D55DA" w:rsidRPr="001150C0">
        <w:rPr>
          <w:rFonts w:cstheme="minorHAnsi"/>
          <w:color w:val="000000"/>
          <w:sz w:val="22"/>
          <w:szCs w:val="22"/>
        </w:rPr>
        <w:t xml:space="preserve">framework </w:t>
      </w:r>
      <w:r w:rsidR="00443BF1" w:rsidRPr="001150C0">
        <w:rPr>
          <w:rFonts w:cstheme="minorHAnsi"/>
          <w:color w:val="000000"/>
          <w:sz w:val="22"/>
          <w:szCs w:val="22"/>
        </w:rPr>
        <w:t xml:space="preserve">agreements with multilateral funding </w:t>
      </w:r>
      <w:r w:rsidR="00443BF1" w:rsidRPr="001150C0">
        <w:rPr>
          <w:rFonts w:cstheme="minorHAnsi"/>
          <w:bCs/>
          <w:sz w:val="22"/>
          <w:szCs w:val="22"/>
        </w:rPr>
        <w:t xml:space="preserve">where GMS rates </w:t>
      </w:r>
      <w:r w:rsidRPr="001150C0">
        <w:rPr>
          <w:rFonts w:cstheme="minorHAnsi"/>
          <w:bCs/>
          <w:sz w:val="22"/>
          <w:szCs w:val="22"/>
        </w:rPr>
        <w:t xml:space="preserve">have been </w:t>
      </w:r>
      <w:r w:rsidR="00443BF1" w:rsidRPr="001150C0">
        <w:rPr>
          <w:rFonts w:cstheme="minorHAnsi"/>
          <w:bCs/>
          <w:sz w:val="22"/>
          <w:szCs w:val="22"/>
        </w:rPr>
        <w:t>agreed below the 8% rate</w:t>
      </w:r>
      <w:r w:rsidR="005A529C" w:rsidRPr="001150C0">
        <w:rPr>
          <w:rFonts w:cstheme="minorHAnsi"/>
          <w:color w:val="000000"/>
          <w:sz w:val="22"/>
          <w:szCs w:val="22"/>
        </w:rPr>
        <w:t xml:space="preserve">. In </w:t>
      </w:r>
      <w:r w:rsidR="00E90D80" w:rsidRPr="001150C0">
        <w:rPr>
          <w:rFonts w:cstheme="minorHAnsi"/>
          <w:color w:val="000000"/>
          <w:sz w:val="22"/>
          <w:szCs w:val="22"/>
        </w:rPr>
        <w:t>201</w:t>
      </w:r>
      <w:r w:rsidR="00181631" w:rsidRPr="001150C0">
        <w:rPr>
          <w:rFonts w:cstheme="minorHAnsi"/>
          <w:color w:val="000000"/>
          <w:sz w:val="22"/>
          <w:szCs w:val="22"/>
        </w:rPr>
        <w:t>8</w:t>
      </w:r>
      <w:r w:rsidR="00781A50" w:rsidRPr="001150C0">
        <w:rPr>
          <w:rFonts w:cstheme="minorHAnsi"/>
          <w:color w:val="000000"/>
          <w:sz w:val="22"/>
          <w:szCs w:val="22"/>
        </w:rPr>
        <w:t xml:space="preserve">, contributions </w:t>
      </w:r>
      <w:r w:rsidR="00E90D80" w:rsidRPr="001150C0">
        <w:rPr>
          <w:rFonts w:cstheme="minorHAnsi"/>
          <w:color w:val="000000"/>
          <w:sz w:val="22"/>
          <w:szCs w:val="22"/>
        </w:rPr>
        <w:t xml:space="preserve">from the European Commission, </w:t>
      </w:r>
      <w:r w:rsidR="00324434" w:rsidRPr="001150C0">
        <w:rPr>
          <w:rFonts w:cstheme="minorHAnsi"/>
          <w:color w:val="000000"/>
          <w:sz w:val="22"/>
          <w:szCs w:val="22"/>
        </w:rPr>
        <w:t xml:space="preserve">UNOCHA/CERF, the UN Trust Fund for Human Security (UNTFHS), </w:t>
      </w:r>
      <w:r w:rsidR="00E90D80" w:rsidRPr="001150C0">
        <w:rPr>
          <w:rFonts w:cstheme="minorHAnsi"/>
          <w:color w:val="000000"/>
          <w:sz w:val="22"/>
          <w:szCs w:val="22"/>
        </w:rPr>
        <w:t xml:space="preserve">Global Fund to Fight AIDS, Tuberculosis and Malaria (GFATM), </w:t>
      </w:r>
      <w:r w:rsidR="0078516B" w:rsidRPr="001150C0">
        <w:rPr>
          <w:rFonts w:cstheme="minorHAnsi"/>
          <w:color w:val="000000"/>
          <w:sz w:val="22"/>
          <w:szCs w:val="22"/>
        </w:rPr>
        <w:t xml:space="preserve">Global Environmental Fund’s small grant programme, </w:t>
      </w:r>
      <w:r w:rsidR="00E90D80" w:rsidRPr="001150C0">
        <w:rPr>
          <w:rFonts w:cstheme="minorHAnsi"/>
          <w:color w:val="000000"/>
          <w:sz w:val="22"/>
          <w:szCs w:val="22"/>
        </w:rPr>
        <w:t>Montreal Protocol</w:t>
      </w:r>
      <w:r w:rsidR="00324434" w:rsidRPr="001150C0">
        <w:rPr>
          <w:rFonts w:cstheme="minorHAnsi"/>
          <w:color w:val="000000"/>
          <w:sz w:val="22"/>
          <w:szCs w:val="22"/>
        </w:rPr>
        <w:t>, and other UN entities</w:t>
      </w:r>
      <w:r w:rsidR="00E90D80" w:rsidRPr="001150C0">
        <w:rPr>
          <w:rFonts w:cstheme="minorHAnsi"/>
          <w:color w:val="000000"/>
          <w:sz w:val="22"/>
          <w:szCs w:val="22"/>
        </w:rPr>
        <w:t xml:space="preserve"> </w:t>
      </w:r>
      <w:r w:rsidR="00781A50" w:rsidRPr="001150C0">
        <w:rPr>
          <w:rFonts w:cstheme="minorHAnsi"/>
          <w:color w:val="000000"/>
          <w:sz w:val="22"/>
          <w:szCs w:val="22"/>
        </w:rPr>
        <w:t xml:space="preserve">were </w:t>
      </w:r>
      <w:r w:rsidR="00E90D80" w:rsidRPr="001150C0">
        <w:rPr>
          <w:rFonts w:cstheme="minorHAnsi"/>
          <w:color w:val="000000"/>
          <w:sz w:val="22"/>
          <w:szCs w:val="22"/>
        </w:rPr>
        <w:t>received</w:t>
      </w:r>
      <w:r w:rsidR="00080404" w:rsidRPr="001150C0">
        <w:rPr>
          <w:rFonts w:cstheme="minorHAnsi"/>
          <w:color w:val="000000"/>
          <w:sz w:val="22"/>
          <w:szCs w:val="22"/>
        </w:rPr>
        <w:t xml:space="preserve"> </w:t>
      </w:r>
      <w:r w:rsidR="00F05CDA" w:rsidRPr="001150C0">
        <w:rPr>
          <w:rFonts w:cstheme="minorHAnsi"/>
          <w:color w:val="000000"/>
          <w:sz w:val="22"/>
          <w:szCs w:val="22"/>
        </w:rPr>
        <w:t>at GMS rate below the 8% rate</w:t>
      </w:r>
      <w:r w:rsidR="0089529C" w:rsidRPr="001150C0">
        <w:rPr>
          <w:rFonts w:cstheme="minorHAnsi"/>
          <w:sz w:val="22"/>
          <w:szCs w:val="22"/>
        </w:rPr>
        <w:t>.</w:t>
      </w:r>
      <w:r w:rsidR="004E31D2" w:rsidRPr="001150C0">
        <w:rPr>
          <w:rFonts w:cstheme="minorHAnsi"/>
          <w:sz w:val="22"/>
          <w:szCs w:val="22"/>
        </w:rPr>
        <w:t xml:space="preserve">  </w:t>
      </w:r>
      <w:r w:rsidR="006341C1" w:rsidRPr="001150C0">
        <w:rPr>
          <w:rFonts w:cstheme="minorHAnsi"/>
          <w:sz w:val="22"/>
          <w:szCs w:val="22"/>
        </w:rPr>
        <w:t xml:space="preserve">As per the </w:t>
      </w:r>
      <w:r w:rsidR="004E31D2" w:rsidRPr="001150C0">
        <w:rPr>
          <w:rFonts w:cstheme="minorHAnsi"/>
          <w:sz w:val="22"/>
          <w:szCs w:val="22"/>
        </w:rPr>
        <w:t>policy on fee structures</w:t>
      </w:r>
      <w:r w:rsidR="00176252" w:rsidRPr="001150C0">
        <w:rPr>
          <w:rFonts w:cstheme="minorHAnsi"/>
          <w:sz w:val="22"/>
          <w:szCs w:val="22"/>
        </w:rPr>
        <w:t xml:space="preserve"> for accredited entities</w:t>
      </w:r>
      <w:r w:rsidR="006341C1" w:rsidRPr="001150C0">
        <w:rPr>
          <w:rFonts w:cstheme="minorHAnsi"/>
          <w:sz w:val="22"/>
          <w:szCs w:val="22"/>
        </w:rPr>
        <w:t xml:space="preserve"> of the Green Climate Fund</w:t>
      </w:r>
      <w:r w:rsidR="003D65C3" w:rsidRPr="001150C0">
        <w:rPr>
          <w:rFonts w:cstheme="minorHAnsi"/>
          <w:sz w:val="22"/>
          <w:szCs w:val="22"/>
        </w:rPr>
        <w:t xml:space="preserve"> (GCF)</w:t>
      </w:r>
      <w:r w:rsidR="004E31D2" w:rsidRPr="001150C0">
        <w:rPr>
          <w:rFonts w:cstheme="minorHAnsi"/>
          <w:sz w:val="22"/>
          <w:szCs w:val="22"/>
        </w:rPr>
        <w:t xml:space="preserve">, </w:t>
      </w:r>
      <w:r w:rsidR="006341C1" w:rsidRPr="001150C0">
        <w:rPr>
          <w:rFonts w:cstheme="minorHAnsi"/>
          <w:sz w:val="22"/>
          <w:szCs w:val="22"/>
        </w:rPr>
        <w:t>all project</w:t>
      </w:r>
      <w:r w:rsidR="00671BD1" w:rsidRPr="001150C0">
        <w:rPr>
          <w:rFonts w:cstheme="minorHAnsi"/>
          <w:sz w:val="22"/>
          <w:szCs w:val="22"/>
        </w:rPr>
        <w:t>s/programmes</w:t>
      </w:r>
      <w:r w:rsidR="006341C1" w:rsidRPr="001150C0">
        <w:rPr>
          <w:rFonts w:cstheme="minorHAnsi"/>
          <w:sz w:val="22"/>
          <w:szCs w:val="22"/>
        </w:rPr>
        <w:t xml:space="preserve"> except micro-size projects </w:t>
      </w:r>
      <w:r w:rsidR="00ED2F78" w:rsidRPr="001150C0">
        <w:rPr>
          <w:rFonts w:cstheme="minorHAnsi"/>
          <w:sz w:val="22"/>
          <w:szCs w:val="22"/>
        </w:rPr>
        <w:t xml:space="preserve">will be subject to the cost recovery rate below 8%.  </w:t>
      </w:r>
      <w:r w:rsidR="00D07855" w:rsidRPr="001150C0">
        <w:rPr>
          <w:rFonts w:cstheme="minorHAnsi"/>
          <w:sz w:val="22"/>
          <w:szCs w:val="22"/>
        </w:rPr>
        <w:t xml:space="preserve">In 2018, there is no financial impact. </w:t>
      </w:r>
      <w:r w:rsidR="004045BF" w:rsidRPr="001150C0">
        <w:rPr>
          <w:rFonts w:cstheme="minorHAnsi"/>
          <w:sz w:val="22"/>
          <w:szCs w:val="22"/>
        </w:rPr>
        <w:t>The financial impact of the</w:t>
      </w:r>
      <w:r w:rsidR="003D65C3" w:rsidRPr="001150C0">
        <w:rPr>
          <w:rFonts w:cstheme="minorHAnsi"/>
          <w:sz w:val="22"/>
          <w:szCs w:val="22"/>
        </w:rPr>
        <w:t xml:space="preserve"> framework agreements</w:t>
      </w:r>
      <w:r w:rsidR="001E44F1" w:rsidRPr="001150C0">
        <w:rPr>
          <w:rFonts w:cstheme="minorHAnsi"/>
          <w:sz w:val="22"/>
          <w:szCs w:val="22"/>
        </w:rPr>
        <w:t xml:space="preserve"> with </w:t>
      </w:r>
      <w:r w:rsidR="00B61072" w:rsidRPr="001150C0">
        <w:rPr>
          <w:rFonts w:cstheme="minorHAnsi"/>
          <w:sz w:val="22"/>
          <w:szCs w:val="22"/>
        </w:rPr>
        <w:t xml:space="preserve">reduced </w:t>
      </w:r>
      <w:r w:rsidR="004045BF" w:rsidRPr="001150C0">
        <w:rPr>
          <w:rFonts w:cstheme="minorHAnsi"/>
          <w:sz w:val="22"/>
          <w:szCs w:val="22"/>
        </w:rPr>
        <w:t xml:space="preserve">cost recovery rates </w:t>
      </w:r>
      <w:r w:rsidR="005116B9" w:rsidRPr="001150C0">
        <w:rPr>
          <w:rFonts w:cstheme="minorHAnsi"/>
          <w:sz w:val="22"/>
          <w:szCs w:val="22"/>
        </w:rPr>
        <w:t xml:space="preserve">is </w:t>
      </w:r>
      <w:r w:rsidR="004045BF" w:rsidRPr="001150C0">
        <w:rPr>
          <w:rFonts w:cstheme="minorHAnsi"/>
          <w:sz w:val="22"/>
          <w:szCs w:val="22"/>
        </w:rPr>
        <w:t>summarized below:</w:t>
      </w:r>
    </w:p>
    <w:p w14:paraId="20AD9F97" w14:textId="77777777" w:rsidR="004045BF" w:rsidRPr="001150C0" w:rsidRDefault="004045BF" w:rsidP="00E90D80">
      <w:pPr>
        <w:jc w:val="both"/>
        <w:rPr>
          <w:rFonts w:asciiTheme="minorHAnsi" w:hAnsiTheme="minorHAnsi" w:cstheme="minorHAnsi"/>
          <w:sz w:val="22"/>
          <w:szCs w:val="22"/>
        </w:rPr>
      </w:pPr>
    </w:p>
    <w:p w14:paraId="27F72317" w14:textId="40636125" w:rsidR="0084717E" w:rsidRPr="001150C0" w:rsidRDefault="0084717E">
      <w:pPr>
        <w:rPr>
          <w:rFonts w:asciiTheme="minorHAnsi" w:hAnsiTheme="minorHAnsi" w:cstheme="minorHAnsi"/>
          <w:sz w:val="22"/>
          <w:szCs w:val="22"/>
        </w:rPr>
      </w:pPr>
    </w:p>
    <w:tbl>
      <w:tblPr>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433"/>
        <w:gridCol w:w="1919"/>
      </w:tblGrid>
      <w:tr w:rsidR="00324434" w:rsidRPr="001150C0" w14:paraId="54AD9C79" w14:textId="77777777" w:rsidTr="00ED6518">
        <w:trPr>
          <w:trHeight w:val="374"/>
        </w:trPr>
        <w:tc>
          <w:tcPr>
            <w:tcW w:w="5940" w:type="dxa"/>
            <w:shd w:val="clear" w:color="auto" w:fill="auto"/>
            <w:vAlign w:val="center"/>
            <w:hideMark/>
          </w:tcPr>
          <w:p w14:paraId="6814DE46" w14:textId="77777777" w:rsidR="00324434" w:rsidRPr="001150C0" w:rsidRDefault="00324434" w:rsidP="009F540C">
            <w:pPr>
              <w:jc w:val="both"/>
              <w:rPr>
                <w:rFonts w:asciiTheme="minorHAnsi" w:hAnsiTheme="minorHAnsi" w:cstheme="minorHAnsi"/>
                <w:b/>
                <w:bCs/>
                <w:color w:val="000000"/>
                <w:sz w:val="22"/>
                <w:szCs w:val="22"/>
              </w:rPr>
            </w:pPr>
            <w:r w:rsidRPr="001150C0">
              <w:rPr>
                <w:rFonts w:asciiTheme="minorHAnsi" w:hAnsiTheme="minorHAnsi" w:cstheme="minorHAnsi"/>
                <w:b/>
                <w:bCs/>
                <w:color w:val="000000"/>
                <w:sz w:val="22"/>
                <w:szCs w:val="22"/>
              </w:rPr>
              <w:t>Funding Partners</w:t>
            </w:r>
          </w:p>
        </w:tc>
        <w:tc>
          <w:tcPr>
            <w:tcW w:w="1433" w:type="dxa"/>
            <w:shd w:val="clear" w:color="auto" w:fill="auto"/>
            <w:vAlign w:val="center"/>
            <w:hideMark/>
          </w:tcPr>
          <w:p w14:paraId="03A00B82" w14:textId="77777777" w:rsidR="00324434" w:rsidRPr="001150C0" w:rsidRDefault="00324434" w:rsidP="009F540C">
            <w:pPr>
              <w:jc w:val="center"/>
              <w:rPr>
                <w:rFonts w:asciiTheme="minorHAnsi" w:hAnsiTheme="minorHAnsi" w:cstheme="minorHAnsi"/>
                <w:b/>
                <w:bCs/>
                <w:color w:val="000000"/>
                <w:sz w:val="22"/>
                <w:szCs w:val="22"/>
              </w:rPr>
            </w:pPr>
            <w:r w:rsidRPr="001150C0">
              <w:rPr>
                <w:rFonts w:asciiTheme="minorHAnsi" w:hAnsiTheme="minorHAnsi" w:cstheme="minorHAnsi"/>
                <w:b/>
                <w:bCs/>
                <w:color w:val="000000"/>
                <w:sz w:val="22"/>
                <w:szCs w:val="22"/>
              </w:rPr>
              <w:t>GMS Rate applied</w:t>
            </w:r>
          </w:p>
        </w:tc>
        <w:tc>
          <w:tcPr>
            <w:tcW w:w="1919" w:type="dxa"/>
            <w:shd w:val="clear" w:color="auto" w:fill="auto"/>
            <w:vAlign w:val="center"/>
            <w:hideMark/>
          </w:tcPr>
          <w:p w14:paraId="2DE6392B" w14:textId="2567DE6C" w:rsidR="00324434" w:rsidRPr="001150C0" w:rsidRDefault="00324434" w:rsidP="009F540C">
            <w:pPr>
              <w:jc w:val="both"/>
              <w:rPr>
                <w:rFonts w:asciiTheme="minorHAnsi" w:hAnsiTheme="minorHAnsi" w:cstheme="minorHAnsi"/>
                <w:b/>
                <w:color w:val="000000"/>
                <w:sz w:val="22"/>
                <w:szCs w:val="22"/>
              </w:rPr>
            </w:pPr>
            <w:r w:rsidRPr="001150C0">
              <w:rPr>
                <w:rFonts w:asciiTheme="minorHAnsi" w:hAnsiTheme="minorHAnsi" w:cstheme="minorHAnsi"/>
                <w:b/>
                <w:bCs/>
                <w:color w:val="000000"/>
                <w:sz w:val="22"/>
                <w:szCs w:val="22"/>
              </w:rPr>
              <w:t> </w:t>
            </w:r>
            <w:r w:rsidRPr="001150C0">
              <w:rPr>
                <w:rFonts w:asciiTheme="minorHAnsi" w:hAnsiTheme="minorHAnsi" w:cstheme="minorHAnsi"/>
                <w:b/>
                <w:color w:val="000000"/>
                <w:sz w:val="22"/>
                <w:szCs w:val="22"/>
              </w:rPr>
              <w:t>Financial impact of the reduced cost recovery rate in 2018</w:t>
            </w:r>
          </w:p>
          <w:p w14:paraId="742BF046" w14:textId="77777777" w:rsidR="00324434" w:rsidRPr="001150C0" w:rsidRDefault="00324434" w:rsidP="009F540C">
            <w:pPr>
              <w:rPr>
                <w:rFonts w:asciiTheme="minorHAnsi" w:hAnsiTheme="minorHAnsi" w:cstheme="minorHAnsi"/>
                <w:b/>
                <w:bCs/>
                <w:color w:val="000000"/>
                <w:sz w:val="22"/>
                <w:szCs w:val="22"/>
              </w:rPr>
            </w:pPr>
          </w:p>
        </w:tc>
      </w:tr>
      <w:tr w:rsidR="00324434" w:rsidRPr="001150C0" w14:paraId="07E27FC9" w14:textId="77777777" w:rsidTr="00ED6518">
        <w:trPr>
          <w:trHeight w:val="374"/>
        </w:trPr>
        <w:tc>
          <w:tcPr>
            <w:tcW w:w="5940" w:type="dxa"/>
            <w:shd w:val="clear" w:color="auto" w:fill="auto"/>
            <w:vAlign w:val="center"/>
            <w:hideMark/>
          </w:tcPr>
          <w:p w14:paraId="52433F95" w14:textId="77777777" w:rsidR="00324434" w:rsidRPr="001150C0" w:rsidRDefault="00324434" w:rsidP="009F540C">
            <w:pPr>
              <w:rPr>
                <w:rFonts w:asciiTheme="minorHAnsi" w:hAnsiTheme="minorHAnsi" w:cstheme="minorHAnsi"/>
                <w:color w:val="000000"/>
                <w:sz w:val="22"/>
                <w:szCs w:val="22"/>
              </w:rPr>
            </w:pPr>
            <w:r w:rsidRPr="001150C0">
              <w:rPr>
                <w:rFonts w:asciiTheme="minorHAnsi" w:hAnsiTheme="minorHAnsi" w:cstheme="minorHAnsi"/>
                <w:color w:val="000000"/>
                <w:sz w:val="22"/>
                <w:szCs w:val="22"/>
              </w:rPr>
              <w:t>European Commission</w:t>
            </w:r>
          </w:p>
        </w:tc>
        <w:tc>
          <w:tcPr>
            <w:tcW w:w="1433" w:type="dxa"/>
            <w:shd w:val="clear" w:color="auto" w:fill="auto"/>
            <w:hideMark/>
          </w:tcPr>
          <w:p w14:paraId="78EB1A7B"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7%</w:t>
            </w:r>
          </w:p>
        </w:tc>
        <w:tc>
          <w:tcPr>
            <w:tcW w:w="1919" w:type="dxa"/>
            <w:shd w:val="clear" w:color="auto" w:fill="auto"/>
            <w:vAlign w:val="center"/>
            <w:hideMark/>
          </w:tcPr>
          <w:p w14:paraId="6E63DB57"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$2,174,735 </w:t>
            </w:r>
          </w:p>
        </w:tc>
      </w:tr>
      <w:tr w:rsidR="00324434" w:rsidRPr="001150C0" w14:paraId="02A1ABBB" w14:textId="77777777" w:rsidTr="00ED6518">
        <w:trPr>
          <w:trHeight w:val="357"/>
        </w:trPr>
        <w:tc>
          <w:tcPr>
            <w:tcW w:w="5940" w:type="dxa"/>
            <w:shd w:val="clear" w:color="auto" w:fill="auto"/>
            <w:vAlign w:val="center"/>
            <w:hideMark/>
          </w:tcPr>
          <w:p w14:paraId="174CFA25" w14:textId="77777777" w:rsidR="00324434" w:rsidRPr="001150C0" w:rsidRDefault="00324434" w:rsidP="009F540C">
            <w:pPr>
              <w:rPr>
                <w:rFonts w:asciiTheme="minorHAnsi" w:hAnsiTheme="minorHAnsi" w:cstheme="minorHAnsi"/>
                <w:color w:val="000000"/>
                <w:sz w:val="22"/>
                <w:szCs w:val="22"/>
              </w:rPr>
            </w:pPr>
            <w:r w:rsidRPr="001150C0">
              <w:rPr>
                <w:rFonts w:asciiTheme="minorHAnsi" w:hAnsiTheme="minorHAnsi" w:cstheme="minorHAnsi"/>
                <w:color w:val="000000"/>
                <w:sz w:val="22"/>
                <w:szCs w:val="22"/>
              </w:rPr>
              <w:t>Global Fund to Fight AIDS, Tuberculosis and Malaria (GFATM)</w:t>
            </w:r>
          </w:p>
        </w:tc>
        <w:tc>
          <w:tcPr>
            <w:tcW w:w="1433" w:type="dxa"/>
            <w:shd w:val="clear" w:color="auto" w:fill="auto"/>
            <w:hideMark/>
          </w:tcPr>
          <w:p w14:paraId="7F2512C9"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7%</w:t>
            </w:r>
          </w:p>
        </w:tc>
        <w:tc>
          <w:tcPr>
            <w:tcW w:w="1919" w:type="dxa"/>
            <w:shd w:val="clear" w:color="auto" w:fill="auto"/>
            <w:vAlign w:val="center"/>
            <w:hideMark/>
          </w:tcPr>
          <w:p w14:paraId="4C4EB5CF"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$1,977,110 </w:t>
            </w:r>
          </w:p>
        </w:tc>
      </w:tr>
      <w:tr w:rsidR="00324434" w:rsidRPr="001150C0" w14:paraId="5161B2B9" w14:textId="77777777" w:rsidTr="00ED6518">
        <w:trPr>
          <w:trHeight w:val="374"/>
        </w:trPr>
        <w:tc>
          <w:tcPr>
            <w:tcW w:w="5940" w:type="dxa"/>
            <w:shd w:val="clear" w:color="auto" w:fill="auto"/>
            <w:vAlign w:val="center"/>
            <w:hideMark/>
          </w:tcPr>
          <w:p w14:paraId="0F45DD22" w14:textId="77777777" w:rsidR="00324434" w:rsidRPr="001150C0" w:rsidRDefault="00324434" w:rsidP="009F540C">
            <w:pPr>
              <w:jc w:val="both"/>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Montreal Protocol </w:t>
            </w:r>
          </w:p>
        </w:tc>
        <w:tc>
          <w:tcPr>
            <w:tcW w:w="1433" w:type="dxa"/>
            <w:shd w:val="clear" w:color="auto" w:fill="auto"/>
            <w:hideMark/>
          </w:tcPr>
          <w:p w14:paraId="06411DAD"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7%</w:t>
            </w:r>
          </w:p>
        </w:tc>
        <w:tc>
          <w:tcPr>
            <w:tcW w:w="1919" w:type="dxa"/>
            <w:shd w:val="clear" w:color="auto" w:fill="auto"/>
            <w:vAlign w:val="center"/>
            <w:hideMark/>
          </w:tcPr>
          <w:p w14:paraId="0B1C226F"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$431,015 </w:t>
            </w:r>
          </w:p>
        </w:tc>
      </w:tr>
      <w:tr w:rsidR="00324434" w:rsidRPr="001150C0" w14:paraId="79711F73" w14:textId="77777777" w:rsidTr="00ED6518">
        <w:trPr>
          <w:trHeight w:val="374"/>
        </w:trPr>
        <w:tc>
          <w:tcPr>
            <w:tcW w:w="5940" w:type="dxa"/>
            <w:shd w:val="clear" w:color="auto" w:fill="auto"/>
            <w:vAlign w:val="center"/>
            <w:hideMark/>
          </w:tcPr>
          <w:p w14:paraId="2C12381A" w14:textId="77777777" w:rsidR="00324434" w:rsidRPr="001150C0" w:rsidRDefault="00324434" w:rsidP="009F540C">
            <w:pPr>
              <w:jc w:val="both"/>
              <w:rPr>
                <w:rFonts w:asciiTheme="minorHAnsi" w:hAnsiTheme="minorHAnsi" w:cstheme="minorHAnsi"/>
                <w:color w:val="000000"/>
                <w:sz w:val="22"/>
                <w:szCs w:val="22"/>
              </w:rPr>
            </w:pPr>
            <w:r w:rsidRPr="001150C0">
              <w:rPr>
                <w:rFonts w:asciiTheme="minorHAnsi" w:hAnsiTheme="minorHAnsi" w:cstheme="minorHAnsi"/>
                <w:color w:val="000000"/>
                <w:sz w:val="22"/>
                <w:szCs w:val="22"/>
              </w:rPr>
              <w:t>UNOCHA/CERF</w:t>
            </w:r>
          </w:p>
        </w:tc>
        <w:tc>
          <w:tcPr>
            <w:tcW w:w="1433" w:type="dxa"/>
            <w:shd w:val="clear" w:color="auto" w:fill="auto"/>
            <w:hideMark/>
          </w:tcPr>
          <w:p w14:paraId="51FF0F91"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7%</w:t>
            </w:r>
          </w:p>
        </w:tc>
        <w:tc>
          <w:tcPr>
            <w:tcW w:w="1919" w:type="dxa"/>
            <w:shd w:val="clear" w:color="auto" w:fill="auto"/>
            <w:vAlign w:val="center"/>
            <w:hideMark/>
          </w:tcPr>
          <w:p w14:paraId="41050A83"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$66,847 </w:t>
            </w:r>
          </w:p>
        </w:tc>
      </w:tr>
      <w:tr w:rsidR="00324434" w:rsidRPr="001150C0" w14:paraId="1E81B85C" w14:textId="77777777" w:rsidTr="00ED6518">
        <w:trPr>
          <w:trHeight w:val="374"/>
        </w:trPr>
        <w:tc>
          <w:tcPr>
            <w:tcW w:w="5940" w:type="dxa"/>
            <w:shd w:val="clear" w:color="auto" w:fill="auto"/>
            <w:vAlign w:val="center"/>
            <w:hideMark/>
          </w:tcPr>
          <w:p w14:paraId="03D07325" w14:textId="77777777" w:rsidR="00324434" w:rsidRPr="001150C0" w:rsidRDefault="00324434" w:rsidP="009F540C">
            <w:pPr>
              <w:jc w:val="both"/>
              <w:rPr>
                <w:rFonts w:asciiTheme="minorHAnsi" w:hAnsiTheme="minorHAnsi" w:cstheme="minorHAnsi"/>
                <w:color w:val="000000"/>
                <w:sz w:val="22"/>
                <w:szCs w:val="22"/>
              </w:rPr>
            </w:pPr>
            <w:r w:rsidRPr="001150C0">
              <w:rPr>
                <w:rFonts w:asciiTheme="minorHAnsi" w:hAnsiTheme="minorHAnsi" w:cstheme="minorHAnsi"/>
                <w:color w:val="000000"/>
                <w:sz w:val="22"/>
                <w:szCs w:val="22"/>
              </w:rPr>
              <w:t>UN Trust Fund for Human Security (UNTFHS)</w:t>
            </w:r>
          </w:p>
        </w:tc>
        <w:tc>
          <w:tcPr>
            <w:tcW w:w="1433" w:type="dxa"/>
            <w:shd w:val="clear" w:color="auto" w:fill="auto"/>
            <w:hideMark/>
          </w:tcPr>
          <w:p w14:paraId="6EDE095C"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7%</w:t>
            </w:r>
          </w:p>
        </w:tc>
        <w:tc>
          <w:tcPr>
            <w:tcW w:w="1919" w:type="dxa"/>
            <w:shd w:val="clear" w:color="auto" w:fill="auto"/>
            <w:vAlign w:val="center"/>
            <w:hideMark/>
          </w:tcPr>
          <w:p w14:paraId="571A1418"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$23,099 </w:t>
            </w:r>
          </w:p>
        </w:tc>
      </w:tr>
      <w:tr w:rsidR="00324434" w:rsidRPr="001150C0" w14:paraId="5924F32B" w14:textId="77777777" w:rsidTr="00ED6518">
        <w:trPr>
          <w:trHeight w:val="374"/>
        </w:trPr>
        <w:tc>
          <w:tcPr>
            <w:tcW w:w="5940" w:type="dxa"/>
            <w:shd w:val="clear" w:color="auto" w:fill="auto"/>
            <w:vAlign w:val="center"/>
          </w:tcPr>
          <w:p w14:paraId="718A5A84" w14:textId="16F3E43E" w:rsidR="00324434" w:rsidRPr="001150C0" w:rsidRDefault="00324434" w:rsidP="009F540C">
            <w:pPr>
              <w:jc w:val="both"/>
              <w:rPr>
                <w:rFonts w:asciiTheme="minorHAnsi" w:hAnsiTheme="minorHAnsi" w:cstheme="minorHAnsi"/>
                <w:color w:val="000000"/>
                <w:sz w:val="22"/>
                <w:szCs w:val="22"/>
              </w:rPr>
            </w:pPr>
            <w:r w:rsidRPr="001150C0">
              <w:rPr>
                <w:rFonts w:asciiTheme="minorHAnsi" w:hAnsiTheme="minorHAnsi" w:cstheme="minorHAnsi"/>
                <w:color w:val="000000"/>
                <w:sz w:val="22"/>
                <w:szCs w:val="22"/>
              </w:rPr>
              <w:t>Green Climate fund (Small, Medium or Large size projects)</w:t>
            </w:r>
          </w:p>
        </w:tc>
        <w:tc>
          <w:tcPr>
            <w:tcW w:w="1433" w:type="dxa"/>
            <w:shd w:val="clear" w:color="auto" w:fill="auto"/>
          </w:tcPr>
          <w:p w14:paraId="63BF6386"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4%-7%</w:t>
            </w:r>
          </w:p>
        </w:tc>
        <w:tc>
          <w:tcPr>
            <w:tcW w:w="1919" w:type="dxa"/>
            <w:shd w:val="clear" w:color="auto" w:fill="auto"/>
            <w:vAlign w:val="center"/>
          </w:tcPr>
          <w:p w14:paraId="405A0956"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0</w:t>
            </w:r>
          </w:p>
        </w:tc>
      </w:tr>
      <w:tr w:rsidR="00324434" w:rsidRPr="001150C0" w14:paraId="667B1FD8" w14:textId="77777777" w:rsidTr="00ED6518">
        <w:trPr>
          <w:trHeight w:val="749"/>
        </w:trPr>
        <w:tc>
          <w:tcPr>
            <w:tcW w:w="5940" w:type="dxa"/>
            <w:shd w:val="clear" w:color="auto" w:fill="auto"/>
            <w:vAlign w:val="center"/>
          </w:tcPr>
          <w:p w14:paraId="7991AB09" w14:textId="66849C30" w:rsidR="00324434" w:rsidRPr="001150C0" w:rsidRDefault="00324434" w:rsidP="009F540C">
            <w:pPr>
              <w:jc w:val="both"/>
              <w:rPr>
                <w:rFonts w:asciiTheme="minorHAnsi" w:hAnsiTheme="minorHAnsi" w:cstheme="minorHAnsi"/>
                <w:color w:val="000000"/>
                <w:sz w:val="22"/>
                <w:szCs w:val="22"/>
              </w:rPr>
            </w:pPr>
            <w:r w:rsidRPr="001150C0">
              <w:rPr>
                <w:rFonts w:asciiTheme="minorHAnsi" w:hAnsiTheme="minorHAnsi" w:cstheme="minorHAnsi"/>
                <w:color w:val="000000"/>
                <w:sz w:val="22"/>
                <w:szCs w:val="22"/>
              </w:rPr>
              <w:t>Global Environmental Programme - Small Grant Programme</w:t>
            </w:r>
          </w:p>
        </w:tc>
        <w:tc>
          <w:tcPr>
            <w:tcW w:w="1433" w:type="dxa"/>
            <w:shd w:val="clear" w:color="auto" w:fill="auto"/>
          </w:tcPr>
          <w:p w14:paraId="645B601E" w14:textId="77777777" w:rsidR="00324434" w:rsidRPr="001150C0" w:rsidRDefault="00324434" w:rsidP="009F540C">
            <w:pPr>
              <w:rPr>
                <w:rFonts w:asciiTheme="minorHAnsi" w:hAnsiTheme="minorHAnsi" w:cstheme="minorHAnsi"/>
                <w:color w:val="000000"/>
                <w:sz w:val="22"/>
                <w:szCs w:val="22"/>
              </w:rPr>
            </w:pPr>
          </w:p>
          <w:p w14:paraId="208355D0"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4%</w:t>
            </w:r>
          </w:p>
        </w:tc>
        <w:tc>
          <w:tcPr>
            <w:tcW w:w="1919" w:type="dxa"/>
            <w:shd w:val="clear" w:color="auto" w:fill="auto"/>
            <w:vAlign w:val="center"/>
          </w:tcPr>
          <w:p w14:paraId="697FCA27" w14:textId="4B0F7C32" w:rsidR="00324434" w:rsidRPr="001150C0" w:rsidRDefault="000F7C8B" w:rsidP="009F540C">
            <w:pPr>
              <w:jc w:val="right"/>
              <w:rPr>
                <w:rFonts w:asciiTheme="minorHAnsi" w:hAnsiTheme="minorHAnsi" w:cstheme="minorHAnsi"/>
                <w:color w:val="000000"/>
                <w:sz w:val="22"/>
                <w:szCs w:val="22"/>
              </w:rPr>
            </w:pPr>
            <w:r w:rsidRPr="000F7C8B">
              <w:rPr>
                <w:rFonts w:asciiTheme="minorHAnsi" w:hAnsiTheme="minorHAnsi" w:cstheme="minorHAnsi"/>
                <w:color w:val="000000"/>
                <w:sz w:val="22"/>
                <w:szCs w:val="22"/>
              </w:rPr>
              <w:t>$1,816,037</w:t>
            </w:r>
          </w:p>
        </w:tc>
      </w:tr>
      <w:tr w:rsidR="00324434" w:rsidRPr="001150C0" w14:paraId="18615EA2" w14:textId="77777777" w:rsidTr="00ED6518">
        <w:trPr>
          <w:trHeight w:val="749"/>
        </w:trPr>
        <w:tc>
          <w:tcPr>
            <w:tcW w:w="5940" w:type="dxa"/>
            <w:shd w:val="clear" w:color="auto" w:fill="auto"/>
            <w:vAlign w:val="center"/>
            <w:hideMark/>
          </w:tcPr>
          <w:p w14:paraId="1C818DF8" w14:textId="572EF761" w:rsidR="00324434" w:rsidRPr="001150C0" w:rsidRDefault="00324434" w:rsidP="009F540C">
            <w:pPr>
              <w:jc w:val="both"/>
              <w:rPr>
                <w:rFonts w:asciiTheme="minorHAnsi" w:hAnsiTheme="minorHAnsi" w:cstheme="minorHAnsi"/>
                <w:color w:val="000000"/>
                <w:sz w:val="22"/>
                <w:szCs w:val="22"/>
              </w:rPr>
            </w:pPr>
            <w:r w:rsidRPr="001150C0">
              <w:rPr>
                <w:rFonts w:asciiTheme="minorHAnsi" w:hAnsiTheme="minorHAnsi" w:cstheme="minorHAnsi"/>
                <w:color w:val="000000"/>
                <w:sz w:val="22"/>
                <w:szCs w:val="22"/>
              </w:rPr>
              <w:t>Funds received from other UN Agencies w</w:t>
            </w:r>
            <w:r w:rsidR="005F53C9" w:rsidRPr="001150C0">
              <w:rPr>
                <w:rFonts w:asciiTheme="minorHAnsi" w:hAnsiTheme="minorHAnsi" w:cstheme="minorHAnsi"/>
                <w:color w:val="000000"/>
                <w:sz w:val="22"/>
                <w:szCs w:val="22"/>
              </w:rPr>
              <w:t>ith</w:t>
            </w:r>
            <w:r w:rsidRPr="001150C0">
              <w:rPr>
                <w:rFonts w:asciiTheme="minorHAnsi" w:hAnsiTheme="minorHAnsi" w:cstheme="minorHAnsi"/>
                <w:color w:val="000000"/>
                <w:sz w:val="22"/>
                <w:szCs w:val="22"/>
              </w:rPr>
              <w:t xml:space="preserve"> lower than 8% GMS:</w:t>
            </w:r>
          </w:p>
        </w:tc>
        <w:tc>
          <w:tcPr>
            <w:tcW w:w="1433" w:type="dxa"/>
            <w:shd w:val="clear" w:color="auto" w:fill="auto"/>
            <w:hideMark/>
          </w:tcPr>
          <w:p w14:paraId="3130172C"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 </w:t>
            </w:r>
          </w:p>
        </w:tc>
        <w:tc>
          <w:tcPr>
            <w:tcW w:w="1919" w:type="dxa"/>
            <w:shd w:val="clear" w:color="auto" w:fill="auto"/>
            <w:vAlign w:val="center"/>
            <w:hideMark/>
          </w:tcPr>
          <w:p w14:paraId="1CF5AFAE"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 </w:t>
            </w:r>
          </w:p>
        </w:tc>
      </w:tr>
      <w:tr w:rsidR="00324434" w:rsidRPr="001150C0" w14:paraId="765BDDBC" w14:textId="77777777" w:rsidTr="00ED6518">
        <w:trPr>
          <w:trHeight w:val="374"/>
        </w:trPr>
        <w:tc>
          <w:tcPr>
            <w:tcW w:w="5940" w:type="dxa"/>
            <w:shd w:val="clear" w:color="auto" w:fill="auto"/>
            <w:vAlign w:val="center"/>
            <w:hideMark/>
          </w:tcPr>
          <w:p w14:paraId="6A783E12" w14:textId="77777777" w:rsidR="00324434" w:rsidRPr="001150C0" w:rsidRDefault="00324434" w:rsidP="009F540C">
            <w:pPr>
              <w:ind w:firstLineChars="500" w:firstLine="1100"/>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UN </w:t>
            </w:r>
          </w:p>
        </w:tc>
        <w:tc>
          <w:tcPr>
            <w:tcW w:w="1433" w:type="dxa"/>
            <w:shd w:val="clear" w:color="auto" w:fill="auto"/>
            <w:hideMark/>
          </w:tcPr>
          <w:p w14:paraId="21F234D9"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7% or below</w:t>
            </w:r>
          </w:p>
        </w:tc>
        <w:tc>
          <w:tcPr>
            <w:tcW w:w="1919" w:type="dxa"/>
            <w:shd w:val="clear" w:color="auto" w:fill="auto"/>
            <w:vAlign w:val="center"/>
            <w:hideMark/>
          </w:tcPr>
          <w:p w14:paraId="63E2296B"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$6,901 </w:t>
            </w:r>
          </w:p>
        </w:tc>
      </w:tr>
      <w:tr w:rsidR="00324434" w:rsidRPr="001150C0" w14:paraId="2D13EAC5" w14:textId="77777777" w:rsidTr="00ED6518">
        <w:trPr>
          <w:trHeight w:val="374"/>
        </w:trPr>
        <w:tc>
          <w:tcPr>
            <w:tcW w:w="5940" w:type="dxa"/>
            <w:shd w:val="clear" w:color="auto" w:fill="auto"/>
            <w:vAlign w:val="center"/>
            <w:hideMark/>
          </w:tcPr>
          <w:p w14:paraId="3D567CC5" w14:textId="77777777" w:rsidR="00324434" w:rsidRPr="001150C0" w:rsidRDefault="00324434" w:rsidP="009F540C">
            <w:pPr>
              <w:ind w:firstLineChars="500" w:firstLine="1100"/>
              <w:rPr>
                <w:rFonts w:asciiTheme="minorHAnsi" w:hAnsiTheme="minorHAnsi" w:cstheme="minorHAnsi"/>
                <w:color w:val="000000"/>
                <w:sz w:val="22"/>
                <w:szCs w:val="22"/>
              </w:rPr>
            </w:pPr>
            <w:r w:rsidRPr="001150C0">
              <w:rPr>
                <w:rFonts w:asciiTheme="minorHAnsi" w:hAnsiTheme="minorHAnsi" w:cstheme="minorHAnsi"/>
                <w:color w:val="000000"/>
                <w:sz w:val="22"/>
                <w:szCs w:val="22"/>
              </w:rPr>
              <w:t>UNICEF</w:t>
            </w:r>
          </w:p>
        </w:tc>
        <w:tc>
          <w:tcPr>
            <w:tcW w:w="1433" w:type="dxa"/>
            <w:shd w:val="clear" w:color="auto" w:fill="auto"/>
            <w:hideMark/>
          </w:tcPr>
          <w:p w14:paraId="39FD54A1"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7% or below </w:t>
            </w:r>
          </w:p>
        </w:tc>
        <w:tc>
          <w:tcPr>
            <w:tcW w:w="1919" w:type="dxa"/>
            <w:shd w:val="clear" w:color="auto" w:fill="auto"/>
            <w:vAlign w:val="center"/>
            <w:hideMark/>
          </w:tcPr>
          <w:p w14:paraId="46A46DC5"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$7,949 </w:t>
            </w:r>
          </w:p>
        </w:tc>
      </w:tr>
      <w:tr w:rsidR="00324434" w:rsidRPr="001150C0" w14:paraId="413DB665" w14:textId="77777777" w:rsidTr="00ED6518">
        <w:trPr>
          <w:trHeight w:val="374"/>
        </w:trPr>
        <w:tc>
          <w:tcPr>
            <w:tcW w:w="5940" w:type="dxa"/>
            <w:shd w:val="clear" w:color="auto" w:fill="auto"/>
            <w:vAlign w:val="center"/>
            <w:hideMark/>
          </w:tcPr>
          <w:p w14:paraId="702256FD" w14:textId="77777777" w:rsidR="00324434" w:rsidRPr="001150C0" w:rsidRDefault="00324434" w:rsidP="009F540C">
            <w:pPr>
              <w:ind w:firstLineChars="500" w:firstLine="1100"/>
              <w:rPr>
                <w:rFonts w:asciiTheme="minorHAnsi" w:hAnsiTheme="minorHAnsi" w:cstheme="minorHAnsi"/>
                <w:color w:val="000000"/>
                <w:sz w:val="22"/>
                <w:szCs w:val="22"/>
              </w:rPr>
            </w:pPr>
            <w:r w:rsidRPr="001150C0">
              <w:rPr>
                <w:rFonts w:asciiTheme="minorHAnsi" w:hAnsiTheme="minorHAnsi" w:cstheme="minorHAnsi"/>
                <w:color w:val="000000"/>
                <w:sz w:val="22"/>
                <w:szCs w:val="22"/>
              </w:rPr>
              <w:t>UNFPA</w:t>
            </w:r>
          </w:p>
        </w:tc>
        <w:tc>
          <w:tcPr>
            <w:tcW w:w="1433" w:type="dxa"/>
            <w:shd w:val="clear" w:color="auto" w:fill="auto"/>
            <w:hideMark/>
          </w:tcPr>
          <w:p w14:paraId="7070166D" w14:textId="77777777" w:rsidR="00324434" w:rsidRPr="001150C0" w:rsidRDefault="00324434" w:rsidP="009F540C">
            <w:pPr>
              <w:jc w:val="center"/>
              <w:rPr>
                <w:rFonts w:asciiTheme="minorHAnsi" w:hAnsiTheme="minorHAnsi" w:cstheme="minorHAnsi"/>
                <w:color w:val="000000"/>
                <w:sz w:val="22"/>
                <w:szCs w:val="22"/>
              </w:rPr>
            </w:pPr>
            <w:r w:rsidRPr="001150C0">
              <w:rPr>
                <w:rFonts w:asciiTheme="minorHAnsi" w:hAnsiTheme="minorHAnsi" w:cstheme="minorHAnsi"/>
                <w:color w:val="000000"/>
                <w:sz w:val="22"/>
                <w:szCs w:val="22"/>
              </w:rPr>
              <w:t>7% or below </w:t>
            </w:r>
          </w:p>
        </w:tc>
        <w:tc>
          <w:tcPr>
            <w:tcW w:w="1919" w:type="dxa"/>
            <w:shd w:val="clear" w:color="auto" w:fill="auto"/>
            <w:vAlign w:val="center"/>
            <w:hideMark/>
          </w:tcPr>
          <w:p w14:paraId="171950CE" w14:textId="77777777" w:rsidR="00324434" w:rsidRPr="001150C0" w:rsidRDefault="00324434" w:rsidP="009F540C">
            <w:pPr>
              <w:jc w:val="right"/>
              <w:rPr>
                <w:rFonts w:asciiTheme="minorHAnsi" w:hAnsiTheme="minorHAnsi" w:cstheme="minorHAnsi"/>
                <w:color w:val="000000"/>
                <w:sz w:val="22"/>
                <w:szCs w:val="22"/>
              </w:rPr>
            </w:pPr>
            <w:r w:rsidRPr="001150C0">
              <w:rPr>
                <w:rFonts w:asciiTheme="minorHAnsi" w:hAnsiTheme="minorHAnsi" w:cstheme="minorHAnsi"/>
                <w:color w:val="000000"/>
                <w:sz w:val="22"/>
                <w:szCs w:val="22"/>
              </w:rPr>
              <w:t xml:space="preserve"> $2,228 </w:t>
            </w:r>
          </w:p>
        </w:tc>
      </w:tr>
      <w:tr w:rsidR="00324434" w:rsidRPr="00617BC4" w14:paraId="125858C6" w14:textId="77777777" w:rsidTr="00ED6518">
        <w:trPr>
          <w:trHeight w:val="374"/>
        </w:trPr>
        <w:tc>
          <w:tcPr>
            <w:tcW w:w="5940" w:type="dxa"/>
            <w:shd w:val="clear" w:color="auto" w:fill="auto"/>
            <w:vAlign w:val="center"/>
            <w:hideMark/>
          </w:tcPr>
          <w:p w14:paraId="778B0612" w14:textId="77777777" w:rsidR="00324434" w:rsidRPr="001150C0" w:rsidRDefault="00324434" w:rsidP="009F540C">
            <w:pPr>
              <w:jc w:val="both"/>
              <w:rPr>
                <w:rFonts w:asciiTheme="minorHAnsi" w:hAnsiTheme="minorHAnsi" w:cstheme="minorHAnsi"/>
                <w:b/>
                <w:bCs/>
                <w:color w:val="000000"/>
                <w:sz w:val="22"/>
                <w:szCs w:val="22"/>
              </w:rPr>
            </w:pPr>
            <w:r w:rsidRPr="001150C0">
              <w:rPr>
                <w:rFonts w:asciiTheme="minorHAnsi" w:hAnsiTheme="minorHAnsi" w:cstheme="minorHAnsi"/>
                <w:b/>
                <w:bCs/>
                <w:color w:val="000000"/>
                <w:sz w:val="22"/>
                <w:szCs w:val="22"/>
              </w:rPr>
              <w:t> </w:t>
            </w:r>
          </w:p>
        </w:tc>
        <w:tc>
          <w:tcPr>
            <w:tcW w:w="1433" w:type="dxa"/>
            <w:shd w:val="clear" w:color="auto" w:fill="auto"/>
            <w:hideMark/>
          </w:tcPr>
          <w:p w14:paraId="2B74E863" w14:textId="77777777" w:rsidR="00324434" w:rsidRPr="001150C0" w:rsidRDefault="00324434" w:rsidP="009F540C">
            <w:pPr>
              <w:jc w:val="center"/>
              <w:rPr>
                <w:rFonts w:asciiTheme="minorHAnsi" w:hAnsiTheme="minorHAnsi" w:cstheme="minorHAnsi"/>
                <w:b/>
                <w:bCs/>
                <w:color w:val="000000"/>
                <w:sz w:val="22"/>
                <w:szCs w:val="22"/>
              </w:rPr>
            </w:pPr>
            <w:r w:rsidRPr="001150C0">
              <w:rPr>
                <w:rFonts w:asciiTheme="minorHAnsi" w:hAnsiTheme="minorHAnsi" w:cstheme="minorHAnsi"/>
                <w:b/>
                <w:bCs/>
                <w:color w:val="000000"/>
                <w:sz w:val="22"/>
                <w:szCs w:val="22"/>
              </w:rPr>
              <w:t> </w:t>
            </w:r>
          </w:p>
        </w:tc>
        <w:tc>
          <w:tcPr>
            <w:tcW w:w="1919" w:type="dxa"/>
            <w:shd w:val="clear" w:color="auto" w:fill="auto"/>
            <w:vAlign w:val="center"/>
            <w:hideMark/>
          </w:tcPr>
          <w:p w14:paraId="3F03DD94" w14:textId="623C9241" w:rsidR="00324434" w:rsidRPr="005116B9" w:rsidRDefault="00573C5C" w:rsidP="009F540C">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$6,505,921</w:t>
            </w:r>
          </w:p>
        </w:tc>
      </w:tr>
    </w:tbl>
    <w:p w14:paraId="3F929817" w14:textId="77777777" w:rsidR="00324434" w:rsidRPr="005116B9" w:rsidRDefault="00324434">
      <w:pPr>
        <w:rPr>
          <w:rFonts w:asciiTheme="minorHAnsi" w:hAnsiTheme="minorHAnsi" w:cstheme="minorHAnsi"/>
          <w:sz w:val="22"/>
          <w:szCs w:val="22"/>
        </w:rPr>
      </w:pPr>
    </w:p>
    <w:p w14:paraId="1D67591D" w14:textId="77777777" w:rsidR="00737EF4" w:rsidRPr="00A61602" w:rsidRDefault="00737EF4">
      <w:pPr>
        <w:rPr>
          <w:rFonts w:asciiTheme="minorHAnsi" w:hAnsiTheme="minorHAnsi" w:cstheme="minorHAnsi"/>
          <w:sz w:val="22"/>
          <w:szCs w:val="22"/>
        </w:rPr>
      </w:pPr>
    </w:p>
    <w:sectPr w:rsidR="00737EF4" w:rsidRPr="00A61602" w:rsidSect="00DA6A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986F" w14:textId="77777777" w:rsidR="0091619C" w:rsidRDefault="0091619C" w:rsidP="00EF58E0">
      <w:r>
        <w:separator/>
      </w:r>
    </w:p>
  </w:endnote>
  <w:endnote w:type="continuationSeparator" w:id="0">
    <w:p w14:paraId="52BD490F" w14:textId="77777777" w:rsidR="0091619C" w:rsidRDefault="0091619C" w:rsidP="00EF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99ED" w14:textId="77777777" w:rsidR="0091619C" w:rsidRDefault="0091619C" w:rsidP="00EF58E0">
      <w:r>
        <w:separator/>
      </w:r>
    </w:p>
  </w:footnote>
  <w:footnote w:type="continuationSeparator" w:id="0">
    <w:p w14:paraId="5ED7A8B3" w14:textId="77777777" w:rsidR="0091619C" w:rsidRDefault="0091619C" w:rsidP="00EF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2B6"/>
    <w:multiLevelType w:val="hybridMultilevel"/>
    <w:tmpl w:val="DE760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085B02"/>
    <w:multiLevelType w:val="hybridMultilevel"/>
    <w:tmpl w:val="CC6CC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164A4"/>
    <w:multiLevelType w:val="hybridMultilevel"/>
    <w:tmpl w:val="F5AA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102FD"/>
    <w:multiLevelType w:val="hybridMultilevel"/>
    <w:tmpl w:val="88B63272"/>
    <w:lvl w:ilvl="0" w:tplc="E3D273F8">
      <w:start w:val="2"/>
      <w:numFmt w:val="lowerRoman"/>
      <w:lvlText w:val="%1."/>
      <w:lvlJc w:val="right"/>
      <w:pPr>
        <w:ind w:left="18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043F5"/>
    <w:multiLevelType w:val="hybridMultilevel"/>
    <w:tmpl w:val="46C0B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DB1F23"/>
    <w:multiLevelType w:val="hybridMultilevel"/>
    <w:tmpl w:val="DCA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D7018"/>
    <w:multiLevelType w:val="hybridMultilevel"/>
    <w:tmpl w:val="000C3EF2"/>
    <w:lvl w:ilvl="0" w:tplc="77BAB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6F1137"/>
    <w:multiLevelType w:val="hybridMultilevel"/>
    <w:tmpl w:val="4120ED90"/>
    <w:lvl w:ilvl="0" w:tplc="93D03B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21C60"/>
    <w:multiLevelType w:val="hybridMultilevel"/>
    <w:tmpl w:val="DCE8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1908"/>
    <w:multiLevelType w:val="hybridMultilevel"/>
    <w:tmpl w:val="0E86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60DF8"/>
    <w:multiLevelType w:val="hybridMultilevel"/>
    <w:tmpl w:val="C53AD7A6"/>
    <w:lvl w:ilvl="0" w:tplc="A64E6C02">
      <w:start w:val="1"/>
      <w:numFmt w:val="decimal"/>
      <w:lvlText w:val="%1."/>
      <w:lvlJc w:val="left"/>
      <w:pPr>
        <w:ind w:left="360" w:hanging="360"/>
      </w:pPr>
      <w:rPr>
        <w:rFonts w:ascii="Times New Roman" w:eastAsia="Times New Roman" w:hAnsi="Times New Roman" w:cs="Times New Roman"/>
      </w:rPr>
    </w:lvl>
    <w:lvl w:ilvl="1" w:tplc="04090017">
      <w:start w:val="1"/>
      <w:numFmt w:val="lowerLetter"/>
      <w:lvlText w:val="%2)"/>
      <w:lvlJc w:val="left"/>
      <w:pPr>
        <w:ind w:left="1170" w:hanging="360"/>
      </w:pPr>
    </w:lvl>
    <w:lvl w:ilvl="2" w:tplc="0409001B">
      <w:start w:val="1"/>
      <w:numFmt w:val="lowerRoman"/>
      <w:lvlText w:val="%3."/>
      <w:lvlJc w:val="right"/>
      <w:pPr>
        <w:ind w:left="1890" w:hanging="180"/>
      </w:p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CC07FB"/>
    <w:multiLevelType w:val="hybridMultilevel"/>
    <w:tmpl w:val="F6EA358E"/>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6C7776C"/>
    <w:multiLevelType w:val="hybridMultilevel"/>
    <w:tmpl w:val="6BFC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52039"/>
    <w:multiLevelType w:val="hybridMultilevel"/>
    <w:tmpl w:val="57E665A2"/>
    <w:lvl w:ilvl="0" w:tplc="81202D60">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0225F"/>
    <w:multiLevelType w:val="hybridMultilevel"/>
    <w:tmpl w:val="9D487720"/>
    <w:lvl w:ilvl="0" w:tplc="A64E6C02">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530" w:hanging="360"/>
      </w:pPr>
    </w:lvl>
    <w:lvl w:ilvl="2" w:tplc="0409001B">
      <w:start w:val="1"/>
      <w:numFmt w:val="lowerRoman"/>
      <w:lvlText w:val="%3."/>
      <w:lvlJc w:val="right"/>
      <w:pPr>
        <w:ind w:left="2250" w:hanging="180"/>
      </w:pPr>
    </w:lvl>
    <w:lvl w:ilvl="3" w:tplc="04090001">
      <w:start w:val="1"/>
      <w:numFmt w:val="bullet"/>
      <w:lvlText w:val=""/>
      <w:lvlJc w:val="left"/>
      <w:pPr>
        <w:ind w:left="2970" w:hanging="360"/>
      </w:pPr>
      <w:rPr>
        <w:rFonts w:ascii="Symbol" w:hAnsi="Symbol"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DCD2823"/>
    <w:multiLevelType w:val="hybridMultilevel"/>
    <w:tmpl w:val="52E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131BC"/>
    <w:multiLevelType w:val="hybridMultilevel"/>
    <w:tmpl w:val="EC1C78C2"/>
    <w:lvl w:ilvl="0" w:tplc="BF360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673C7B"/>
    <w:multiLevelType w:val="hybridMultilevel"/>
    <w:tmpl w:val="A82E9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205690"/>
    <w:multiLevelType w:val="hybridMultilevel"/>
    <w:tmpl w:val="5D18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0"/>
  </w:num>
  <w:num w:numId="5">
    <w:abstractNumId w:val="6"/>
  </w:num>
  <w:num w:numId="6">
    <w:abstractNumId w:val="8"/>
  </w:num>
  <w:num w:numId="7">
    <w:abstractNumId w:val="5"/>
  </w:num>
  <w:num w:numId="8">
    <w:abstractNumId w:val="2"/>
  </w:num>
  <w:num w:numId="9">
    <w:abstractNumId w:val="18"/>
  </w:num>
  <w:num w:numId="10">
    <w:abstractNumId w:val="15"/>
  </w:num>
  <w:num w:numId="11">
    <w:abstractNumId w:val="12"/>
  </w:num>
  <w:num w:numId="12">
    <w:abstractNumId w:val="7"/>
  </w:num>
  <w:num w:numId="13">
    <w:abstractNumId w:val="13"/>
  </w:num>
  <w:num w:numId="14">
    <w:abstractNumId w:val="11"/>
  </w:num>
  <w:num w:numId="15">
    <w:abstractNumId w:val="10"/>
  </w:num>
  <w:num w:numId="16">
    <w:abstractNumId w:val="9"/>
  </w:num>
  <w:num w:numId="17">
    <w:abstractNumId w:val="14"/>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38"/>
    <w:rsid w:val="00001CCE"/>
    <w:rsid w:val="00004214"/>
    <w:rsid w:val="0000559A"/>
    <w:rsid w:val="000340E1"/>
    <w:rsid w:val="00035CFF"/>
    <w:rsid w:val="0004392C"/>
    <w:rsid w:val="000605BA"/>
    <w:rsid w:val="0006493D"/>
    <w:rsid w:val="00073F5D"/>
    <w:rsid w:val="00080404"/>
    <w:rsid w:val="0009013B"/>
    <w:rsid w:val="000914E1"/>
    <w:rsid w:val="00097342"/>
    <w:rsid w:val="000A1965"/>
    <w:rsid w:val="000B3DA6"/>
    <w:rsid w:val="000B71FB"/>
    <w:rsid w:val="000C4C92"/>
    <w:rsid w:val="000D3E7A"/>
    <w:rsid w:val="000E239F"/>
    <w:rsid w:val="000F194B"/>
    <w:rsid w:val="000F33F5"/>
    <w:rsid w:val="000F7C8B"/>
    <w:rsid w:val="001111F2"/>
    <w:rsid w:val="001150C0"/>
    <w:rsid w:val="00120300"/>
    <w:rsid w:val="00124181"/>
    <w:rsid w:val="0013027D"/>
    <w:rsid w:val="0013068E"/>
    <w:rsid w:val="00144A63"/>
    <w:rsid w:val="001500E7"/>
    <w:rsid w:val="001508DC"/>
    <w:rsid w:val="00156ACA"/>
    <w:rsid w:val="00176252"/>
    <w:rsid w:val="001814DA"/>
    <w:rsid w:val="00181631"/>
    <w:rsid w:val="00181DB2"/>
    <w:rsid w:val="0018415B"/>
    <w:rsid w:val="00190138"/>
    <w:rsid w:val="001A2E61"/>
    <w:rsid w:val="001D2DDA"/>
    <w:rsid w:val="001D55DA"/>
    <w:rsid w:val="001D7DD8"/>
    <w:rsid w:val="001E44F1"/>
    <w:rsid w:val="001F09D7"/>
    <w:rsid w:val="001F508A"/>
    <w:rsid w:val="00205CD2"/>
    <w:rsid w:val="00216CF7"/>
    <w:rsid w:val="0022432C"/>
    <w:rsid w:val="00225902"/>
    <w:rsid w:val="00256A11"/>
    <w:rsid w:val="00265A4B"/>
    <w:rsid w:val="00274073"/>
    <w:rsid w:val="0028024F"/>
    <w:rsid w:val="002B00BC"/>
    <w:rsid w:val="002D6D11"/>
    <w:rsid w:val="002E587B"/>
    <w:rsid w:val="002F160E"/>
    <w:rsid w:val="002F3064"/>
    <w:rsid w:val="00304F6A"/>
    <w:rsid w:val="0031212A"/>
    <w:rsid w:val="00316FCB"/>
    <w:rsid w:val="003231DC"/>
    <w:rsid w:val="00324434"/>
    <w:rsid w:val="0033282E"/>
    <w:rsid w:val="00332A75"/>
    <w:rsid w:val="003333A3"/>
    <w:rsid w:val="00342E6A"/>
    <w:rsid w:val="00357A94"/>
    <w:rsid w:val="00361566"/>
    <w:rsid w:val="003641F8"/>
    <w:rsid w:val="00376878"/>
    <w:rsid w:val="00393E30"/>
    <w:rsid w:val="003C3D18"/>
    <w:rsid w:val="003D65C3"/>
    <w:rsid w:val="004045BF"/>
    <w:rsid w:val="00405A40"/>
    <w:rsid w:val="0041004A"/>
    <w:rsid w:val="004177F2"/>
    <w:rsid w:val="00422B59"/>
    <w:rsid w:val="00443BF1"/>
    <w:rsid w:val="004620D1"/>
    <w:rsid w:val="00465DC9"/>
    <w:rsid w:val="00471C47"/>
    <w:rsid w:val="0049499F"/>
    <w:rsid w:val="004A0DFF"/>
    <w:rsid w:val="004B4468"/>
    <w:rsid w:val="004E31D2"/>
    <w:rsid w:val="005016CE"/>
    <w:rsid w:val="00503254"/>
    <w:rsid w:val="005107EB"/>
    <w:rsid w:val="005116B9"/>
    <w:rsid w:val="00513444"/>
    <w:rsid w:val="00514517"/>
    <w:rsid w:val="00517E11"/>
    <w:rsid w:val="00520D85"/>
    <w:rsid w:val="005651DA"/>
    <w:rsid w:val="00573C5C"/>
    <w:rsid w:val="0057707F"/>
    <w:rsid w:val="0057762E"/>
    <w:rsid w:val="0059546B"/>
    <w:rsid w:val="005A529C"/>
    <w:rsid w:val="005C08D9"/>
    <w:rsid w:val="005C6935"/>
    <w:rsid w:val="005D3BF2"/>
    <w:rsid w:val="005F53C9"/>
    <w:rsid w:val="00600B80"/>
    <w:rsid w:val="00617BC4"/>
    <w:rsid w:val="00625CB8"/>
    <w:rsid w:val="006341C1"/>
    <w:rsid w:val="00637D2F"/>
    <w:rsid w:val="006651A6"/>
    <w:rsid w:val="00671BD1"/>
    <w:rsid w:val="0068740C"/>
    <w:rsid w:val="006918B6"/>
    <w:rsid w:val="006C1446"/>
    <w:rsid w:val="006C23E4"/>
    <w:rsid w:val="006D21B4"/>
    <w:rsid w:val="006E280F"/>
    <w:rsid w:val="006F0BE5"/>
    <w:rsid w:val="006F7750"/>
    <w:rsid w:val="006F7BB3"/>
    <w:rsid w:val="00703122"/>
    <w:rsid w:val="007121F9"/>
    <w:rsid w:val="00712750"/>
    <w:rsid w:val="007143FA"/>
    <w:rsid w:val="007233AA"/>
    <w:rsid w:val="00737EF4"/>
    <w:rsid w:val="00742B56"/>
    <w:rsid w:val="0078078A"/>
    <w:rsid w:val="00781A50"/>
    <w:rsid w:val="0078516B"/>
    <w:rsid w:val="00797985"/>
    <w:rsid w:val="007B3185"/>
    <w:rsid w:val="007C3D14"/>
    <w:rsid w:val="007C6319"/>
    <w:rsid w:val="007D34AB"/>
    <w:rsid w:val="007E1B90"/>
    <w:rsid w:val="007E5D84"/>
    <w:rsid w:val="007E620A"/>
    <w:rsid w:val="007F095E"/>
    <w:rsid w:val="007F213D"/>
    <w:rsid w:val="007F664A"/>
    <w:rsid w:val="00802307"/>
    <w:rsid w:val="0080334C"/>
    <w:rsid w:val="008205DC"/>
    <w:rsid w:val="0084717E"/>
    <w:rsid w:val="008559B5"/>
    <w:rsid w:val="00855AAB"/>
    <w:rsid w:val="00863428"/>
    <w:rsid w:val="00872992"/>
    <w:rsid w:val="00875BBA"/>
    <w:rsid w:val="00882CBF"/>
    <w:rsid w:val="008850A0"/>
    <w:rsid w:val="0088625C"/>
    <w:rsid w:val="0089529C"/>
    <w:rsid w:val="008A54DD"/>
    <w:rsid w:val="008A69C7"/>
    <w:rsid w:val="008A7B1B"/>
    <w:rsid w:val="008C4B18"/>
    <w:rsid w:val="008C65E6"/>
    <w:rsid w:val="008D0579"/>
    <w:rsid w:val="008E0F4A"/>
    <w:rsid w:val="008E3BA0"/>
    <w:rsid w:val="008E40E8"/>
    <w:rsid w:val="00900DE6"/>
    <w:rsid w:val="009156BA"/>
    <w:rsid w:val="0091619C"/>
    <w:rsid w:val="0092633D"/>
    <w:rsid w:val="00937FAC"/>
    <w:rsid w:val="00957047"/>
    <w:rsid w:val="009637A9"/>
    <w:rsid w:val="00967736"/>
    <w:rsid w:val="00973250"/>
    <w:rsid w:val="00974E73"/>
    <w:rsid w:val="00975DE4"/>
    <w:rsid w:val="00985678"/>
    <w:rsid w:val="009C2351"/>
    <w:rsid w:val="009C5D22"/>
    <w:rsid w:val="009D06F6"/>
    <w:rsid w:val="009D4FCB"/>
    <w:rsid w:val="009F30C6"/>
    <w:rsid w:val="009F540C"/>
    <w:rsid w:val="00A31EBD"/>
    <w:rsid w:val="00A3626E"/>
    <w:rsid w:val="00A3685A"/>
    <w:rsid w:val="00A44666"/>
    <w:rsid w:val="00A4625D"/>
    <w:rsid w:val="00A61602"/>
    <w:rsid w:val="00A7292D"/>
    <w:rsid w:val="00A82B16"/>
    <w:rsid w:val="00A8443A"/>
    <w:rsid w:val="00A967AA"/>
    <w:rsid w:val="00AA7030"/>
    <w:rsid w:val="00AC07C2"/>
    <w:rsid w:val="00AD415D"/>
    <w:rsid w:val="00AD79E7"/>
    <w:rsid w:val="00AE59E6"/>
    <w:rsid w:val="00AE606D"/>
    <w:rsid w:val="00B01D89"/>
    <w:rsid w:val="00B027D8"/>
    <w:rsid w:val="00B0321B"/>
    <w:rsid w:val="00B037EC"/>
    <w:rsid w:val="00B1495E"/>
    <w:rsid w:val="00B17D91"/>
    <w:rsid w:val="00B244C6"/>
    <w:rsid w:val="00B270A8"/>
    <w:rsid w:val="00B32A5F"/>
    <w:rsid w:val="00B33938"/>
    <w:rsid w:val="00B44F51"/>
    <w:rsid w:val="00B5213C"/>
    <w:rsid w:val="00B6011D"/>
    <w:rsid w:val="00B61072"/>
    <w:rsid w:val="00B869B4"/>
    <w:rsid w:val="00B87A66"/>
    <w:rsid w:val="00BB76B7"/>
    <w:rsid w:val="00BC54D2"/>
    <w:rsid w:val="00BC6C66"/>
    <w:rsid w:val="00BD279E"/>
    <w:rsid w:val="00BD4B52"/>
    <w:rsid w:val="00BE6326"/>
    <w:rsid w:val="00C007F9"/>
    <w:rsid w:val="00C0465E"/>
    <w:rsid w:val="00C22488"/>
    <w:rsid w:val="00C2434D"/>
    <w:rsid w:val="00C33C47"/>
    <w:rsid w:val="00C36300"/>
    <w:rsid w:val="00C36561"/>
    <w:rsid w:val="00C55C0C"/>
    <w:rsid w:val="00C628E3"/>
    <w:rsid w:val="00C6706A"/>
    <w:rsid w:val="00C7010B"/>
    <w:rsid w:val="00C72500"/>
    <w:rsid w:val="00CB618E"/>
    <w:rsid w:val="00CC08E4"/>
    <w:rsid w:val="00CC74D9"/>
    <w:rsid w:val="00CF0283"/>
    <w:rsid w:val="00CF2588"/>
    <w:rsid w:val="00CF5D6E"/>
    <w:rsid w:val="00D04C1C"/>
    <w:rsid w:val="00D07855"/>
    <w:rsid w:val="00D07CAA"/>
    <w:rsid w:val="00D13CA0"/>
    <w:rsid w:val="00D223F2"/>
    <w:rsid w:val="00D26F28"/>
    <w:rsid w:val="00D30EFB"/>
    <w:rsid w:val="00D31473"/>
    <w:rsid w:val="00D429BE"/>
    <w:rsid w:val="00D44598"/>
    <w:rsid w:val="00D55544"/>
    <w:rsid w:val="00D6736F"/>
    <w:rsid w:val="00D67CB9"/>
    <w:rsid w:val="00D81CBF"/>
    <w:rsid w:val="00D83509"/>
    <w:rsid w:val="00D83824"/>
    <w:rsid w:val="00D91A82"/>
    <w:rsid w:val="00D94901"/>
    <w:rsid w:val="00DA1796"/>
    <w:rsid w:val="00DA2204"/>
    <w:rsid w:val="00DA6AED"/>
    <w:rsid w:val="00DB478A"/>
    <w:rsid w:val="00DC3410"/>
    <w:rsid w:val="00DE0CFF"/>
    <w:rsid w:val="00DF1E41"/>
    <w:rsid w:val="00DF20AE"/>
    <w:rsid w:val="00DF2CF4"/>
    <w:rsid w:val="00DF3749"/>
    <w:rsid w:val="00DF53EF"/>
    <w:rsid w:val="00DF5400"/>
    <w:rsid w:val="00E12203"/>
    <w:rsid w:val="00E16BEE"/>
    <w:rsid w:val="00E22C23"/>
    <w:rsid w:val="00E22CED"/>
    <w:rsid w:val="00E34955"/>
    <w:rsid w:val="00E372E6"/>
    <w:rsid w:val="00E37C84"/>
    <w:rsid w:val="00E5300A"/>
    <w:rsid w:val="00E53705"/>
    <w:rsid w:val="00E53F36"/>
    <w:rsid w:val="00E74695"/>
    <w:rsid w:val="00E746BD"/>
    <w:rsid w:val="00E8003D"/>
    <w:rsid w:val="00E81F14"/>
    <w:rsid w:val="00E90D80"/>
    <w:rsid w:val="00EB417A"/>
    <w:rsid w:val="00ED2F78"/>
    <w:rsid w:val="00ED51E4"/>
    <w:rsid w:val="00ED6518"/>
    <w:rsid w:val="00EE67D3"/>
    <w:rsid w:val="00EF3467"/>
    <w:rsid w:val="00EF58E0"/>
    <w:rsid w:val="00F05B79"/>
    <w:rsid w:val="00F05CDA"/>
    <w:rsid w:val="00F40183"/>
    <w:rsid w:val="00F571E9"/>
    <w:rsid w:val="00F66E53"/>
    <w:rsid w:val="00F7150E"/>
    <w:rsid w:val="00F851AF"/>
    <w:rsid w:val="00F85C30"/>
    <w:rsid w:val="00FB55CC"/>
    <w:rsid w:val="00FC2D44"/>
    <w:rsid w:val="00FD412F"/>
    <w:rsid w:val="00FD7A8D"/>
    <w:rsid w:val="00FE3FDC"/>
    <w:rsid w:val="00FE6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8346"/>
  <w15:chartTrackingRefBased/>
  <w15:docId w15:val="{8F800ECD-B208-B147-8EE6-20119F89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
    <w:basedOn w:val="Normal"/>
    <w:link w:val="ListParagraphChar"/>
    <w:uiPriority w:val="34"/>
    <w:qFormat/>
    <w:rsid w:val="00190138"/>
    <w:pPr>
      <w:ind w:left="720"/>
      <w:contextualSpacing/>
    </w:pPr>
    <w:rPr>
      <w:rFonts w:asciiTheme="minorHAnsi" w:eastAsiaTheme="minorHAnsi" w:hAnsiTheme="minorHAnsi" w:cstheme="minorBidi"/>
    </w:rPr>
  </w:style>
  <w:style w:type="paragraph" w:styleId="Header">
    <w:name w:val="header"/>
    <w:basedOn w:val="Normal"/>
    <w:link w:val="HeaderChar"/>
    <w:uiPriority w:val="99"/>
    <w:rsid w:val="00190138"/>
    <w:pPr>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190138"/>
    <w:rPr>
      <w:rFonts w:ascii="Courier" w:eastAsia="Times New Roman" w:hAnsi="Courier" w:cs="Times New Roman"/>
      <w:szCs w:val="20"/>
    </w:rPr>
  </w:style>
  <w:style w:type="character" w:customStyle="1" w:styleId="st1">
    <w:name w:val="st1"/>
    <w:basedOn w:val="DefaultParagraphFont"/>
    <w:rsid w:val="00190138"/>
  </w:style>
  <w:style w:type="paragraph" w:styleId="BalloonText">
    <w:name w:val="Balloon Text"/>
    <w:basedOn w:val="Normal"/>
    <w:link w:val="BalloonTextChar"/>
    <w:uiPriority w:val="99"/>
    <w:semiHidden/>
    <w:unhideWhenUsed/>
    <w:rsid w:val="0057762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7762E"/>
    <w:rPr>
      <w:rFonts w:ascii="Segoe UI" w:hAnsi="Segoe UI" w:cs="Segoe UI"/>
      <w:sz w:val="18"/>
      <w:szCs w:val="18"/>
    </w:rPr>
  </w:style>
  <w:style w:type="table" w:styleId="TableGrid">
    <w:name w:val="Table Grid"/>
    <w:basedOn w:val="TableNormal"/>
    <w:uiPriority w:val="39"/>
    <w:rsid w:val="00BC6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58E0"/>
    <w:rPr>
      <w:sz w:val="20"/>
      <w:szCs w:val="20"/>
    </w:rPr>
  </w:style>
  <w:style w:type="character" w:customStyle="1" w:styleId="FootnoteTextChar">
    <w:name w:val="Footnote Text Char"/>
    <w:basedOn w:val="DefaultParagraphFont"/>
    <w:link w:val="FootnoteText"/>
    <w:uiPriority w:val="99"/>
    <w:semiHidden/>
    <w:rsid w:val="00EF58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58E0"/>
    <w:rPr>
      <w:vertAlign w:val="superscript"/>
    </w:rPr>
  </w:style>
  <w:style w:type="character" w:styleId="CommentReference">
    <w:name w:val="annotation reference"/>
    <w:basedOn w:val="DefaultParagraphFont"/>
    <w:uiPriority w:val="99"/>
    <w:semiHidden/>
    <w:unhideWhenUsed/>
    <w:rsid w:val="000A1965"/>
    <w:rPr>
      <w:sz w:val="16"/>
      <w:szCs w:val="16"/>
    </w:rPr>
  </w:style>
  <w:style w:type="paragraph" w:styleId="CommentText">
    <w:name w:val="annotation text"/>
    <w:basedOn w:val="Normal"/>
    <w:link w:val="CommentTextChar"/>
    <w:uiPriority w:val="99"/>
    <w:unhideWhenUsed/>
    <w:rsid w:val="000A1965"/>
    <w:rPr>
      <w:sz w:val="20"/>
      <w:szCs w:val="20"/>
    </w:rPr>
  </w:style>
  <w:style w:type="character" w:customStyle="1" w:styleId="CommentTextChar">
    <w:name w:val="Comment Text Char"/>
    <w:basedOn w:val="DefaultParagraphFont"/>
    <w:link w:val="CommentText"/>
    <w:uiPriority w:val="99"/>
    <w:rsid w:val="000A19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965"/>
    <w:rPr>
      <w:b/>
      <w:bCs/>
    </w:rPr>
  </w:style>
  <w:style w:type="character" w:customStyle="1" w:styleId="CommentSubjectChar">
    <w:name w:val="Comment Subject Char"/>
    <w:basedOn w:val="CommentTextChar"/>
    <w:link w:val="CommentSubject"/>
    <w:uiPriority w:val="99"/>
    <w:semiHidden/>
    <w:rsid w:val="000A1965"/>
    <w:rPr>
      <w:rFonts w:ascii="Times New Roman" w:eastAsia="Times New Roman" w:hAnsi="Times New Roman" w:cs="Times New Roman"/>
      <w:b/>
      <w:bCs/>
      <w:sz w:val="20"/>
      <w:szCs w:val="20"/>
    </w:rPr>
  </w:style>
  <w:style w:type="character" w:customStyle="1" w:styleId="ListParagraphChar">
    <w:name w:val="List Paragraph Char"/>
    <w:aliases w:val="List Paragraph (numbered (a)) Char,Bullets Char,List Paragraph1 Char"/>
    <w:link w:val="ListParagraph"/>
    <w:uiPriority w:val="34"/>
    <w:locked/>
    <w:rsid w:val="00985678"/>
  </w:style>
  <w:style w:type="paragraph" w:styleId="Revision">
    <w:name w:val="Revision"/>
    <w:hidden/>
    <w:uiPriority w:val="99"/>
    <w:semiHidden/>
    <w:rsid w:val="000F33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1788">
      <w:bodyDiv w:val="1"/>
      <w:marLeft w:val="0"/>
      <w:marRight w:val="0"/>
      <w:marTop w:val="0"/>
      <w:marBottom w:val="0"/>
      <w:divBdr>
        <w:top w:val="none" w:sz="0" w:space="0" w:color="auto"/>
        <w:left w:val="none" w:sz="0" w:space="0" w:color="auto"/>
        <w:bottom w:val="none" w:sz="0" w:space="0" w:color="auto"/>
        <w:right w:val="none" w:sz="0" w:space="0" w:color="auto"/>
      </w:divBdr>
    </w:div>
    <w:div w:id="85922836">
      <w:bodyDiv w:val="1"/>
      <w:marLeft w:val="0"/>
      <w:marRight w:val="0"/>
      <w:marTop w:val="0"/>
      <w:marBottom w:val="0"/>
      <w:divBdr>
        <w:top w:val="none" w:sz="0" w:space="0" w:color="auto"/>
        <w:left w:val="none" w:sz="0" w:space="0" w:color="auto"/>
        <w:bottom w:val="none" w:sz="0" w:space="0" w:color="auto"/>
        <w:right w:val="none" w:sz="0" w:space="0" w:color="auto"/>
      </w:divBdr>
    </w:div>
    <w:div w:id="152528503">
      <w:bodyDiv w:val="1"/>
      <w:marLeft w:val="0"/>
      <w:marRight w:val="0"/>
      <w:marTop w:val="0"/>
      <w:marBottom w:val="0"/>
      <w:divBdr>
        <w:top w:val="none" w:sz="0" w:space="0" w:color="auto"/>
        <w:left w:val="none" w:sz="0" w:space="0" w:color="auto"/>
        <w:bottom w:val="none" w:sz="0" w:space="0" w:color="auto"/>
        <w:right w:val="none" w:sz="0" w:space="0" w:color="auto"/>
      </w:divBdr>
    </w:div>
    <w:div w:id="182405998">
      <w:bodyDiv w:val="1"/>
      <w:marLeft w:val="0"/>
      <w:marRight w:val="0"/>
      <w:marTop w:val="0"/>
      <w:marBottom w:val="0"/>
      <w:divBdr>
        <w:top w:val="none" w:sz="0" w:space="0" w:color="auto"/>
        <w:left w:val="none" w:sz="0" w:space="0" w:color="auto"/>
        <w:bottom w:val="none" w:sz="0" w:space="0" w:color="auto"/>
        <w:right w:val="none" w:sz="0" w:space="0" w:color="auto"/>
      </w:divBdr>
    </w:div>
    <w:div w:id="260842803">
      <w:bodyDiv w:val="1"/>
      <w:marLeft w:val="0"/>
      <w:marRight w:val="0"/>
      <w:marTop w:val="0"/>
      <w:marBottom w:val="0"/>
      <w:divBdr>
        <w:top w:val="none" w:sz="0" w:space="0" w:color="auto"/>
        <w:left w:val="none" w:sz="0" w:space="0" w:color="auto"/>
        <w:bottom w:val="none" w:sz="0" w:space="0" w:color="auto"/>
        <w:right w:val="none" w:sz="0" w:space="0" w:color="auto"/>
      </w:divBdr>
    </w:div>
    <w:div w:id="269241046">
      <w:bodyDiv w:val="1"/>
      <w:marLeft w:val="0"/>
      <w:marRight w:val="0"/>
      <w:marTop w:val="0"/>
      <w:marBottom w:val="0"/>
      <w:divBdr>
        <w:top w:val="none" w:sz="0" w:space="0" w:color="auto"/>
        <w:left w:val="none" w:sz="0" w:space="0" w:color="auto"/>
        <w:bottom w:val="none" w:sz="0" w:space="0" w:color="auto"/>
        <w:right w:val="none" w:sz="0" w:space="0" w:color="auto"/>
      </w:divBdr>
    </w:div>
    <w:div w:id="286817950">
      <w:bodyDiv w:val="1"/>
      <w:marLeft w:val="0"/>
      <w:marRight w:val="0"/>
      <w:marTop w:val="0"/>
      <w:marBottom w:val="0"/>
      <w:divBdr>
        <w:top w:val="none" w:sz="0" w:space="0" w:color="auto"/>
        <w:left w:val="none" w:sz="0" w:space="0" w:color="auto"/>
        <w:bottom w:val="none" w:sz="0" w:space="0" w:color="auto"/>
        <w:right w:val="none" w:sz="0" w:space="0" w:color="auto"/>
      </w:divBdr>
    </w:div>
    <w:div w:id="289358277">
      <w:bodyDiv w:val="1"/>
      <w:marLeft w:val="0"/>
      <w:marRight w:val="0"/>
      <w:marTop w:val="0"/>
      <w:marBottom w:val="0"/>
      <w:divBdr>
        <w:top w:val="none" w:sz="0" w:space="0" w:color="auto"/>
        <w:left w:val="none" w:sz="0" w:space="0" w:color="auto"/>
        <w:bottom w:val="none" w:sz="0" w:space="0" w:color="auto"/>
        <w:right w:val="none" w:sz="0" w:space="0" w:color="auto"/>
      </w:divBdr>
    </w:div>
    <w:div w:id="347832192">
      <w:bodyDiv w:val="1"/>
      <w:marLeft w:val="0"/>
      <w:marRight w:val="0"/>
      <w:marTop w:val="0"/>
      <w:marBottom w:val="0"/>
      <w:divBdr>
        <w:top w:val="none" w:sz="0" w:space="0" w:color="auto"/>
        <w:left w:val="none" w:sz="0" w:space="0" w:color="auto"/>
        <w:bottom w:val="none" w:sz="0" w:space="0" w:color="auto"/>
        <w:right w:val="none" w:sz="0" w:space="0" w:color="auto"/>
      </w:divBdr>
    </w:div>
    <w:div w:id="425422724">
      <w:bodyDiv w:val="1"/>
      <w:marLeft w:val="0"/>
      <w:marRight w:val="0"/>
      <w:marTop w:val="0"/>
      <w:marBottom w:val="0"/>
      <w:divBdr>
        <w:top w:val="none" w:sz="0" w:space="0" w:color="auto"/>
        <w:left w:val="none" w:sz="0" w:space="0" w:color="auto"/>
        <w:bottom w:val="none" w:sz="0" w:space="0" w:color="auto"/>
        <w:right w:val="none" w:sz="0" w:space="0" w:color="auto"/>
      </w:divBdr>
    </w:div>
    <w:div w:id="440152335">
      <w:bodyDiv w:val="1"/>
      <w:marLeft w:val="0"/>
      <w:marRight w:val="0"/>
      <w:marTop w:val="0"/>
      <w:marBottom w:val="0"/>
      <w:divBdr>
        <w:top w:val="none" w:sz="0" w:space="0" w:color="auto"/>
        <w:left w:val="none" w:sz="0" w:space="0" w:color="auto"/>
        <w:bottom w:val="none" w:sz="0" w:space="0" w:color="auto"/>
        <w:right w:val="none" w:sz="0" w:space="0" w:color="auto"/>
      </w:divBdr>
    </w:div>
    <w:div w:id="451169873">
      <w:bodyDiv w:val="1"/>
      <w:marLeft w:val="0"/>
      <w:marRight w:val="0"/>
      <w:marTop w:val="0"/>
      <w:marBottom w:val="0"/>
      <w:divBdr>
        <w:top w:val="none" w:sz="0" w:space="0" w:color="auto"/>
        <w:left w:val="none" w:sz="0" w:space="0" w:color="auto"/>
        <w:bottom w:val="none" w:sz="0" w:space="0" w:color="auto"/>
        <w:right w:val="none" w:sz="0" w:space="0" w:color="auto"/>
      </w:divBdr>
    </w:div>
    <w:div w:id="472795335">
      <w:bodyDiv w:val="1"/>
      <w:marLeft w:val="0"/>
      <w:marRight w:val="0"/>
      <w:marTop w:val="0"/>
      <w:marBottom w:val="0"/>
      <w:divBdr>
        <w:top w:val="none" w:sz="0" w:space="0" w:color="auto"/>
        <w:left w:val="none" w:sz="0" w:space="0" w:color="auto"/>
        <w:bottom w:val="none" w:sz="0" w:space="0" w:color="auto"/>
        <w:right w:val="none" w:sz="0" w:space="0" w:color="auto"/>
      </w:divBdr>
    </w:div>
    <w:div w:id="573585268">
      <w:bodyDiv w:val="1"/>
      <w:marLeft w:val="0"/>
      <w:marRight w:val="0"/>
      <w:marTop w:val="0"/>
      <w:marBottom w:val="0"/>
      <w:divBdr>
        <w:top w:val="none" w:sz="0" w:space="0" w:color="auto"/>
        <w:left w:val="none" w:sz="0" w:space="0" w:color="auto"/>
        <w:bottom w:val="none" w:sz="0" w:space="0" w:color="auto"/>
        <w:right w:val="none" w:sz="0" w:space="0" w:color="auto"/>
      </w:divBdr>
    </w:div>
    <w:div w:id="644746704">
      <w:bodyDiv w:val="1"/>
      <w:marLeft w:val="0"/>
      <w:marRight w:val="0"/>
      <w:marTop w:val="0"/>
      <w:marBottom w:val="0"/>
      <w:divBdr>
        <w:top w:val="none" w:sz="0" w:space="0" w:color="auto"/>
        <w:left w:val="none" w:sz="0" w:space="0" w:color="auto"/>
        <w:bottom w:val="none" w:sz="0" w:space="0" w:color="auto"/>
        <w:right w:val="none" w:sz="0" w:space="0" w:color="auto"/>
      </w:divBdr>
    </w:div>
    <w:div w:id="717126963">
      <w:bodyDiv w:val="1"/>
      <w:marLeft w:val="0"/>
      <w:marRight w:val="0"/>
      <w:marTop w:val="0"/>
      <w:marBottom w:val="0"/>
      <w:divBdr>
        <w:top w:val="none" w:sz="0" w:space="0" w:color="auto"/>
        <w:left w:val="none" w:sz="0" w:space="0" w:color="auto"/>
        <w:bottom w:val="none" w:sz="0" w:space="0" w:color="auto"/>
        <w:right w:val="none" w:sz="0" w:space="0" w:color="auto"/>
      </w:divBdr>
    </w:div>
    <w:div w:id="739525831">
      <w:bodyDiv w:val="1"/>
      <w:marLeft w:val="0"/>
      <w:marRight w:val="0"/>
      <w:marTop w:val="0"/>
      <w:marBottom w:val="0"/>
      <w:divBdr>
        <w:top w:val="none" w:sz="0" w:space="0" w:color="auto"/>
        <w:left w:val="none" w:sz="0" w:space="0" w:color="auto"/>
        <w:bottom w:val="none" w:sz="0" w:space="0" w:color="auto"/>
        <w:right w:val="none" w:sz="0" w:space="0" w:color="auto"/>
      </w:divBdr>
    </w:div>
    <w:div w:id="765460695">
      <w:bodyDiv w:val="1"/>
      <w:marLeft w:val="0"/>
      <w:marRight w:val="0"/>
      <w:marTop w:val="0"/>
      <w:marBottom w:val="0"/>
      <w:divBdr>
        <w:top w:val="none" w:sz="0" w:space="0" w:color="auto"/>
        <w:left w:val="none" w:sz="0" w:space="0" w:color="auto"/>
        <w:bottom w:val="none" w:sz="0" w:space="0" w:color="auto"/>
        <w:right w:val="none" w:sz="0" w:space="0" w:color="auto"/>
      </w:divBdr>
    </w:div>
    <w:div w:id="773865104">
      <w:bodyDiv w:val="1"/>
      <w:marLeft w:val="0"/>
      <w:marRight w:val="0"/>
      <w:marTop w:val="0"/>
      <w:marBottom w:val="0"/>
      <w:divBdr>
        <w:top w:val="none" w:sz="0" w:space="0" w:color="auto"/>
        <w:left w:val="none" w:sz="0" w:space="0" w:color="auto"/>
        <w:bottom w:val="none" w:sz="0" w:space="0" w:color="auto"/>
        <w:right w:val="none" w:sz="0" w:space="0" w:color="auto"/>
      </w:divBdr>
    </w:div>
    <w:div w:id="796414583">
      <w:bodyDiv w:val="1"/>
      <w:marLeft w:val="0"/>
      <w:marRight w:val="0"/>
      <w:marTop w:val="0"/>
      <w:marBottom w:val="0"/>
      <w:divBdr>
        <w:top w:val="none" w:sz="0" w:space="0" w:color="auto"/>
        <w:left w:val="none" w:sz="0" w:space="0" w:color="auto"/>
        <w:bottom w:val="none" w:sz="0" w:space="0" w:color="auto"/>
        <w:right w:val="none" w:sz="0" w:space="0" w:color="auto"/>
      </w:divBdr>
    </w:div>
    <w:div w:id="965701932">
      <w:bodyDiv w:val="1"/>
      <w:marLeft w:val="0"/>
      <w:marRight w:val="0"/>
      <w:marTop w:val="0"/>
      <w:marBottom w:val="0"/>
      <w:divBdr>
        <w:top w:val="none" w:sz="0" w:space="0" w:color="auto"/>
        <w:left w:val="none" w:sz="0" w:space="0" w:color="auto"/>
        <w:bottom w:val="none" w:sz="0" w:space="0" w:color="auto"/>
        <w:right w:val="none" w:sz="0" w:space="0" w:color="auto"/>
      </w:divBdr>
    </w:div>
    <w:div w:id="1021510830">
      <w:bodyDiv w:val="1"/>
      <w:marLeft w:val="0"/>
      <w:marRight w:val="0"/>
      <w:marTop w:val="0"/>
      <w:marBottom w:val="0"/>
      <w:divBdr>
        <w:top w:val="none" w:sz="0" w:space="0" w:color="auto"/>
        <w:left w:val="none" w:sz="0" w:space="0" w:color="auto"/>
        <w:bottom w:val="none" w:sz="0" w:space="0" w:color="auto"/>
        <w:right w:val="none" w:sz="0" w:space="0" w:color="auto"/>
      </w:divBdr>
    </w:div>
    <w:div w:id="1138451386">
      <w:bodyDiv w:val="1"/>
      <w:marLeft w:val="0"/>
      <w:marRight w:val="0"/>
      <w:marTop w:val="0"/>
      <w:marBottom w:val="0"/>
      <w:divBdr>
        <w:top w:val="none" w:sz="0" w:space="0" w:color="auto"/>
        <w:left w:val="none" w:sz="0" w:space="0" w:color="auto"/>
        <w:bottom w:val="none" w:sz="0" w:space="0" w:color="auto"/>
        <w:right w:val="none" w:sz="0" w:space="0" w:color="auto"/>
      </w:divBdr>
    </w:div>
    <w:div w:id="1150512297">
      <w:bodyDiv w:val="1"/>
      <w:marLeft w:val="0"/>
      <w:marRight w:val="0"/>
      <w:marTop w:val="0"/>
      <w:marBottom w:val="0"/>
      <w:divBdr>
        <w:top w:val="none" w:sz="0" w:space="0" w:color="auto"/>
        <w:left w:val="none" w:sz="0" w:space="0" w:color="auto"/>
        <w:bottom w:val="none" w:sz="0" w:space="0" w:color="auto"/>
        <w:right w:val="none" w:sz="0" w:space="0" w:color="auto"/>
      </w:divBdr>
    </w:div>
    <w:div w:id="1171215784">
      <w:bodyDiv w:val="1"/>
      <w:marLeft w:val="0"/>
      <w:marRight w:val="0"/>
      <w:marTop w:val="0"/>
      <w:marBottom w:val="0"/>
      <w:divBdr>
        <w:top w:val="none" w:sz="0" w:space="0" w:color="auto"/>
        <w:left w:val="none" w:sz="0" w:space="0" w:color="auto"/>
        <w:bottom w:val="none" w:sz="0" w:space="0" w:color="auto"/>
        <w:right w:val="none" w:sz="0" w:space="0" w:color="auto"/>
      </w:divBdr>
    </w:div>
    <w:div w:id="1175807938">
      <w:bodyDiv w:val="1"/>
      <w:marLeft w:val="0"/>
      <w:marRight w:val="0"/>
      <w:marTop w:val="0"/>
      <w:marBottom w:val="0"/>
      <w:divBdr>
        <w:top w:val="none" w:sz="0" w:space="0" w:color="auto"/>
        <w:left w:val="none" w:sz="0" w:space="0" w:color="auto"/>
        <w:bottom w:val="none" w:sz="0" w:space="0" w:color="auto"/>
        <w:right w:val="none" w:sz="0" w:space="0" w:color="auto"/>
      </w:divBdr>
    </w:div>
    <w:div w:id="1190296355">
      <w:bodyDiv w:val="1"/>
      <w:marLeft w:val="0"/>
      <w:marRight w:val="0"/>
      <w:marTop w:val="0"/>
      <w:marBottom w:val="0"/>
      <w:divBdr>
        <w:top w:val="none" w:sz="0" w:space="0" w:color="auto"/>
        <w:left w:val="none" w:sz="0" w:space="0" w:color="auto"/>
        <w:bottom w:val="none" w:sz="0" w:space="0" w:color="auto"/>
        <w:right w:val="none" w:sz="0" w:space="0" w:color="auto"/>
      </w:divBdr>
    </w:div>
    <w:div w:id="1218783947">
      <w:bodyDiv w:val="1"/>
      <w:marLeft w:val="0"/>
      <w:marRight w:val="0"/>
      <w:marTop w:val="0"/>
      <w:marBottom w:val="0"/>
      <w:divBdr>
        <w:top w:val="none" w:sz="0" w:space="0" w:color="auto"/>
        <w:left w:val="none" w:sz="0" w:space="0" w:color="auto"/>
        <w:bottom w:val="none" w:sz="0" w:space="0" w:color="auto"/>
        <w:right w:val="none" w:sz="0" w:space="0" w:color="auto"/>
      </w:divBdr>
    </w:div>
    <w:div w:id="1255019819">
      <w:bodyDiv w:val="1"/>
      <w:marLeft w:val="0"/>
      <w:marRight w:val="0"/>
      <w:marTop w:val="0"/>
      <w:marBottom w:val="0"/>
      <w:divBdr>
        <w:top w:val="none" w:sz="0" w:space="0" w:color="auto"/>
        <w:left w:val="none" w:sz="0" w:space="0" w:color="auto"/>
        <w:bottom w:val="none" w:sz="0" w:space="0" w:color="auto"/>
        <w:right w:val="none" w:sz="0" w:space="0" w:color="auto"/>
      </w:divBdr>
    </w:div>
    <w:div w:id="1364328758">
      <w:bodyDiv w:val="1"/>
      <w:marLeft w:val="0"/>
      <w:marRight w:val="0"/>
      <w:marTop w:val="0"/>
      <w:marBottom w:val="0"/>
      <w:divBdr>
        <w:top w:val="none" w:sz="0" w:space="0" w:color="auto"/>
        <w:left w:val="none" w:sz="0" w:space="0" w:color="auto"/>
        <w:bottom w:val="none" w:sz="0" w:space="0" w:color="auto"/>
        <w:right w:val="none" w:sz="0" w:space="0" w:color="auto"/>
      </w:divBdr>
    </w:div>
    <w:div w:id="1398429643">
      <w:bodyDiv w:val="1"/>
      <w:marLeft w:val="0"/>
      <w:marRight w:val="0"/>
      <w:marTop w:val="0"/>
      <w:marBottom w:val="0"/>
      <w:divBdr>
        <w:top w:val="none" w:sz="0" w:space="0" w:color="auto"/>
        <w:left w:val="none" w:sz="0" w:space="0" w:color="auto"/>
        <w:bottom w:val="none" w:sz="0" w:space="0" w:color="auto"/>
        <w:right w:val="none" w:sz="0" w:space="0" w:color="auto"/>
      </w:divBdr>
    </w:div>
    <w:div w:id="1435132307">
      <w:bodyDiv w:val="1"/>
      <w:marLeft w:val="0"/>
      <w:marRight w:val="0"/>
      <w:marTop w:val="0"/>
      <w:marBottom w:val="0"/>
      <w:divBdr>
        <w:top w:val="none" w:sz="0" w:space="0" w:color="auto"/>
        <w:left w:val="none" w:sz="0" w:space="0" w:color="auto"/>
        <w:bottom w:val="none" w:sz="0" w:space="0" w:color="auto"/>
        <w:right w:val="none" w:sz="0" w:space="0" w:color="auto"/>
      </w:divBdr>
    </w:div>
    <w:div w:id="1457214431">
      <w:bodyDiv w:val="1"/>
      <w:marLeft w:val="0"/>
      <w:marRight w:val="0"/>
      <w:marTop w:val="0"/>
      <w:marBottom w:val="0"/>
      <w:divBdr>
        <w:top w:val="none" w:sz="0" w:space="0" w:color="auto"/>
        <w:left w:val="none" w:sz="0" w:space="0" w:color="auto"/>
        <w:bottom w:val="none" w:sz="0" w:space="0" w:color="auto"/>
        <w:right w:val="none" w:sz="0" w:space="0" w:color="auto"/>
      </w:divBdr>
    </w:div>
    <w:div w:id="1581594724">
      <w:bodyDiv w:val="1"/>
      <w:marLeft w:val="0"/>
      <w:marRight w:val="0"/>
      <w:marTop w:val="0"/>
      <w:marBottom w:val="0"/>
      <w:divBdr>
        <w:top w:val="none" w:sz="0" w:space="0" w:color="auto"/>
        <w:left w:val="none" w:sz="0" w:space="0" w:color="auto"/>
        <w:bottom w:val="none" w:sz="0" w:space="0" w:color="auto"/>
        <w:right w:val="none" w:sz="0" w:space="0" w:color="auto"/>
      </w:divBdr>
    </w:div>
    <w:div w:id="1663854101">
      <w:bodyDiv w:val="1"/>
      <w:marLeft w:val="0"/>
      <w:marRight w:val="0"/>
      <w:marTop w:val="0"/>
      <w:marBottom w:val="0"/>
      <w:divBdr>
        <w:top w:val="none" w:sz="0" w:space="0" w:color="auto"/>
        <w:left w:val="none" w:sz="0" w:space="0" w:color="auto"/>
        <w:bottom w:val="none" w:sz="0" w:space="0" w:color="auto"/>
        <w:right w:val="none" w:sz="0" w:space="0" w:color="auto"/>
      </w:divBdr>
    </w:div>
    <w:div w:id="1693799598">
      <w:bodyDiv w:val="1"/>
      <w:marLeft w:val="0"/>
      <w:marRight w:val="0"/>
      <w:marTop w:val="0"/>
      <w:marBottom w:val="0"/>
      <w:divBdr>
        <w:top w:val="none" w:sz="0" w:space="0" w:color="auto"/>
        <w:left w:val="none" w:sz="0" w:space="0" w:color="auto"/>
        <w:bottom w:val="none" w:sz="0" w:space="0" w:color="auto"/>
        <w:right w:val="none" w:sz="0" w:space="0" w:color="auto"/>
      </w:divBdr>
    </w:div>
    <w:div w:id="1708874572">
      <w:bodyDiv w:val="1"/>
      <w:marLeft w:val="0"/>
      <w:marRight w:val="0"/>
      <w:marTop w:val="0"/>
      <w:marBottom w:val="0"/>
      <w:divBdr>
        <w:top w:val="none" w:sz="0" w:space="0" w:color="auto"/>
        <w:left w:val="none" w:sz="0" w:space="0" w:color="auto"/>
        <w:bottom w:val="none" w:sz="0" w:space="0" w:color="auto"/>
        <w:right w:val="none" w:sz="0" w:space="0" w:color="auto"/>
      </w:divBdr>
    </w:div>
    <w:div w:id="1810199850">
      <w:bodyDiv w:val="1"/>
      <w:marLeft w:val="0"/>
      <w:marRight w:val="0"/>
      <w:marTop w:val="0"/>
      <w:marBottom w:val="0"/>
      <w:divBdr>
        <w:top w:val="none" w:sz="0" w:space="0" w:color="auto"/>
        <w:left w:val="none" w:sz="0" w:space="0" w:color="auto"/>
        <w:bottom w:val="none" w:sz="0" w:space="0" w:color="auto"/>
        <w:right w:val="none" w:sz="0" w:space="0" w:color="auto"/>
      </w:divBdr>
    </w:div>
    <w:div w:id="1870676169">
      <w:bodyDiv w:val="1"/>
      <w:marLeft w:val="0"/>
      <w:marRight w:val="0"/>
      <w:marTop w:val="0"/>
      <w:marBottom w:val="0"/>
      <w:divBdr>
        <w:top w:val="none" w:sz="0" w:space="0" w:color="auto"/>
        <w:left w:val="none" w:sz="0" w:space="0" w:color="auto"/>
        <w:bottom w:val="none" w:sz="0" w:space="0" w:color="auto"/>
        <w:right w:val="none" w:sz="0" w:space="0" w:color="auto"/>
      </w:divBdr>
    </w:div>
    <w:div w:id="1948466164">
      <w:bodyDiv w:val="1"/>
      <w:marLeft w:val="0"/>
      <w:marRight w:val="0"/>
      <w:marTop w:val="0"/>
      <w:marBottom w:val="0"/>
      <w:divBdr>
        <w:top w:val="none" w:sz="0" w:space="0" w:color="auto"/>
        <w:left w:val="none" w:sz="0" w:space="0" w:color="auto"/>
        <w:bottom w:val="none" w:sz="0" w:space="0" w:color="auto"/>
        <w:right w:val="none" w:sz="0" w:space="0" w:color="auto"/>
      </w:divBdr>
    </w:div>
    <w:div w:id="1950619135">
      <w:bodyDiv w:val="1"/>
      <w:marLeft w:val="0"/>
      <w:marRight w:val="0"/>
      <w:marTop w:val="0"/>
      <w:marBottom w:val="0"/>
      <w:divBdr>
        <w:top w:val="none" w:sz="0" w:space="0" w:color="auto"/>
        <w:left w:val="none" w:sz="0" w:space="0" w:color="auto"/>
        <w:bottom w:val="none" w:sz="0" w:space="0" w:color="auto"/>
        <w:right w:val="none" w:sz="0" w:space="0" w:color="auto"/>
      </w:divBdr>
    </w:div>
    <w:div w:id="2014800987">
      <w:bodyDiv w:val="1"/>
      <w:marLeft w:val="0"/>
      <w:marRight w:val="0"/>
      <w:marTop w:val="0"/>
      <w:marBottom w:val="0"/>
      <w:divBdr>
        <w:top w:val="none" w:sz="0" w:space="0" w:color="auto"/>
        <w:left w:val="none" w:sz="0" w:space="0" w:color="auto"/>
        <w:bottom w:val="none" w:sz="0" w:space="0" w:color="auto"/>
        <w:right w:val="none" w:sz="0" w:space="0" w:color="auto"/>
      </w:divBdr>
    </w:div>
    <w:div w:id="2020352317">
      <w:bodyDiv w:val="1"/>
      <w:marLeft w:val="0"/>
      <w:marRight w:val="0"/>
      <w:marTop w:val="0"/>
      <w:marBottom w:val="0"/>
      <w:divBdr>
        <w:top w:val="none" w:sz="0" w:space="0" w:color="auto"/>
        <w:left w:val="none" w:sz="0" w:space="0" w:color="auto"/>
        <w:bottom w:val="none" w:sz="0" w:space="0" w:color="auto"/>
        <w:right w:val="none" w:sz="0" w:space="0" w:color="auto"/>
      </w:divBdr>
    </w:div>
    <w:div w:id="2136361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8984-1878-4A92-BB27-F0A02AB0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Yefimova</dc:creator>
  <cp:keywords/>
  <dc:description/>
  <cp:lastModifiedBy>Svetlana Iazykova</cp:lastModifiedBy>
  <cp:revision>2</cp:revision>
  <cp:lastPrinted>2019-04-04T20:38:00Z</cp:lastPrinted>
  <dcterms:created xsi:type="dcterms:W3CDTF">2019-04-22T15:04:00Z</dcterms:created>
  <dcterms:modified xsi:type="dcterms:W3CDTF">2019-04-22T15:04:00Z</dcterms:modified>
</cp:coreProperties>
</file>