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CDCD" w14:textId="77777777" w:rsidR="00073198" w:rsidRPr="000C2134" w:rsidRDefault="00073198" w:rsidP="00073198">
      <w:pPr>
        <w:tabs>
          <w:tab w:val="left" w:pos="8789"/>
        </w:tabs>
        <w:spacing w:before="60"/>
        <w:ind w:right="288"/>
        <w:rPr>
          <w:b/>
          <w:color w:val="000000"/>
          <w:lang w:val="en-GB"/>
        </w:rPr>
      </w:pPr>
      <w:bookmarkStart w:id="0" w:name="_Hlk86064539"/>
      <w:r>
        <w:rPr>
          <w:b/>
          <w:color w:val="000000"/>
          <w:lang w:val="en-GB"/>
        </w:rPr>
        <w:t>First</w:t>
      </w:r>
      <w:r w:rsidRPr="000C2134">
        <w:rPr>
          <w:b/>
          <w:color w:val="000000"/>
          <w:lang w:val="en-GB"/>
        </w:rPr>
        <w:t xml:space="preserve"> regular session 202</w:t>
      </w:r>
      <w:r>
        <w:rPr>
          <w:b/>
          <w:color w:val="000000"/>
          <w:lang w:val="en-GB"/>
        </w:rPr>
        <w:t>2</w:t>
      </w:r>
    </w:p>
    <w:p w14:paraId="53FFF3A2" w14:textId="77777777" w:rsidR="00073198" w:rsidRPr="000C2134" w:rsidRDefault="00073198" w:rsidP="000731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w:t>
      </w:r>
      <w:r>
        <w:rPr>
          <w:color w:val="000000"/>
          <w:lang w:val="en-GB"/>
        </w:rPr>
        <w:t>1 January</w:t>
      </w:r>
      <w:r w:rsidRPr="000C2134">
        <w:rPr>
          <w:color w:val="000000"/>
          <w:lang w:val="en-GB"/>
        </w:rPr>
        <w:t xml:space="preserve"> – </w:t>
      </w:r>
      <w:r>
        <w:rPr>
          <w:color w:val="000000"/>
          <w:lang w:val="en-GB"/>
        </w:rPr>
        <w:t>4 February</w:t>
      </w:r>
      <w:r w:rsidRPr="000C2134">
        <w:rPr>
          <w:color w:val="000000"/>
          <w:lang w:val="en-GB"/>
        </w:rPr>
        <w:t xml:space="preserve"> 202</w:t>
      </w:r>
      <w:r>
        <w:rPr>
          <w:color w:val="000000"/>
          <w:lang w:val="en-GB"/>
        </w:rPr>
        <w:t>2</w:t>
      </w:r>
      <w:r w:rsidRPr="000C2134">
        <w:rPr>
          <w:color w:val="000000"/>
          <w:lang w:val="en-GB"/>
        </w:rPr>
        <w:t>, New York</w:t>
      </w:r>
    </w:p>
    <w:p w14:paraId="1D32769B" w14:textId="77777777" w:rsidR="00073198" w:rsidRPr="000C2134" w:rsidRDefault="00073198" w:rsidP="000731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Pr>
          <w:color w:val="000000"/>
          <w:lang w:val="en-GB"/>
        </w:rPr>
        <w:t xml:space="preserve">6 </w:t>
      </w:r>
      <w:r w:rsidRPr="000C2134">
        <w:rPr>
          <w:color w:val="000000"/>
          <w:lang w:val="en-GB"/>
        </w:rPr>
        <w:t>of the provisional agenda</w:t>
      </w:r>
    </w:p>
    <w:p w14:paraId="33FCC93D" w14:textId="77777777" w:rsidR="00073198" w:rsidRPr="000C2134" w:rsidRDefault="00073198" w:rsidP="00073198">
      <w:pPr>
        <w:ind w:right="1260"/>
        <w:rPr>
          <w:b/>
          <w:color w:val="000000"/>
          <w:lang w:val="en-GB"/>
        </w:rPr>
      </w:pPr>
      <w:r w:rsidRPr="000C2134">
        <w:rPr>
          <w:b/>
          <w:color w:val="000000"/>
          <w:lang w:val="en-GB"/>
        </w:rPr>
        <w:t>Country programmes and related matters</w:t>
      </w:r>
    </w:p>
    <w:p w14:paraId="03C0F418" w14:textId="77777777" w:rsidR="00073198" w:rsidRPr="000C2134" w:rsidRDefault="00073198" w:rsidP="00073198">
      <w:pPr>
        <w:jc w:val="both"/>
        <w:rPr>
          <w:b/>
          <w:lang w:val="en-GB"/>
        </w:rPr>
      </w:pPr>
    </w:p>
    <w:p w14:paraId="1C60E269" w14:textId="77777777" w:rsidR="00073198" w:rsidRPr="000C2134" w:rsidRDefault="00073198" w:rsidP="00073198">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4BDA97A2" w14:textId="0B9AD8A8" w:rsidR="00073198" w:rsidRPr="000C2134" w:rsidRDefault="00073198" w:rsidP="0007319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C2134">
        <w:rPr>
          <w:b/>
          <w:sz w:val="28"/>
          <w:szCs w:val="28"/>
          <w:lang w:val="en-GB"/>
        </w:rPr>
        <w:t xml:space="preserve">Draft country programme document for </w:t>
      </w:r>
      <w:r>
        <w:rPr>
          <w:b/>
          <w:sz w:val="28"/>
          <w:szCs w:val="28"/>
          <w:lang w:val="en-GB"/>
        </w:rPr>
        <w:t>Trinidad and Tobago</w:t>
      </w:r>
      <w:r w:rsidRPr="000C2134">
        <w:rPr>
          <w:b/>
          <w:sz w:val="28"/>
          <w:szCs w:val="28"/>
          <w:lang w:val="en-GB"/>
        </w:rPr>
        <w:t xml:space="preserve"> (2022-202</w:t>
      </w:r>
      <w:r>
        <w:rPr>
          <w:b/>
          <w:sz w:val="28"/>
          <w:szCs w:val="28"/>
          <w:lang w:val="en-GB"/>
        </w:rPr>
        <w:t>6</w:t>
      </w:r>
      <w:r w:rsidRPr="000C2134">
        <w:rPr>
          <w:b/>
          <w:sz w:val="28"/>
          <w:szCs w:val="28"/>
          <w:lang w:val="en-GB"/>
        </w:rPr>
        <w:t>)</w:t>
      </w:r>
      <w:r w:rsidRPr="000C2134">
        <w:rPr>
          <w:b/>
          <w:sz w:val="28"/>
          <w:szCs w:val="28"/>
          <w:lang w:val="en-GB"/>
        </w:rPr>
        <w:br/>
      </w:r>
    </w:p>
    <w:p w14:paraId="1BF7F241" w14:textId="77777777" w:rsidR="00073198" w:rsidRPr="000C2134" w:rsidRDefault="00073198" w:rsidP="0007319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073198" w:rsidRPr="009136D0" w14:paraId="5F8300B5" w14:textId="77777777" w:rsidTr="000870C1">
        <w:tc>
          <w:tcPr>
            <w:tcW w:w="1260" w:type="dxa"/>
            <w:shd w:val="clear" w:color="auto" w:fill="auto"/>
          </w:tcPr>
          <w:p w14:paraId="12155745" w14:textId="77777777" w:rsidR="00073198" w:rsidRPr="000C2134" w:rsidRDefault="00073198" w:rsidP="000870C1">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57C1B99F" w14:textId="77777777" w:rsidR="00073198" w:rsidRPr="000C2134" w:rsidRDefault="00073198" w:rsidP="000870C1">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3DFAF482" w14:textId="77777777" w:rsidR="00073198" w:rsidRPr="000C2134" w:rsidRDefault="00073198" w:rsidP="000870C1">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073198" w:rsidRPr="009136D0" w14:paraId="332D4C37" w14:textId="77777777" w:rsidTr="000870C1">
        <w:tc>
          <w:tcPr>
            <w:tcW w:w="9540" w:type="dxa"/>
            <w:gridSpan w:val="3"/>
            <w:shd w:val="clear" w:color="auto" w:fill="auto"/>
          </w:tcPr>
          <w:p w14:paraId="3FBF05A8" w14:textId="4E9508EA" w:rsidR="00073198" w:rsidRPr="000C2134" w:rsidRDefault="00073198" w:rsidP="00073198">
            <w:pPr>
              <w:numPr>
                <w:ilvl w:val="0"/>
                <w:numId w:val="20"/>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UNDP within the United Nations </w:t>
            </w:r>
            <w:r w:rsidR="00F06F21">
              <w:rPr>
                <w:color w:val="000000"/>
                <w:kern w:val="14"/>
                <w:lang w:val="en-GB" w:eastAsia="fr-FR"/>
              </w:rPr>
              <w:t xml:space="preserve">Multi-country </w:t>
            </w:r>
            <w:r w:rsidRPr="000C2134">
              <w:rPr>
                <w:color w:val="000000"/>
                <w:kern w:val="14"/>
                <w:lang w:val="en-GB" w:eastAsia="fr-FR"/>
              </w:rPr>
              <w:t>Sustainable Development Cooperation Framework</w:t>
            </w:r>
            <w:r w:rsidRPr="000C2134">
              <w:rPr>
                <w:color w:val="000000"/>
                <w:sz w:val="24"/>
                <w:szCs w:val="24"/>
                <w:lang w:val="en-GB" w:eastAsia="fr-FR"/>
              </w:rPr>
              <w:tab/>
            </w:r>
          </w:p>
        </w:tc>
        <w:tc>
          <w:tcPr>
            <w:tcW w:w="362" w:type="dxa"/>
            <w:vMerge w:val="restart"/>
            <w:shd w:val="clear" w:color="auto" w:fill="auto"/>
            <w:vAlign w:val="bottom"/>
          </w:tcPr>
          <w:p w14:paraId="1E48D912" w14:textId="77777777" w:rsidR="00073198" w:rsidRPr="000C2134" w:rsidRDefault="00073198" w:rsidP="000870C1">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6BBC559D" w14:textId="0A6EA67D" w:rsidR="00073198" w:rsidRPr="000C2134" w:rsidRDefault="00BE273C" w:rsidP="000870C1">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073198" w:rsidRPr="009136D0" w14:paraId="32902AD9" w14:textId="77777777" w:rsidTr="000870C1">
        <w:tc>
          <w:tcPr>
            <w:tcW w:w="9540" w:type="dxa"/>
            <w:gridSpan w:val="3"/>
            <w:shd w:val="clear" w:color="auto" w:fill="auto"/>
          </w:tcPr>
          <w:p w14:paraId="6BD1AE46" w14:textId="77777777" w:rsidR="00073198" w:rsidRPr="000C2134" w:rsidRDefault="00073198" w:rsidP="00073198">
            <w:pPr>
              <w:numPr>
                <w:ilvl w:val="0"/>
                <w:numId w:val="2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66179A87" w14:textId="77777777" w:rsidR="00073198" w:rsidRPr="000C2134" w:rsidRDefault="00073198" w:rsidP="000870C1">
            <w:pPr>
              <w:tabs>
                <w:tab w:val="left" w:pos="1620"/>
              </w:tabs>
              <w:suppressAutoHyphens/>
              <w:spacing w:after="120" w:line="240" w:lineRule="exact"/>
              <w:jc w:val="right"/>
              <w:rPr>
                <w:color w:val="000000"/>
                <w:spacing w:val="4"/>
                <w:w w:val="103"/>
                <w:kern w:val="14"/>
                <w:lang w:val="en-GB" w:eastAsia="fr-FR"/>
              </w:rPr>
            </w:pPr>
          </w:p>
        </w:tc>
      </w:tr>
      <w:tr w:rsidR="00073198" w:rsidRPr="009136D0" w14:paraId="4582AC53" w14:textId="77777777" w:rsidTr="000870C1">
        <w:tc>
          <w:tcPr>
            <w:tcW w:w="9540" w:type="dxa"/>
            <w:gridSpan w:val="3"/>
            <w:shd w:val="clear" w:color="auto" w:fill="auto"/>
          </w:tcPr>
          <w:p w14:paraId="5FC89FB2" w14:textId="77777777" w:rsidR="00073198" w:rsidRPr="000C2134" w:rsidRDefault="00073198" w:rsidP="00073198">
            <w:pPr>
              <w:numPr>
                <w:ilvl w:val="0"/>
                <w:numId w:val="20"/>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2EA359D7" w14:textId="5A3CAF11" w:rsidR="00073198" w:rsidRPr="000C2134" w:rsidRDefault="00BE273C" w:rsidP="000870C1">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5</w:t>
            </w:r>
          </w:p>
          <w:p w14:paraId="4BBA4F57" w14:textId="44ED6CCE" w:rsidR="00073198" w:rsidRPr="000C2134" w:rsidRDefault="00BE273C" w:rsidP="000870C1">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tc>
      </w:tr>
      <w:tr w:rsidR="00073198" w:rsidRPr="009136D0" w14:paraId="5244B709" w14:textId="77777777" w:rsidTr="000870C1">
        <w:tc>
          <w:tcPr>
            <w:tcW w:w="9540" w:type="dxa"/>
            <w:gridSpan w:val="3"/>
            <w:shd w:val="clear" w:color="auto" w:fill="auto"/>
          </w:tcPr>
          <w:p w14:paraId="4119BF53" w14:textId="77777777" w:rsidR="00073198" w:rsidRPr="000C2134" w:rsidRDefault="00073198" w:rsidP="00073198">
            <w:pPr>
              <w:numPr>
                <w:ilvl w:val="0"/>
                <w:numId w:val="2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13CD9E75" w14:textId="77777777" w:rsidR="00073198" w:rsidRPr="000C2134" w:rsidRDefault="00073198" w:rsidP="000870C1">
            <w:pPr>
              <w:tabs>
                <w:tab w:val="left" w:pos="1620"/>
              </w:tabs>
              <w:suppressAutoHyphens/>
              <w:spacing w:after="120" w:line="240" w:lineRule="exact"/>
              <w:jc w:val="right"/>
              <w:rPr>
                <w:color w:val="000000"/>
                <w:spacing w:val="4"/>
                <w:w w:val="103"/>
                <w:kern w:val="14"/>
                <w:lang w:val="en-GB" w:eastAsia="fr-FR"/>
              </w:rPr>
            </w:pPr>
          </w:p>
        </w:tc>
      </w:tr>
      <w:tr w:rsidR="00073198" w:rsidRPr="009136D0" w14:paraId="74B5867A" w14:textId="77777777" w:rsidTr="000870C1">
        <w:tc>
          <w:tcPr>
            <w:tcW w:w="9369" w:type="dxa"/>
            <w:gridSpan w:val="2"/>
            <w:shd w:val="clear" w:color="auto" w:fill="auto"/>
          </w:tcPr>
          <w:p w14:paraId="312EA784" w14:textId="77777777" w:rsidR="00073198" w:rsidRPr="000C2134" w:rsidRDefault="00073198" w:rsidP="000870C1">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C2134">
              <w:rPr>
                <w:color w:val="000000"/>
                <w:kern w:val="14"/>
                <w:lang w:val="en-GB" w:eastAsia="fr-FR"/>
              </w:rPr>
              <w:t>Annex</w:t>
            </w:r>
          </w:p>
        </w:tc>
        <w:tc>
          <w:tcPr>
            <w:tcW w:w="533" w:type="dxa"/>
            <w:gridSpan w:val="2"/>
            <w:shd w:val="clear" w:color="auto" w:fill="auto"/>
            <w:vAlign w:val="bottom"/>
          </w:tcPr>
          <w:p w14:paraId="65DD4539" w14:textId="77777777" w:rsidR="00073198" w:rsidRPr="000C2134" w:rsidRDefault="00073198" w:rsidP="000870C1">
            <w:pPr>
              <w:tabs>
                <w:tab w:val="left" w:pos="1620"/>
              </w:tabs>
              <w:suppressAutoHyphens/>
              <w:spacing w:after="120" w:line="240" w:lineRule="exact"/>
              <w:jc w:val="right"/>
              <w:rPr>
                <w:color w:val="000000"/>
                <w:spacing w:val="4"/>
                <w:w w:val="103"/>
                <w:kern w:val="14"/>
                <w:lang w:val="en-GB" w:eastAsia="fr-FR"/>
              </w:rPr>
            </w:pPr>
          </w:p>
        </w:tc>
      </w:tr>
      <w:tr w:rsidR="00073198" w:rsidRPr="009136D0" w14:paraId="3D50B53C" w14:textId="77777777" w:rsidTr="000870C1">
        <w:tc>
          <w:tcPr>
            <w:tcW w:w="9369" w:type="dxa"/>
            <w:gridSpan w:val="2"/>
            <w:shd w:val="clear" w:color="auto" w:fill="auto"/>
          </w:tcPr>
          <w:p w14:paraId="72F4F04D" w14:textId="561F269C" w:rsidR="00073198" w:rsidRPr="000C2134" w:rsidRDefault="00073198" w:rsidP="000870C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Pr>
                <w:color w:val="000000"/>
                <w:kern w:val="14"/>
                <w:lang w:val="en-GB" w:eastAsia="fr-FR"/>
              </w:rPr>
              <w:t xml:space="preserve">Trinidad and Tobago </w:t>
            </w:r>
            <w:r w:rsidRPr="000C2134">
              <w:rPr>
                <w:color w:val="000000"/>
                <w:kern w:val="14"/>
                <w:lang w:val="en-GB" w:eastAsia="fr-FR"/>
              </w:rPr>
              <w:t>(2022-202</w:t>
            </w:r>
            <w:r>
              <w:rPr>
                <w:color w:val="000000"/>
                <w:kern w:val="14"/>
                <w:lang w:val="en-GB" w:eastAsia="fr-FR"/>
              </w:rPr>
              <w:t>6</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39B3AF16" w14:textId="07AD4F24" w:rsidR="00073198" w:rsidRPr="000C2134" w:rsidRDefault="00BE273C" w:rsidP="000870C1">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bl>
    <w:p w14:paraId="08AB59FF" w14:textId="7A2B4DB0" w:rsidR="004A47E8" w:rsidRPr="00D21185" w:rsidRDefault="00785474" w:rsidP="006F05C3">
      <w:pPr>
        <w:pStyle w:val="Heading2"/>
        <w:spacing w:after="200"/>
        <w:ind w:left="1530" w:right="1210"/>
        <w:jc w:val="both"/>
        <w:rPr>
          <w:rFonts w:ascii="Times New Roman" w:hAnsi="Times New Roman"/>
          <w:bCs/>
          <w:color w:val="000000"/>
          <w:sz w:val="24"/>
          <w:szCs w:val="24"/>
          <w:lang w:val="en-GB"/>
        </w:rPr>
      </w:pPr>
      <w:r w:rsidRPr="0013165A">
        <w:rPr>
          <w:rFonts w:ascii="Times New Roman" w:hAnsi="Times New Roman"/>
          <w:sz w:val="20"/>
        </w:rPr>
        <w:br w:type="page"/>
      </w:r>
    </w:p>
    <w:p w14:paraId="3753D11D" w14:textId="21C06E99" w:rsidR="00382A07" w:rsidRPr="008E44BF" w:rsidRDefault="00382A07" w:rsidP="00743BDE">
      <w:pPr>
        <w:pStyle w:val="Heading2"/>
        <w:spacing w:after="200"/>
        <w:ind w:left="1080" w:right="1210" w:hanging="270"/>
        <w:jc w:val="both"/>
        <w:rPr>
          <w:rFonts w:ascii="Times New Roman" w:hAnsi="Times New Roman"/>
          <w:bCs/>
          <w:color w:val="000000"/>
          <w:sz w:val="24"/>
          <w:szCs w:val="24"/>
          <w:lang w:val="en-GB"/>
        </w:rPr>
      </w:pPr>
      <w:r w:rsidRPr="008E44BF">
        <w:rPr>
          <w:rFonts w:ascii="Times New Roman" w:hAnsi="Times New Roman"/>
          <w:bCs/>
          <w:color w:val="000000"/>
          <w:sz w:val="24"/>
          <w:szCs w:val="24"/>
          <w:lang w:val="en-GB"/>
        </w:rPr>
        <w:lastRenderedPageBreak/>
        <w:t xml:space="preserve">I. </w:t>
      </w:r>
      <w:r>
        <w:rPr>
          <w:rFonts w:ascii="Times New Roman" w:hAnsi="Times New Roman"/>
          <w:bCs/>
          <w:color w:val="000000"/>
          <w:sz w:val="24"/>
          <w:szCs w:val="24"/>
          <w:lang w:val="en-GB"/>
        </w:rPr>
        <w:tab/>
      </w:r>
      <w:r w:rsidRPr="008E44BF">
        <w:rPr>
          <w:rFonts w:ascii="Times New Roman" w:hAnsi="Times New Roman"/>
          <w:bCs/>
          <w:color w:val="000000"/>
          <w:sz w:val="24"/>
          <w:szCs w:val="24"/>
          <w:lang w:val="en-GB"/>
        </w:rPr>
        <w:t xml:space="preserve">UNDP </w:t>
      </w:r>
      <w:r w:rsidRPr="008C2C4A">
        <w:rPr>
          <w:rFonts w:ascii="Times New Roman" w:hAnsi="Times New Roman"/>
          <w:bCs/>
          <w:color w:val="000000"/>
          <w:sz w:val="24"/>
          <w:szCs w:val="24"/>
          <w:lang w:val="en-GB"/>
        </w:rPr>
        <w:t>within</w:t>
      </w:r>
      <w:r w:rsidRPr="008E44BF">
        <w:rPr>
          <w:rFonts w:ascii="Times New Roman" w:hAnsi="Times New Roman"/>
          <w:bCs/>
          <w:color w:val="000000"/>
          <w:sz w:val="24"/>
          <w:szCs w:val="24"/>
          <w:lang w:val="en-GB"/>
        </w:rPr>
        <w:t xml:space="preserve"> the </w:t>
      </w:r>
      <w:r w:rsidR="00F06F21">
        <w:rPr>
          <w:rFonts w:ascii="Times New Roman" w:hAnsi="Times New Roman"/>
          <w:bCs/>
          <w:color w:val="000000"/>
          <w:sz w:val="24"/>
          <w:szCs w:val="24"/>
          <w:lang w:val="en-GB"/>
        </w:rPr>
        <w:t xml:space="preserve">United Nations Multi-country Sustainable Development </w:t>
      </w:r>
      <w:r w:rsidRPr="008E44BF">
        <w:rPr>
          <w:rFonts w:ascii="Times New Roman" w:hAnsi="Times New Roman"/>
          <w:bCs/>
          <w:color w:val="000000"/>
          <w:sz w:val="24"/>
          <w:szCs w:val="24"/>
          <w:lang w:val="en-GB"/>
        </w:rPr>
        <w:t>Cooperation Framework</w:t>
      </w:r>
    </w:p>
    <w:p w14:paraId="15034FBC" w14:textId="68CB3EC9" w:rsidR="005F6E5C" w:rsidRDefault="005F6E5C" w:rsidP="00477F86">
      <w:pPr>
        <w:pStyle w:val="ListParagraph"/>
        <w:numPr>
          <w:ilvl w:val="0"/>
          <w:numId w:val="18"/>
        </w:numPr>
        <w:tabs>
          <w:tab w:val="left" w:pos="1530"/>
        </w:tabs>
        <w:spacing w:after="120"/>
        <w:ind w:left="1080" w:right="900" w:firstLine="0"/>
        <w:jc w:val="both"/>
        <w:rPr>
          <w:lang w:val="en-GB" w:bidi="en-GB"/>
        </w:rPr>
      </w:pPr>
      <w:r w:rsidRPr="00F5300F">
        <w:rPr>
          <w:lang w:val="en-GB" w:bidi="en-GB"/>
        </w:rPr>
        <w:t>The</w:t>
      </w:r>
      <w:r w:rsidR="00DD58C3">
        <w:rPr>
          <w:lang w:val="en-GB" w:bidi="en-GB"/>
        </w:rPr>
        <w:t xml:space="preserve"> economy of</w:t>
      </w:r>
      <w:r w:rsidRPr="00F5300F">
        <w:rPr>
          <w:lang w:val="en-GB" w:bidi="en-GB"/>
        </w:rPr>
        <w:t xml:space="preserve"> Trinidad and Tobago has grown substantially since its independence in 1962. </w:t>
      </w:r>
      <w:r w:rsidR="00DD58C3">
        <w:rPr>
          <w:lang w:val="en-GB" w:bidi="en-GB"/>
        </w:rPr>
        <w:t>Having</w:t>
      </w:r>
      <w:r w:rsidRPr="00F5300F">
        <w:rPr>
          <w:lang w:val="en-GB" w:bidi="en-GB"/>
        </w:rPr>
        <w:t xml:space="preserve"> invested heavily in its human capital</w:t>
      </w:r>
      <w:r w:rsidR="00DD58C3">
        <w:rPr>
          <w:lang w:val="en-GB" w:bidi="en-GB"/>
        </w:rPr>
        <w:t xml:space="preserve">, Trinidad and Tobago </w:t>
      </w:r>
      <w:r w:rsidR="00F06F21">
        <w:rPr>
          <w:lang w:val="en-GB" w:bidi="en-GB"/>
        </w:rPr>
        <w:t>was classified as a</w:t>
      </w:r>
      <w:r w:rsidR="00DD58C3">
        <w:rPr>
          <w:lang w:val="en-GB" w:bidi="en-GB"/>
        </w:rPr>
        <w:t xml:space="preserve"> high human development </w:t>
      </w:r>
      <w:r w:rsidR="00F06F21">
        <w:rPr>
          <w:lang w:val="en-GB" w:bidi="en-GB"/>
        </w:rPr>
        <w:t xml:space="preserve">country </w:t>
      </w:r>
      <w:r w:rsidR="00DD58C3">
        <w:rPr>
          <w:lang w:val="en-GB" w:bidi="en-GB"/>
        </w:rPr>
        <w:t xml:space="preserve">in </w:t>
      </w:r>
      <w:r w:rsidR="00F06F21">
        <w:rPr>
          <w:lang w:val="en-GB" w:bidi="en-GB"/>
        </w:rPr>
        <w:t xml:space="preserve">the </w:t>
      </w:r>
      <w:r w:rsidR="00720596">
        <w:rPr>
          <w:lang w:val="en-GB" w:bidi="en-GB"/>
        </w:rPr>
        <w:t xml:space="preserve">2020 </w:t>
      </w:r>
      <w:r w:rsidRPr="00F5300F">
        <w:rPr>
          <w:lang w:val="en-GB" w:bidi="en-GB"/>
        </w:rPr>
        <w:t>Human Development Report</w:t>
      </w:r>
      <w:r w:rsidR="00F06F21">
        <w:rPr>
          <w:lang w:val="en-GB" w:bidi="en-GB"/>
        </w:rPr>
        <w:t>,</w:t>
      </w:r>
      <w:r w:rsidR="00F06F21" w:rsidDel="00F06F21">
        <w:rPr>
          <w:lang w:val="en-GB" w:bidi="en-GB"/>
        </w:rPr>
        <w:t xml:space="preserve"> </w:t>
      </w:r>
      <w:r w:rsidR="00F06F21">
        <w:rPr>
          <w:lang w:val="en-GB" w:bidi="en-GB"/>
        </w:rPr>
        <w:t>ranking</w:t>
      </w:r>
      <w:r w:rsidRPr="00F5300F">
        <w:rPr>
          <w:lang w:val="en-GB" w:bidi="en-GB"/>
        </w:rPr>
        <w:t xml:space="preserve"> 67 of 189 countries and territories. </w:t>
      </w:r>
      <w:r w:rsidR="00DD0CB8">
        <w:rPr>
          <w:lang w:val="en-GB" w:bidi="en-GB"/>
        </w:rPr>
        <w:t>Trinidad and Tobago</w:t>
      </w:r>
      <w:r w:rsidRPr="00F5300F">
        <w:rPr>
          <w:lang w:val="en-GB" w:bidi="en-GB"/>
        </w:rPr>
        <w:t xml:space="preserve"> </w:t>
      </w:r>
      <w:r w:rsidR="00EC1256">
        <w:rPr>
          <w:lang w:val="en-GB" w:bidi="en-GB"/>
        </w:rPr>
        <w:t>has been</w:t>
      </w:r>
      <w:r w:rsidRPr="00F5300F">
        <w:rPr>
          <w:lang w:val="en-GB" w:bidi="en-GB"/>
        </w:rPr>
        <w:t xml:space="preserve"> considered a leader in the Caribbean region in terms of its economic strength </w:t>
      </w:r>
      <w:r w:rsidR="00F06F21">
        <w:rPr>
          <w:lang w:val="en-GB" w:bidi="en-GB"/>
        </w:rPr>
        <w:t>and</w:t>
      </w:r>
      <w:r w:rsidRPr="00F5300F">
        <w:rPr>
          <w:lang w:val="en-GB" w:bidi="en-GB"/>
        </w:rPr>
        <w:t xml:space="preserve"> its levels of socioeconomic development. </w:t>
      </w:r>
      <w:r w:rsidR="00F06F21">
        <w:rPr>
          <w:lang w:val="en-GB" w:bidi="en-GB"/>
        </w:rPr>
        <w:t>The n</w:t>
      </w:r>
      <w:r w:rsidR="00C5181F">
        <w:rPr>
          <w:lang w:val="en-GB" w:bidi="en-GB"/>
        </w:rPr>
        <w:t xml:space="preserve">eonatal mortality rate </w:t>
      </w:r>
      <w:r w:rsidR="00F06F21">
        <w:rPr>
          <w:lang w:val="en-GB" w:bidi="en-GB"/>
        </w:rPr>
        <w:t xml:space="preserve">is </w:t>
      </w:r>
      <w:r w:rsidR="00C5181F">
        <w:rPr>
          <w:lang w:val="en-GB" w:bidi="en-GB"/>
        </w:rPr>
        <w:t>among the lowest in the region at 6.5</w:t>
      </w:r>
      <w:r w:rsidR="00F06F21">
        <w:rPr>
          <w:lang w:val="en-GB" w:bidi="en-GB"/>
        </w:rPr>
        <w:t xml:space="preserve"> per 1,000 live births. L</w:t>
      </w:r>
      <w:r w:rsidR="00C5181F">
        <w:rPr>
          <w:lang w:val="en-GB" w:bidi="en-GB"/>
        </w:rPr>
        <w:t>iteracy rates are high at 99</w:t>
      </w:r>
      <w:r w:rsidR="00253453">
        <w:rPr>
          <w:lang w:val="en-GB" w:bidi="en-GB"/>
        </w:rPr>
        <w:t xml:space="preserve"> per cent</w:t>
      </w:r>
      <w:r w:rsidR="00A42381">
        <w:rPr>
          <w:lang w:val="en-GB" w:bidi="en-GB"/>
        </w:rPr>
        <w:t>,</w:t>
      </w:r>
      <w:r w:rsidR="00C5181F">
        <w:rPr>
          <w:lang w:val="en-GB" w:bidi="en-GB"/>
        </w:rPr>
        <w:t xml:space="preserve"> with 65</w:t>
      </w:r>
      <w:r w:rsidR="00253453">
        <w:rPr>
          <w:lang w:val="en-GB" w:bidi="en-GB"/>
        </w:rPr>
        <w:t xml:space="preserve"> per cent</w:t>
      </w:r>
      <w:r w:rsidR="00C5181F">
        <w:rPr>
          <w:lang w:val="en-GB" w:bidi="en-GB"/>
        </w:rPr>
        <w:t xml:space="preserve"> participation in tertiary education</w:t>
      </w:r>
      <w:r w:rsidR="0023120E">
        <w:rPr>
          <w:lang w:val="en-GB" w:bidi="en-GB"/>
        </w:rPr>
        <w:t xml:space="preserve"> </w:t>
      </w:r>
      <w:r w:rsidR="003128A4">
        <w:rPr>
          <w:lang w:val="en-GB" w:bidi="en-GB"/>
        </w:rPr>
        <w:t xml:space="preserve">and </w:t>
      </w:r>
      <w:r w:rsidR="0023120E">
        <w:rPr>
          <w:lang w:val="en-GB" w:bidi="en-GB"/>
        </w:rPr>
        <w:t xml:space="preserve">female participation </w:t>
      </w:r>
      <w:r w:rsidR="003128A4">
        <w:rPr>
          <w:lang w:val="en-GB" w:bidi="en-GB"/>
        </w:rPr>
        <w:t xml:space="preserve">at </w:t>
      </w:r>
      <w:r w:rsidR="0023120E">
        <w:rPr>
          <w:lang w:val="en-GB" w:bidi="en-GB"/>
        </w:rPr>
        <w:t>just under 70 per cent</w:t>
      </w:r>
      <w:r w:rsidR="00C5181F">
        <w:rPr>
          <w:lang w:val="en-GB" w:bidi="en-GB"/>
        </w:rPr>
        <w:t xml:space="preserve">. </w:t>
      </w:r>
      <w:r w:rsidR="002A4FA8">
        <w:rPr>
          <w:lang w:val="en-GB" w:bidi="en-GB"/>
        </w:rPr>
        <w:t>W</w:t>
      </w:r>
      <w:r w:rsidR="00DD58C3">
        <w:rPr>
          <w:lang w:val="en-GB" w:bidi="en-GB"/>
        </w:rPr>
        <w:t>hile there remain gaps in gender equality, women play an important role in public life</w:t>
      </w:r>
      <w:r w:rsidR="00675B93">
        <w:rPr>
          <w:lang w:val="en-GB" w:bidi="en-GB"/>
        </w:rPr>
        <w:t xml:space="preserve">, </w:t>
      </w:r>
      <w:r w:rsidR="003128A4">
        <w:rPr>
          <w:lang w:val="en-GB" w:bidi="en-GB"/>
        </w:rPr>
        <w:t>compris</w:t>
      </w:r>
      <w:r w:rsidR="00BA0747">
        <w:rPr>
          <w:lang w:val="en-GB" w:bidi="en-GB"/>
        </w:rPr>
        <w:t>ing</w:t>
      </w:r>
      <w:r w:rsidR="003128A4">
        <w:rPr>
          <w:lang w:val="en-GB" w:bidi="en-GB"/>
        </w:rPr>
        <w:t xml:space="preserve"> </w:t>
      </w:r>
      <w:r w:rsidR="00236873">
        <w:rPr>
          <w:lang w:val="en-GB" w:bidi="en-GB"/>
        </w:rPr>
        <w:t>26</w:t>
      </w:r>
      <w:r w:rsidR="00253453">
        <w:rPr>
          <w:lang w:val="en-GB" w:bidi="en-GB"/>
        </w:rPr>
        <w:t xml:space="preserve"> per cent</w:t>
      </w:r>
      <w:r w:rsidR="00C34D80">
        <w:rPr>
          <w:lang w:val="en-GB" w:bidi="en-GB"/>
        </w:rPr>
        <w:t xml:space="preserve"> of the lower house</w:t>
      </w:r>
      <w:r w:rsidR="003128A4">
        <w:rPr>
          <w:lang w:val="en-GB" w:bidi="en-GB"/>
        </w:rPr>
        <w:t xml:space="preserve"> and</w:t>
      </w:r>
      <w:r w:rsidR="00C34D80">
        <w:rPr>
          <w:lang w:val="en-GB" w:bidi="en-GB"/>
        </w:rPr>
        <w:t xml:space="preserve"> 40</w:t>
      </w:r>
      <w:r w:rsidR="00253453">
        <w:rPr>
          <w:lang w:val="en-GB" w:bidi="en-GB"/>
        </w:rPr>
        <w:t xml:space="preserve"> per cent</w:t>
      </w:r>
      <w:r w:rsidR="00C34D80">
        <w:rPr>
          <w:lang w:val="en-GB" w:bidi="en-GB"/>
        </w:rPr>
        <w:t xml:space="preserve"> of the senate</w:t>
      </w:r>
      <w:r w:rsidR="00BA0747">
        <w:rPr>
          <w:lang w:val="en-GB" w:bidi="en-GB"/>
        </w:rPr>
        <w:t>,</w:t>
      </w:r>
      <w:r w:rsidR="00C34D80">
        <w:rPr>
          <w:lang w:val="en-GB" w:bidi="en-GB"/>
        </w:rPr>
        <w:t xml:space="preserve"> and </w:t>
      </w:r>
      <w:r w:rsidR="003128A4">
        <w:rPr>
          <w:lang w:val="en-GB" w:bidi="en-GB"/>
        </w:rPr>
        <w:t xml:space="preserve">the </w:t>
      </w:r>
      <w:r w:rsidR="00C34D80">
        <w:rPr>
          <w:lang w:val="en-GB" w:bidi="en-GB"/>
        </w:rPr>
        <w:t xml:space="preserve">Speakers </w:t>
      </w:r>
      <w:r w:rsidR="003128A4">
        <w:rPr>
          <w:lang w:val="en-GB" w:bidi="en-GB"/>
        </w:rPr>
        <w:t>of both houses and</w:t>
      </w:r>
      <w:r w:rsidR="00C34D80">
        <w:rPr>
          <w:lang w:val="en-GB" w:bidi="en-GB"/>
        </w:rPr>
        <w:t xml:space="preserve"> the </w:t>
      </w:r>
      <w:r w:rsidR="00DD58C3">
        <w:rPr>
          <w:lang w:val="en-GB" w:bidi="en-GB"/>
        </w:rPr>
        <w:t>Clerk of Parliament</w:t>
      </w:r>
      <w:r w:rsidR="003128A4">
        <w:rPr>
          <w:lang w:val="en-GB" w:bidi="en-GB"/>
        </w:rPr>
        <w:t xml:space="preserve"> are women</w:t>
      </w:r>
      <w:r w:rsidR="00DD58C3">
        <w:rPr>
          <w:lang w:val="en-GB" w:bidi="en-GB"/>
        </w:rPr>
        <w:t xml:space="preserve">. </w:t>
      </w:r>
    </w:p>
    <w:p w14:paraId="71887E53" w14:textId="7BA380B0" w:rsidR="00715478" w:rsidRDefault="00715478" w:rsidP="00477F86">
      <w:pPr>
        <w:pStyle w:val="ListParagraph"/>
        <w:numPr>
          <w:ilvl w:val="0"/>
          <w:numId w:val="18"/>
        </w:numPr>
        <w:tabs>
          <w:tab w:val="left" w:pos="1440"/>
        </w:tabs>
        <w:spacing w:after="120"/>
        <w:ind w:left="1080" w:right="900" w:firstLine="0"/>
        <w:jc w:val="both"/>
        <w:rPr>
          <w:lang w:val="en-GB" w:bidi="en-GB"/>
        </w:rPr>
      </w:pPr>
      <w:r w:rsidRPr="002E053D">
        <w:rPr>
          <w:lang w:val="en-GB" w:bidi="en-GB"/>
        </w:rPr>
        <w:t>Trinidad and Tobago has been a</w:t>
      </w:r>
      <w:r>
        <w:rPr>
          <w:lang w:val="en-GB" w:bidi="en-GB"/>
        </w:rPr>
        <w:t xml:space="preserve">n </w:t>
      </w:r>
      <w:r w:rsidRPr="002E053D">
        <w:rPr>
          <w:lang w:val="en-GB" w:bidi="en-GB"/>
        </w:rPr>
        <w:t>example of electoral democracy</w:t>
      </w:r>
      <w:r>
        <w:rPr>
          <w:lang w:val="en-GB" w:bidi="en-GB"/>
        </w:rPr>
        <w:t>,</w:t>
      </w:r>
      <w:r w:rsidRPr="002E053D">
        <w:rPr>
          <w:lang w:val="en-GB" w:bidi="en-GB"/>
        </w:rPr>
        <w:t xml:space="preserve"> convening elections as provided for in the </w:t>
      </w:r>
      <w:r w:rsidR="003128A4">
        <w:rPr>
          <w:lang w:val="en-GB" w:bidi="en-GB"/>
        </w:rPr>
        <w:t>C</w:t>
      </w:r>
      <w:r w:rsidRPr="002E053D">
        <w:rPr>
          <w:lang w:val="en-GB" w:bidi="en-GB"/>
        </w:rPr>
        <w:t xml:space="preserve">onstitution with the will of the people being respected. </w:t>
      </w:r>
      <w:r>
        <w:rPr>
          <w:lang w:val="en-GB" w:bidi="en-GB"/>
        </w:rPr>
        <w:t xml:space="preserve">Improving </w:t>
      </w:r>
      <w:r w:rsidRPr="002E053D">
        <w:rPr>
          <w:lang w:val="en-GB" w:bidi="en-GB"/>
        </w:rPr>
        <w:t>accountability and transparency</w:t>
      </w:r>
      <w:r>
        <w:rPr>
          <w:lang w:val="en-GB" w:bidi="en-GB"/>
        </w:rPr>
        <w:t>,</w:t>
      </w:r>
      <w:r w:rsidRPr="002E053D">
        <w:rPr>
          <w:lang w:val="en-GB" w:bidi="en-GB"/>
        </w:rPr>
        <w:t xml:space="preserve"> public sector efficiency </w:t>
      </w:r>
      <w:r>
        <w:rPr>
          <w:lang w:val="en-GB" w:bidi="en-GB"/>
        </w:rPr>
        <w:t xml:space="preserve">and </w:t>
      </w:r>
      <w:r w:rsidRPr="002E053D">
        <w:rPr>
          <w:lang w:val="en-GB" w:bidi="en-GB"/>
        </w:rPr>
        <w:t xml:space="preserve">the administration of justice remain issues of national attention. </w:t>
      </w:r>
    </w:p>
    <w:p w14:paraId="38CE7159" w14:textId="4A8CD74C" w:rsidR="00715478" w:rsidRDefault="00715478" w:rsidP="00477F86">
      <w:pPr>
        <w:pStyle w:val="ListParagraph"/>
        <w:numPr>
          <w:ilvl w:val="0"/>
          <w:numId w:val="18"/>
        </w:numPr>
        <w:tabs>
          <w:tab w:val="left" w:pos="1440"/>
        </w:tabs>
        <w:spacing w:after="120"/>
        <w:ind w:left="1080" w:right="900" w:firstLine="0"/>
        <w:jc w:val="both"/>
        <w:rPr>
          <w:lang w:val="en-GB" w:bidi="en-GB"/>
        </w:rPr>
      </w:pPr>
      <w:r>
        <w:rPr>
          <w:lang w:val="en-GB" w:bidi="en-GB"/>
        </w:rPr>
        <w:t>The economy of Trinidad and Tobago is largely driven by the oil and gas sector which accounts for over 30</w:t>
      </w:r>
      <w:r w:rsidR="00253453">
        <w:rPr>
          <w:lang w:val="en-GB" w:bidi="en-GB"/>
        </w:rPr>
        <w:t xml:space="preserve"> per cent</w:t>
      </w:r>
      <w:r>
        <w:rPr>
          <w:lang w:val="en-GB" w:bidi="en-GB"/>
        </w:rPr>
        <w:t xml:space="preserve"> of the </w:t>
      </w:r>
      <w:r w:rsidR="003128A4">
        <w:rPr>
          <w:lang w:val="en-GB" w:bidi="en-GB"/>
        </w:rPr>
        <w:t>g</w:t>
      </w:r>
      <w:r w:rsidR="00236873">
        <w:rPr>
          <w:lang w:val="en-GB" w:bidi="en-GB"/>
        </w:rPr>
        <w:t xml:space="preserve">ross </w:t>
      </w:r>
      <w:r w:rsidR="003128A4">
        <w:rPr>
          <w:lang w:val="en-GB" w:bidi="en-GB"/>
        </w:rPr>
        <w:t>d</w:t>
      </w:r>
      <w:r w:rsidR="00236873">
        <w:rPr>
          <w:lang w:val="en-GB" w:bidi="en-GB"/>
        </w:rPr>
        <w:t xml:space="preserve">omestic </w:t>
      </w:r>
      <w:r w:rsidR="003128A4">
        <w:rPr>
          <w:lang w:val="en-GB" w:bidi="en-GB"/>
        </w:rPr>
        <w:t>p</w:t>
      </w:r>
      <w:r w:rsidR="00236873">
        <w:rPr>
          <w:lang w:val="en-GB" w:bidi="en-GB"/>
        </w:rPr>
        <w:t>roduct</w:t>
      </w:r>
      <w:r>
        <w:rPr>
          <w:lang w:val="en-GB" w:bidi="en-GB"/>
        </w:rPr>
        <w:t xml:space="preserve"> and 80</w:t>
      </w:r>
      <w:r w:rsidR="00253453">
        <w:rPr>
          <w:lang w:val="en-GB" w:bidi="en-GB"/>
        </w:rPr>
        <w:t xml:space="preserve"> per cent</w:t>
      </w:r>
      <w:r>
        <w:rPr>
          <w:lang w:val="en-GB" w:bidi="en-GB"/>
        </w:rPr>
        <w:t xml:space="preserve"> of the countr</w:t>
      </w:r>
      <w:r w:rsidR="00E70590">
        <w:rPr>
          <w:lang w:val="en-GB" w:bidi="en-GB"/>
        </w:rPr>
        <w:t>y’s</w:t>
      </w:r>
      <w:r>
        <w:rPr>
          <w:lang w:val="en-GB" w:bidi="en-GB"/>
        </w:rPr>
        <w:t xml:space="preserve"> exports. Like other oil- and gas-based economies, </w:t>
      </w:r>
      <w:r w:rsidRPr="00776736">
        <w:rPr>
          <w:lang w:val="en-GB" w:bidi="en-GB"/>
        </w:rPr>
        <w:t xml:space="preserve">Trinidad and </w:t>
      </w:r>
      <w:r>
        <w:rPr>
          <w:lang w:val="en-GB" w:bidi="en-GB"/>
        </w:rPr>
        <w:t xml:space="preserve">Tobago is vulnerable to exogenous shocks and volatility in the global energy market. As a result of the uncertainties caused by the </w:t>
      </w:r>
      <w:r w:rsidR="00980DB8">
        <w:rPr>
          <w:lang w:val="en-GB" w:bidi="en-GB"/>
        </w:rPr>
        <w:t>coronavirus disease (</w:t>
      </w:r>
      <w:r w:rsidR="000D4228">
        <w:rPr>
          <w:lang w:val="en-GB" w:bidi="en-GB"/>
        </w:rPr>
        <w:t>COVID-19</w:t>
      </w:r>
      <w:r w:rsidR="00980DB8">
        <w:rPr>
          <w:lang w:val="en-GB" w:bidi="en-GB"/>
        </w:rPr>
        <w:t>)</w:t>
      </w:r>
      <w:r w:rsidR="000D4228">
        <w:rPr>
          <w:lang w:val="en-GB" w:bidi="en-GB"/>
        </w:rPr>
        <w:t xml:space="preserve"> </w:t>
      </w:r>
      <w:r>
        <w:rPr>
          <w:lang w:val="en-GB" w:bidi="en-GB"/>
        </w:rPr>
        <w:t>pandemic,</w:t>
      </w:r>
      <w:r w:rsidR="000870C1">
        <w:rPr>
          <w:lang w:val="en-GB" w:bidi="en-GB"/>
        </w:rPr>
        <w:t xml:space="preserve"> </w:t>
      </w:r>
      <w:r w:rsidR="008C7006">
        <w:rPr>
          <w:lang w:val="en-GB" w:bidi="en-GB"/>
        </w:rPr>
        <w:t xml:space="preserve">the Government has placed </w:t>
      </w:r>
      <w:r>
        <w:rPr>
          <w:lang w:val="en-GB" w:bidi="en-GB"/>
        </w:rPr>
        <w:t>renewed focus on diversification and digit</w:t>
      </w:r>
      <w:r w:rsidR="000034C3">
        <w:rPr>
          <w:lang w:val="en-GB" w:bidi="en-GB"/>
        </w:rPr>
        <w:t>al</w:t>
      </w:r>
      <w:r>
        <w:rPr>
          <w:lang w:val="en-GB" w:bidi="en-GB"/>
        </w:rPr>
        <w:t>i</w:t>
      </w:r>
      <w:r w:rsidR="003128A4">
        <w:rPr>
          <w:lang w:val="en-GB" w:bidi="en-GB"/>
        </w:rPr>
        <w:t>z</w:t>
      </w:r>
      <w:r>
        <w:rPr>
          <w:lang w:val="en-GB" w:bidi="en-GB"/>
        </w:rPr>
        <w:t>ation of the economy to strengthen resilience to all forms of shocks and to enhance the country’s growth potential</w:t>
      </w:r>
      <w:r w:rsidR="00234672">
        <w:rPr>
          <w:lang w:val="en-GB" w:bidi="en-GB"/>
        </w:rPr>
        <w:t>,</w:t>
      </w:r>
      <w:r>
        <w:rPr>
          <w:lang w:val="en-GB" w:bidi="en-GB"/>
        </w:rPr>
        <w:t xml:space="preserve"> particularly in the non-energy sector. </w:t>
      </w:r>
    </w:p>
    <w:p w14:paraId="3E67B59E" w14:textId="182C6617" w:rsidR="00DD58C3" w:rsidRPr="00DD58C3" w:rsidRDefault="00715478" w:rsidP="00477F86">
      <w:pPr>
        <w:pStyle w:val="ListParagraph"/>
        <w:numPr>
          <w:ilvl w:val="0"/>
          <w:numId w:val="18"/>
        </w:numPr>
        <w:tabs>
          <w:tab w:val="left" w:pos="1440"/>
        </w:tabs>
        <w:spacing w:after="120"/>
        <w:ind w:left="1080" w:right="900" w:firstLine="0"/>
        <w:jc w:val="both"/>
        <w:rPr>
          <w:lang w:val="en-GB" w:bidi="en-GB"/>
        </w:rPr>
      </w:pPr>
      <w:r>
        <w:rPr>
          <w:lang w:val="en-GB" w:bidi="en-GB"/>
        </w:rPr>
        <w:t xml:space="preserve">Historically, Trinidad and Tobago has </w:t>
      </w:r>
      <w:r w:rsidRPr="002E053D">
        <w:rPr>
          <w:lang w:val="en-GB" w:bidi="en-GB"/>
        </w:rPr>
        <w:t>prioritized investments in its social protection system</w:t>
      </w:r>
      <w:r>
        <w:rPr>
          <w:lang w:val="en-GB" w:bidi="en-GB"/>
        </w:rPr>
        <w:t xml:space="preserve"> </w:t>
      </w:r>
      <w:r w:rsidRPr="002E053D">
        <w:rPr>
          <w:lang w:val="en-GB" w:bidi="en-GB"/>
        </w:rPr>
        <w:t xml:space="preserve">and protecting the vulnerable has been one of the </w:t>
      </w:r>
      <w:r>
        <w:rPr>
          <w:lang w:val="en-GB" w:bidi="en-GB"/>
        </w:rPr>
        <w:t xml:space="preserve">central </w:t>
      </w:r>
      <w:r w:rsidRPr="002E053D">
        <w:rPr>
          <w:lang w:val="en-GB" w:bidi="en-GB"/>
        </w:rPr>
        <w:t xml:space="preserve">pillars of government policy. </w:t>
      </w:r>
      <w:r>
        <w:rPr>
          <w:lang w:val="en-GB" w:bidi="en-GB"/>
        </w:rPr>
        <w:t>The</w:t>
      </w:r>
      <w:r w:rsidRPr="002E053D">
        <w:rPr>
          <w:lang w:val="en-GB" w:bidi="en-GB"/>
        </w:rPr>
        <w:t xml:space="preserve"> social protection system has been generous</w:t>
      </w:r>
      <w:r>
        <w:rPr>
          <w:lang w:val="en-GB" w:bidi="en-GB"/>
        </w:rPr>
        <w:t xml:space="preserve"> and contributed greatly to the countr</w:t>
      </w:r>
      <w:r w:rsidR="003128A4">
        <w:rPr>
          <w:lang w:val="en-GB" w:bidi="en-GB"/>
        </w:rPr>
        <w:t>y’s</w:t>
      </w:r>
      <w:r>
        <w:rPr>
          <w:lang w:val="en-GB" w:bidi="en-GB"/>
        </w:rPr>
        <w:t xml:space="preserve"> progress. During the pandemic, the </w:t>
      </w:r>
      <w:r w:rsidR="003128A4">
        <w:rPr>
          <w:lang w:val="en-GB" w:bidi="en-GB"/>
        </w:rPr>
        <w:t xml:space="preserve">Government </w:t>
      </w:r>
      <w:r>
        <w:rPr>
          <w:lang w:val="en-GB" w:bidi="en-GB"/>
        </w:rPr>
        <w:t xml:space="preserve">scaled up its social protection programmes, revealing some gaps in coverage and </w:t>
      </w:r>
      <w:r w:rsidRPr="002E053D">
        <w:rPr>
          <w:lang w:val="en-GB" w:bidi="en-GB"/>
        </w:rPr>
        <w:t>duplication in the provision of support</w:t>
      </w:r>
      <w:r>
        <w:rPr>
          <w:lang w:val="en-GB" w:bidi="en-GB"/>
        </w:rPr>
        <w:t xml:space="preserve">. </w:t>
      </w:r>
    </w:p>
    <w:p w14:paraId="753825C4" w14:textId="0CC44467" w:rsidR="00B83DAC" w:rsidRPr="00785808" w:rsidRDefault="005248DF" w:rsidP="00477F86">
      <w:pPr>
        <w:pStyle w:val="ListParagraph"/>
        <w:numPr>
          <w:ilvl w:val="0"/>
          <w:numId w:val="18"/>
        </w:numPr>
        <w:tabs>
          <w:tab w:val="left" w:pos="1440"/>
        </w:tabs>
        <w:spacing w:after="120"/>
        <w:ind w:left="1080" w:right="900" w:firstLine="0"/>
        <w:jc w:val="both"/>
        <w:rPr>
          <w:lang w:val="en-GB" w:bidi="en-GB"/>
        </w:rPr>
      </w:pPr>
      <w:r w:rsidRPr="00581818">
        <w:rPr>
          <w:lang w:val="en-GB" w:bidi="en-GB"/>
        </w:rPr>
        <w:t xml:space="preserve">Public safety and citizen security in Trinidad and Tobago </w:t>
      </w:r>
      <w:r w:rsidR="00715478">
        <w:rPr>
          <w:lang w:val="en-GB" w:bidi="en-GB"/>
        </w:rPr>
        <w:t xml:space="preserve">are </w:t>
      </w:r>
      <w:r w:rsidR="003E1411">
        <w:rPr>
          <w:lang w:val="en-GB" w:bidi="en-GB"/>
        </w:rPr>
        <w:t xml:space="preserve">also </w:t>
      </w:r>
      <w:r w:rsidR="00715478">
        <w:rPr>
          <w:lang w:val="en-GB" w:bidi="en-GB"/>
        </w:rPr>
        <w:t>priorities</w:t>
      </w:r>
      <w:r w:rsidR="00525B3B">
        <w:rPr>
          <w:lang w:val="en-GB" w:bidi="en-GB"/>
        </w:rPr>
        <w:t xml:space="preserve"> for </w:t>
      </w:r>
      <w:r w:rsidR="00865760">
        <w:rPr>
          <w:lang w:val="en-GB" w:bidi="en-GB"/>
        </w:rPr>
        <w:t xml:space="preserve">the </w:t>
      </w:r>
      <w:r w:rsidR="00525B3B">
        <w:rPr>
          <w:lang w:val="en-GB" w:bidi="en-GB"/>
        </w:rPr>
        <w:t>Government</w:t>
      </w:r>
      <w:r w:rsidR="00715478">
        <w:rPr>
          <w:lang w:val="en-GB" w:bidi="en-GB"/>
        </w:rPr>
        <w:t xml:space="preserve"> as the</w:t>
      </w:r>
      <w:r w:rsidR="00DD58C3">
        <w:rPr>
          <w:lang w:val="en-GB" w:bidi="en-GB"/>
        </w:rPr>
        <w:t xml:space="preserve"> country</w:t>
      </w:r>
      <w:r w:rsidR="00B83DAC" w:rsidRPr="00785808">
        <w:rPr>
          <w:lang w:val="en-GB" w:bidi="en-GB"/>
        </w:rPr>
        <w:t xml:space="preserve"> suffers from gang</w:t>
      </w:r>
      <w:r w:rsidR="003128A4">
        <w:rPr>
          <w:lang w:val="en-GB" w:bidi="en-GB"/>
        </w:rPr>
        <w:t>-</w:t>
      </w:r>
      <w:r w:rsidR="00B83DAC" w:rsidRPr="00785808">
        <w:rPr>
          <w:lang w:val="en-GB" w:bidi="en-GB"/>
        </w:rPr>
        <w:t xml:space="preserve">related violence, high levels of </w:t>
      </w:r>
      <w:r w:rsidR="00EB22E5" w:rsidRPr="00EB22E5">
        <w:rPr>
          <w:lang w:val="en-GB" w:bidi="en-GB"/>
        </w:rPr>
        <w:t>gender-based</w:t>
      </w:r>
      <w:r w:rsidR="00B83DAC" w:rsidRPr="00785808">
        <w:rPr>
          <w:lang w:val="en-GB" w:bidi="en-GB"/>
        </w:rPr>
        <w:t xml:space="preserve"> violence and trafficking. As a result, the </w:t>
      </w:r>
      <w:r w:rsidR="003128A4">
        <w:rPr>
          <w:lang w:val="en-GB" w:bidi="en-GB"/>
        </w:rPr>
        <w:t>G</w:t>
      </w:r>
      <w:r w:rsidR="00DD58C3">
        <w:rPr>
          <w:lang w:val="en-GB" w:bidi="en-GB"/>
        </w:rPr>
        <w:t xml:space="preserve">overnment is implementing </w:t>
      </w:r>
      <w:r w:rsidR="00B83DAC" w:rsidRPr="00785808">
        <w:rPr>
          <w:lang w:val="en-GB" w:bidi="en-GB"/>
        </w:rPr>
        <w:t>initiatives to strengthen prevention through programmes to support at</w:t>
      </w:r>
      <w:r w:rsidR="003128A4">
        <w:rPr>
          <w:lang w:val="en-GB" w:bidi="en-GB"/>
        </w:rPr>
        <w:t>-</w:t>
      </w:r>
      <w:r w:rsidR="00B83DAC" w:rsidRPr="00785808">
        <w:rPr>
          <w:lang w:val="en-GB" w:bidi="en-GB"/>
        </w:rPr>
        <w:t xml:space="preserve">risk youth and change gender stereotypes, while also </w:t>
      </w:r>
      <w:r w:rsidR="00EB22E5" w:rsidRPr="00EB22E5">
        <w:rPr>
          <w:lang w:val="en-GB" w:bidi="en-GB"/>
        </w:rPr>
        <w:t>improving the</w:t>
      </w:r>
      <w:r w:rsidR="00B83DAC" w:rsidRPr="00785808">
        <w:rPr>
          <w:lang w:val="en-GB" w:bidi="en-GB"/>
        </w:rPr>
        <w:t xml:space="preserve"> criminal justice system and services for survivors of violence against women. </w:t>
      </w:r>
    </w:p>
    <w:p w14:paraId="23F405AC" w14:textId="7A552DE9" w:rsidR="00111F6D" w:rsidRDefault="003E1411" w:rsidP="00477F86">
      <w:pPr>
        <w:pStyle w:val="ListParagraph"/>
        <w:numPr>
          <w:ilvl w:val="0"/>
          <w:numId w:val="18"/>
        </w:numPr>
        <w:tabs>
          <w:tab w:val="left" w:pos="1440"/>
        </w:tabs>
        <w:spacing w:after="120"/>
        <w:ind w:left="1080" w:right="900" w:firstLine="0"/>
        <w:jc w:val="both"/>
        <w:rPr>
          <w:lang w:val="en-GB" w:bidi="en-GB"/>
        </w:rPr>
      </w:pPr>
      <w:r w:rsidRPr="008F5E35">
        <w:rPr>
          <w:lang w:val="en-GB" w:bidi="en-GB"/>
        </w:rPr>
        <w:t xml:space="preserve">As a </w:t>
      </w:r>
      <w:r w:rsidR="003128A4">
        <w:rPr>
          <w:lang w:val="en-GB" w:bidi="en-GB"/>
        </w:rPr>
        <w:t>s</w:t>
      </w:r>
      <w:r w:rsidRPr="008F5E35">
        <w:rPr>
          <w:lang w:val="en-GB" w:bidi="en-GB"/>
        </w:rPr>
        <w:t xml:space="preserve">mall </w:t>
      </w:r>
      <w:r w:rsidR="003128A4">
        <w:rPr>
          <w:lang w:val="en-GB" w:bidi="en-GB"/>
        </w:rPr>
        <w:t>i</w:t>
      </w:r>
      <w:r w:rsidRPr="008F5E35">
        <w:rPr>
          <w:lang w:val="en-GB" w:bidi="en-GB"/>
        </w:rPr>
        <w:t xml:space="preserve">sland </w:t>
      </w:r>
      <w:r w:rsidR="003128A4">
        <w:rPr>
          <w:lang w:val="en-GB" w:bidi="en-GB"/>
        </w:rPr>
        <w:t>d</w:t>
      </w:r>
      <w:r w:rsidRPr="00C54B30">
        <w:rPr>
          <w:lang w:val="en-GB" w:bidi="en-GB"/>
        </w:rPr>
        <w:t xml:space="preserve">eveloping </w:t>
      </w:r>
      <w:r>
        <w:rPr>
          <w:lang w:val="en-GB" w:bidi="en-GB"/>
        </w:rPr>
        <w:t>S</w:t>
      </w:r>
      <w:r w:rsidRPr="00C54B30">
        <w:rPr>
          <w:lang w:val="en-GB" w:bidi="en-GB"/>
        </w:rPr>
        <w:t>tate, Trinidad and Tobago has been acutely vulnerable to shocks from natural hazards, which have been increasing in intensity and frequency due to the climate crisis. These include frequent flooding,</w:t>
      </w:r>
      <w:r>
        <w:rPr>
          <w:lang w:val="en-GB" w:bidi="en-GB"/>
        </w:rPr>
        <w:t xml:space="preserve"> landslides,</w:t>
      </w:r>
      <w:r w:rsidRPr="008F5E35">
        <w:rPr>
          <w:lang w:val="en-GB" w:bidi="en-GB"/>
        </w:rPr>
        <w:t xml:space="preserve"> rising sea levels and coastal erosion. Hence, there </w:t>
      </w:r>
      <w:r w:rsidR="00B13576">
        <w:rPr>
          <w:lang w:val="en-GB" w:bidi="en-GB"/>
        </w:rPr>
        <w:t>is</w:t>
      </w:r>
      <w:r w:rsidRPr="008F5E35">
        <w:rPr>
          <w:lang w:val="en-GB" w:bidi="en-GB"/>
        </w:rPr>
        <w:t xml:space="preserve"> a need to m</w:t>
      </w:r>
      <w:r w:rsidRPr="00EB2131">
        <w:rPr>
          <w:lang w:val="en-GB" w:bidi="en-GB"/>
        </w:rPr>
        <w:t>atch climate mitigation measures with investments to build resilience</w:t>
      </w:r>
      <w:r w:rsidRPr="00C54B30">
        <w:rPr>
          <w:lang w:val="en-GB" w:bidi="en-GB"/>
        </w:rPr>
        <w:t xml:space="preserve"> to climate events.</w:t>
      </w:r>
    </w:p>
    <w:p w14:paraId="19D71A75" w14:textId="29D77B7E" w:rsidR="002A69A4" w:rsidRDefault="002A69A4" w:rsidP="00477F86">
      <w:pPr>
        <w:pStyle w:val="ListParagraph"/>
        <w:numPr>
          <w:ilvl w:val="0"/>
          <w:numId w:val="18"/>
        </w:numPr>
        <w:tabs>
          <w:tab w:val="left" w:pos="1440"/>
        </w:tabs>
        <w:spacing w:after="120"/>
        <w:ind w:left="1080" w:right="900" w:firstLine="0"/>
        <w:jc w:val="both"/>
        <w:rPr>
          <w:lang w:val="en-GB" w:bidi="en-GB"/>
        </w:rPr>
      </w:pPr>
      <w:r w:rsidRPr="002E053D">
        <w:rPr>
          <w:lang w:val="en-GB" w:bidi="en-GB"/>
        </w:rPr>
        <w:t xml:space="preserve">The Sustainable Development Goals have been </w:t>
      </w:r>
      <w:r w:rsidR="00B13576">
        <w:rPr>
          <w:lang w:val="en-GB" w:bidi="en-GB"/>
        </w:rPr>
        <w:t xml:space="preserve">made </w:t>
      </w:r>
      <w:r w:rsidRPr="002E053D">
        <w:rPr>
          <w:lang w:val="en-GB" w:bidi="en-GB"/>
        </w:rPr>
        <w:t xml:space="preserve">a policy priority in Trinidad and Tobago. More specifically, the country’s </w:t>
      </w:r>
      <w:r w:rsidR="00B13576">
        <w:rPr>
          <w:lang w:val="en-GB" w:bidi="en-GB"/>
        </w:rPr>
        <w:t>national develop</w:t>
      </w:r>
      <w:r w:rsidR="000870C1">
        <w:rPr>
          <w:lang w:val="en-GB" w:bidi="en-GB"/>
        </w:rPr>
        <w:t>ment</w:t>
      </w:r>
      <w:r w:rsidR="00B13576">
        <w:rPr>
          <w:lang w:val="en-GB" w:bidi="en-GB"/>
        </w:rPr>
        <w:t xml:space="preserve"> plan, </w:t>
      </w:r>
      <w:r w:rsidRPr="002E053D">
        <w:rPr>
          <w:lang w:val="en-GB" w:bidi="en-GB"/>
        </w:rPr>
        <w:t>Vision 2030</w:t>
      </w:r>
      <w:r w:rsidR="00B13576">
        <w:rPr>
          <w:lang w:val="en-GB" w:bidi="en-GB"/>
        </w:rPr>
        <w:t>,</w:t>
      </w:r>
      <w:r w:rsidRPr="002E053D">
        <w:rPr>
          <w:lang w:val="en-GB" w:bidi="en-GB"/>
        </w:rPr>
        <w:t xml:space="preserve"> </w:t>
      </w:r>
      <w:r w:rsidR="00B13576">
        <w:rPr>
          <w:lang w:val="en-GB" w:bidi="en-GB"/>
        </w:rPr>
        <w:t>is</w:t>
      </w:r>
      <w:r w:rsidR="00B13576" w:rsidRPr="002E053D">
        <w:rPr>
          <w:lang w:val="en-GB" w:bidi="en-GB"/>
        </w:rPr>
        <w:t xml:space="preserve"> </w:t>
      </w:r>
      <w:r w:rsidRPr="002E053D">
        <w:rPr>
          <w:lang w:val="en-GB" w:bidi="en-GB"/>
        </w:rPr>
        <w:t xml:space="preserve">directly aligned </w:t>
      </w:r>
      <w:r>
        <w:rPr>
          <w:lang w:val="en-GB" w:bidi="en-GB"/>
        </w:rPr>
        <w:t>(81</w:t>
      </w:r>
      <w:r w:rsidR="00253453">
        <w:rPr>
          <w:lang w:val="en-GB" w:bidi="en-GB"/>
        </w:rPr>
        <w:t xml:space="preserve"> per cent</w:t>
      </w:r>
      <w:r>
        <w:rPr>
          <w:lang w:val="en-GB" w:bidi="en-GB"/>
        </w:rPr>
        <w:t xml:space="preserve">) </w:t>
      </w:r>
      <w:r w:rsidRPr="002E053D">
        <w:rPr>
          <w:lang w:val="en-GB" w:bidi="en-GB"/>
        </w:rPr>
        <w:t xml:space="preserve">with the </w:t>
      </w:r>
      <w:r>
        <w:rPr>
          <w:lang w:val="en-GB" w:bidi="en-GB"/>
        </w:rPr>
        <w:t>Goal</w:t>
      </w:r>
      <w:r w:rsidRPr="002E053D">
        <w:rPr>
          <w:lang w:val="en-GB" w:bidi="en-GB"/>
        </w:rPr>
        <w:t xml:space="preserve">s. </w:t>
      </w:r>
      <w:r>
        <w:rPr>
          <w:lang w:val="en-GB" w:bidi="en-GB"/>
        </w:rPr>
        <w:t xml:space="preserve">Consistent with this </w:t>
      </w:r>
      <w:r w:rsidR="00246C0C">
        <w:rPr>
          <w:lang w:val="en-GB" w:bidi="en-GB"/>
        </w:rPr>
        <w:t xml:space="preserve">is </w:t>
      </w:r>
      <w:r w:rsidR="00B13576">
        <w:rPr>
          <w:lang w:val="en-GB" w:bidi="en-GB"/>
        </w:rPr>
        <w:t>the country’s</w:t>
      </w:r>
      <w:r w:rsidR="005B4886">
        <w:rPr>
          <w:lang w:val="en-GB" w:bidi="en-GB"/>
        </w:rPr>
        <w:t xml:space="preserve"> </w:t>
      </w:r>
      <w:r w:rsidR="006E07FD">
        <w:rPr>
          <w:lang w:val="en-GB" w:bidi="en-GB"/>
        </w:rPr>
        <w:t xml:space="preserve">ongoing </w:t>
      </w:r>
      <w:r w:rsidR="005B4886">
        <w:rPr>
          <w:lang w:val="en-GB" w:bidi="en-GB"/>
        </w:rPr>
        <w:t>commitment</w:t>
      </w:r>
      <w:r w:rsidRPr="002E053D">
        <w:rPr>
          <w:lang w:val="en-GB" w:bidi="en-GB"/>
        </w:rPr>
        <w:t xml:space="preserve"> to meet international climate obligations</w:t>
      </w:r>
      <w:r>
        <w:rPr>
          <w:lang w:val="en-GB" w:bidi="en-GB"/>
        </w:rPr>
        <w:t xml:space="preserve">. As a signatory to the Paris Agreement, Trinidad and Tobago was one of the first countries in the Caribbean to submit its </w:t>
      </w:r>
      <w:r w:rsidR="00B13576">
        <w:rPr>
          <w:lang w:val="en-GB" w:bidi="en-GB"/>
        </w:rPr>
        <w:t>n</w:t>
      </w:r>
      <w:r>
        <w:rPr>
          <w:lang w:val="en-GB" w:bidi="en-GB"/>
        </w:rPr>
        <w:t xml:space="preserve">ationally </w:t>
      </w:r>
      <w:r w:rsidR="00B13576">
        <w:rPr>
          <w:lang w:val="en-GB" w:bidi="en-GB"/>
        </w:rPr>
        <w:t>d</w:t>
      </w:r>
      <w:r>
        <w:rPr>
          <w:lang w:val="en-GB" w:bidi="en-GB"/>
        </w:rPr>
        <w:t xml:space="preserve">etermined </w:t>
      </w:r>
      <w:r w:rsidR="00B13576">
        <w:rPr>
          <w:lang w:val="en-GB" w:bidi="en-GB"/>
        </w:rPr>
        <w:t>c</w:t>
      </w:r>
      <w:r>
        <w:rPr>
          <w:lang w:val="en-GB" w:bidi="en-GB"/>
        </w:rPr>
        <w:t xml:space="preserve">ontribution and </w:t>
      </w:r>
      <w:r w:rsidR="000F6691">
        <w:rPr>
          <w:lang w:val="en-GB" w:bidi="en-GB"/>
        </w:rPr>
        <w:t xml:space="preserve">has been </w:t>
      </w:r>
      <w:r>
        <w:rPr>
          <w:lang w:val="en-GB" w:bidi="en-GB"/>
        </w:rPr>
        <w:t xml:space="preserve">working with UNDP </w:t>
      </w:r>
      <w:r w:rsidR="00246C0C">
        <w:rPr>
          <w:lang w:val="en-GB" w:bidi="en-GB"/>
        </w:rPr>
        <w:t>on a range of activities to meet it</w:t>
      </w:r>
      <w:r w:rsidR="006E07FD">
        <w:rPr>
          <w:lang w:val="en-GB" w:bidi="en-GB"/>
        </w:rPr>
        <w:t>s</w:t>
      </w:r>
      <w:r w:rsidR="00246C0C">
        <w:rPr>
          <w:lang w:val="en-GB" w:bidi="en-GB"/>
        </w:rPr>
        <w:t xml:space="preserve"> obligations</w:t>
      </w:r>
      <w:r w:rsidRPr="002E053D">
        <w:rPr>
          <w:lang w:val="en-GB" w:bidi="en-GB"/>
        </w:rPr>
        <w:t>.</w:t>
      </w:r>
      <w:r w:rsidRPr="00A41C56">
        <w:t xml:space="preserve"> </w:t>
      </w:r>
    </w:p>
    <w:p w14:paraId="798BA355" w14:textId="07DCBBE0" w:rsidR="002A69A4" w:rsidRPr="004150A8" w:rsidRDefault="002A69A4" w:rsidP="00477F86">
      <w:pPr>
        <w:pStyle w:val="ListParagraph"/>
        <w:numPr>
          <w:ilvl w:val="0"/>
          <w:numId w:val="18"/>
        </w:numPr>
        <w:tabs>
          <w:tab w:val="left" w:pos="1440"/>
        </w:tabs>
        <w:spacing w:after="120"/>
        <w:ind w:left="1080" w:right="900" w:firstLine="0"/>
        <w:jc w:val="both"/>
        <w:rPr>
          <w:lang w:val="en-GB" w:bidi="en-GB"/>
        </w:rPr>
      </w:pPr>
      <w:r w:rsidRPr="00BD120F">
        <w:rPr>
          <w:lang w:val="en-GB" w:bidi="en-GB"/>
        </w:rPr>
        <w:t>In</w:t>
      </w:r>
      <w:r w:rsidR="00207A71">
        <w:rPr>
          <w:lang w:val="en-GB" w:bidi="en-GB"/>
        </w:rPr>
        <w:t xml:space="preserve"> the other islands served by the UNDP office in Trinidad and Tobago, issues of climate change, implementation</w:t>
      </w:r>
      <w:r w:rsidR="00D04CF8">
        <w:rPr>
          <w:lang w:val="en-GB" w:bidi="en-GB"/>
        </w:rPr>
        <w:t xml:space="preserve"> of the</w:t>
      </w:r>
      <w:r w:rsidR="00CE2C8F">
        <w:rPr>
          <w:lang w:val="en-GB" w:bidi="en-GB"/>
        </w:rPr>
        <w:t xml:space="preserve"> Sustainable Development</w:t>
      </w:r>
      <w:r w:rsidR="00D04CF8">
        <w:rPr>
          <w:lang w:val="en-GB" w:bidi="en-GB"/>
        </w:rPr>
        <w:t xml:space="preserve"> Goals</w:t>
      </w:r>
      <w:r w:rsidR="00207A71">
        <w:rPr>
          <w:lang w:val="en-GB" w:bidi="en-GB"/>
        </w:rPr>
        <w:t xml:space="preserve"> and digit</w:t>
      </w:r>
      <w:r w:rsidR="000034C3">
        <w:rPr>
          <w:lang w:val="en-GB" w:bidi="en-GB"/>
        </w:rPr>
        <w:t>al</w:t>
      </w:r>
      <w:r w:rsidR="00207A71">
        <w:rPr>
          <w:lang w:val="en-GB" w:bidi="en-GB"/>
        </w:rPr>
        <w:t>i</w:t>
      </w:r>
      <w:r w:rsidR="00B13576">
        <w:rPr>
          <w:lang w:val="en-GB" w:bidi="en-GB"/>
        </w:rPr>
        <w:t>z</w:t>
      </w:r>
      <w:r w:rsidR="00207A71">
        <w:rPr>
          <w:lang w:val="en-GB" w:bidi="en-GB"/>
        </w:rPr>
        <w:t xml:space="preserve">ation remain high on </w:t>
      </w:r>
      <w:r w:rsidR="00B13576">
        <w:rPr>
          <w:lang w:val="en-GB" w:bidi="en-GB"/>
        </w:rPr>
        <w:t xml:space="preserve">policy </w:t>
      </w:r>
      <w:r w:rsidR="00207A71">
        <w:rPr>
          <w:lang w:val="en-GB" w:bidi="en-GB"/>
        </w:rPr>
        <w:t>agenda</w:t>
      </w:r>
      <w:r w:rsidR="00C3672F">
        <w:rPr>
          <w:lang w:val="en-GB" w:bidi="en-GB"/>
        </w:rPr>
        <w:t>s</w:t>
      </w:r>
      <w:r w:rsidR="00207A71">
        <w:rPr>
          <w:lang w:val="en-GB" w:bidi="en-GB"/>
        </w:rPr>
        <w:t xml:space="preserve">. </w:t>
      </w:r>
      <w:r w:rsidR="00A85B77">
        <w:rPr>
          <w:lang w:val="en-GB" w:bidi="en-GB"/>
        </w:rPr>
        <w:t>I</w:t>
      </w:r>
      <w:r w:rsidR="00207A71">
        <w:rPr>
          <w:lang w:val="en-GB" w:bidi="en-GB"/>
        </w:rPr>
        <w:t>n Aruba</w:t>
      </w:r>
      <w:r w:rsidR="00125D80">
        <w:rPr>
          <w:lang w:val="en-GB" w:bidi="en-GB"/>
        </w:rPr>
        <w:t xml:space="preserve">, </w:t>
      </w:r>
      <w:r w:rsidR="00732CCD">
        <w:rPr>
          <w:lang w:val="en-GB" w:bidi="en-GB"/>
        </w:rPr>
        <w:t xml:space="preserve">UNDP </w:t>
      </w:r>
      <w:r w:rsidR="007B06C3">
        <w:rPr>
          <w:lang w:val="en-GB" w:bidi="en-GB"/>
        </w:rPr>
        <w:t xml:space="preserve">is </w:t>
      </w:r>
      <w:r w:rsidR="00061DB5">
        <w:rPr>
          <w:lang w:val="en-GB" w:bidi="en-GB"/>
        </w:rPr>
        <w:t>supporting the</w:t>
      </w:r>
      <w:r w:rsidR="00732CCD">
        <w:rPr>
          <w:lang w:val="en-GB" w:bidi="en-GB"/>
        </w:rPr>
        <w:t xml:space="preserve"> country to build</w:t>
      </w:r>
      <w:r w:rsidR="00125D80">
        <w:rPr>
          <w:lang w:val="en-GB" w:bidi="en-GB"/>
        </w:rPr>
        <w:t xml:space="preserve"> </w:t>
      </w:r>
      <w:r w:rsidR="00732CCD">
        <w:rPr>
          <w:lang w:val="en-GB" w:bidi="en-GB"/>
        </w:rPr>
        <w:t xml:space="preserve">national </w:t>
      </w:r>
      <w:r w:rsidR="00125D80">
        <w:rPr>
          <w:lang w:val="en-GB" w:bidi="en-GB"/>
        </w:rPr>
        <w:t>capacit</w:t>
      </w:r>
      <w:r w:rsidR="00732CCD">
        <w:rPr>
          <w:lang w:val="en-GB" w:bidi="en-GB"/>
        </w:rPr>
        <w:t>ies</w:t>
      </w:r>
      <w:r w:rsidR="00125D80">
        <w:rPr>
          <w:lang w:val="en-GB" w:bidi="en-GB"/>
        </w:rPr>
        <w:t xml:space="preserve"> in </w:t>
      </w:r>
      <w:r w:rsidR="00125D80">
        <w:rPr>
          <w:lang w:val="en-GB" w:bidi="en-GB"/>
        </w:rPr>
        <w:lastRenderedPageBreak/>
        <w:t xml:space="preserve">science, technology, </w:t>
      </w:r>
      <w:r w:rsidR="007352EC">
        <w:rPr>
          <w:lang w:val="en-GB" w:bidi="en-GB"/>
        </w:rPr>
        <w:t>engineering,</w:t>
      </w:r>
      <w:r w:rsidR="008E1D11">
        <w:rPr>
          <w:lang w:val="en-GB" w:bidi="en-GB"/>
        </w:rPr>
        <w:t xml:space="preserve"> </w:t>
      </w:r>
      <w:r w:rsidR="00125D80">
        <w:rPr>
          <w:lang w:val="en-GB" w:bidi="en-GB"/>
        </w:rPr>
        <w:t>and mathematic</w:t>
      </w:r>
      <w:r w:rsidR="008E1D11">
        <w:rPr>
          <w:lang w:val="en-GB" w:bidi="en-GB"/>
        </w:rPr>
        <w:t xml:space="preserve">s; </w:t>
      </w:r>
      <w:r w:rsidR="00207A71">
        <w:rPr>
          <w:lang w:val="en-GB" w:bidi="en-GB"/>
        </w:rPr>
        <w:t>in Sint M</w:t>
      </w:r>
      <w:r w:rsidR="00C34B33">
        <w:rPr>
          <w:lang w:val="en-GB" w:bidi="en-GB"/>
        </w:rPr>
        <w:t>a</w:t>
      </w:r>
      <w:r w:rsidR="00207A71">
        <w:rPr>
          <w:lang w:val="en-GB" w:bidi="en-GB"/>
        </w:rPr>
        <w:t>arten</w:t>
      </w:r>
      <w:r w:rsidR="00125D80">
        <w:rPr>
          <w:lang w:val="en-GB" w:bidi="en-GB"/>
        </w:rPr>
        <w:t xml:space="preserve">, UNDP is </w:t>
      </w:r>
      <w:r w:rsidR="00732CCD">
        <w:rPr>
          <w:lang w:val="en-GB" w:bidi="en-GB"/>
        </w:rPr>
        <w:t>strengthening national</w:t>
      </w:r>
      <w:r w:rsidR="00125D80">
        <w:rPr>
          <w:lang w:val="en-GB" w:bidi="en-GB"/>
        </w:rPr>
        <w:t xml:space="preserve"> early warning and recovery </w:t>
      </w:r>
      <w:r w:rsidR="00732CCD">
        <w:rPr>
          <w:lang w:val="en-GB" w:bidi="en-GB"/>
        </w:rPr>
        <w:t>capacities</w:t>
      </w:r>
      <w:r w:rsidR="008E1D11">
        <w:rPr>
          <w:lang w:val="en-GB" w:bidi="en-GB"/>
        </w:rPr>
        <w:t xml:space="preserve">; and </w:t>
      </w:r>
      <w:r w:rsidRPr="00BD120F">
        <w:rPr>
          <w:lang w:val="en-GB" w:bidi="en-GB"/>
        </w:rPr>
        <w:t xml:space="preserve">UNDP </w:t>
      </w:r>
      <w:r w:rsidR="007B06C3">
        <w:rPr>
          <w:lang w:val="en-GB" w:bidi="en-GB"/>
        </w:rPr>
        <w:t>i</w:t>
      </w:r>
      <w:r w:rsidR="00732CCD">
        <w:rPr>
          <w:lang w:val="en-GB" w:bidi="en-GB"/>
        </w:rPr>
        <w:t xml:space="preserve">s supporting national </w:t>
      </w:r>
      <w:r w:rsidR="00BF64F1">
        <w:rPr>
          <w:lang w:val="en-GB" w:bidi="en-GB"/>
        </w:rPr>
        <w:t>digitalization</w:t>
      </w:r>
      <w:r w:rsidR="00732CCD">
        <w:rPr>
          <w:lang w:val="en-GB" w:bidi="en-GB"/>
        </w:rPr>
        <w:t xml:space="preserve"> efforts in Cura</w:t>
      </w:r>
      <w:r w:rsidR="00840D5F">
        <w:rPr>
          <w:lang w:val="en-GB" w:bidi="en-GB"/>
        </w:rPr>
        <w:t>ç</w:t>
      </w:r>
      <w:r w:rsidR="00732CCD">
        <w:rPr>
          <w:lang w:val="en-GB" w:bidi="en-GB"/>
        </w:rPr>
        <w:t xml:space="preserve">ao. </w:t>
      </w:r>
    </w:p>
    <w:p w14:paraId="1C0AD857" w14:textId="6A2378D2" w:rsidR="00A15912" w:rsidRPr="00415353" w:rsidRDefault="00015BAF" w:rsidP="00477F86">
      <w:pPr>
        <w:pStyle w:val="ListParagraph"/>
        <w:numPr>
          <w:ilvl w:val="0"/>
          <w:numId w:val="18"/>
        </w:numPr>
        <w:tabs>
          <w:tab w:val="left" w:pos="1440"/>
        </w:tabs>
        <w:spacing w:after="120"/>
        <w:ind w:left="1080" w:right="900" w:firstLine="0"/>
        <w:jc w:val="both"/>
        <w:rPr>
          <w:lang w:val="en-GB" w:bidi="en-GB"/>
        </w:rPr>
      </w:pPr>
      <w:r w:rsidRPr="00336BDC">
        <w:rPr>
          <w:lang w:val="en-GB" w:bidi="en-GB"/>
        </w:rPr>
        <w:t xml:space="preserve">Against this background, </w:t>
      </w:r>
      <w:r w:rsidR="00B13576">
        <w:rPr>
          <w:lang w:val="en-GB" w:bidi="en-GB"/>
        </w:rPr>
        <w:t xml:space="preserve">the </w:t>
      </w:r>
      <w:r w:rsidRPr="00336BDC">
        <w:rPr>
          <w:lang w:val="en-GB" w:bidi="en-GB"/>
        </w:rPr>
        <w:t>UNDP</w:t>
      </w:r>
      <w:r>
        <w:rPr>
          <w:lang w:val="en-GB" w:bidi="en-GB"/>
        </w:rPr>
        <w:t xml:space="preserve"> office in Trinidad and Tobago play</w:t>
      </w:r>
      <w:r w:rsidR="00B13576">
        <w:rPr>
          <w:lang w:val="en-GB" w:bidi="en-GB"/>
        </w:rPr>
        <w:t>s</w:t>
      </w:r>
      <w:r>
        <w:rPr>
          <w:lang w:val="en-GB" w:bidi="en-GB"/>
        </w:rPr>
        <w:t xml:space="preserve"> an important role </w:t>
      </w:r>
      <w:r w:rsidR="00FC0A34">
        <w:rPr>
          <w:lang w:val="en-GB" w:bidi="en-GB"/>
        </w:rPr>
        <w:t xml:space="preserve">in </w:t>
      </w:r>
      <w:r>
        <w:rPr>
          <w:lang w:val="en-GB" w:bidi="en-GB"/>
        </w:rPr>
        <w:t>support</w:t>
      </w:r>
      <w:r w:rsidR="00FC0A34">
        <w:rPr>
          <w:lang w:val="en-GB" w:bidi="en-GB"/>
        </w:rPr>
        <w:t>ing</w:t>
      </w:r>
      <w:r>
        <w:rPr>
          <w:lang w:val="en-GB" w:bidi="en-GB"/>
        </w:rPr>
        <w:t xml:space="preserve"> the</w:t>
      </w:r>
      <w:r w:rsidR="00FC0A34">
        <w:rPr>
          <w:lang w:val="en-GB" w:bidi="en-GB"/>
        </w:rPr>
        <w:t>se</w:t>
      </w:r>
      <w:r>
        <w:rPr>
          <w:lang w:val="en-GB" w:bidi="en-GB"/>
        </w:rPr>
        <w:t xml:space="preserve"> islands to achieve national priorities through the technical assistance it provides and its role as convenor of critical partnerships. </w:t>
      </w:r>
      <w:r w:rsidR="00A15912" w:rsidRPr="00015BAF">
        <w:rPr>
          <w:lang w:val="en-GB" w:bidi="en-GB"/>
        </w:rPr>
        <w:t xml:space="preserve">UNDP has adopted an issues-based, multidimensional approach </w:t>
      </w:r>
      <w:r w:rsidR="00317149" w:rsidRPr="00015BAF">
        <w:rPr>
          <w:lang w:val="en-GB" w:bidi="en-GB"/>
        </w:rPr>
        <w:t xml:space="preserve">which has </w:t>
      </w:r>
      <w:r w:rsidR="00CE2C8F" w:rsidRPr="00015BAF">
        <w:rPr>
          <w:lang w:val="en-GB" w:bidi="en-GB"/>
        </w:rPr>
        <w:t>also benefit</w:t>
      </w:r>
      <w:r w:rsidR="004637A9">
        <w:rPr>
          <w:lang w:val="en-GB" w:bidi="en-GB"/>
        </w:rPr>
        <w:t>ed</w:t>
      </w:r>
      <w:r w:rsidR="00B10567" w:rsidRPr="00015BAF">
        <w:rPr>
          <w:lang w:val="en-GB" w:bidi="en-GB"/>
        </w:rPr>
        <w:t xml:space="preserve"> from South-South </w:t>
      </w:r>
      <w:r w:rsidR="00FC0A34">
        <w:rPr>
          <w:lang w:val="en-GB" w:bidi="en-GB"/>
        </w:rPr>
        <w:t>c</w:t>
      </w:r>
      <w:r w:rsidR="00B10567" w:rsidRPr="00015BAF">
        <w:rPr>
          <w:lang w:val="en-GB" w:bidi="en-GB"/>
        </w:rPr>
        <w:t xml:space="preserve">ooperation </w:t>
      </w:r>
      <w:r w:rsidR="005A7FAC" w:rsidRPr="00015BAF">
        <w:rPr>
          <w:lang w:val="en-GB" w:bidi="en-GB"/>
        </w:rPr>
        <w:t xml:space="preserve">across all areas of </w:t>
      </w:r>
      <w:r w:rsidR="005A7FAC" w:rsidRPr="00415353">
        <w:rPr>
          <w:lang w:val="en-GB" w:bidi="en-GB"/>
        </w:rPr>
        <w:t>programmin</w:t>
      </w:r>
      <w:r w:rsidR="00317149" w:rsidRPr="00DB1801">
        <w:rPr>
          <w:lang w:val="en-GB" w:bidi="en-GB"/>
        </w:rPr>
        <w:t>g</w:t>
      </w:r>
      <w:r w:rsidR="00785B2F" w:rsidRPr="00DB1801">
        <w:rPr>
          <w:lang w:val="en-GB" w:bidi="en-GB"/>
        </w:rPr>
        <w:t xml:space="preserve">. </w:t>
      </w:r>
      <w:r w:rsidR="00246C0C" w:rsidRPr="00015BAF">
        <w:rPr>
          <w:lang w:val="en-GB" w:bidi="en-GB"/>
        </w:rPr>
        <w:t xml:space="preserve">Gender equality and women’s empowerment are </w:t>
      </w:r>
      <w:r w:rsidR="00C5585B" w:rsidRPr="00015BAF">
        <w:rPr>
          <w:lang w:val="en-GB" w:bidi="en-GB"/>
        </w:rPr>
        <w:t>mainstreamed</w:t>
      </w:r>
      <w:r w:rsidR="00246C0C" w:rsidRPr="00015BAF">
        <w:rPr>
          <w:lang w:val="en-GB" w:bidi="en-GB"/>
        </w:rPr>
        <w:t xml:space="preserve"> </w:t>
      </w:r>
      <w:r w:rsidR="00744F25" w:rsidRPr="00015BAF">
        <w:rPr>
          <w:lang w:val="en-GB" w:bidi="en-GB"/>
        </w:rPr>
        <w:t>throughout</w:t>
      </w:r>
      <w:r w:rsidR="00246C0C" w:rsidRPr="00015BAF">
        <w:rPr>
          <w:lang w:val="en-GB" w:bidi="en-GB"/>
        </w:rPr>
        <w:t xml:space="preserve"> UNDP efforts and will be </w:t>
      </w:r>
      <w:r w:rsidR="00C3672F">
        <w:rPr>
          <w:lang w:val="en-GB" w:bidi="en-GB"/>
        </w:rPr>
        <w:t xml:space="preserve">further </w:t>
      </w:r>
      <w:r w:rsidR="00246C0C" w:rsidRPr="00015BAF">
        <w:rPr>
          <w:lang w:val="en-GB" w:bidi="en-GB"/>
        </w:rPr>
        <w:t xml:space="preserve">strengthened in </w:t>
      </w:r>
      <w:r w:rsidR="00FC0A34">
        <w:rPr>
          <w:lang w:val="en-GB" w:bidi="en-GB"/>
        </w:rPr>
        <w:t>the proposed</w:t>
      </w:r>
      <w:r w:rsidR="00FC0A34" w:rsidRPr="00015BAF">
        <w:rPr>
          <w:lang w:val="en-GB" w:bidi="en-GB"/>
        </w:rPr>
        <w:t xml:space="preserve"> </w:t>
      </w:r>
      <w:r w:rsidR="00246C0C" w:rsidRPr="00015BAF">
        <w:rPr>
          <w:lang w:val="en-GB" w:bidi="en-GB"/>
        </w:rPr>
        <w:t xml:space="preserve">country programme. </w:t>
      </w:r>
      <w:r w:rsidR="00A15912" w:rsidRPr="00015BAF">
        <w:rPr>
          <w:lang w:val="en-GB" w:bidi="en-GB"/>
        </w:rPr>
        <w:t>Projects support</w:t>
      </w:r>
      <w:r w:rsidR="00142787" w:rsidRPr="00015BAF">
        <w:rPr>
          <w:lang w:val="en-GB" w:bidi="en-GB"/>
        </w:rPr>
        <w:t>ing</w:t>
      </w:r>
      <w:r w:rsidR="00A15912" w:rsidRPr="00015BAF">
        <w:rPr>
          <w:lang w:val="en-GB" w:bidi="en-GB"/>
        </w:rPr>
        <w:t xml:space="preserve"> the most vulnerable segments of the population, such as persons with disabilities, at</w:t>
      </w:r>
      <w:r w:rsidR="00FC0A34">
        <w:rPr>
          <w:lang w:val="en-GB" w:bidi="en-GB"/>
        </w:rPr>
        <w:t>-</w:t>
      </w:r>
      <w:r w:rsidR="00A15912" w:rsidRPr="00015BAF">
        <w:rPr>
          <w:lang w:val="en-GB" w:bidi="en-GB"/>
        </w:rPr>
        <w:t xml:space="preserve">risk youth and the socially displaced, </w:t>
      </w:r>
      <w:r w:rsidR="00317149" w:rsidRPr="00015BAF">
        <w:rPr>
          <w:lang w:val="en-GB" w:bidi="en-GB"/>
        </w:rPr>
        <w:t xml:space="preserve">will </w:t>
      </w:r>
      <w:r w:rsidR="007A3278" w:rsidRPr="00015BAF">
        <w:rPr>
          <w:lang w:val="en-GB" w:bidi="en-GB"/>
        </w:rPr>
        <w:t xml:space="preserve">continue to </w:t>
      </w:r>
      <w:r w:rsidR="00317149" w:rsidRPr="00015BAF">
        <w:rPr>
          <w:lang w:val="en-GB" w:bidi="en-GB"/>
        </w:rPr>
        <w:t xml:space="preserve">be core focuses of this country programme and are </w:t>
      </w:r>
      <w:r w:rsidR="00A15912" w:rsidRPr="00015BAF">
        <w:rPr>
          <w:lang w:val="en-GB" w:bidi="en-GB"/>
        </w:rPr>
        <w:t xml:space="preserve">consistent with </w:t>
      </w:r>
      <w:r w:rsidR="00317149" w:rsidRPr="00015BAF">
        <w:rPr>
          <w:lang w:val="en-GB" w:bidi="en-GB"/>
        </w:rPr>
        <w:t>national development goals</w:t>
      </w:r>
      <w:r w:rsidR="00246C0C" w:rsidRPr="00015BAF">
        <w:rPr>
          <w:lang w:val="en-GB" w:bidi="en-GB"/>
        </w:rPr>
        <w:t xml:space="preserve"> focused on leaving no one behind.</w:t>
      </w:r>
      <w:r w:rsidR="00A15912" w:rsidRPr="00015BAF">
        <w:rPr>
          <w:lang w:val="en-GB" w:bidi="en-GB"/>
        </w:rPr>
        <w:t xml:space="preserve"> </w:t>
      </w:r>
    </w:p>
    <w:p w14:paraId="22A18CF5" w14:textId="779C7E47" w:rsidR="007A00D0" w:rsidRDefault="007A00D0" w:rsidP="00477F86">
      <w:pPr>
        <w:pStyle w:val="ListParagraph"/>
        <w:numPr>
          <w:ilvl w:val="0"/>
          <w:numId w:val="18"/>
        </w:numPr>
        <w:tabs>
          <w:tab w:val="left" w:pos="1440"/>
        </w:tabs>
        <w:spacing w:after="120"/>
        <w:ind w:left="1080" w:right="900" w:firstLine="0"/>
        <w:jc w:val="both"/>
        <w:rPr>
          <w:lang w:val="en-GB" w:bidi="en-GB"/>
        </w:rPr>
      </w:pPr>
      <w:bookmarkStart w:id="1" w:name="_Hlk85030627"/>
      <w:r>
        <w:rPr>
          <w:lang w:val="en-GB" w:bidi="en-GB"/>
        </w:rPr>
        <w:t xml:space="preserve">Trinidad and Tobago </w:t>
      </w:r>
      <w:r w:rsidR="00EC7F8E">
        <w:rPr>
          <w:lang w:val="en-GB" w:bidi="en-GB"/>
        </w:rPr>
        <w:t>is</w:t>
      </w:r>
      <w:r>
        <w:rPr>
          <w:lang w:val="en-GB" w:bidi="en-GB"/>
        </w:rPr>
        <w:t xml:space="preserve"> a</w:t>
      </w:r>
      <w:r w:rsidRPr="008738E5">
        <w:rPr>
          <w:lang w:val="en-GB" w:bidi="en-GB"/>
        </w:rPr>
        <w:t xml:space="preserve"> net contributing country</w:t>
      </w:r>
      <w:r>
        <w:rPr>
          <w:lang w:val="en-GB" w:bidi="en-GB"/>
        </w:rPr>
        <w:t xml:space="preserve"> </w:t>
      </w:r>
      <w:r w:rsidR="00FC0A34">
        <w:rPr>
          <w:lang w:val="en-GB" w:bidi="en-GB"/>
        </w:rPr>
        <w:t xml:space="preserve">to UNDP </w:t>
      </w:r>
      <w:r>
        <w:rPr>
          <w:lang w:val="en-GB" w:bidi="en-GB"/>
        </w:rPr>
        <w:t>and has been successful at mobilizing third</w:t>
      </w:r>
      <w:r w:rsidR="00FC0A34">
        <w:rPr>
          <w:lang w:val="en-GB" w:bidi="en-GB"/>
        </w:rPr>
        <w:t>-</w:t>
      </w:r>
      <w:r>
        <w:rPr>
          <w:lang w:val="en-GB" w:bidi="en-GB"/>
        </w:rPr>
        <w:t>party cost sharing from a range of partners. Trinidad and Tobago is a recipient of funding from global instruments such as</w:t>
      </w:r>
      <w:r w:rsidRPr="002A69A4">
        <w:rPr>
          <w:lang w:val="en-GB" w:bidi="en-GB"/>
        </w:rPr>
        <w:t xml:space="preserve"> the Global Environment Facility (GEF) and the Multilateral Fund for the Implementation of the Montreal Protocol. </w:t>
      </w:r>
      <w:r>
        <w:rPr>
          <w:lang w:val="en-GB" w:bidi="en-GB"/>
        </w:rPr>
        <w:t xml:space="preserve">Trinidad and Tobago participates in </w:t>
      </w:r>
      <w:r w:rsidR="00FC0A34">
        <w:rPr>
          <w:lang w:val="en-GB" w:bidi="en-GB"/>
        </w:rPr>
        <w:t xml:space="preserve">the </w:t>
      </w:r>
      <w:r>
        <w:rPr>
          <w:lang w:val="en-GB" w:bidi="en-GB"/>
        </w:rPr>
        <w:t xml:space="preserve">UNDP </w:t>
      </w:r>
      <w:r w:rsidRPr="002A69A4">
        <w:rPr>
          <w:lang w:val="en-GB" w:bidi="en-GB"/>
        </w:rPr>
        <w:t>Nationally Determined Contribution</w:t>
      </w:r>
      <w:r>
        <w:rPr>
          <w:lang w:val="en-GB" w:bidi="en-GB"/>
        </w:rPr>
        <w:t xml:space="preserve"> Support Programme</w:t>
      </w:r>
      <w:r w:rsidR="001F4AB7">
        <w:rPr>
          <w:lang w:val="en-GB" w:bidi="en-GB"/>
        </w:rPr>
        <w:t>,</w:t>
      </w:r>
      <w:r>
        <w:rPr>
          <w:lang w:val="en-GB" w:bidi="en-GB"/>
        </w:rPr>
        <w:t xml:space="preserve"> its Climate Promise</w:t>
      </w:r>
      <w:r w:rsidR="00FC0A34">
        <w:rPr>
          <w:lang w:val="en-GB" w:bidi="en-GB"/>
        </w:rPr>
        <w:t xml:space="preserve"> and</w:t>
      </w:r>
      <w:r w:rsidR="00246C0C">
        <w:rPr>
          <w:lang w:val="en-GB" w:bidi="en-GB"/>
        </w:rPr>
        <w:t xml:space="preserve"> its </w:t>
      </w:r>
      <w:r w:rsidR="001F4AB7">
        <w:rPr>
          <w:lang w:val="en-GB" w:bidi="en-GB"/>
        </w:rPr>
        <w:t>COVID-19</w:t>
      </w:r>
      <w:r w:rsidR="002547A9">
        <w:rPr>
          <w:lang w:val="en-GB" w:bidi="en-GB"/>
        </w:rPr>
        <w:t xml:space="preserve"> </w:t>
      </w:r>
      <w:r w:rsidR="00246C0C">
        <w:rPr>
          <w:lang w:val="en-GB" w:bidi="en-GB"/>
        </w:rPr>
        <w:t xml:space="preserve">relief </w:t>
      </w:r>
      <w:r w:rsidR="0081019E">
        <w:rPr>
          <w:lang w:val="en-GB" w:bidi="en-GB"/>
        </w:rPr>
        <w:t>funding, and</w:t>
      </w:r>
      <w:r>
        <w:rPr>
          <w:lang w:val="en-GB" w:bidi="en-GB"/>
        </w:rPr>
        <w:t xml:space="preserve"> </w:t>
      </w:r>
      <w:r w:rsidR="00246C0C">
        <w:rPr>
          <w:lang w:val="en-GB" w:bidi="en-GB"/>
        </w:rPr>
        <w:t xml:space="preserve">hosts </w:t>
      </w:r>
      <w:r>
        <w:rPr>
          <w:lang w:val="en-GB" w:bidi="en-GB"/>
        </w:rPr>
        <w:t xml:space="preserve">one of </w:t>
      </w:r>
      <w:r w:rsidR="00FC0A34">
        <w:rPr>
          <w:lang w:val="en-GB" w:bidi="en-GB"/>
        </w:rPr>
        <w:t xml:space="preserve">the 91 </w:t>
      </w:r>
      <w:r w:rsidR="00246C0C">
        <w:rPr>
          <w:lang w:val="en-GB" w:bidi="en-GB"/>
        </w:rPr>
        <w:t xml:space="preserve">UNDP </w:t>
      </w:r>
      <w:r w:rsidR="00F42496">
        <w:rPr>
          <w:lang w:val="en-GB" w:bidi="en-GB"/>
        </w:rPr>
        <w:t xml:space="preserve">Accelerator </w:t>
      </w:r>
      <w:r>
        <w:rPr>
          <w:lang w:val="en-GB" w:bidi="en-GB"/>
        </w:rPr>
        <w:t>Labs</w:t>
      </w:r>
      <w:r w:rsidR="00EA785E">
        <w:rPr>
          <w:lang w:val="en-GB" w:bidi="en-GB"/>
        </w:rPr>
        <w:t>.</w:t>
      </w:r>
      <w:r>
        <w:rPr>
          <w:lang w:val="en-GB" w:bidi="en-GB"/>
        </w:rPr>
        <w:t xml:space="preserve"> </w:t>
      </w:r>
      <w:r w:rsidR="00246C0C">
        <w:rPr>
          <w:lang w:val="en-GB" w:bidi="en-GB"/>
        </w:rPr>
        <w:t xml:space="preserve">The </w:t>
      </w:r>
      <w:r w:rsidR="00FC0A34">
        <w:rPr>
          <w:lang w:val="en-GB" w:bidi="en-GB"/>
        </w:rPr>
        <w:t>G</w:t>
      </w:r>
      <w:r w:rsidR="00246C0C">
        <w:rPr>
          <w:lang w:val="en-GB" w:bidi="en-GB"/>
        </w:rPr>
        <w:t xml:space="preserve">overnment of Trinidad and Tobago also provides cost sharing to </w:t>
      </w:r>
      <w:r>
        <w:rPr>
          <w:lang w:val="en-GB" w:bidi="en-GB"/>
        </w:rPr>
        <w:t xml:space="preserve">UNDP </w:t>
      </w:r>
      <w:r w:rsidR="00015BAF">
        <w:rPr>
          <w:lang w:val="en-GB" w:bidi="en-GB"/>
        </w:rPr>
        <w:t>to support initiatives in the area</w:t>
      </w:r>
      <w:r w:rsidR="00CF292C">
        <w:rPr>
          <w:lang w:val="en-GB" w:bidi="en-GB"/>
        </w:rPr>
        <w:t>s</w:t>
      </w:r>
      <w:r w:rsidR="00015BAF">
        <w:rPr>
          <w:lang w:val="en-GB" w:bidi="en-GB"/>
        </w:rPr>
        <w:t xml:space="preserve"> of crime prevention and </w:t>
      </w:r>
      <w:r>
        <w:rPr>
          <w:lang w:val="en-GB" w:bidi="en-GB"/>
        </w:rPr>
        <w:t>COVID</w:t>
      </w:r>
      <w:r w:rsidR="006129D7">
        <w:rPr>
          <w:lang w:val="en-GB" w:bidi="en-GB"/>
        </w:rPr>
        <w:t>-19</w:t>
      </w:r>
      <w:r>
        <w:rPr>
          <w:lang w:val="en-GB" w:bidi="en-GB"/>
        </w:rPr>
        <w:t xml:space="preserve"> health response. </w:t>
      </w:r>
      <w:r w:rsidR="00015BAF">
        <w:rPr>
          <w:lang w:val="en-GB" w:bidi="en-GB"/>
        </w:rPr>
        <w:t xml:space="preserve">One of </w:t>
      </w:r>
      <w:r w:rsidR="00FC0A34">
        <w:rPr>
          <w:lang w:val="en-GB" w:bidi="en-GB"/>
        </w:rPr>
        <w:t>the</w:t>
      </w:r>
      <w:r w:rsidR="00015BAF">
        <w:rPr>
          <w:lang w:val="en-GB" w:bidi="en-GB"/>
        </w:rPr>
        <w:t xml:space="preserve"> largest </w:t>
      </w:r>
      <w:r w:rsidR="00FC0A34">
        <w:rPr>
          <w:lang w:val="en-GB" w:bidi="en-GB"/>
        </w:rPr>
        <w:t>UND</w:t>
      </w:r>
      <w:r w:rsidR="008E1B46">
        <w:rPr>
          <w:lang w:val="en-GB" w:bidi="en-GB"/>
        </w:rPr>
        <w:t>P</w:t>
      </w:r>
      <w:r w:rsidR="00FC0A34">
        <w:rPr>
          <w:lang w:val="en-GB" w:bidi="en-GB"/>
        </w:rPr>
        <w:t xml:space="preserve"> </w:t>
      </w:r>
      <w:r w:rsidR="00015BAF">
        <w:rPr>
          <w:lang w:val="en-GB" w:bidi="en-GB"/>
        </w:rPr>
        <w:t>partners in the region is the European Union.</w:t>
      </w:r>
    </w:p>
    <w:bookmarkEnd w:id="1"/>
    <w:p w14:paraId="1A2201B1" w14:textId="55E937B9" w:rsidR="00525099" w:rsidRDefault="007A00D0" w:rsidP="00477F86">
      <w:pPr>
        <w:pStyle w:val="ListParagraph"/>
        <w:numPr>
          <w:ilvl w:val="0"/>
          <w:numId w:val="18"/>
        </w:numPr>
        <w:tabs>
          <w:tab w:val="left" w:pos="1440"/>
        </w:tabs>
        <w:spacing w:after="200"/>
        <w:ind w:left="1080" w:right="900" w:firstLine="0"/>
        <w:jc w:val="both"/>
        <w:rPr>
          <w:lang w:val="en-GB" w:bidi="en-GB"/>
        </w:rPr>
      </w:pPr>
      <w:r>
        <w:rPr>
          <w:lang w:val="en-GB" w:bidi="en-GB"/>
        </w:rPr>
        <w:t>UNDP continuously</w:t>
      </w:r>
      <w:r w:rsidR="00525099">
        <w:rPr>
          <w:lang w:val="en-GB" w:bidi="en-GB"/>
        </w:rPr>
        <w:t xml:space="preserve"> draws </w:t>
      </w:r>
      <w:r w:rsidR="001065FE">
        <w:rPr>
          <w:lang w:val="en-GB" w:bidi="en-GB"/>
        </w:rPr>
        <w:t xml:space="preserve">on </w:t>
      </w:r>
      <w:r w:rsidR="001065FE" w:rsidRPr="002E053D">
        <w:rPr>
          <w:lang w:val="en-GB" w:bidi="en-GB"/>
        </w:rPr>
        <w:t xml:space="preserve">lessons learned </w:t>
      </w:r>
      <w:r w:rsidR="001065FE">
        <w:rPr>
          <w:lang w:val="en-GB" w:bidi="en-GB"/>
        </w:rPr>
        <w:t>from</w:t>
      </w:r>
      <w:r w:rsidR="001065FE" w:rsidRPr="002E053D">
        <w:rPr>
          <w:lang w:val="en-GB" w:bidi="en-GB"/>
        </w:rPr>
        <w:t xml:space="preserve"> </w:t>
      </w:r>
      <w:r w:rsidR="00525099" w:rsidRPr="002E053D">
        <w:rPr>
          <w:lang w:val="en-GB" w:bidi="en-GB"/>
        </w:rPr>
        <w:t xml:space="preserve">previous </w:t>
      </w:r>
      <w:r w:rsidR="00525099">
        <w:rPr>
          <w:lang w:val="en-GB" w:bidi="en-GB"/>
        </w:rPr>
        <w:t xml:space="preserve">country programme </w:t>
      </w:r>
      <w:r>
        <w:rPr>
          <w:lang w:val="en-GB" w:bidi="en-GB"/>
        </w:rPr>
        <w:t xml:space="preserve">implementation </w:t>
      </w:r>
      <w:r w:rsidR="00525099">
        <w:rPr>
          <w:lang w:val="en-GB" w:bidi="en-GB"/>
        </w:rPr>
        <w:t xml:space="preserve">based on the </w:t>
      </w:r>
      <w:r w:rsidR="00FC0A34">
        <w:rPr>
          <w:lang w:val="en-GB" w:bidi="en-GB"/>
        </w:rPr>
        <w:t>c</w:t>
      </w:r>
      <w:r w:rsidR="00525099">
        <w:rPr>
          <w:lang w:val="en-GB" w:bidi="en-GB"/>
        </w:rPr>
        <w:t xml:space="preserve">ountry </w:t>
      </w:r>
      <w:r w:rsidR="00FC0A34">
        <w:rPr>
          <w:lang w:val="en-GB" w:bidi="en-GB"/>
        </w:rPr>
        <w:t>p</w:t>
      </w:r>
      <w:r w:rsidR="00525099">
        <w:rPr>
          <w:lang w:val="en-GB" w:bidi="en-GB"/>
        </w:rPr>
        <w:t xml:space="preserve">rogramme </w:t>
      </w:r>
      <w:r w:rsidR="00FC0A34">
        <w:rPr>
          <w:lang w:val="en-GB" w:bidi="en-GB"/>
        </w:rPr>
        <w:t>p</w:t>
      </w:r>
      <w:r w:rsidR="00525099">
        <w:rPr>
          <w:lang w:val="en-GB" w:bidi="en-GB"/>
        </w:rPr>
        <w:t xml:space="preserve">erformance </w:t>
      </w:r>
      <w:r w:rsidR="00FC0A34">
        <w:rPr>
          <w:lang w:val="en-GB" w:bidi="en-GB"/>
        </w:rPr>
        <w:t>s</w:t>
      </w:r>
      <w:r w:rsidR="00525099">
        <w:rPr>
          <w:lang w:val="en-GB" w:bidi="en-GB"/>
        </w:rPr>
        <w:t>ummary.</w:t>
      </w:r>
      <w:r w:rsidR="00525099">
        <w:rPr>
          <w:rStyle w:val="FootnoteReference"/>
          <w:lang w:val="en-GB" w:bidi="en-GB"/>
        </w:rPr>
        <w:footnoteReference w:id="2"/>
      </w:r>
      <w:r w:rsidR="00525099" w:rsidRPr="002E053D">
        <w:rPr>
          <w:lang w:val="en-GB" w:bidi="en-GB"/>
        </w:rPr>
        <w:t xml:space="preserve"> </w:t>
      </w:r>
      <w:r w:rsidR="00525099">
        <w:rPr>
          <w:lang w:val="en-GB" w:bidi="en-GB"/>
        </w:rPr>
        <w:t xml:space="preserve">Reflecting on these important contributions, UNDP plans </w:t>
      </w:r>
      <w:r w:rsidR="006D0EBB">
        <w:rPr>
          <w:lang w:val="en-GB" w:bidi="en-GB"/>
        </w:rPr>
        <w:t xml:space="preserve">to streamline its </w:t>
      </w:r>
      <w:r w:rsidR="006D0EBB" w:rsidRPr="002E053D">
        <w:rPr>
          <w:lang w:val="en-GB" w:bidi="en-GB"/>
        </w:rPr>
        <w:t xml:space="preserve">efforts in collaboration with </w:t>
      </w:r>
      <w:r w:rsidR="006D0EBB">
        <w:rPr>
          <w:lang w:val="en-GB" w:bidi="en-GB"/>
        </w:rPr>
        <w:t xml:space="preserve">United Nations </w:t>
      </w:r>
      <w:r w:rsidR="00525099" w:rsidRPr="002E053D">
        <w:rPr>
          <w:lang w:val="en-GB" w:bidi="en-GB"/>
        </w:rPr>
        <w:t>entities</w:t>
      </w:r>
      <w:r w:rsidR="003771D2">
        <w:rPr>
          <w:lang w:val="en-GB" w:bidi="en-GB"/>
        </w:rPr>
        <w:t xml:space="preserve"> such as </w:t>
      </w:r>
      <w:r w:rsidR="00FC0A34">
        <w:rPr>
          <w:lang w:val="en-GB" w:bidi="en-GB"/>
        </w:rPr>
        <w:t>the United Nations Children’s Fund (</w:t>
      </w:r>
      <w:r w:rsidR="003771D2">
        <w:rPr>
          <w:lang w:val="en-GB" w:bidi="en-GB"/>
        </w:rPr>
        <w:t>UNICEF</w:t>
      </w:r>
      <w:r w:rsidR="00FC0A34">
        <w:rPr>
          <w:lang w:val="en-GB" w:bidi="en-GB"/>
        </w:rPr>
        <w:t>)</w:t>
      </w:r>
      <w:r w:rsidR="003771D2">
        <w:rPr>
          <w:lang w:val="en-GB" w:bidi="en-GB"/>
        </w:rPr>
        <w:t xml:space="preserve"> and </w:t>
      </w:r>
      <w:r w:rsidR="00FC0A34">
        <w:rPr>
          <w:lang w:val="en-GB" w:bidi="en-GB"/>
        </w:rPr>
        <w:t xml:space="preserve">the United Nations Entity for Gender Equality and the Empowerment of Women </w:t>
      </w:r>
      <w:r w:rsidR="00C23857">
        <w:rPr>
          <w:lang w:val="en-GB" w:bidi="en-GB"/>
        </w:rPr>
        <w:t>(</w:t>
      </w:r>
      <w:r w:rsidR="003771D2">
        <w:rPr>
          <w:lang w:val="en-GB" w:bidi="en-GB"/>
        </w:rPr>
        <w:t>UN</w:t>
      </w:r>
      <w:r w:rsidR="00980DB8">
        <w:rPr>
          <w:lang w:val="en-GB" w:bidi="en-GB"/>
        </w:rPr>
        <w:t>-</w:t>
      </w:r>
      <w:r w:rsidR="003771D2">
        <w:rPr>
          <w:lang w:val="en-GB" w:bidi="en-GB"/>
        </w:rPr>
        <w:t>Women</w:t>
      </w:r>
      <w:r w:rsidR="00C23857">
        <w:rPr>
          <w:lang w:val="en-GB" w:bidi="en-GB"/>
        </w:rPr>
        <w:t>)</w:t>
      </w:r>
      <w:r w:rsidR="00525099" w:rsidRPr="002E053D">
        <w:rPr>
          <w:lang w:val="en-GB" w:bidi="en-GB"/>
        </w:rPr>
        <w:t xml:space="preserve"> to share resources and enhance </w:t>
      </w:r>
      <w:r w:rsidR="00B17B16">
        <w:rPr>
          <w:lang w:val="en-GB" w:bidi="en-GB"/>
        </w:rPr>
        <w:t xml:space="preserve">the </w:t>
      </w:r>
      <w:r w:rsidR="00525099" w:rsidRPr="002E053D">
        <w:rPr>
          <w:lang w:val="en-GB" w:bidi="en-GB"/>
        </w:rPr>
        <w:t>impact on priority issues</w:t>
      </w:r>
      <w:r w:rsidR="00980DB8">
        <w:rPr>
          <w:lang w:val="en-GB" w:bidi="en-GB"/>
        </w:rPr>
        <w:t xml:space="preserve">, </w:t>
      </w:r>
      <w:r w:rsidR="00CF2C49">
        <w:rPr>
          <w:lang w:val="en-GB" w:bidi="en-GB"/>
        </w:rPr>
        <w:t>such as supporting at</w:t>
      </w:r>
      <w:r w:rsidR="00C23857">
        <w:rPr>
          <w:lang w:val="en-GB" w:bidi="en-GB"/>
        </w:rPr>
        <w:t>-</w:t>
      </w:r>
      <w:r w:rsidR="00CF2C49">
        <w:rPr>
          <w:lang w:val="en-GB" w:bidi="en-GB"/>
        </w:rPr>
        <w:t xml:space="preserve">risk communities and advancing gender equality. </w:t>
      </w:r>
      <w:r w:rsidR="00525099">
        <w:rPr>
          <w:lang w:val="en-GB" w:bidi="en-GB"/>
        </w:rPr>
        <w:t xml:space="preserve">The success of </w:t>
      </w:r>
      <w:r w:rsidR="00C23857">
        <w:rPr>
          <w:lang w:val="en-GB" w:bidi="en-GB"/>
        </w:rPr>
        <w:t xml:space="preserve">UNDP </w:t>
      </w:r>
      <w:r w:rsidR="00525099">
        <w:rPr>
          <w:lang w:val="en-GB" w:bidi="en-GB"/>
        </w:rPr>
        <w:t xml:space="preserve">programming demonstrates a need for further </w:t>
      </w:r>
      <w:r w:rsidR="00525099" w:rsidRPr="002E053D">
        <w:rPr>
          <w:lang w:val="en-GB" w:bidi="en-GB"/>
        </w:rPr>
        <w:t>strengthen</w:t>
      </w:r>
      <w:r w:rsidR="00525099">
        <w:rPr>
          <w:lang w:val="en-GB" w:bidi="en-GB"/>
        </w:rPr>
        <w:t>ing</w:t>
      </w:r>
      <w:r w:rsidR="00525099" w:rsidRPr="002E053D">
        <w:rPr>
          <w:lang w:val="en-GB" w:bidi="en-GB"/>
        </w:rPr>
        <w:t xml:space="preserve"> </w:t>
      </w:r>
      <w:r w:rsidR="00C23857">
        <w:rPr>
          <w:lang w:val="en-GB" w:bidi="en-GB"/>
        </w:rPr>
        <w:t xml:space="preserve">the organization’s </w:t>
      </w:r>
      <w:r w:rsidR="00525099" w:rsidRPr="002E053D">
        <w:rPr>
          <w:lang w:val="en-GB" w:bidi="en-GB"/>
        </w:rPr>
        <w:t xml:space="preserve">multidimensional, holistic approach to programming to improve delivery on complex issues, including </w:t>
      </w:r>
      <w:r w:rsidR="002A69A4">
        <w:rPr>
          <w:lang w:val="en-GB" w:bidi="en-GB"/>
        </w:rPr>
        <w:t xml:space="preserve">research, </w:t>
      </w:r>
      <w:r w:rsidR="00525099" w:rsidRPr="002E053D">
        <w:rPr>
          <w:lang w:val="en-GB" w:bidi="en-GB"/>
        </w:rPr>
        <w:t>monitoring and assessments that inform ongoing and future programming</w:t>
      </w:r>
      <w:r w:rsidR="00525099">
        <w:rPr>
          <w:lang w:val="en-GB" w:bidi="en-GB"/>
        </w:rPr>
        <w:t xml:space="preserve">. </w:t>
      </w:r>
      <w:r w:rsidR="008739AD">
        <w:rPr>
          <w:lang w:val="en-GB" w:bidi="en-GB"/>
        </w:rPr>
        <w:t xml:space="preserve">Furthering </w:t>
      </w:r>
      <w:r w:rsidR="00C23857">
        <w:rPr>
          <w:lang w:val="en-GB" w:bidi="en-GB"/>
        </w:rPr>
        <w:t>the</w:t>
      </w:r>
      <w:r w:rsidR="008739AD">
        <w:rPr>
          <w:lang w:val="en-GB" w:bidi="en-GB"/>
        </w:rPr>
        <w:t xml:space="preserve"> </w:t>
      </w:r>
      <w:r w:rsidR="00D16F86" w:rsidRPr="002E053D">
        <w:rPr>
          <w:lang w:val="en-GB" w:bidi="en-GB"/>
        </w:rPr>
        <w:t>long-</w:t>
      </w:r>
      <w:r w:rsidR="008739AD">
        <w:rPr>
          <w:lang w:val="en-GB" w:bidi="en-GB"/>
        </w:rPr>
        <w:t>standing</w:t>
      </w:r>
      <w:r w:rsidR="00D16F86" w:rsidRPr="002E053D">
        <w:rPr>
          <w:lang w:val="en-GB" w:bidi="en-GB"/>
        </w:rPr>
        <w:t xml:space="preserve"> relationships </w:t>
      </w:r>
      <w:r w:rsidR="00C23857">
        <w:rPr>
          <w:lang w:val="en-GB" w:bidi="en-GB"/>
        </w:rPr>
        <w:t xml:space="preserve">of UNDP </w:t>
      </w:r>
      <w:r w:rsidR="00D16F86" w:rsidRPr="002E053D">
        <w:rPr>
          <w:lang w:val="en-GB" w:bidi="en-GB"/>
        </w:rPr>
        <w:t xml:space="preserve">with </w:t>
      </w:r>
      <w:r w:rsidR="00D16F86">
        <w:rPr>
          <w:lang w:val="en-GB" w:bidi="en-GB"/>
        </w:rPr>
        <w:t xml:space="preserve">the </w:t>
      </w:r>
      <w:r w:rsidR="00D16F86" w:rsidRPr="00B85087">
        <w:rPr>
          <w:lang w:val="en-GB" w:bidi="en-GB"/>
        </w:rPr>
        <w:t>Government</w:t>
      </w:r>
      <w:r w:rsidR="00C65311">
        <w:rPr>
          <w:lang w:val="en-GB" w:bidi="en-GB"/>
        </w:rPr>
        <w:t>s</w:t>
      </w:r>
      <w:r w:rsidR="00D16F86" w:rsidRPr="00B85087">
        <w:rPr>
          <w:lang w:val="en-GB" w:bidi="en-GB"/>
        </w:rPr>
        <w:t xml:space="preserve"> </w:t>
      </w:r>
      <w:r w:rsidR="00C65311">
        <w:rPr>
          <w:lang w:val="en-GB" w:bidi="en-GB"/>
        </w:rPr>
        <w:t>of Aruba, Cura</w:t>
      </w:r>
      <w:r w:rsidR="00C41F97">
        <w:rPr>
          <w:lang w:val="en-GB" w:bidi="en-GB"/>
        </w:rPr>
        <w:t>ç</w:t>
      </w:r>
      <w:r w:rsidR="00C65311">
        <w:rPr>
          <w:lang w:val="en-GB" w:bidi="en-GB"/>
        </w:rPr>
        <w:t xml:space="preserve">ao, </w:t>
      </w:r>
      <w:r w:rsidR="00DA30B7" w:rsidRPr="00DA30B7">
        <w:rPr>
          <w:lang w:val="en-GB" w:bidi="en-GB"/>
        </w:rPr>
        <w:t xml:space="preserve">Sint Maarten </w:t>
      </w:r>
      <w:r w:rsidR="00C65311">
        <w:rPr>
          <w:lang w:val="en-GB" w:bidi="en-GB"/>
        </w:rPr>
        <w:t xml:space="preserve">and Trinidad and Tobago </w:t>
      </w:r>
      <w:r w:rsidR="00D16F86" w:rsidRPr="002E053D">
        <w:rPr>
          <w:lang w:val="en-GB" w:bidi="en-GB"/>
        </w:rPr>
        <w:t xml:space="preserve">and local actors on technical issues </w:t>
      </w:r>
      <w:r w:rsidR="00D16F86">
        <w:rPr>
          <w:lang w:val="en-GB" w:bidi="en-GB"/>
        </w:rPr>
        <w:t>will</w:t>
      </w:r>
      <w:r w:rsidR="008739AD">
        <w:rPr>
          <w:lang w:val="en-GB" w:bidi="en-GB"/>
        </w:rPr>
        <w:t xml:space="preserve"> continue to</w:t>
      </w:r>
      <w:r w:rsidR="00D16F86">
        <w:rPr>
          <w:lang w:val="en-GB" w:bidi="en-GB"/>
        </w:rPr>
        <w:t xml:space="preserve"> </w:t>
      </w:r>
      <w:r w:rsidR="00D16F86" w:rsidRPr="002E053D">
        <w:rPr>
          <w:lang w:val="en-GB" w:bidi="en-GB"/>
        </w:rPr>
        <w:t>facilitate quick, meaningful and agile responses to unforeseen needs</w:t>
      </w:r>
      <w:r w:rsidR="00D16F86">
        <w:rPr>
          <w:lang w:val="en-GB" w:bidi="en-GB"/>
        </w:rPr>
        <w:t>.</w:t>
      </w:r>
      <w:r w:rsidR="008739AD">
        <w:rPr>
          <w:lang w:val="en-GB" w:bidi="en-GB"/>
        </w:rPr>
        <w:t xml:space="preserve"> </w:t>
      </w:r>
      <w:r w:rsidR="002A69A4">
        <w:rPr>
          <w:lang w:val="en-GB" w:bidi="en-GB"/>
        </w:rPr>
        <w:t>F</w:t>
      </w:r>
      <w:r w:rsidR="00D16F86">
        <w:rPr>
          <w:lang w:val="en-GB" w:bidi="en-GB"/>
        </w:rPr>
        <w:t>inally</w:t>
      </w:r>
      <w:r w:rsidR="00525099">
        <w:rPr>
          <w:lang w:val="en-GB" w:bidi="en-GB"/>
        </w:rPr>
        <w:t xml:space="preserve">, UNDP will expand its </w:t>
      </w:r>
      <w:r w:rsidR="00525099" w:rsidRPr="002E053D">
        <w:rPr>
          <w:lang w:val="en-GB" w:bidi="en-GB"/>
        </w:rPr>
        <w:t>internal capacity on information and communications</w:t>
      </w:r>
      <w:r w:rsidR="00317149">
        <w:rPr>
          <w:lang w:val="en-GB" w:bidi="en-GB"/>
        </w:rPr>
        <w:t>,</w:t>
      </w:r>
      <w:r w:rsidR="00525099" w:rsidRPr="002E053D">
        <w:rPr>
          <w:lang w:val="en-GB" w:bidi="en-GB"/>
        </w:rPr>
        <w:t xml:space="preserve"> </w:t>
      </w:r>
      <w:r w:rsidR="00317149">
        <w:rPr>
          <w:lang w:val="en-GB" w:bidi="en-GB"/>
        </w:rPr>
        <w:t xml:space="preserve">innovation </w:t>
      </w:r>
      <w:r w:rsidR="00525099" w:rsidRPr="002E053D">
        <w:rPr>
          <w:lang w:val="en-GB" w:bidi="en-GB"/>
        </w:rPr>
        <w:t xml:space="preserve">and gender mainstreaming </w:t>
      </w:r>
      <w:r w:rsidR="00525099">
        <w:rPr>
          <w:lang w:val="en-GB" w:bidi="en-GB"/>
        </w:rPr>
        <w:t xml:space="preserve">to propel their integration into all aspects of UNDP </w:t>
      </w:r>
      <w:r w:rsidR="00883070">
        <w:rPr>
          <w:lang w:val="en-GB" w:bidi="en-GB"/>
        </w:rPr>
        <w:t>functioning</w:t>
      </w:r>
      <w:r w:rsidR="00525099" w:rsidRPr="002E053D">
        <w:rPr>
          <w:lang w:val="en-GB" w:bidi="en-GB"/>
        </w:rPr>
        <w:t xml:space="preserve">. </w:t>
      </w:r>
    </w:p>
    <w:p w14:paraId="6A836B78" w14:textId="47EC19A1" w:rsidR="00FE08BF" w:rsidRPr="00FE08BF" w:rsidRDefault="00454487" w:rsidP="00477F86">
      <w:pPr>
        <w:pStyle w:val="Heading2"/>
        <w:spacing w:after="200"/>
        <w:ind w:left="1080" w:right="900" w:hanging="360"/>
        <w:jc w:val="both"/>
        <w:rPr>
          <w:lang w:eastAsia="en-GB"/>
        </w:rPr>
      </w:pPr>
      <w:r w:rsidRPr="008E44BF">
        <w:rPr>
          <w:rFonts w:ascii="Times New Roman" w:hAnsi="Times New Roman"/>
          <w:bCs/>
          <w:color w:val="000000"/>
          <w:sz w:val="24"/>
          <w:szCs w:val="24"/>
          <w:lang w:val="en-GB"/>
        </w:rPr>
        <w:t xml:space="preserve">II. </w:t>
      </w:r>
      <w:r>
        <w:rPr>
          <w:rFonts w:ascii="Times New Roman" w:hAnsi="Times New Roman"/>
          <w:bCs/>
          <w:color w:val="000000"/>
          <w:sz w:val="24"/>
          <w:szCs w:val="24"/>
          <w:lang w:val="en-GB"/>
        </w:rPr>
        <w:tab/>
      </w:r>
      <w:r w:rsidRPr="008E44BF">
        <w:rPr>
          <w:rFonts w:ascii="Times New Roman" w:hAnsi="Times New Roman"/>
          <w:bCs/>
          <w:color w:val="000000"/>
          <w:sz w:val="24"/>
          <w:szCs w:val="24"/>
          <w:lang w:val="en-GB"/>
        </w:rPr>
        <w:t xml:space="preserve">Programme </w:t>
      </w:r>
      <w:r w:rsidR="00477F86">
        <w:rPr>
          <w:rFonts w:ascii="Times New Roman" w:hAnsi="Times New Roman"/>
          <w:bCs/>
          <w:color w:val="000000"/>
          <w:sz w:val="24"/>
          <w:szCs w:val="24"/>
          <w:lang w:val="en-GB"/>
        </w:rPr>
        <w:t>p</w:t>
      </w:r>
      <w:r w:rsidRPr="008E44BF">
        <w:rPr>
          <w:rFonts w:ascii="Times New Roman" w:hAnsi="Times New Roman"/>
          <w:bCs/>
          <w:color w:val="000000"/>
          <w:sz w:val="24"/>
          <w:szCs w:val="24"/>
          <w:lang w:val="en-GB"/>
        </w:rPr>
        <w:t xml:space="preserve">riorities and </w:t>
      </w:r>
      <w:r w:rsidR="00477F86">
        <w:rPr>
          <w:rFonts w:ascii="Times New Roman" w:hAnsi="Times New Roman"/>
          <w:bCs/>
          <w:color w:val="000000"/>
          <w:sz w:val="24"/>
          <w:szCs w:val="24"/>
          <w:lang w:val="en-GB"/>
        </w:rPr>
        <w:t>p</w:t>
      </w:r>
      <w:r w:rsidRPr="008E44BF">
        <w:rPr>
          <w:rFonts w:ascii="Times New Roman" w:hAnsi="Times New Roman"/>
          <w:bCs/>
          <w:color w:val="000000"/>
          <w:sz w:val="24"/>
          <w:szCs w:val="24"/>
          <w:lang w:val="en-GB"/>
        </w:rPr>
        <w:t xml:space="preserve">artnerships </w:t>
      </w:r>
    </w:p>
    <w:p w14:paraId="3276F17D" w14:textId="12F6132F" w:rsidR="003771D2" w:rsidRPr="002D1250" w:rsidRDefault="004872A0" w:rsidP="00A92926">
      <w:pPr>
        <w:pStyle w:val="ListParagraph"/>
        <w:numPr>
          <w:ilvl w:val="0"/>
          <w:numId w:val="18"/>
        </w:numPr>
        <w:tabs>
          <w:tab w:val="left" w:pos="1440"/>
        </w:tabs>
        <w:spacing w:after="120"/>
        <w:ind w:left="1080" w:right="900" w:firstLine="0"/>
        <w:jc w:val="both"/>
        <w:rPr>
          <w:lang w:val="en-GB" w:bidi="en-GB"/>
        </w:rPr>
      </w:pPr>
      <w:r w:rsidRPr="004872A0">
        <w:rPr>
          <w:lang w:val="en-GB" w:bidi="en-GB"/>
        </w:rPr>
        <w:t>UN</w:t>
      </w:r>
      <w:r w:rsidR="00A92926">
        <w:rPr>
          <w:lang w:val="en-GB" w:bidi="en-GB"/>
        </w:rPr>
        <w:t xml:space="preserve">DP </w:t>
      </w:r>
      <w:r w:rsidR="00C23857">
        <w:rPr>
          <w:lang w:val="en-GB" w:bidi="en-GB"/>
        </w:rPr>
        <w:t>aims</w:t>
      </w:r>
      <w:r w:rsidRPr="004872A0">
        <w:rPr>
          <w:lang w:val="en-GB" w:bidi="en-GB"/>
        </w:rPr>
        <w:t xml:space="preserve"> to contribute to the ultimate goal of improving the lives of all people living in Trinidad and Tobago through supporting efforts towards achieving the Sustainable Development Goals by building a more equitable, resilient and safe society. </w:t>
      </w:r>
      <w:r w:rsidR="00317149" w:rsidRPr="0027098E">
        <w:rPr>
          <w:lang w:val="en-GB" w:bidi="en-GB"/>
        </w:rPr>
        <w:t>UNDP</w:t>
      </w:r>
      <w:r w:rsidR="007A00D0" w:rsidRPr="0027098E">
        <w:rPr>
          <w:lang w:val="en-GB" w:bidi="en-GB"/>
        </w:rPr>
        <w:t xml:space="preserve"> </w:t>
      </w:r>
      <w:r w:rsidR="00317149" w:rsidRPr="008C2F47">
        <w:rPr>
          <w:lang w:val="en-GB" w:bidi="en-GB"/>
        </w:rPr>
        <w:t xml:space="preserve">is well positioned to be an effective partner </w:t>
      </w:r>
      <w:r w:rsidR="007A00D0" w:rsidRPr="005031A3">
        <w:rPr>
          <w:lang w:val="en-GB" w:bidi="en-GB"/>
        </w:rPr>
        <w:t xml:space="preserve">for the countries it serves as they address complex </w:t>
      </w:r>
      <w:r w:rsidR="00317149" w:rsidRPr="007327D3">
        <w:rPr>
          <w:lang w:val="en-GB" w:bidi="en-GB"/>
        </w:rPr>
        <w:t>development challenge</w:t>
      </w:r>
      <w:r w:rsidR="00C166A1">
        <w:rPr>
          <w:lang w:val="en-GB" w:bidi="en-GB"/>
        </w:rPr>
        <w:t>s</w:t>
      </w:r>
      <w:r w:rsidR="007A00D0" w:rsidRPr="007327D3">
        <w:rPr>
          <w:lang w:val="en-GB" w:bidi="en-GB"/>
        </w:rPr>
        <w:t xml:space="preserve">. </w:t>
      </w:r>
      <w:r w:rsidR="00317149" w:rsidRPr="00D9462A">
        <w:rPr>
          <w:lang w:val="en-GB" w:bidi="en-GB"/>
        </w:rPr>
        <w:t>Aligned with its Strategic Plan</w:t>
      </w:r>
      <w:r w:rsidR="00840D5F">
        <w:rPr>
          <w:lang w:val="en-GB" w:bidi="en-GB"/>
        </w:rPr>
        <w:t>, 2022-2025</w:t>
      </w:r>
      <w:r w:rsidR="00317149" w:rsidRPr="00D9462A">
        <w:rPr>
          <w:lang w:val="en-GB" w:bidi="en-GB"/>
        </w:rPr>
        <w:t xml:space="preserve"> and </w:t>
      </w:r>
      <w:r w:rsidR="00377016">
        <w:rPr>
          <w:lang w:val="en-GB" w:bidi="en-GB"/>
        </w:rPr>
        <w:t>s</w:t>
      </w:r>
      <w:r w:rsidR="00317149" w:rsidRPr="00D9462A">
        <w:rPr>
          <w:lang w:val="en-GB" w:bidi="en-GB"/>
        </w:rPr>
        <w:t xml:space="preserve">ignature </w:t>
      </w:r>
      <w:r w:rsidR="00377016">
        <w:rPr>
          <w:lang w:val="en-GB" w:bidi="en-GB"/>
        </w:rPr>
        <w:t>s</w:t>
      </w:r>
      <w:r w:rsidR="00317149" w:rsidRPr="00D9462A">
        <w:rPr>
          <w:lang w:val="en-GB" w:bidi="en-GB"/>
        </w:rPr>
        <w:t xml:space="preserve">olutions, </w:t>
      </w:r>
      <w:r w:rsidR="00377016">
        <w:rPr>
          <w:lang w:val="en-GB" w:bidi="en-GB"/>
        </w:rPr>
        <w:t xml:space="preserve">the </w:t>
      </w:r>
      <w:r w:rsidR="00317149" w:rsidRPr="00C35A00">
        <w:rPr>
          <w:lang w:val="en-GB" w:bidi="en-GB"/>
        </w:rPr>
        <w:t>UNDP</w:t>
      </w:r>
      <w:r w:rsidR="00377016">
        <w:rPr>
          <w:lang w:val="en-GB" w:bidi="en-GB"/>
        </w:rPr>
        <w:t xml:space="preserve"> programme</w:t>
      </w:r>
      <w:r w:rsidR="00317149" w:rsidRPr="00C35A00">
        <w:rPr>
          <w:lang w:val="en-GB" w:bidi="en-GB"/>
        </w:rPr>
        <w:t xml:space="preserve"> will support </w:t>
      </w:r>
      <w:r w:rsidR="00840D5F">
        <w:rPr>
          <w:lang w:val="en-GB" w:bidi="en-GB"/>
        </w:rPr>
        <w:t>G</w:t>
      </w:r>
      <w:r w:rsidR="007A00D0" w:rsidRPr="002D1250">
        <w:rPr>
          <w:lang w:val="en-GB" w:bidi="en-GB"/>
        </w:rPr>
        <w:t xml:space="preserve">overnments to achieve their national development goals as aligned with the </w:t>
      </w:r>
      <w:r w:rsidR="00317149" w:rsidRPr="003F66BD">
        <w:rPr>
          <w:lang w:val="en-GB" w:bidi="en-GB"/>
        </w:rPr>
        <w:t xml:space="preserve">2030 Agenda for Sustainable Development, the </w:t>
      </w:r>
      <w:r w:rsidR="00377016">
        <w:rPr>
          <w:lang w:val="en-GB" w:bidi="en-GB"/>
        </w:rPr>
        <w:t xml:space="preserve">United Nations </w:t>
      </w:r>
      <w:r w:rsidR="003771D2" w:rsidRPr="003F66BD">
        <w:rPr>
          <w:lang w:val="en-GB" w:bidi="en-GB"/>
        </w:rPr>
        <w:t>Multi-</w:t>
      </w:r>
      <w:r w:rsidR="00377016">
        <w:rPr>
          <w:lang w:val="en-GB" w:bidi="en-GB"/>
        </w:rPr>
        <w:t>c</w:t>
      </w:r>
      <w:r w:rsidR="003771D2" w:rsidRPr="003F66BD">
        <w:rPr>
          <w:lang w:val="en-GB" w:bidi="en-GB"/>
        </w:rPr>
        <w:t>ountry Sustainable Development Cooperation Framework (</w:t>
      </w:r>
      <w:r w:rsidR="00377016">
        <w:rPr>
          <w:lang w:val="en-GB" w:bidi="en-GB"/>
        </w:rPr>
        <w:t>UN</w:t>
      </w:r>
      <w:r w:rsidR="003771D2" w:rsidRPr="003F66BD">
        <w:rPr>
          <w:lang w:val="en-GB" w:bidi="en-GB"/>
        </w:rPr>
        <w:t>MSDCF)</w:t>
      </w:r>
      <w:r w:rsidR="003771D2" w:rsidRPr="0027098E">
        <w:rPr>
          <w:lang w:val="en-GB" w:bidi="en-GB"/>
        </w:rPr>
        <w:t xml:space="preserve"> and global agreements such as the Small Island Developing States Accelerated Modalities of Action</w:t>
      </w:r>
      <w:r w:rsidR="003771D2" w:rsidRPr="007327D3">
        <w:rPr>
          <w:lang w:val="en-GB" w:bidi="en-GB"/>
        </w:rPr>
        <w:t xml:space="preserve"> (SAMOA) Pathway, the Sendai Framework for Disaster Risk Reduction and the Paris Agreement on </w:t>
      </w:r>
      <w:r w:rsidR="008E1B46">
        <w:rPr>
          <w:lang w:val="en-GB" w:bidi="en-GB"/>
        </w:rPr>
        <w:t>C</w:t>
      </w:r>
      <w:r w:rsidR="008E1B46" w:rsidRPr="007327D3">
        <w:rPr>
          <w:lang w:val="en-GB" w:bidi="en-GB"/>
        </w:rPr>
        <w:t xml:space="preserve">limate </w:t>
      </w:r>
      <w:r w:rsidR="008E1B46">
        <w:rPr>
          <w:lang w:val="en-GB" w:bidi="en-GB"/>
        </w:rPr>
        <w:t>C</w:t>
      </w:r>
      <w:r w:rsidR="008E1B46" w:rsidRPr="007327D3">
        <w:rPr>
          <w:lang w:val="en-GB" w:bidi="en-GB"/>
        </w:rPr>
        <w:t>hange</w:t>
      </w:r>
      <w:r w:rsidR="00AF0174" w:rsidRPr="00C35A00">
        <w:rPr>
          <w:lang w:val="en-GB" w:bidi="en-GB"/>
        </w:rPr>
        <w:t>.</w:t>
      </w:r>
    </w:p>
    <w:p w14:paraId="25401BBF" w14:textId="3F4B730F" w:rsidR="00683EED" w:rsidRDefault="00317149" w:rsidP="00A92926">
      <w:pPr>
        <w:pStyle w:val="ListParagraph"/>
        <w:numPr>
          <w:ilvl w:val="0"/>
          <w:numId w:val="18"/>
        </w:numPr>
        <w:tabs>
          <w:tab w:val="left" w:pos="1440"/>
        </w:tabs>
        <w:spacing w:after="120"/>
        <w:ind w:left="1080" w:right="900" w:firstLine="0"/>
        <w:jc w:val="both"/>
        <w:rPr>
          <w:lang w:val="en-GB" w:bidi="en-GB"/>
        </w:rPr>
      </w:pPr>
      <w:r w:rsidRPr="002E053D">
        <w:rPr>
          <w:lang w:val="en-GB" w:bidi="en-GB"/>
        </w:rPr>
        <w:lastRenderedPageBreak/>
        <w:t xml:space="preserve">The UNDP approach for </w:t>
      </w:r>
      <w:r>
        <w:rPr>
          <w:lang w:val="en-GB" w:bidi="en-GB"/>
        </w:rPr>
        <w:t>this</w:t>
      </w:r>
      <w:r w:rsidRPr="002E053D">
        <w:rPr>
          <w:lang w:val="en-GB" w:bidi="en-GB"/>
        </w:rPr>
        <w:t xml:space="preserve"> country programme is to</w:t>
      </w:r>
      <w:r w:rsidR="000034C3">
        <w:rPr>
          <w:lang w:val="en-GB" w:bidi="en-GB"/>
        </w:rPr>
        <w:t>:</w:t>
      </w:r>
      <w:r w:rsidRPr="002E053D">
        <w:rPr>
          <w:lang w:val="en-GB" w:bidi="en-GB"/>
        </w:rPr>
        <w:t xml:space="preserve"> provide technical support for localizing the </w:t>
      </w:r>
      <w:r w:rsidR="00CF292C">
        <w:rPr>
          <w:lang w:val="en-GB" w:bidi="en-GB"/>
        </w:rPr>
        <w:t>S</w:t>
      </w:r>
      <w:r w:rsidRPr="002E053D">
        <w:rPr>
          <w:lang w:val="en-GB" w:bidi="en-GB"/>
        </w:rPr>
        <w:t xml:space="preserve">ustainable </w:t>
      </w:r>
      <w:r w:rsidR="00CF292C">
        <w:rPr>
          <w:lang w:val="en-GB" w:bidi="en-GB"/>
        </w:rPr>
        <w:t>D</w:t>
      </w:r>
      <w:r w:rsidRPr="002E053D">
        <w:rPr>
          <w:lang w:val="en-GB" w:bidi="en-GB"/>
        </w:rPr>
        <w:t xml:space="preserve">evelopment </w:t>
      </w:r>
      <w:r w:rsidR="00CF292C">
        <w:rPr>
          <w:lang w:val="en-GB" w:bidi="en-GB"/>
        </w:rPr>
        <w:t>G</w:t>
      </w:r>
      <w:r w:rsidRPr="002E053D">
        <w:rPr>
          <w:lang w:val="en-GB" w:bidi="en-GB"/>
        </w:rPr>
        <w:t>oals while continuing to build on areas of strength</w:t>
      </w:r>
      <w:r w:rsidR="000034C3">
        <w:rPr>
          <w:lang w:val="en-GB" w:bidi="en-GB"/>
        </w:rPr>
        <w:t>;</w:t>
      </w:r>
      <w:r w:rsidRPr="002E053D">
        <w:rPr>
          <w:lang w:val="en-GB" w:bidi="en-GB"/>
        </w:rPr>
        <w:t xml:space="preserve"> deepen partnerships with national counterparts and other development actors</w:t>
      </w:r>
      <w:r w:rsidR="000034C3">
        <w:rPr>
          <w:lang w:val="en-GB" w:bidi="en-GB"/>
        </w:rPr>
        <w:t>;</w:t>
      </w:r>
      <w:r w:rsidRPr="002E053D">
        <w:rPr>
          <w:lang w:val="en-GB" w:bidi="en-GB"/>
        </w:rPr>
        <w:t xml:space="preserve"> </w:t>
      </w:r>
      <w:r w:rsidRPr="00122644">
        <w:rPr>
          <w:lang w:val="en-GB" w:bidi="en-GB"/>
        </w:rPr>
        <w:t>and</w:t>
      </w:r>
      <w:r w:rsidRPr="002E053D">
        <w:rPr>
          <w:lang w:val="en-GB" w:bidi="en-GB"/>
        </w:rPr>
        <w:t xml:space="preserve"> increase efforts to expand and diversify funding sources.</w:t>
      </w:r>
      <w:r>
        <w:rPr>
          <w:lang w:val="en-GB" w:bidi="en-GB"/>
        </w:rPr>
        <w:t xml:space="preserve"> This will be achieved by UNDP accompanying the </w:t>
      </w:r>
      <w:r w:rsidR="000034C3">
        <w:rPr>
          <w:lang w:val="en-GB" w:bidi="en-GB"/>
        </w:rPr>
        <w:t>G</w:t>
      </w:r>
      <w:r>
        <w:rPr>
          <w:lang w:val="en-GB" w:bidi="en-GB"/>
        </w:rPr>
        <w:t>overnment in systemic change through structural transformation</w:t>
      </w:r>
      <w:r w:rsidR="00683EED">
        <w:rPr>
          <w:lang w:val="en-GB" w:bidi="en-GB"/>
        </w:rPr>
        <w:t xml:space="preserve"> and</w:t>
      </w:r>
      <w:r>
        <w:rPr>
          <w:lang w:val="en-GB" w:bidi="en-GB"/>
        </w:rPr>
        <w:t xml:space="preserve"> building resilience</w:t>
      </w:r>
      <w:r w:rsidR="00683EED">
        <w:rPr>
          <w:lang w:val="en-GB" w:bidi="en-GB"/>
        </w:rPr>
        <w:t>, while maximizing digitali</w:t>
      </w:r>
      <w:r w:rsidR="000034C3">
        <w:rPr>
          <w:lang w:val="en-GB" w:bidi="en-GB"/>
        </w:rPr>
        <w:t>z</w:t>
      </w:r>
      <w:r w:rsidR="00683EED">
        <w:rPr>
          <w:lang w:val="en-GB" w:bidi="en-GB"/>
        </w:rPr>
        <w:t>ation and strategic innovation</w:t>
      </w:r>
      <w:r>
        <w:rPr>
          <w:lang w:val="en-GB" w:bidi="en-GB"/>
        </w:rPr>
        <w:t xml:space="preserve">. </w:t>
      </w:r>
    </w:p>
    <w:p w14:paraId="6DDAB2DB" w14:textId="1F32DA5A" w:rsidR="00317149" w:rsidRPr="003B3012" w:rsidRDefault="00317149" w:rsidP="00A92926">
      <w:pPr>
        <w:pStyle w:val="ListParagraph"/>
        <w:numPr>
          <w:ilvl w:val="0"/>
          <w:numId w:val="18"/>
        </w:numPr>
        <w:tabs>
          <w:tab w:val="left" w:pos="1440"/>
        </w:tabs>
        <w:spacing w:after="120"/>
        <w:ind w:left="1080" w:right="900" w:firstLine="0"/>
        <w:jc w:val="both"/>
        <w:rPr>
          <w:lang w:val="en-GB" w:bidi="en-GB"/>
        </w:rPr>
      </w:pPr>
      <w:r w:rsidRPr="002A6C3B">
        <w:rPr>
          <w:lang w:val="en-GB" w:bidi="en-GB"/>
        </w:rPr>
        <w:t xml:space="preserve">UNDP </w:t>
      </w:r>
      <w:r w:rsidR="001B1B44">
        <w:rPr>
          <w:lang w:val="en-GB" w:bidi="en-GB"/>
        </w:rPr>
        <w:t xml:space="preserve">Trinidad and Tobago </w:t>
      </w:r>
      <w:r w:rsidR="004C2C74">
        <w:rPr>
          <w:lang w:val="en-GB" w:bidi="en-GB"/>
        </w:rPr>
        <w:t xml:space="preserve">will focus </w:t>
      </w:r>
      <w:r w:rsidRPr="002A6C3B">
        <w:rPr>
          <w:lang w:val="en-GB" w:bidi="en-GB"/>
        </w:rPr>
        <w:t xml:space="preserve">on four key priority areas, which will inform the national and regional actions of the United Nations system and its partners over the next five years. </w:t>
      </w:r>
    </w:p>
    <w:p w14:paraId="5D4B6E07" w14:textId="0C9350D0" w:rsidR="002A72E7" w:rsidRDefault="003771D2" w:rsidP="00A92926">
      <w:pPr>
        <w:pStyle w:val="ListParagraph"/>
        <w:numPr>
          <w:ilvl w:val="0"/>
          <w:numId w:val="18"/>
        </w:numPr>
        <w:tabs>
          <w:tab w:val="left" w:pos="1440"/>
        </w:tabs>
        <w:spacing w:after="120"/>
        <w:ind w:left="1080" w:right="900" w:firstLine="0"/>
        <w:jc w:val="both"/>
        <w:rPr>
          <w:lang w:val="en-GB" w:bidi="en-GB"/>
        </w:rPr>
      </w:pPr>
      <w:r w:rsidRPr="000034C3">
        <w:rPr>
          <w:lang w:val="en-GB" w:bidi="en-GB"/>
        </w:rPr>
        <w:t>Trinidad and Tobago, Aruba, Cura</w:t>
      </w:r>
      <w:r w:rsidR="00840D5F">
        <w:rPr>
          <w:lang w:val="en-GB" w:bidi="en-GB"/>
        </w:rPr>
        <w:t>ç</w:t>
      </w:r>
      <w:r w:rsidRPr="000034C3">
        <w:rPr>
          <w:lang w:val="en-GB" w:bidi="en-GB"/>
        </w:rPr>
        <w:t>ao and Sint Maarten</w:t>
      </w:r>
      <w:r w:rsidR="00FB1682" w:rsidRPr="000034C3">
        <w:rPr>
          <w:lang w:val="en-GB" w:bidi="en-GB"/>
        </w:rPr>
        <w:t xml:space="preserve"> will have progressed in their transition</w:t>
      </w:r>
      <w:r w:rsidR="001A29BA" w:rsidRPr="000034C3">
        <w:rPr>
          <w:lang w:val="en-GB" w:bidi="en-GB"/>
        </w:rPr>
        <w:t xml:space="preserve"> towards</w:t>
      </w:r>
      <w:r w:rsidR="00FB1682" w:rsidRPr="000034C3">
        <w:rPr>
          <w:lang w:val="en-GB" w:bidi="en-GB"/>
        </w:rPr>
        <w:t xml:space="preserve"> </w:t>
      </w:r>
      <w:r w:rsidR="006B528A" w:rsidRPr="000034C3">
        <w:rPr>
          <w:lang w:val="en-GB" w:bidi="en-GB"/>
        </w:rPr>
        <w:t>building more</w:t>
      </w:r>
      <w:r w:rsidR="00FB1682" w:rsidRPr="000034C3">
        <w:rPr>
          <w:lang w:val="en-GB" w:bidi="en-GB"/>
        </w:rPr>
        <w:t xml:space="preserve"> inclusive and resilient </w:t>
      </w:r>
      <w:r w:rsidR="006B528A" w:rsidRPr="000034C3">
        <w:rPr>
          <w:lang w:val="en-GB" w:bidi="en-GB"/>
        </w:rPr>
        <w:t>economies and</w:t>
      </w:r>
      <w:r w:rsidR="00FB1682" w:rsidRPr="000034C3">
        <w:rPr>
          <w:lang w:val="en-GB" w:bidi="en-GB"/>
        </w:rPr>
        <w:t xml:space="preserve"> shared prosperity</w:t>
      </w:r>
      <w:r w:rsidR="00FB1682" w:rsidRPr="00C11F76">
        <w:rPr>
          <w:lang w:val="en-GB" w:bidi="en-GB"/>
        </w:rPr>
        <w:t xml:space="preserve"> </w:t>
      </w:r>
      <w:r w:rsidR="00FB1682">
        <w:rPr>
          <w:lang w:val="en-GB" w:bidi="en-GB"/>
        </w:rPr>
        <w:t xml:space="preserve">with </w:t>
      </w:r>
      <w:r w:rsidR="00BC68F5" w:rsidRPr="00A477EC">
        <w:rPr>
          <w:lang w:val="en-GB" w:bidi="en-GB"/>
        </w:rPr>
        <w:t xml:space="preserve">UNDP </w:t>
      </w:r>
      <w:r w:rsidR="00FB1682">
        <w:rPr>
          <w:lang w:val="en-GB" w:bidi="en-GB"/>
        </w:rPr>
        <w:t xml:space="preserve">support for </w:t>
      </w:r>
      <w:r w:rsidR="006B528A">
        <w:rPr>
          <w:lang w:val="en-GB" w:bidi="en-GB"/>
        </w:rPr>
        <w:t xml:space="preserve">evidence-based policymaking and programmes. </w:t>
      </w:r>
      <w:r w:rsidR="00732CCD">
        <w:rPr>
          <w:lang w:val="en-GB" w:bidi="en-GB"/>
        </w:rPr>
        <w:t xml:space="preserve">This includes supporting national </w:t>
      </w:r>
      <w:r w:rsidR="00086095">
        <w:rPr>
          <w:lang w:val="en-GB" w:bidi="en-GB"/>
        </w:rPr>
        <w:t>dialogue</w:t>
      </w:r>
      <w:r w:rsidR="000034C3">
        <w:rPr>
          <w:lang w:val="en-GB" w:bidi="en-GB"/>
        </w:rPr>
        <w:t>s</w:t>
      </w:r>
      <w:r w:rsidR="00086095">
        <w:rPr>
          <w:lang w:val="en-GB" w:bidi="en-GB"/>
        </w:rPr>
        <w:t>, bringing</w:t>
      </w:r>
      <w:r w:rsidR="00732CCD">
        <w:rPr>
          <w:lang w:val="en-GB" w:bidi="en-GB"/>
        </w:rPr>
        <w:t xml:space="preserve"> research and best practices to </w:t>
      </w:r>
      <w:r w:rsidR="00086095">
        <w:rPr>
          <w:lang w:val="en-GB" w:bidi="en-GB"/>
        </w:rPr>
        <w:t>national policy</w:t>
      </w:r>
      <w:r w:rsidR="006B528A">
        <w:rPr>
          <w:lang w:val="en-GB" w:bidi="en-GB"/>
        </w:rPr>
        <w:t xml:space="preserve"> </w:t>
      </w:r>
      <w:r w:rsidR="00732CCD">
        <w:rPr>
          <w:lang w:val="en-GB" w:bidi="en-GB"/>
        </w:rPr>
        <w:t>processes by engaging policy</w:t>
      </w:r>
      <w:r w:rsidR="006B528A">
        <w:rPr>
          <w:lang w:val="en-GB" w:bidi="en-GB"/>
        </w:rPr>
        <w:t xml:space="preserve">makers, parliamentarians and academics as they seek to adopt sustainable development </w:t>
      </w:r>
      <w:r w:rsidR="00732CCD">
        <w:rPr>
          <w:lang w:val="en-GB" w:bidi="en-GB"/>
        </w:rPr>
        <w:t xml:space="preserve">solutions </w:t>
      </w:r>
      <w:r w:rsidR="006B528A">
        <w:rPr>
          <w:lang w:val="en-GB" w:bidi="en-GB"/>
        </w:rPr>
        <w:t>that are risk</w:t>
      </w:r>
      <w:r w:rsidR="000034C3">
        <w:rPr>
          <w:lang w:val="en-GB" w:bidi="en-GB"/>
        </w:rPr>
        <w:t>-</w:t>
      </w:r>
      <w:r w:rsidR="006B528A">
        <w:rPr>
          <w:lang w:val="en-GB" w:bidi="en-GB"/>
        </w:rPr>
        <w:t>informed and in line with global commitments</w:t>
      </w:r>
      <w:r w:rsidR="0081019E">
        <w:rPr>
          <w:lang w:val="en-GB" w:bidi="en-GB"/>
        </w:rPr>
        <w:t>,</w:t>
      </w:r>
      <w:r w:rsidR="00015BAF">
        <w:rPr>
          <w:lang w:val="en-GB" w:bidi="en-GB"/>
        </w:rPr>
        <w:t xml:space="preserve"> especially the Paris </w:t>
      </w:r>
      <w:r w:rsidR="000034C3">
        <w:rPr>
          <w:lang w:val="en-GB" w:bidi="en-GB"/>
        </w:rPr>
        <w:t>A</w:t>
      </w:r>
      <w:r w:rsidR="00015BAF">
        <w:rPr>
          <w:lang w:val="en-GB" w:bidi="en-GB"/>
        </w:rPr>
        <w:t>greement</w:t>
      </w:r>
      <w:r w:rsidR="006B528A">
        <w:rPr>
          <w:lang w:val="en-GB" w:bidi="en-GB"/>
        </w:rPr>
        <w:t xml:space="preserve">. </w:t>
      </w:r>
      <w:r w:rsidR="00732CCD">
        <w:rPr>
          <w:lang w:val="en-GB" w:bidi="en-GB"/>
        </w:rPr>
        <w:t xml:space="preserve">Particular </w:t>
      </w:r>
      <w:r w:rsidR="000034C3">
        <w:rPr>
          <w:lang w:val="en-GB" w:bidi="en-GB"/>
        </w:rPr>
        <w:t xml:space="preserve">emphasis </w:t>
      </w:r>
      <w:r w:rsidR="00732CCD">
        <w:rPr>
          <w:lang w:val="en-GB" w:bidi="en-GB"/>
        </w:rPr>
        <w:t xml:space="preserve">will be placed on supporting national efforts </w:t>
      </w:r>
      <w:r w:rsidR="004A3ACD">
        <w:rPr>
          <w:lang w:val="en-GB" w:bidi="en-GB"/>
        </w:rPr>
        <w:t xml:space="preserve">to </w:t>
      </w:r>
      <w:r w:rsidR="009537A8">
        <w:rPr>
          <w:lang w:val="en-GB" w:bidi="en-GB"/>
        </w:rPr>
        <w:t>accelerate</w:t>
      </w:r>
      <w:r w:rsidR="004A3ACD">
        <w:rPr>
          <w:lang w:val="en-GB" w:bidi="en-GB"/>
        </w:rPr>
        <w:t xml:space="preserve"> the adoption of renewable energy, </w:t>
      </w:r>
      <w:r w:rsidR="009537A8">
        <w:rPr>
          <w:lang w:val="en-GB" w:bidi="en-GB"/>
        </w:rPr>
        <w:t xml:space="preserve">improve </w:t>
      </w:r>
      <w:r w:rsidR="004A3ACD">
        <w:rPr>
          <w:lang w:val="en-GB" w:bidi="en-GB"/>
        </w:rPr>
        <w:t xml:space="preserve">energy efficiency in cooling mechanisms, </w:t>
      </w:r>
      <w:r w:rsidR="00086095">
        <w:rPr>
          <w:lang w:val="en-GB" w:bidi="en-GB"/>
        </w:rPr>
        <w:t>increase</w:t>
      </w:r>
      <w:r w:rsidR="00732CCD">
        <w:rPr>
          <w:lang w:val="en-GB" w:bidi="en-GB"/>
        </w:rPr>
        <w:t xml:space="preserve"> climate ambition and achieve nationally determined contribution targets. </w:t>
      </w:r>
      <w:r w:rsidR="003A47F2">
        <w:rPr>
          <w:lang w:val="en-GB" w:bidi="en-GB"/>
        </w:rPr>
        <w:t xml:space="preserve">UNDP will support national efforts </w:t>
      </w:r>
      <w:r w:rsidR="00732CCD">
        <w:rPr>
          <w:lang w:val="en-GB" w:bidi="en-GB"/>
        </w:rPr>
        <w:t>for</w:t>
      </w:r>
      <w:r w:rsidR="003A47F2">
        <w:rPr>
          <w:lang w:val="en-GB" w:bidi="en-GB"/>
        </w:rPr>
        <w:t xml:space="preserve"> build</w:t>
      </w:r>
      <w:r w:rsidR="00732CCD">
        <w:rPr>
          <w:lang w:val="en-GB" w:bidi="en-GB"/>
        </w:rPr>
        <w:t>ing</w:t>
      </w:r>
      <w:r w:rsidR="007B06C3">
        <w:rPr>
          <w:lang w:val="en-GB" w:bidi="en-GB"/>
        </w:rPr>
        <w:t xml:space="preserve"> </w:t>
      </w:r>
      <w:r w:rsidR="000034C3">
        <w:rPr>
          <w:lang w:val="en-GB" w:bidi="en-GB"/>
        </w:rPr>
        <w:t xml:space="preserve">capacities for </w:t>
      </w:r>
      <w:r w:rsidR="00BC68F5" w:rsidRPr="00C11F76">
        <w:rPr>
          <w:lang w:val="en-GB" w:bidi="en-GB"/>
        </w:rPr>
        <w:t>research, science and technology</w:t>
      </w:r>
      <w:r w:rsidR="003A47F2">
        <w:rPr>
          <w:lang w:val="en-GB" w:bidi="en-GB"/>
        </w:rPr>
        <w:t xml:space="preserve"> and</w:t>
      </w:r>
      <w:r w:rsidR="00823FC2">
        <w:rPr>
          <w:lang w:val="en-GB" w:bidi="en-GB"/>
        </w:rPr>
        <w:t xml:space="preserve"> the </w:t>
      </w:r>
      <w:r w:rsidR="00865760">
        <w:rPr>
          <w:lang w:val="en-GB" w:bidi="en-GB"/>
        </w:rPr>
        <w:t>adoption</w:t>
      </w:r>
      <w:r w:rsidR="00823FC2">
        <w:rPr>
          <w:lang w:val="en-GB" w:bidi="en-GB"/>
        </w:rPr>
        <w:t xml:space="preserve"> of</w:t>
      </w:r>
      <w:r w:rsidR="003A47F2">
        <w:rPr>
          <w:lang w:val="en-GB" w:bidi="en-GB"/>
        </w:rPr>
        <w:t xml:space="preserve"> </w:t>
      </w:r>
      <w:r w:rsidR="00BC68F5" w:rsidRPr="00C11F76">
        <w:rPr>
          <w:lang w:val="en-GB" w:bidi="en-GB"/>
        </w:rPr>
        <w:t>digital strategies and solutions</w:t>
      </w:r>
      <w:r w:rsidR="000034C3">
        <w:rPr>
          <w:lang w:val="en-GB" w:bidi="en-GB"/>
        </w:rPr>
        <w:t xml:space="preserve">, </w:t>
      </w:r>
      <w:r w:rsidR="008D49EC">
        <w:rPr>
          <w:lang w:val="en-GB" w:bidi="en-GB"/>
        </w:rPr>
        <w:t>all</w:t>
      </w:r>
      <w:r w:rsidR="00865760">
        <w:rPr>
          <w:lang w:val="en-GB" w:bidi="en-GB"/>
        </w:rPr>
        <w:t xml:space="preserve"> critical to facilitate the transition towards a more diversified, sustainable and resilient development pathway.</w:t>
      </w:r>
    </w:p>
    <w:p w14:paraId="23F15B39" w14:textId="65AA9C7F" w:rsidR="002D550E" w:rsidRPr="00D16EBC" w:rsidRDefault="003771D2" w:rsidP="00A92926">
      <w:pPr>
        <w:pStyle w:val="ListParagraph"/>
        <w:numPr>
          <w:ilvl w:val="0"/>
          <w:numId w:val="18"/>
        </w:numPr>
        <w:tabs>
          <w:tab w:val="left" w:pos="1440"/>
        </w:tabs>
        <w:spacing w:after="120"/>
        <w:ind w:left="1080" w:right="900" w:firstLine="0"/>
        <w:jc w:val="both"/>
        <w:rPr>
          <w:lang w:val="en-GB" w:bidi="en-GB"/>
        </w:rPr>
      </w:pPr>
      <w:r>
        <w:rPr>
          <w:lang w:val="en-GB" w:bidi="en-GB"/>
        </w:rPr>
        <w:t>In</w:t>
      </w:r>
      <w:r w:rsidRPr="00C11F76">
        <w:rPr>
          <w:lang w:val="en-GB" w:bidi="en-GB"/>
        </w:rPr>
        <w:t xml:space="preserve"> </w:t>
      </w:r>
      <w:r w:rsidR="006F53BD">
        <w:rPr>
          <w:lang w:val="en-GB" w:bidi="en-GB"/>
        </w:rPr>
        <w:t>Trinidad and Tobago</w:t>
      </w:r>
      <w:r w:rsidR="008D49EC">
        <w:rPr>
          <w:lang w:val="en-GB" w:bidi="en-GB"/>
        </w:rPr>
        <w:t>,</w:t>
      </w:r>
      <w:r w:rsidR="006F53BD">
        <w:rPr>
          <w:lang w:val="en-GB" w:bidi="en-GB"/>
        </w:rPr>
        <w:t xml:space="preserve"> </w:t>
      </w:r>
      <w:r w:rsidR="008D49EC">
        <w:rPr>
          <w:lang w:val="en-GB" w:bidi="en-GB"/>
        </w:rPr>
        <w:t xml:space="preserve">UNDP </w:t>
      </w:r>
      <w:r w:rsidR="006F53BD" w:rsidRPr="00C11F76">
        <w:rPr>
          <w:lang w:val="en-GB" w:bidi="en-GB"/>
        </w:rPr>
        <w:t xml:space="preserve">will </w:t>
      </w:r>
      <w:r w:rsidR="006F53BD">
        <w:rPr>
          <w:lang w:val="en-GB" w:bidi="en-GB"/>
        </w:rPr>
        <w:t>work</w:t>
      </w:r>
      <w:r>
        <w:rPr>
          <w:lang w:val="en-GB" w:bidi="en-GB"/>
        </w:rPr>
        <w:t xml:space="preserve"> closely</w:t>
      </w:r>
      <w:r w:rsidR="006F53BD">
        <w:rPr>
          <w:lang w:val="en-GB" w:bidi="en-GB"/>
        </w:rPr>
        <w:t xml:space="preserve"> with </w:t>
      </w:r>
      <w:r w:rsidR="00526E75">
        <w:rPr>
          <w:lang w:val="en-GB" w:bidi="en-GB"/>
        </w:rPr>
        <w:t xml:space="preserve">partners such as </w:t>
      </w:r>
      <w:r w:rsidR="006F53BD">
        <w:rPr>
          <w:lang w:val="en-GB" w:bidi="en-GB"/>
        </w:rPr>
        <w:t xml:space="preserve">the </w:t>
      </w:r>
      <w:r w:rsidR="006F53BD" w:rsidRPr="00C11F76">
        <w:rPr>
          <w:lang w:val="en-GB" w:bidi="en-GB"/>
        </w:rPr>
        <w:t>Ministr</w:t>
      </w:r>
      <w:r w:rsidR="006F53BD">
        <w:rPr>
          <w:lang w:val="en-GB" w:bidi="en-GB"/>
        </w:rPr>
        <w:t>y</w:t>
      </w:r>
      <w:r w:rsidR="006F53BD" w:rsidRPr="00C11F76">
        <w:rPr>
          <w:lang w:val="en-GB" w:bidi="en-GB"/>
        </w:rPr>
        <w:t xml:space="preserve"> of Planning and Development</w:t>
      </w:r>
      <w:r w:rsidR="00526E75">
        <w:rPr>
          <w:lang w:val="en-GB" w:bidi="en-GB"/>
        </w:rPr>
        <w:t xml:space="preserve"> </w:t>
      </w:r>
      <w:r w:rsidR="006F53BD">
        <w:rPr>
          <w:lang w:val="en-GB" w:bidi="en-GB"/>
        </w:rPr>
        <w:t xml:space="preserve">to </w:t>
      </w:r>
      <w:r w:rsidR="006F53BD" w:rsidRPr="00C11F76">
        <w:rPr>
          <w:lang w:val="en-GB" w:bidi="en-GB"/>
        </w:rPr>
        <w:t>encourag</w:t>
      </w:r>
      <w:r w:rsidR="006F53BD">
        <w:rPr>
          <w:lang w:val="en-GB" w:bidi="en-GB"/>
        </w:rPr>
        <w:t>e</w:t>
      </w:r>
      <w:r w:rsidR="006F53BD" w:rsidRPr="00C11F76">
        <w:rPr>
          <w:lang w:val="en-GB" w:bidi="en-GB"/>
        </w:rPr>
        <w:t xml:space="preserve"> the enhancement of productive and competitive ecosystem</w:t>
      </w:r>
      <w:r w:rsidR="00526E75">
        <w:rPr>
          <w:lang w:val="en-GB" w:bidi="en-GB"/>
        </w:rPr>
        <w:t>s</w:t>
      </w:r>
      <w:r w:rsidR="006F53BD" w:rsidRPr="00C11F76">
        <w:rPr>
          <w:lang w:val="en-GB" w:bidi="en-GB"/>
        </w:rPr>
        <w:t xml:space="preserve"> that boost</w:t>
      </w:r>
      <w:r w:rsidR="006F53BD">
        <w:rPr>
          <w:lang w:val="en-GB" w:bidi="en-GB"/>
        </w:rPr>
        <w:t>s</w:t>
      </w:r>
      <w:r w:rsidR="006F53BD" w:rsidRPr="00C11F76">
        <w:rPr>
          <w:lang w:val="en-GB" w:bidi="en-GB"/>
        </w:rPr>
        <w:t xml:space="preserve"> employment and </w:t>
      </w:r>
      <w:r w:rsidR="00CF608F">
        <w:rPr>
          <w:lang w:val="en-GB" w:bidi="en-GB"/>
        </w:rPr>
        <w:t xml:space="preserve">hence </w:t>
      </w:r>
      <w:r w:rsidR="006F53BD" w:rsidRPr="00C11F76">
        <w:rPr>
          <w:lang w:val="en-GB" w:bidi="en-GB"/>
        </w:rPr>
        <w:t>standards of living through structural transformation of the economy</w:t>
      </w:r>
      <w:r w:rsidR="006F53BD">
        <w:rPr>
          <w:lang w:val="en-GB" w:bidi="en-GB"/>
        </w:rPr>
        <w:t xml:space="preserve">, </w:t>
      </w:r>
      <w:r w:rsidR="006F53BD" w:rsidRPr="00C11F76">
        <w:rPr>
          <w:lang w:val="en-GB" w:bidi="en-GB"/>
        </w:rPr>
        <w:t>putting the most vulnerable</w:t>
      </w:r>
      <w:r w:rsidR="006F53BD">
        <w:rPr>
          <w:lang w:val="en-GB" w:bidi="en-GB"/>
        </w:rPr>
        <w:t xml:space="preserve"> (particularly women and youth)</w:t>
      </w:r>
      <w:r w:rsidR="006F53BD" w:rsidRPr="00C11F76">
        <w:rPr>
          <w:lang w:val="en-GB" w:bidi="en-GB"/>
        </w:rPr>
        <w:t xml:space="preserve"> at the centre of the economic policies</w:t>
      </w:r>
      <w:r w:rsidR="006F53BD">
        <w:rPr>
          <w:lang w:val="en-GB" w:bidi="en-GB"/>
        </w:rPr>
        <w:t xml:space="preserve"> and</w:t>
      </w:r>
      <w:r w:rsidR="006F53BD" w:rsidRPr="00C11F76">
        <w:rPr>
          <w:lang w:val="en-GB" w:bidi="en-GB"/>
        </w:rPr>
        <w:t xml:space="preserve"> engaging the private sector</w:t>
      </w:r>
      <w:r w:rsidR="006F53BD">
        <w:rPr>
          <w:lang w:val="en-GB" w:bidi="en-GB"/>
        </w:rPr>
        <w:t xml:space="preserve">. UNDP will also collaborate with </w:t>
      </w:r>
      <w:r w:rsidR="00526E75">
        <w:rPr>
          <w:lang w:val="en-GB" w:bidi="en-GB"/>
        </w:rPr>
        <w:t>the Ministry of Energy, the GEF</w:t>
      </w:r>
      <w:r w:rsidR="00252F91">
        <w:rPr>
          <w:lang w:val="en-GB" w:bidi="en-GB"/>
        </w:rPr>
        <w:t xml:space="preserve"> and </w:t>
      </w:r>
      <w:r w:rsidR="00526E75">
        <w:rPr>
          <w:lang w:val="en-GB" w:bidi="en-GB"/>
        </w:rPr>
        <w:t>Montreal Protocol</w:t>
      </w:r>
      <w:r w:rsidR="000A6BD3">
        <w:rPr>
          <w:lang w:val="en-GB" w:bidi="en-GB"/>
        </w:rPr>
        <w:t xml:space="preserve"> </w:t>
      </w:r>
      <w:r w:rsidR="00252F91">
        <w:rPr>
          <w:lang w:val="en-GB" w:bidi="en-GB"/>
        </w:rPr>
        <w:t xml:space="preserve">Project </w:t>
      </w:r>
      <w:r w:rsidR="000A6BD3">
        <w:rPr>
          <w:lang w:val="en-GB" w:bidi="en-GB"/>
        </w:rPr>
        <w:t>Unit</w:t>
      </w:r>
      <w:r w:rsidR="00252F91">
        <w:rPr>
          <w:lang w:val="en-GB" w:bidi="en-GB"/>
        </w:rPr>
        <w:t>s</w:t>
      </w:r>
      <w:r w:rsidR="00526E75">
        <w:rPr>
          <w:lang w:val="en-GB" w:bidi="en-GB"/>
        </w:rPr>
        <w:t xml:space="preserve"> </w:t>
      </w:r>
      <w:r w:rsidR="002C0693">
        <w:rPr>
          <w:lang w:val="en-GB" w:bidi="en-GB"/>
        </w:rPr>
        <w:t>and the private sector</w:t>
      </w:r>
      <w:r w:rsidR="006F53BD" w:rsidRPr="00A477EC">
        <w:rPr>
          <w:lang w:val="en-GB" w:bidi="en-GB"/>
        </w:rPr>
        <w:t xml:space="preserve"> to </w:t>
      </w:r>
      <w:r w:rsidR="002C0693">
        <w:rPr>
          <w:lang w:val="en-GB" w:bidi="en-GB"/>
        </w:rPr>
        <w:t>meet the countries</w:t>
      </w:r>
      <w:r w:rsidR="004A20A2">
        <w:rPr>
          <w:lang w:val="en-GB" w:bidi="en-GB"/>
        </w:rPr>
        <w:t>’</w:t>
      </w:r>
      <w:r w:rsidR="002C0693">
        <w:rPr>
          <w:lang w:val="en-GB" w:bidi="en-GB"/>
        </w:rPr>
        <w:t xml:space="preserve"> carbon reduction targets and reduce greenhouse gas emissions</w:t>
      </w:r>
      <w:r w:rsidR="006F53BD">
        <w:rPr>
          <w:lang w:val="en-GB" w:bidi="en-GB"/>
        </w:rPr>
        <w:t>.</w:t>
      </w:r>
      <w:r>
        <w:rPr>
          <w:lang w:val="en-GB" w:bidi="en-GB"/>
        </w:rPr>
        <w:t xml:space="preserve"> In Aruba, UNDP will work closely with the Ministry of Finance and the University of Aruba to build national capacities for a resilient future economy. </w:t>
      </w:r>
    </w:p>
    <w:p w14:paraId="5BC7C79E" w14:textId="4FF1975F" w:rsidR="003A47F2" w:rsidRDefault="007E4F0F" w:rsidP="00A92926">
      <w:pPr>
        <w:pStyle w:val="ListParagraph"/>
        <w:numPr>
          <w:ilvl w:val="0"/>
          <w:numId w:val="18"/>
        </w:numPr>
        <w:tabs>
          <w:tab w:val="left" w:pos="1440"/>
        </w:tabs>
        <w:spacing w:after="120"/>
        <w:ind w:left="1080" w:right="900" w:firstLine="0"/>
        <w:jc w:val="both"/>
        <w:rPr>
          <w:lang w:val="en-GB" w:bidi="en-GB"/>
        </w:rPr>
      </w:pPr>
      <w:r w:rsidRPr="00DA1AF7">
        <w:rPr>
          <w:lang w:val="en-GB" w:bidi="en-GB"/>
        </w:rPr>
        <w:t xml:space="preserve">People in </w:t>
      </w:r>
      <w:r w:rsidR="003771D2" w:rsidRPr="00DA1AF7">
        <w:rPr>
          <w:lang w:val="en-GB" w:bidi="en-GB"/>
        </w:rPr>
        <w:t>Trinidad and Tobago</w:t>
      </w:r>
      <w:r w:rsidR="00887A80" w:rsidRPr="00DA1AF7">
        <w:rPr>
          <w:lang w:val="en-GB" w:bidi="en-GB"/>
        </w:rPr>
        <w:t xml:space="preserve"> </w:t>
      </w:r>
      <w:r w:rsidR="003771D2" w:rsidRPr="00DA1AF7">
        <w:rPr>
          <w:lang w:val="en-GB" w:bidi="en-GB"/>
        </w:rPr>
        <w:t xml:space="preserve">and Sint Maarten </w:t>
      </w:r>
      <w:r w:rsidRPr="00DA1AF7">
        <w:rPr>
          <w:lang w:val="en-GB" w:bidi="en-GB"/>
        </w:rPr>
        <w:t xml:space="preserve">will have more equitable access </w:t>
      </w:r>
      <w:r w:rsidR="00974B5C">
        <w:rPr>
          <w:lang w:val="en-GB" w:bidi="en-GB"/>
        </w:rPr>
        <w:t xml:space="preserve">to </w:t>
      </w:r>
      <w:r w:rsidRPr="00DA1AF7">
        <w:rPr>
          <w:lang w:val="en-GB" w:bidi="en-GB"/>
        </w:rPr>
        <w:t>and utilize universal, quality and shock-responsive social protection, educational, health and care services</w:t>
      </w:r>
      <w:r w:rsidRPr="0003464D">
        <w:rPr>
          <w:b/>
          <w:bCs/>
          <w:lang w:val="en-GB" w:bidi="en-GB"/>
        </w:rPr>
        <w:t xml:space="preserve"> </w:t>
      </w:r>
      <w:r w:rsidR="00FB1682">
        <w:rPr>
          <w:lang w:val="en-GB" w:bidi="en-GB"/>
        </w:rPr>
        <w:t>with support from</w:t>
      </w:r>
      <w:r w:rsidRPr="00A477EC">
        <w:rPr>
          <w:lang w:val="en-GB" w:bidi="en-GB"/>
        </w:rPr>
        <w:t xml:space="preserve"> </w:t>
      </w:r>
      <w:r w:rsidR="00155606" w:rsidRPr="00A477EC">
        <w:rPr>
          <w:lang w:val="en-GB" w:bidi="en-GB"/>
        </w:rPr>
        <w:t xml:space="preserve">UNDP </w:t>
      </w:r>
      <w:r w:rsidR="00FB1682">
        <w:rPr>
          <w:lang w:val="en-GB" w:bidi="en-GB"/>
        </w:rPr>
        <w:t>to strengthen</w:t>
      </w:r>
      <w:r>
        <w:rPr>
          <w:lang w:val="en-GB" w:bidi="en-GB"/>
        </w:rPr>
        <w:t xml:space="preserve"> national </w:t>
      </w:r>
      <w:r w:rsidR="0081019E">
        <w:rPr>
          <w:lang w:val="en-GB" w:bidi="en-GB"/>
        </w:rPr>
        <w:t xml:space="preserve">capacities </w:t>
      </w:r>
      <w:r w:rsidR="0081019E" w:rsidRPr="00684AC2">
        <w:rPr>
          <w:lang w:val="en-GB" w:bidi="en-GB"/>
        </w:rPr>
        <w:t>to</w:t>
      </w:r>
      <w:r w:rsidR="00155606" w:rsidRPr="00684AC2">
        <w:rPr>
          <w:lang w:val="en-GB" w:bidi="en-GB"/>
        </w:rPr>
        <w:t xml:space="preserve"> provide </w:t>
      </w:r>
      <w:r>
        <w:rPr>
          <w:lang w:val="en-GB" w:bidi="en-GB"/>
        </w:rPr>
        <w:t xml:space="preserve">inclusive </w:t>
      </w:r>
      <w:r w:rsidR="00155606" w:rsidRPr="00684AC2">
        <w:rPr>
          <w:lang w:val="en-GB" w:bidi="en-GB"/>
        </w:rPr>
        <w:t xml:space="preserve">social protection </w:t>
      </w:r>
      <w:r>
        <w:rPr>
          <w:lang w:val="en-GB" w:bidi="en-GB"/>
        </w:rPr>
        <w:t>and strong</w:t>
      </w:r>
      <w:r w:rsidR="00155606" w:rsidRPr="00684AC2">
        <w:rPr>
          <w:lang w:val="en-GB" w:bidi="en-GB"/>
        </w:rPr>
        <w:t xml:space="preserve"> health system response, </w:t>
      </w:r>
      <w:r w:rsidR="00DA1AF7">
        <w:rPr>
          <w:lang w:val="en-GB" w:bidi="en-GB"/>
        </w:rPr>
        <w:t>and to</w:t>
      </w:r>
      <w:r w:rsidR="00155606" w:rsidRPr="00684AC2">
        <w:rPr>
          <w:lang w:val="en-GB" w:bidi="en-GB"/>
        </w:rPr>
        <w:t xml:space="preserve"> </w:t>
      </w:r>
      <w:r>
        <w:rPr>
          <w:lang w:val="en-GB" w:bidi="en-GB"/>
        </w:rPr>
        <w:t>provid</w:t>
      </w:r>
      <w:r w:rsidR="00DA1AF7">
        <w:rPr>
          <w:lang w:val="en-GB" w:bidi="en-GB"/>
        </w:rPr>
        <w:t>e</w:t>
      </w:r>
      <w:r>
        <w:rPr>
          <w:lang w:val="en-GB" w:bidi="en-GB"/>
        </w:rPr>
        <w:t xml:space="preserve"> </w:t>
      </w:r>
      <w:r w:rsidR="00155606" w:rsidRPr="00684AC2">
        <w:rPr>
          <w:lang w:val="en-GB" w:bidi="en-GB"/>
        </w:rPr>
        <w:t>opportunities for youth</w:t>
      </w:r>
      <w:r>
        <w:rPr>
          <w:lang w:val="en-GB" w:bidi="en-GB"/>
        </w:rPr>
        <w:t xml:space="preserve"> </w:t>
      </w:r>
      <w:r w:rsidR="00FB1682">
        <w:rPr>
          <w:lang w:val="en-GB" w:bidi="en-GB"/>
        </w:rPr>
        <w:t>to fulfil their potential</w:t>
      </w:r>
      <w:r w:rsidR="00155606" w:rsidRPr="00684AC2">
        <w:t xml:space="preserve">. </w:t>
      </w:r>
      <w:r w:rsidR="004D3A50" w:rsidRPr="00684AC2">
        <w:rPr>
          <w:lang w:val="en-GB" w:bidi="en-GB"/>
        </w:rPr>
        <w:t>Equ</w:t>
      </w:r>
      <w:r w:rsidR="00326C96" w:rsidRPr="00684AC2">
        <w:rPr>
          <w:lang w:val="en-GB" w:bidi="en-GB"/>
        </w:rPr>
        <w:t>ality</w:t>
      </w:r>
      <w:r w:rsidR="004D3A50" w:rsidRPr="00684AC2">
        <w:rPr>
          <w:lang w:val="en-GB" w:bidi="en-GB"/>
        </w:rPr>
        <w:t xml:space="preserve"> and well</w:t>
      </w:r>
      <w:r w:rsidR="00DA1AF7">
        <w:rPr>
          <w:lang w:val="en-GB" w:bidi="en-GB"/>
        </w:rPr>
        <w:t>-</w:t>
      </w:r>
      <w:r w:rsidR="004D3A50" w:rsidRPr="00684AC2">
        <w:rPr>
          <w:lang w:val="en-GB" w:bidi="en-GB"/>
        </w:rPr>
        <w:t xml:space="preserve">being of all citizens </w:t>
      </w:r>
      <w:r w:rsidR="001B66C9" w:rsidRPr="00684AC2">
        <w:rPr>
          <w:lang w:val="en-GB" w:bidi="en-GB"/>
        </w:rPr>
        <w:t xml:space="preserve">are </w:t>
      </w:r>
      <w:r w:rsidR="004D3A50" w:rsidRPr="00684AC2">
        <w:rPr>
          <w:lang w:val="en-GB" w:bidi="en-GB"/>
        </w:rPr>
        <w:t xml:space="preserve">central to ensuring long-lasting </w:t>
      </w:r>
      <w:r w:rsidR="00FB1682">
        <w:rPr>
          <w:lang w:val="en-GB" w:bidi="en-GB"/>
        </w:rPr>
        <w:t xml:space="preserve">sustainable </w:t>
      </w:r>
      <w:r w:rsidR="004D3A50" w:rsidRPr="00684AC2">
        <w:rPr>
          <w:lang w:val="en-GB" w:bidi="en-GB"/>
        </w:rPr>
        <w:t xml:space="preserve">development impacts. UNDP sets out to support the </w:t>
      </w:r>
      <w:r w:rsidR="00DA1AF7">
        <w:rPr>
          <w:lang w:val="en-GB" w:bidi="en-GB"/>
        </w:rPr>
        <w:t>G</w:t>
      </w:r>
      <w:r w:rsidR="004D3A50" w:rsidRPr="00684AC2">
        <w:rPr>
          <w:lang w:val="en-GB" w:bidi="en-GB"/>
        </w:rPr>
        <w:t>overnments</w:t>
      </w:r>
      <w:r w:rsidR="000A6BD3">
        <w:rPr>
          <w:lang w:val="en-GB" w:bidi="en-GB"/>
        </w:rPr>
        <w:t>’</w:t>
      </w:r>
      <w:r w:rsidR="004D3A50" w:rsidRPr="00684AC2">
        <w:rPr>
          <w:lang w:val="en-GB" w:bidi="en-GB"/>
        </w:rPr>
        <w:t xml:space="preserve"> abilit</w:t>
      </w:r>
      <w:r w:rsidR="00974B5C">
        <w:rPr>
          <w:lang w:val="en-GB" w:bidi="en-GB"/>
        </w:rPr>
        <w:t>ies</w:t>
      </w:r>
      <w:r w:rsidR="004D3A50" w:rsidRPr="00684AC2">
        <w:rPr>
          <w:lang w:val="en-GB" w:bidi="en-GB"/>
        </w:rPr>
        <w:t xml:space="preserve"> to develop evidence-based policies and processes that provide equitable access to quality social services to empower all</w:t>
      </w:r>
      <w:r w:rsidR="00BE1BFA">
        <w:rPr>
          <w:lang w:val="en-GB" w:bidi="en-GB"/>
        </w:rPr>
        <w:t>.</w:t>
      </w:r>
      <w:r w:rsidR="004D3A50" w:rsidRPr="00684AC2">
        <w:rPr>
          <w:lang w:val="en-GB" w:bidi="en-GB"/>
        </w:rPr>
        <w:t xml:space="preserve"> </w:t>
      </w:r>
      <w:r w:rsidR="00DA6163">
        <w:rPr>
          <w:lang w:val="en-GB" w:bidi="en-GB"/>
        </w:rPr>
        <w:t xml:space="preserve">UNDP is committed to ensuring </w:t>
      </w:r>
      <w:r w:rsidR="00DA1AF7">
        <w:rPr>
          <w:lang w:val="en-GB" w:bidi="en-GB"/>
        </w:rPr>
        <w:t xml:space="preserve">that </w:t>
      </w:r>
      <w:r w:rsidR="00DA6163">
        <w:rPr>
          <w:lang w:val="en-GB" w:bidi="en-GB"/>
        </w:rPr>
        <w:t>social protection systems are gender</w:t>
      </w:r>
      <w:r w:rsidR="00DA1AF7">
        <w:rPr>
          <w:lang w:val="en-GB" w:bidi="en-GB"/>
        </w:rPr>
        <w:t>-</w:t>
      </w:r>
      <w:r w:rsidR="00DA6163">
        <w:rPr>
          <w:lang w:val="en-GB" w:bidi="en-GB"/>
        </w:rPr>
        <w:t>responsive and inclusive.</w:t>
      </w:r>
    </w:p>
    <w:p w14:paraId="4588B029" w14:textId="483BEF1A" w:rsidR="005925BA" w:rsidRDefault="007E2C31" w:rsidP="00A92926">
      <w:pPr>
        <w:pStyle w:val="ListParagraph"/>
        <w:numPr>
          <w:ilvl w:val="0"/>
          <w:numId w:val="18"/>
        </w:numPr>
        <w:tabs>
          <w:tab w:val="left" w:pos="1440"/>
        </w:tabs>
        <w:spacing w:after="120"/>
        <w:ind w:left="1080" w:right="900" w:firstLine="0"/>
        <w:jc w:val="both"/>
        <w:rPr>
          <w:lang w:val="en-GB" w:bidi="en-GB"/>
        </w:rPr>
      </w:pPr>
      <w:bookmarkStart w:id="2" w:name="_Hlk85550737"/>
      <w:r w:rsidRPr="00684AC2">
        <w:rPr>
          <w:lang w:val="en-GB" w:bidi="en-GB"/>
        </w:rPr>
        <w:t xml:space="preserve">In </w:t>
      </w:r>
      <w:r>
        <w:rPr>
          <w:lang w:val="en-GB" w:bidi="en-GB"/>
        </w:rPr>
        <w:t>Trinidad and Tobago</w:t>
      </w:r>
      <w:r w:rsidRPr="00684AC2">
        <w:rPr>
          <w:lang w:val="en-GB" w:bidi="en-GB"/>
        </w:rPr>
        <w:t xml:space="preserve">, UNDP will </w:t>
      </w:r>
      <w:r>
        <w:rPr>
          <w:lang w:val="en-GB" w:bidi="en-GB"/>
        </w:rPr>
        <w:t>partner with the Ministr</w:t>
      </w:r>
      <w:r w:rsidR="005A2B79">
        <w:rPr>
          <w:lang w:val="en-GB" w:bidi="en-GB"/>
        </w:rPr>
        <w:t>y</w:t>
      </w:r>
      <w:r>
        <w:rPr>
          <w:lang w:val="en-GB" w:bidi="en-GB"/>
        </w:rPr>
        <w:t xml:space="preserve"> of Social Development and Family Services</w:t>
      </w:r>
      <w:r w:rsidR="002B6C26">
        <w:rPr>
          <w:lang w:val="en-GB" w:bidi="en-GB"/>
        </w:rPr>
        <w:t>, the Ministry of National Security, UNICEF</w:t>
      </w:r>
      <w:r w:rsidR="00DA1AF7">
        <w:rPr>
          <w:lang w:val="en-GB" w:bidi="en-GB"/>
        </w:rPr>
        <w:t xml:space="preserve"> and </w:t>
      </w:r>
      <w:r w:rsidR="002B6C26">
        <w:t>UN-Women</w:t>
      </w:r>
      <w:r w:rsidR="007070E4">
        <w:rPr>
          <w:lang w:val="en-GB" w:bidi="en-GB"/>
        </w:rPr>
        <w:t xml:space="preserve"> to strengthen</w:t>
      </w:r>
      <w:r w:rsidR="007070E4" w:rsidRPr="00684AC2">
        <w:rPr>
          <w:lang w:val="en-GB" w:bidi="en-GB"/>
        </w:rPr>
        <w:t xml:space="preserve"> effective and shock-responsive social protection systems</w:t>
      </w:r>
      <w:r w:rsidR="007070E4">
        <w:rPr>
          <w:lang w:val="en-GB" w:bidi="en-GB"/>
        </w:rPr>
        <w:t xml:space="preserve"> and enhance opportunities for young people. </w:t>
      </w:r>
      <w:r w:rsidR="005A2B79">
        <w:rPr>
          <w:lang w:val="en-GB" w:bidi="en-GB"/>
        </w:rPr>
        <w:t xml:space="preserve">In particular, UNDP will </w:t>
      </w:r>
      <w:r w:rsidR="007070E4">
        <w:rPr>
          <w:lang w:val="en-GB" w:bidi="en-GB"/>
        </w:rPr>
        <w:t>collaborate</w:t>
      </w:r>
      <w:r w:rsidR="00211876">
        <w:rPr>
          <w:lang w:val="en-GB" w:bidi="en-GB"/>
        </w:rPr>
        <w:t xml:space="preserve"> with </w:t>
      </w:r>
      <w:r w:rsidR="00974B5C">
        <w:rPr>
          <w:lang w:val="en-GB" w:bidi="en-GB"/>
        </w:rPr>
        <w:t xml:space="preserve">the </w:t>
      </w:r>
      <w:r w:rsidR="00211876">
        <w:rPr>
          <w:lang w:val="en-GB" w:bidi="en-GB"/>
        </w:rPr>
        <w:t>Government to establish its first social registry</w:t>
      </w:r>
      <w:r w:rsidR="004A20A2">
        <w:rPr>
          <w:lang w:val="en-GB" w:bidi="en-GB"/>
        </w:rPr>
        <w:t>,</w:t>
      </w:r>
      <w:r w:rsidR="00211876">
        <w:rPr>
          <w:lang w:val="en-GB" w:bidi="en-GB"/>
        </w:rPr>
        <w:t xml:space="preserve"> which will improve targeting and efficiency within the system. UNDP will partner </w:t>
      </w:r>
      <w:r w:rsidR="007070E4">
        <w:rPr>
          <w:lang w:val="en-GB" w:bidi="en-GB"/>
        </w:rPr>
        <w:t xml:space="preserve">with </w:t>
      </w:r>
      <w:r w:rsidR="005925BA">
        <w:rPr>
          <w:lang w:val="en-GB" w:bidi="en-GB"/>
        </w:rPr>
        <w:t xml:space="preserve">the Ministry of Health and </w:t>
      </w:r>
      <w:r w:rsidR="00980F83">
        <w:rPr>
          <w:lang w:val="en-GB" w:bidi="en-GB"/>
        </w:rPr>
        <w:t xml:space="preserve">the Pan American Health Organization </w:t>
      </w:r>
      <w:r w:rsidR="007070E4">
        <w:rPr>
          <w:lang w:val="en-GB" w:bidi="en-GB"/>
        </w:rPr>
        <w:t xml:space="preserve">to </w:t>
      </w:r>
      <w:r w:rsidR="00211876">
        <w:rPr>
          <w:lang w:val="en-GB" w:bidi="en-GB"/>
        </w:rPr>
        <w:t xml:space="preserve">facilitate </w:t>
      </w:r>
      <w:r w:rsidR="005925BA">
        <w:rPr>
          <w:lang w:val="en-GB" w:bidi="en-GB"/>
        </w:rPr>
        <w:t>an effective and responsive health system.</w:t>
      </w:r>
      <w:r w:rsidRPr="00684AC2">
        <w:rPr>
          <w:lang w:val="en-GB" w:bidi="en-GB"/>
        </w:rPr>
        <w:t xml:space="preserve"> </w:t>
      </w:r>
      <w:r w:rsidR="003771D2">
        <w:rPr>
          <w:lang w:val="en-GB" w:bidi="en-GB"/>
        </w:rPr>
        <w:t xml:space="preserve">In Sint Maarten, UNDP will work with the Ministry of Kingdom Affairs to </w:t>
      </w:r>
      <w:r w:rsidR="002C0693">
        <w:rPr>
          <w:lang w:val="en-GB" w:bidi="en-GB"/>
        </w:rPr>
        <w:t>build resilient systems to ensure food security for those impacted by shocks and crises.</w:t>
      </w:r>
    </w:p>
    <w:bookmarkEnd w:id="2"/>
    <w:p w14:paraId="02CCF07F" w14:textId="5D42A6DA" w:rsidR="002E59A2" w:rsidRPr="002E59A2" w:rsidRDefault="005031A3" w:rsidP="00A92926">
      <w:pPr>
        <w:pStyle w:val="ListParagraph"/>
        <w:numPr>
          <w:ilvl w:val="0"/>
          <w:numId w:val="18"/>
        </w:numPr>
        <w:tabs>
          <w:tab w:val="left" w:pos="1440"/>
        </w:tabs>
        <w:spacing w:after="120"/>
        <w:ind w:left="1080" w:right="900" w:firstLine="0"/>
        <w:jc w:val="both"/>
        <w:rPr>
          <w:lang w:val="en-GB" w:bidi="en-GB"/>
        </w:rPr>
      </w:pPr>
      <w:r w:rsidRPr="00980F83">
        <w:t>P</w:t>
      </w:r>
      <w:r w:rsidR="00FB1682" w:rsidRPr="00980F83">
        <w:t>eople</w:t>
      </w:r>
      <w:r w:rsidR="00F23BAE" w:rsidRPr="00980F83">
        <w:t>,</w:t>
      </w:r>
      <w:r w:rsidR="00FB1682" w:rsidRPr="00980F83">
        <w:t xml:space="preserve"> communities</w:t>
      </w:r>
      <w:r w:rsidR="00F23BAE" w:rsidRPr="00980F83">
        <w:t xml:space="preserve"> and institutions</w:t>
      </w:r>
      <w:r w:rsidRPr="00980F83">
        <w:t xml:space="preserve"> in </w:t>
      </w:r>
      <w:r w:rsidRPr="00980F83">
        <w:rPr>
          <w:lang w:val="en-GB" w:bidi="en-GB"/>
        </w:rPr>
        <w:t xml:space="preserve">Trinidad and Tobago and Sint Maarten </w:t>
      </w:r>
      <w:r w:rsidR="00FB1682" w:rsidRPr="00980F83">
        <w:t>will have enhanced adaptive capacit</w:t>
      </w:r>
      <w:r w:rsidR="00980F83">
        <w:t>ies</w:t>
      </w:r>
      <w:r w:rsidR="00FB1682" w:rsidRPr="00980F83">
        <w:t xml:space="preserve"> for inclusive, gender</w:t>
      </w:r>
      <w:r w:rsidR="00980F83" w:rsidRPr="00980F83">
        <w:t>-</w:t>
      </w:r>
      <w:r w:rsidR="00FB1682" w:rsidRPr="00980F83">
        <w:t xml:space="preserve">responsive </w:t>
      </w:r>
      <w:r w:rsidR="00980F83" w:rsidRPr="00980F83">
        <w:t>d</w:t>
      </w:r>
      <w:r w:rsidR="00FB1682" w:rsidRPr="00980F83">
        <w:t xml:space="preserve">isaster </w:t>
      </w:r>
      <w:r w:rsidR="00980F83" w:rsidRPr="00980F83">
        <w:t>r</w:t>
      </w:r>
      <w:r w:rsidR="00FB1682" w:rsidRPr="00980F83">
        <w:t xml:space="preserve">isk </w:t>
      </w:r>
      <w:r w:rsidR="00980F83" w:rsidRPr="00980F83">
        <w:t>m</w:t>
      </w:r>
      <w:r w:rsidR="00FB1682" w:rsidRPr="00980F83">
        <w:t>anagement and climate change adaptation and mitigation</w:t>
      </w:r>
      <w:r w:rsidR="00FB1682" w:rsidRPr="00684AC2">
        <w:t xml:space="preserve"> </w:t>
      </w:r>
      <w:r w:rsidR="00FB1682">
        <w:t xml:space="preserve">with </w:t>
      </w:r>
      <w:r w:rsidR="00155606" w:rsidRPr="00684AC2">
        <w:t>UNDP support</w:t>
      </w:r>
      <w:r w:rsidR="00FB1682">
        <w:t xml:space="preserve"> for</w:t>
      </w:r>
      <w:r w:rsidR="00155606" w:rsidRPr="00684AC2">
        <w:t xml:space="preserve"> improvements in the management of </w:t>
      </w:r>
      <w:r w:rsidR="004D04DC">
        <w:t xml:space="preserve">the </w:t>
      </w:r>
      <w:r w:rsidR="00155606" w:rsidRPr="00684AC2">
        <w:t xml:space="preserve">environment and natural resources, </w:t>
      </w:r>
      <w:r w:rsidR="00FB1682">
        <w:t xml:space="preserve">and </w:t>
      </w:r>
      <w:r w:rsidR="00980F83">
        <w:t xml:space="preserve">in </w:t>
      </w:r>
      <w:r w:rsidR="00FB1682">
        <w:t>national</w:t>
      </w:r>
      <w:r w:rsidR="00155606" w:rsidRPr="00684AC2">
        <w:t xml:space="preserve"> capacities for disaster risk reduction, </w:t>
      </w:r>
      <w:r w:rsidR="00E64BF3" w:rsidRPr="00684AC2">
        <w:t>response</w:t>
      </w:r>
      <w:r w:rsidR="00155606" w:rsidRPr="00684AC2">
        <w:t xml:space="preserve"> and recovery</w:t>
      </w:r>
      <w:r w:rsidR="00FB1682">
        <w:t xml:space="preserve">. </w:t>
      </w:r>
      <w:r w:rsidR="00DB1801">
        <w:t xml:space="preserve">In particular, UNDP will help </w:t>
      </w:r>
      <w:r w:rsidR="00980F83">
        <w:t xml:space="preserve">to </w:t>
      </w:r>
      <w:r w:rsidR="00DB1801">
        <w:t xml:space="preserve">build national </w:t>
      </w:r>
      <w:r w:rsidR="00DB1801">
        <w:lastRenderedPageBreak/>
        <w:t>resilience to climatic events through the strengthening of national and community</w:t>
      </w:r>
      <w:r w:rsidR="00980F83">
        <w:t>-</w:t>
      </w:r>
      <w:r w:rsidR="00DB1801">
        <w:t>level early warning systems. South</w:t>
      </w:r>
      <w:r w:rsidR="0081019E">
        <w:t>-S</w:t>
      </w:r>
      <w:r w:rsidR="00DB1801">
        <w:t>outh partnerships with Cuba</w:t>
      </w:r>
      <w:r w:rsidR="00980F83">
        <w:t>, the</w:t>
      </w:r>
      <w:r w:rsidR="00DB1801">
        <w:t xml:space="preserve"> Dominican Republic </w:t>
      </w:r>
      <w:r w:rsidR="00980F83">
        <w:t xml:space="preserve">and Saint Vincent and the Grenadines </w:t>
      </w:r>
      <w:r w:rsidR="00DB1801">
        <w:t xml:space="preserve">will be leveraged to </w:t>
      </w:r>
      <w:r w:rsidR="00BC2B6C">
        <w:t xml:space="preserve">ensure </w:t>
      </w:r>
      <w:r w:rsidR="00DB1801">
        <w:t>inclusive, gender</w:t>
      </w:r>
      <w:r w:rsidR="00980F83">
        <w:t>-</w:t>
      </w:r>
      <w:r w:rsidR="00DB1801">
        <w:t xml:space="preserve">sensitive approaches. </w:t>
      </w:r>
    </w:p>
    <w:p w14:paraId="0065C082" w14:textId="6107D68E" w:rsidR="0025775D" w:rsidRPr="002C25DF" w:rsidRDefault="00AB5AAA" w:rsidP="00A92926">
      <w:pPr>
        <w:pStyle w:val="ListParagraph"/>
        <w:numPr>
          <w:ilvl w:val="0"/>
          <w:numId w:val="18"/>
        </w:numPr>
        <w:tabs>
          <w:tab w:val="left" w:pos="1440"/>
        </w:tabs>
        <w:spacing w:after="120"/>
        <w:ind w:left="1080" w:right="900" w:firstLine="0"/>
        <w:jc w:val="both"/>
      </w:pPr>
      <w:r w:rsidRPr="0025775D">
        <w:t xml:space="preserve">UNDP will work in collaboration with </w:t>
      </w:r>
      <w:r w:rsidR="00980F83">
        <w:t xml:space="preserve">the </w:t>
      </w:r>
      <w:r w:rsidRPr="0025775D">
        <w:t>Trinidad and Tobago Office of Disaster Preparedness and Management</w:t>
      </w:r>
      <w:r w:rsidR="007327D3">
        <w:t xml:space="preserve"> </w:t>
      </w:r>
      <w:r w:rsidR="002C0693">
        <w:t>to strengthen national and community flood early warning systems</w:t>
      </w:r>
      <w:r w:rsidR="00980F83">
        <w:t>.</w:t>
      </w:r>
      <w:r w:rsidR="002C0693">
        <w:t xml:space="preserve"> </w:t>
      </w:r>
      <w:r w:rsidR="00980F83">
        <w:t>I</w:t>
      </w:r>
      <w:r w:rsidR="00CF2C49">
        <w:t xml:space="preserve">n Sint Maarten, UNDP will support government efforts to employ early warning alarms and strengthen early warning capacity. In Trinidad and Tobago, UNDP will support </w:t>
      </w:r>
      <w:r w:rsidR="002C0693">
        <w:t xml:space="preserve">the </w:t>
      </w:r>
      <w:r w:rsidR="00980F83">
        <w:t xml:space="preserve">efforts of the </w:t>
      </w:r>
      <w:r w:rsidR="002C0693">
        <w:t xml:space="preserve">Ministry of Planning and Development to improve </w:t>
      </w:r>
      <w:r w:rsidR="00DB1801">
        <w:t>natural resource management</w:t>
      </w:r>
      <w:r w:rsidR="002C0693">
        <w:t xml:space="preserve"> including investing in research and data to improve pollinator management. </w:t>
      </w:r>
      <w:r w:rsidR="00DB1801">
        <w:t>UNDP</w:t>
      </w:r>
      <w:r w:rsidR="004A20A2">
        <w:t xml:space="preserve"> </w:t>
      </w:r>
      <w:r w:rsidR="002C0693">
        <w:t>will work with the GEF Small Grants Programme to develop</w:t>
      </w:r>
      <w:r w:rsidR="002C25DF">
        <w:t xml:space="preserve"> </w:t>
      </w:r>
      <w:r w:rsidR="00DB1801">
        <w:t>innovative, inclusive partnerships to tackle environmental issues on land and sea</w:t>
      </w:r>
      <w:r w:rsidR="000945AE">
        <w:t>, emp</w:t>
      </w:r>
      <w:r w:rsidR="0018424C">
        <w:t>l</w:t>
      </w:r>
      <w:r w:rsidR="000945AE">
        <w:t>oying</w:t>
      </w:r>
      <w:r w:rsidR="00DB1801" w:rsidRPr="00E21083">
        <w:rPr>
          <w:lang w:val="en-GB" w:bidi="en-GB"/>
        </w:rPr>
        <w:t xml:space="preserve"> solutions that </w:t>
      </w:r>
      <w:r w:rsidR="00D37715">
        <w:rPr>
          <w:lang w:val="en-GB" w:bidi="en-GB"/>
        </w:rPr>
        <w:t xml:space="preserve">address </w:t>
      </w:r>
      <w:r w:rsidR="00DB1801" w:rsidRPr="00E21083">
        <w:rPr>
          <w:lang w:val="en-GB" w:bidi="en-GB"/>
        </w:rPr>
        <w:t>overexploitation</w:t>
      </w:r>
      <w:r w:rsidR="00D37715">
        <w:rPr>
          <w:lang w:val="en-GB" w:bidi="en-GB"/>
        </w:rPr>
        <w:t xml:space="preserve">, </w:t>
      </w:r>
      <w:r w:rsidR="00DB1801" w:rsidRPr="00E21083">
        <w:rPr>
          <w:lang w:val="en-GB" w:bidi="en-GB"/>
        </w:rPr>
        <w:t>pollution and waste management</w:t>
      </w:r>
      <w:r w:rsidR="00086095">
        <w:t>.</w:t>
      </w:r>
      <w:r w:rsidR="00DB1801">
        <w:t xml:space="preserve"> </w:t>
      </w:r>
    </w:p>
    <w:p w14:paraId="3C735FDF" w14:textId="2EE1617F" w:rsidR="002E59A2" w:rsidRPr="00977733" w:rsidRDefault="00056D74" w:rsidP="00A92926">
      <w:pPr>
        <w:pStyle w:val="ListParagraph"/>
        <w:numPr>
          <w:ilvl w:val="0"/>
          <w:numId w:val="18"/>
        </w:numPr>
        <w:tabs>
          <w:tab w:val="left" w:pos="1440"/>
        </w:tabs>
        <w:spacing w:after="120"/>
        <w:ind w:left="1080" w:right="900" w:firstLine="0"/>
        <w:jc w:val="both"/>
        <w:rPr>
          <w:lang w:val="en-GB" w:bidi="en-GB"/>
        </w:rPr>
      </w:pPr>
      <w:r w:rsidRPr="00D37715">
        <w:t>R</w:t>
      </w:r>
      <w:r w:rsidR="008D24B4" w:rsidRPr="00D37715">
        <w:t xml:space="preserve">egional and national laws, policies, systems and institutions will </w:t>
      </w:r>
      <w:r w:rsidR="00830AC3">
        <w:t>be enhanced</w:t>
      </w:r>
      <w:r w:rsidR="00974B5C">
        <w:t>,</w:t>
      </w:r>
      <w:r w:rsidR="00830AC3">
        <w:t xml:space="preserve"> which should result in </w:t>
      </w:r>
      <w:r w:rsidR="008D24B4" w:rsidRPr="00D37715">
        <w:t>improved access to justice and promote peace, social cohesion and security</w:t>
      </w:r>
      <w:r w:rsidR="008D24B4" w:rsidRPr="00A9665B" w:rsidDel="00A9665B">
        <w:rPr>
          <w:lang w:val="en-GB" w:bidi="en-GB"/>
        </w:rPr>
        <w:t xml:space="preserve"> </w:t>
      </w:r>
      <w:r w:rsidR="00C176CD">
        <w:rPr>
          <w:lang w:val="en-GB" w:bidi="en-GB"/>
        </w:rPr>
        <w:t>with</w:t>
      </w:r>
      <w:r w:rsidR="000157BD" w:rsidRPr="00A9665B">
        <w:rPr>
          <w:lang w:val="en-GB" w:bidi="en-GB"/>
        </w:rPr>
        <w:t xml:space="preserve"> UNDP contribut</w:t>
      </w:r>
      <w:r w:rsidR="005E7C7A">
        <w:rPr>
          <w:lang w:val="en-GB" w:bidi="en-GB"/>
        </w:rPr>
        <w:t>ing</w:t>
      </w:r>
      <w:r w:rsidR="000157BD" w:rsidRPr="00A9665B">
        <w:rPr>
          <w:lang w:val="en-GB" w:bidi="en-GB"/>
        </w:rPr>
        <w:t xml:space="preserve"> to </w:t>
      </w:r>
      <w:r w:rsidR="00D37715">
        <w:rPr>
          <w:lang w:val="en-GB" w:bidi="en-GB"/>
        </w:rPr>
        <w:t xml:space="preserve">the </w:t>
      </w:r>
      <w:r w:rsidR="000157BD" w:rsidRPr="00A9665B">
        <w:rPr>
          <w:lang w:val="en-GB" w:bidi="en-GB"/>
        </w:rPr>
        <w:t>develop</w:t>
      </w:r>
      <w:r w:rsidR="00D37715">
        <w:rPr>
          <w:lang w:val="en-GB" w:bidi="en-GB"/>
        </w:rPr>
        <w:t>ment of</w:t>
      </w:r>
      <w:r w:rsidR="000157BD" w:rsidRPr="00A9665B">
        <w:rPr>
          <w:lang w:val="en-GB" w:bidi="en-GB"/>
        </w:rPr>
        <w:t xml:space="preserve"> an enabling environment </w:t>
      </w:r>
      <w:r w:rsidR="004E2B2C">
        <w:rPr>
          <w:lang w:val="en-GB" w:bidi="en-GB"/>
        </w:rPr>
        <w:t>that</w:t>
      </w:r>
      <w:r w:rsidR="000157BD" w:rsidRPr="00A9665B">
        <w:rPr>
          <w:lang w:val="en-GB" w:bidi="en-GB"/>
        </w:rPr>
        <w:t xml:space="preserve"> improve</w:t>
      </w:r>
      <w:r w:rsidR="004E2B2C">
        <w:rPr>
          <w:lang w:val="en-GB" w:bidi="en-GB"/>
        </w:rPr>
        <w:t>s</w:t>
      </w:r>
      <w:r w:rsidR="000157BD" w:rsidRPr="00A9665B">
        <w:rPr>
          <w:lang w:val="en-GB" w:bidi="en-GB"/>
        </w:rPr>
        <w:t xml:space="preserve"> access to justice and strengthen</w:t>
      </w:r>
      <w:r w:rsidR="00D37715">
        <w:rPr>
          <w:lang w:val="en-GB" w:bidi="en-GB"/>
        </w:rPr>
        <w:t>s</w:t>
      </w:r>
      <w:r w:rsidR="000157BD" w:rsidRPr="00A9665B">
        <w:rPr>
          <w:lang w:val="en-GB" w:bidi="en-GB"/>
        </w:rPr>
        <w:t xml:space="preserve"> citizen security, as well as </w:t>
      </w:r>
      <w:r w:rsidR="0041503C">
        <w:rPr>
          <w:lang w:val="en-GB" w:bidi="en-GB"/>
        </w:rPr>
        <w:t xml:space="preserve">addressing </w:t>
      </w:r>
      <w:r w:rsidR="000157BD" w:rsidRPr="00A9665B">
        <w:rPr>
          <w:lang w:val="en-GB" w:bidi="en-GB"/>
        </w:rPr>
        <w:t>the</w:t>
      </w:r>
      <w:r w:rsidR="00603E8F">
        <w:rPr>
          <w:lang w:val="en-GB" w:bidi="en-GB"/>
        </w:rPr>
        <w:t xml:space="preserve"> underlying </w:t>
      </w:r>
      <w:r w:rsidR="000157BD" w:rsidRPr="00A9665B">
        <w:rPr>
          <w:lang w:val="en-GB" w:bidi="en-GB"/>
        </w:rPr>
        <w:t>conditions that make societies vulnerable to violence and crime</w:t>
      </w:r>
      <w:r w:rsidR="000157BD" w:rsidRPr="00684AC2">
        <w:t xml:space="preserve">. </w:t>
      </w:r>
      <w:r w:rsidR="00823FC2">
        <w:t>It will do this through projects that target at</w:t>
      </w:r>
      <w:r w:rsidR="00D37715">
        <w:t>-</w:t>
      </w:r>
      <w:r w:rsidR="00823FC2">
        <w:t xml:space="preserve">risk youth, including those </w:t>
      </w:r>
      <w:r w:rsidR="00D37715">
        <w:t xml:space="preserve">who are </w:t>
      </w:r>
      <w:r w:rsidR="00823FC2">
        <w:t>in</w:t>
      </w:r>
      <w:r w:rsidR="007B06C3">
        <w:t>carcerated</w:t>
      </w:r>
      <w:r w:rsidR="005464FD">
        <w:t xml:space="preserve">, particularly girls. </w:t>
      </w:r>
    </w:p>
    <w:p w14:paraId="0D8B3874" w14:textId="04BEEBDE" w:rsidR="00FA724B" w:rsidRDefault="00FA724B" w:rsidP="00A92926">
      <w:pPr>
        <w:pStyle w:val="ListParagraph"/>
        <w:numPr>
          <w:ilvl w:val="0"/>
          <w:numId w:val="18"/>
        </w:numPr>
        <w:tabs>
          <w:tab w:val="left" w:pos="1440"/>
        </w:tabs>
        <w:spacing w:after="200"/>
        <w:ind w:left="1080" w:right="900" w:firstLine="0"/>
        <w:jc w:val="both"/>
        <w:rPr>
          <w:lang w:val="en-GB" w:bidi="en-GB"/>
        </w:rPr>
      </w:pPr>
      <w:r w:rsidRPr="00A9665B">
        <w:rPr>
          <w:lang w:val="en-GB" w:bidi="en-GB"/>
        </w:rPr>
        <w:t xml:space="preserve">To </w:t>
      </w:r>
      <w:r w:rsidR="00112825">
        <w:rPr>
          <w:lang w:val="en-GB" w:bidi="en-GB"/>
        </w:rPr>
        <w:t>ad</w:t>
      </w:r>
      <w:r w:rsidR="00DB04ED">
        <w:rPr>
          <w:lang w:val="en-GB" w:bidi="en-GB"/>
        </w:rPr>
        <w:t>d</w:t>
      </w:r>
      <w:r w:rsidR="00112825">
        <w:rPr>
          <w:lang w:val="en-GB" w:bidi="en-GB"/>
        </w:rPr>
        <w:t>ress</w:t>
      </w:r>
      <w:r w:rsidRPr="00A9665B">
        <w:rPr>
          <w:lang w:val="en-GB" w:bidi="en-GB"/>
        </w:rPr>
        <w:t xml:space="preserve"> these challenges, UNDP will collaborat</w:t>
      </w:r>
      <w:r w:rsidR="00377016">
        <w:rPr>
          <w:lang w:val="en-GB" w:bidi="en-GB"/>
        </w:rPr>
        <w:t>e</w:t>
      </w:r>
      <w:r w:rsidRPr="00A9665B">
        <w:rPr>
          <w:lang w:val="en-GB" w:bidi="en-GB"/>
        </w:rPr>
        <w:t xml:space="preserve"> with the Office of </w:t>
      </w:r>
      <w:r w:rsidR="00C13FA6">
        <w:rPr>
          <w:lang w:val="en-GB" w:bidi="en-GB"/>
        </w:rPr>
        <w:t xml:space="preserve">the </w:t>
      </w:r>
      <w:r w:rsidRPr="00A9665B">
        <w:rPr>
          <w:lang w:val="en-GB" w:bidi="en-GB"/>
        </w:rPr>
        <w:t xml:space="preserve">Prime Minister </w:t>
      </w:r>
      <w:r w:rsidR="00C13FA6">
        <w:rPr>
          <w:lang w:val="en-GB" w:bidi="en-GB"/>
        </w:rPr>
        <w:t>(</w:t>
      </w:r>
      <w:r w:rsidRPr="00A9665B">
        <w:rPr>
          <w:lang w:val="en-GB" w:bidi="en-GB"/>
        </w:rPr>
        <w:t>Gender and Child Affairs</w:t>
      </w:r>
      <w:r w:rsidR="00C13FA6">
        <w:rPr>
          <w:lang w:val="en-GB" w:bidi="en-GB"/>
        </w:rPr>
        <w:t>)</w:t>
      </w:r>
      <w:r w:rsidR="002C0693">
        <w:rPr>
          <w:lang w:val="en-GB" w:bidi="en-GB"/>
        </w:rPr>
        <w:t xml:space="preserve"> in Trinidad and Tobago</w:t>
      </w:r>
      <w:r w:rsidRPr="00A9665B">
        <w:rPr>
          <w:lang w:val="en-GB" w:bidi="en-GB"/>
        </w:rPr>
        <w:t xml:space="preserve">, </w:t>
      </w:r>
      <w:r w:rsidR="00C13FA6">
        <w:rPr>
          <w:lang w:val="en-GB" w:bidi="en-GB"/>
        </w:rPr>
        <w:t>t</w:t>
      </w:r>
      <w:r w:rsidRPr="00A9665B">
        <w:rPr>
          <w:lang w:val="en-GB" w:bidi="en-GB"/>
        </w:rPr>
        <w:t xml:space="preserve">he </w:t>
      </w:r>
      <w:r w:rsidR="00C13FA6">
        <w:rPr>
          <w:lang w:val="en-GB" w:bidi="en-GB"/>
        </w:rPr>
        <w:t>j</w:t>
      </w:r>
      <w:r w:rsidRPr="00A9665B">
        <w:rPr>
          <w:lang w:val="en-GB" w:bidi="en-GB"/>
        </w:rPr>
        <w:t xml:space="preserve">udiciary, </w:t>
      </w:r>
      <w:r w:rsidR="002C0693">
        <w:rPr>
          <w:lang w:val="en-GB" w:bidi="en-GB"/>
        </w:rPr>
        <w:t>the Ministry of National Security</w:t>
      </w:r>
      <w:r w:rsidR="00474438">
        <w:rPr>
          <w:lang w:val="en-GB" w:bidi="en-GB"/>
        </w:rPr>
        <w:t xml:space="preserve"> </w:t>
      </w:r>
      <w:r w:rsidR="002C0693">
        <w:rPr>
          <w:lang w:val="en-GB" w:bidi="en-GB"/>
        </w:rPr>
        <w:t>and the Ministry of the Attorney General and Legal Affairs</w:t>
      </w:r>
      <w:r>
        <w:t xml:space="preserve"> </w:t>
      </w:r>
      <w:r w:rsidRPr="00A9665B">
        <w:rPr>
          <w:lang w:val="en-GB" w:bidi="en-GB"/>
        </w:rPr>
        <w:t xml:space="preserve">to build an enabling environment where laws, policies, </w:t>
      </w:r>
      <w:r w:rsidR="003253EE" w:rsidRPr="00A9665B">
        <w:rPr>
          <w:lang w:val="en-GB" w:bidi="en-GB"/>
        </w:rPr>
        <w:t>systems</w:t>
      </w:r>
      <w:r w:rsidRPr="00A9665B">
        <w:rPr>
          <w:lang w:val="en-GB" w:bidi="en-GB"/>
        </w:rPr>
        <w:t xml:space="preserve"> and institutions improve access to justice and strengthen citizen security through support for rule</w:t>
      </w:r>
      <w:r w:rsidR="00C13FA6">
        <w:rPr>
          <w:lang w:val="en-GB" w:bidi="en-GB"/>
        </w:rPr>
        <w:t>-</w:t>
      </w:r>
      <w:r w:rsidRPr="00A9665B">
        <w:rPr>
          <w:lang w:val="en-GB" w:bidi="en-GB"/>
        </w:rPr>
        <w:t>of</w:t>
      </w:r>
      <w:r w:rsidR="00C13FA6">
        <w:rPr>
          <w:lang w:val="en-GB" w:bidi="en-GB"/>
        </w:rPr>
        <w:t>-</w:t>
      </w:r>
      <w:r w:rsidRPr="00A9665B">
        <w:rPr>
          <w:lang w:val="en-GB" w:bidi="en-GB"/>
        </w:rPr>
        <w:t>law institutions</w:t>
      </w:r>
      <w:r>
        <w:rPr>
          <w:lang w:val="en-GB" w:bidi="en-GB"/>
        </w:rPr>
        <w:t>.</w:t>
      </w:r>
      <w:r w:rsidR="003253EE">
        <w:rPr>
          <w:lang w:val="en-GB" w:bidi="en-GB"/>
        </w:rPr>
        <w:t xml:space="preserve"> </w:t>
      </w:r>
      <w:r w:rsidR="003253EE" w:rsidRPr="00977733">
        <w:rPr>
          <w:lang w:val="en-GB" w:bidi="en-GB"/>
        </w:rPr>
        <w:t xml:space="preserve">Citizen security </w:t>
      </w:r>
      <w:r w:rsidR="003253EE" w:rsidRPr="00A82A2C">
        <w:rPr>
          <w:lang w:val="en-GB" w:bidi="en-GB"/>
        </w:rPr>
        <w:t xml:space="preserve">will also be strengthened by initiatives such as </w:t>
      </w:r>
      <w:r w:rsidR="00377016">
        <w:rPr>
          <w:lang w:val="en-GB" w:bidi="en-GB"/>
        </w:rPr>
        <w:t xml:space="preserve">the joint European Union-United Nations </w:t>
      </w:r>
      <w:r w:rsidR="003253EE" w:rsidRPr="00A82A2C">
        <w:rPr>
          <w:lang w:val="en-GB" w:bidi="en-GB"/>
        </w:rPr>
        <w:t xml:space="preserve">Spotlight </w:t>
      </w:r>
      <w:r w:rsidR="00377016">
        <w:rPr>
          <w:lang w:val="en-GB" w:bidi="en-GB"/>
        </w:rPr>
        <w:t>initiative, undertaken</w:t>
      </w:r>
      <w:r w:rsidR="003253EE" w:rsidRPr="00A82A2C">
        <w:rPr>
          <w:lang w:val="en-GB" w:bidi="en-GB"/>
        </w:rPr>
        <w:t xml:space="preserve"> </w:t>
      </w:r>
      <w:r w:rsidR="002C0693">
        <w:rPr>
          <w:lang w:val="en-GB" w:bidi="en-GB"/>
        </w:rPr>
        <w:t xml:space="preserve">in partnership with </w:t>
      </w:r>
      <w:r w:rsidR="00377016">
        <w:rPr>
          <w:lang w:val="en-GB" w:bidi="en-GB"/>
        </w:rPr>
        <w:t>UNDP</w:t>
      </w:r>
      <w:r w:rsidR="00693BEF">
        <w:rPr>
          <w:lang w:val="en-GB" w:bidi="en-GB"/>
        </w:rPr>
        <w:t>,</w:t>
      </w:r>
      <w:r w:rsidR="00377016">
        <w:rPr>
          <w:lang w:val="en-GB" w:bidi="en-GB"/>
        </w:rPr>
        <w:t xml:space="preserve"> </w:t>
      </w:r>
      <w:r w:rsidR="002C0693">
        <w:rPr>
          <w:lang w:val="en-GB" w:bidi="en-GB"/>
        </w:rPr>
        <w:t>UNICEF</w:t>
      </w:r>
      <w:r w:rsidR="00377016">
        <w:rPr>
          <w:lang w:val="en-GB" w:bidi="en-GB"/>
        </w:rPr>
        <w:t>, the United Nations Population Fund</w:t>
      </w:r>
      <w:r w:rsidR="002C0693">
        <w:rPr>
          <w:lang w:val="en-GB" w:bidi="en-GB"/>
        </w:rPr>
        <w:t xml:space="preserve"> and </w:t>
      </w:r>
      <w:r w:rsidR="00377016">
        <w:rPr>
          <w:lang w:val="en-GB" w:bidi="en-GB"/>
        </w:rPr>
        <w:t xml:space="preserve">UN-Women, </w:t>
      </w:r>
      <w:r w:rsidR="00693BEF">
        <w:rPr>
          <w:lang w:val="en-GB" w:bidi="en-GB"/>
        </w:rPr>
        <w:t xml:space="preserve">and </w:t>
      </w:r>
      <w:r w:rsidR="003253EE" w:rsidRPr="00A82A2C">
        <w:rPr>
          <w:lang w:val="en-GB" w:bidi="en-GB"/>
        </w:rPr>
        <w:t>which focuses on strengthening institutional responses to gender-based violence.</w:t>
      </w:r>
      <w:r>
        <w:rPr>
          <w:lang w:val="en-GB" w:bidi="en-GB"/>
        </w:rPr>
        <w:t xml:space="preserve"> </w:t>
      </w:r>
    </w:p>
    <w:p w14:paraId="2440D3F7" w14:textId="66D981C2" w:rsidR="0063402B" w:rsidRPr="00BA32F5" w:rsidRDefault="0063402B" w:rsidP="00A92926">
      <w:pPr>
        <w:pStyle w:val="Heading2"/>
        <w:spacing w:after="200"/>
        <w:ind w:left="1080" w:right="900" w:hanging="540"/>
        <w:jc w:val="both"/>
        <w:rPr>
          <w:rFonts w:ascii="Times New Roman" w:hAnsi="Times New Roman"/>
          <w:bCs/>
          <w:color w:val="000000"/>
          <w:sz w:val="24"/>
          <w:szCs w:val="24"/>
          <w:lang w:val="en-GB"/>
        </w:rPr>
      </w:pPr>
      <w:r w:rsidRPr="00BA32F5">
        <w:rPr>
          <w:rFonts w:ascii="Times New Roman" w:hAnsi="Times New Roman"/>
          <w:bCs/>
          <w:color w:val="000000"/>
          <w:sz w:val="24"/>
          <w:szCs w:val="24"/>
          <w:lang w:val="en-GB"/>
        </w:rPr>
        <w:t xml:space="preserve">III. </w:t>
      </w:r>
      <w:r w:rsidR="00776736" w:rsidRPr="00BA32F5">
        <w:rPr>
          <w:rFonts w:ascii="Times New Roman" w:hAnsi="Times New Roman"/>
          <w:bCs/>
          <w:color w:val="000000"/>
          <w:sz w:val="24"/>
          <w:szCs w:val="24"/>
          <w:lang w:val="en-GB"/>
        </w:rPr>
        <w:tab/>
      </w:r>
      <w:r w:rsidRPr="00BA32F5">
        <w:rPr>
          <w:rFonts w:ascii="Times New Roman" w:hAnsi="Times New Roman"/>
          <w:bCs/>
          <w:color w:val="000000"/>
          <w:sz w:val="24"/>
          <w:szCs w:val="24"/>
          <w:lang w:val="en-GB"/>
        </w:rPr>
        <w:t xml:space="preserve">Programme and </w:t>
      </w:r>
      <w:r w:rsidR="00743BDE">
        <w:rPr>
          <w:rFonts w:ascii="Times New Roman" w:hAnsi="Times New Roman"/>
          <w:bCs/>
          <w:color w:val="000000"/>
          <w:sz w:val="24"/>
          <w:szCs w:val="24"/>
          <w:lang w:val="en-GB"/>
        </w:rPr>
        <w:t>r</w:t>
      </w:r>
      <w:r w:rsidRPr="00BA32F5">
        <w:rPr>
          <w:rFonts w:ascii="Times New Roman" w:hAnsi="Times New Roman"/>
          <w:bCs/>
          <w:color w:val="000000"/>
          <w:sz w:val="24"/>
          <w:szCs w:val="24"/>
          <w:lang w:val="en-GB"/>
        </w:rPr>
        <w:t>isk</w:t>
      </w:r>
      <w:r w:rsidR="00AC1BE7" w:rsidRPr="00BA32F5">
        <w:rPr>
          <w:rFonts w:ascii="Times New Roman" w:hAnsi="Times New Roman"/>
          <w:bCs/>
          <w:color w:val="000000"/>
          <w:sz w:val="24"/>
          <w:szCs w:val="24"/>
          <w:lang w:val="en-GB"/>
        </w:rPr>
        <w:t xml:space="preserve"> </w:t>
      </w:r>
      <w:r w:rsidR="00743BDE">
        <w:rPr>
          <w:rFonts w:ascii="Times New Roman" w:hAnsi="Times New Roman"/>
          <w:bCs/>
          <w:color w:val="000000"/>
          <w:sz w:val="24"/>
          <w:szCs w:val="24"/>
          <w:lang w:val="en-GB"/>
        </w:rPr>
        <w:t>m</w:t>
      </w:r>
      <w:r w:rsidR="001C6C08" w:rsidRPr="00BA32F5">
        <w:rPr>
          <w:rFonts w:ascii="Times New Roman" w:hAnsi="Times New Roman"/>
          <w:bCs/>
          <w:color w:val="000000"/>
          <w:sz w:val="24"/>
          <w:szCs w:val="24"/>
          <w:lang w:val="en-GB"/>
        </w:rPr>
        <w:t>anagement</w:t>
      </w:r>
      <w:r w:rsidRPr="00BA32F5">
        <w:rPr>
          <w:rFonts w:ascii="Times New Roman" w:hAnsi="Times New Roman"/>
          <w:bCs/>
          <w:color w:val="000000"/>
          <w:sz w:val="24"/>
          <w:szCs w:val="24"/>
          <w:lang w:val="en-GB"/>
        </w:rPr>
        <w:t xml:space="preserve"> </w:t>
      </w:r>
    </w:p>
    <w:p w14:paraId="79EFC4BC" w14:textId="44CA0B12" w:rsidR="004A4CF5" w:rsidRPr="00BA32F5" w:rsidRDefault="004F1BB5" w:rsidP="00F42446">
      <w:pPr>
        <w:pStyle w:val="ListParagraph"/>
        <w:numPr>
          <w:ilvl w:val="0"/>
          <w:numId w:val="18"/>
        </w:numPr>
        <w:spacing w:after="120"/>
        <w:ind w:left="1080" w:right="900" w:firstLine="0"/>
        <w:jc w:val="both"/>
        <w:rPr>
          <w:color w:val="000000"/>
        </w:rPr>
      </w:pPr>
      <w:r w:rsidRPr="00BA32F5">
        <w:rPr>
          <w:color w:val="000000"/>
        </w:rPr>
        <w:t xml:space="preserve">This country programme document outlines </w:t>
      </w:r>
      <w:r w:rsidR="00377016">
        <w:rPr>
          <w:color w:val="000000"/>
        </w:rPr>
        <w:t xml:space="preserve">the </w:t>
      </w:r>
      <w:r w:rsidRPr="00BA32F5">
        <w:rPr>
          <w:color w:val="000000"/>
        </w:rPr>
        <w:t xml:space="preserve">UNDP contributions to national results and serves as the primary unit of accountability to the Executive Board for results alignment and resources assigned to the programme at </w:t>
      </w:r>
      <w:r w:rsidR="004D04DC">
        <w:rPr>
          <w:color w:val="000000"/>
        </w:rPr>
        <w:t xml:space="preserve">the </w:t>
      </w:r>
      <w:r w:rsidRPr="00BA32F5">
        <w:rPr>
          <w:color w:val="000000"/>
        </w:rPr>
        <w:t xml:space="preserve">country level. </w:t>
      </w:r>
    </w:p>
    <w:p w14:paraId="1EF89E29" w14:textId="22E5D2E9" w:rsidR="004A4CF5" w:rsidRPr="00BA32F5" w:rsidRDefault="004A4CF5" w:rsidP="00F42446">
      <w:pPr>
        <w:pStyle w:val="ListParagraph"/>
        <w:numPr>
          <w:ilvl w:val="0"/>
          <w:numId w:val="18"/>
        </w:numPr>
        <w:spacing w:after="120"/>
        <w:ind w:left="1080" w:right="900" w:firstLine="0"/>
        <w:jc w:val="both"/>
        <w:rPr>
          <w:lang w:val="en-GB" w:bidi="en-GB"/>
        </w:rPr>
      </w:pPr>
      <w:r w:rsidRPr="00BA32F5">
        <w:rPr>
          <w:lang w:val="en-GB" w:bidi="en-GB"/>
        </w:rPr>
        <w:t xml:space="preserve">This document was formulated by </w:t>
      </w:r>
      <w:r w:rsidR="008F171D" w:rsidRPr="008F171D">
        <w:rPr>
          <w:lang w:val="en-GB" w:bidi="en-GB"/>
        </w:rPr>
        <w:t xml:space="preserve">the UNDP </w:t>
      </w:r>
      <w:r w:rsidR="00377016">
        <w:rPr>
          <w:lang w:val="en-GB" w:bidi="en-GB"/>
        </w:rPr>
        <w:t>c</w:t>
      </w:r>
      <w:r w:rsidR="008F171D" w:rsidRPr="008F171D">
        <w:rPr>
          <w:lang w:val="en-GB" w:bidi="en-GB"/>
        </w:rPr>
        <w:t>ount</w:t>
      </w:r>
      <w:r w:rsidR="00377016">
        <w:rPr>
          <w:lang w:val="en-GB" w:bidi="en-GB"/>
        </w:rPr>
        <w:t>r</w:t>
      </w:r>
      <w:r w:rsidR="008F171D" w:rsidRPr="008F171D">
        <w:rPr>
          <w:lang w:val="en-GB" w:bidi="en-GB"/>
        </w:rPr>
        <w:t xml:space="preserve">y </w:t>
      </w:r>
      <w:r w:rsidR="00377016">
        <w:rPr>
          <w:lang w:val="en-GB" w:bidi="en-GB"/>
        </w:rPr>
        <w:t>office t</w:t>
      </w:r>
      <w:r w:rsidR="008F171D" w:rsidRPr="008F171D">
        <w:rPr>
          <w:lang w:val="en-GB" w:bidi="en-GB"/>
        </w:rPr>
        <w:t>eam</w:t>
      </w:r>
      <w:r w:rsidR="00A7264F">
        <w:rPr>
          <w:lang w:val="en-GB" w:bidi="en-GB"/>
        </w:rPr>
        <w:t>,</w:t>
      </w:r>
      <w:r w:rsidR="008F171D" w:rsidRPr="008F171D">
        <w:rPr>
          <w:lang w:val="en-GB" w:bidi="en-GB"/>
        </w:rPr>
        <w:t xml:space="preserve"> </w:t>
      </w:r>
      <w:r w:rsidRPr="00BA32F5">
        <w:rPr>
          <w:lang w:val="en-GB" w:bidi="en-GB"/>
        </w:rPr>
        <w:t xml:space="preserve">employing a consultative process with representatives from government partners and other key stakeholders. It was designed to contribute </w:t>
      </w:r>
      <w:r w:rsidR="00377016" w:rsidRPr="00BA32F5">
        <w:rPr>
          <w:lang w:val="en-GB" w:bidi="en-GB"/>
        </w:rPr>
        <w:t xml:space="preserve">directly </w:t>
      </w:r>
      <w:r w:rsidRPr="00BA32F5">
        <w:rPr>
          <w:lang w:val="en-GB" w:bidi="en-GB"/>
        </w:rPr>
        <w:t xml:space="preserve">to the </w:t>
      </w:r>
      <w:r w:rsidR="008E1B46">
        <w:rPr>
          <w:lang w:val="en-GB" w:bidi="en-GB"/>
        </w:rPr>
        <w:t>UN</w:t>
      </w:r>
      <w:r w:rsidR="009251B1" w:rsidRPr="00BA32F5">
        <w:rPr>
          <w:lang w:val="en-GB" w:bidi="en-GB"/>
        </w:rPr>
        <w:t>MSDCF</w:t>
      </w:r>
      <w:r w:rsidR="008715F0" w:rsidRPr="00BA32F5">
        <w:rPr>
          <w:lang w:val="en-GB" w:bidi="en-GB"/>
        </w:rPr>
        <w:t xml:space="preserve"> </w:t>
      </w:r>
      <w:r w:rsidRPr="00BA32F5">
        <w:rPr>
          <w:lang w:val="en-GB" w:bidi="en-GB"/>
        </w:rPr>
        <w:t xml:space="preserve">2022-2026, which was similarly developed through consultations with </w:t>
      </w:r>
      <w:r w:rsidR="00A7264F">
        <w:rPr>
          <w:lang w:val="en-GB" w:bidi="en-GB"/>
        </w:rPr>
        <w:t>G</w:t>
      </w:r>
      <w:r w:rsidRPr="00BA32F5">
        <w:rPr>
          <w:lang w:val="en-GB" w:bidi="en-GB"/>
        </w:rPr>
        <w:t xml:space="preserve">overnments, regional organizations, international development partners, civil society and the private sector. The </w:t>
      </w:r>
      <w:r w:rsidR="008E1B46">
        <w:rPr>
          <w:lang w:val="en-GB" w:bidi="en-GB"/>
        </w:rPr>
        <w:t>UN</w:t>
      </w:r>
      <w:r w:rsidRPr="00BA32F5">
        <w:rPr>
          <w:lang w:val="en-GB" w:bidi="en-GB"/>
        </w:rPr>
        <w:t>MSDCF identifies common strategic priorities to leverage regional synergies and adopt collective approaches.</w:t>
      </w:r>
      <w:r w:rsidR="000E3B31">
        <w:rPr>
          <w:lang w:val="en-GB" w:bidi="en-GB"/>
        </w:rPr>
        <w:t xml:space="preserve"> </w:t>
      </w:r>
    </w:p>
    <w:p w14:paraId="0009F91B" w14:textId="290F7E52" w:rsidR="004A4CF5" w:rsidRPr="00BA32F5" w:rsidRDefault="004A4CF5" w:rsidP="00F42446">
      <w:pPr>
        <w:pStyle w:val="ListParagraph"/>
        <w:numPr>
          <w:ilvl w:val="0"/>
          <w:numId w:val="18"/>
        </w:numPr>
        <w:spacing w:after="120"/>
        <w:ind w:left="1080" w:right="900" w:firstLine="0"/>
        <w:jc w:val="both"/>
        <w:rPr>
          <w:lang w:val="en-GB" w:bidi="en-GB"/>
        </w:rPr>
      </w:pPr>
      <w:r w:rsidRPr="00BA32F5">
        <w:rPr>
          <w:lang w:val="en-GB" w:bidi="en-GB"/>
        </w:rPr>
        <w:t xml:space="preserve">UNDP will continue to partner with the government ministries that are coordinating and executing national development strategies. For this reason, </w:t>
      </w:r>
      <w:r w:rsidR="009E236D" w:rsidRPr="00BA32F5">
        <w:rPr>
          <w:lang w:val="en-GB" w:bidi="en-GB"/>
        </w:rPr>
        <w:t xml:space="preserve">a </w:t>
      </w:r>
      <w:r w:rsidRPr="00BA32F5">
        <w:rPr>
          <w:lang w:val="en-GB" w:bidi="en-GB"/>
        </w:rPr>
        <w:t xml:space="preserve">coordination mechanism, chaired by the Ministry of Planning and Development and </w:t>
      </w:r>
      <w:r w:rsidR="009B72E5" w:rsidRPr="00BA32F5">
        <w:rPr>
          <w:lang w:val="en-GB" w:bidi="en-GB"/>
        </w:rPr>
        <w:t>compris</w:t>
      </w:r>
      <w:r w:rsidR="009B72E5">
        <w:rPr>
          <w:lang w:val="en-GB" w:bidi="en-GB"/>
        </w:rPr>
        <w:t xml:space="preserve">ed of </w:t>
      </w:r>
      <w:r w:rsidRPr="00BA32F5">
        <w:rPr>
          <w:lang w:val="en-GB" w:bidi="en-GB"/>
        </w:rPr>
        <w:t>senior officials across key ministries, will optimize synergies associated with cross-disciplinary oversight and ensure that UNDP technical support is aligned with national priorities and objectives.</w:t>
      </w:r>
    </w:p>
    <w:p w14:paraId="7D508F02" w14:textId="1B21F03C" w:rsidR="004A4CF5" w:rsidRPr="00BA32F5" w:rsidRDefault="004A4CF5" w:rsidP="00F42446">
      <w:pPr>
        <w:pStyle w:val="ListParagraph"/>
        <w:numPr>
          <w:ilvl w:val="0"/>
          <w:numId w:val="18"/>
        </w:numPr>
        <w:spacing w:after="120"/>
        <w:ind w:left="1080" w:right="900" w:firstLine="0"/>
        <w:jc w:val="both"/>
        <w:rPr>
          <w:lang w:val="en-GB" w:bidi="en-GB"/>
        </w:rPr>
      </w:pPr>
      <w:r w:rsidRPr="00BA32F5">
        <w:rPr>
          <w:lang w:val="en-GB" w:bidi="en-GB"/>
        </w:rPr>
        <w:t xml:space="preserve">UNDP will support national implementation by incorporating capacity-building of government institutions. Results-based management techniques underpinning programme implementation will be utilized by project management boards established for each project. </w:t>
      </w:r>
    </w:p>
    <w:p w14:paraId="168B3418" w14:textId="7E4986E4" w:rsidR="004A4CF5" w:rsidRPr="00BA32F5" w:rsidRDefault="007B2F70" w:rsidP="00F42446">
      <w:pPr>
        <w:pStyle w:val="ListParagraph"/>
        <w:numPr>
          <w:ilvl w:val="0"/>
          <w:numId w:val="18"/>
        </w:numPr>
        <w:spacing w:after="120"/>
        <w:ind w:left="1080" w:right="900" w:firstLine="0"/>
        <w:jc w:val="both"/>
        <w:rPr>
          <w:lang w:val="en-GB" w:bidi="en-GB"/>
        </w:rPr>
      </w:pPr>
      <w:r>
        <w:rPr>
          <w:lang w:val="en-GB" w:bidi="en-GB"/>
        </w:rPr>
        <w:t xml:space="preserve">The programme will </w:t>
      </w:r>
      <w:r w:rsidR="004A4CF5" w:rsidRPr="00BA32F5">
        <w:rPr>
          <w:lang w:val="en-GB" w:bidi="en-GB"/>
        </w:rPr>
        <w:t>incorporat</w:t>
      </w:r>
      <w:r>
        <w:rPr>
          <w:lang w:val="en-GB" w:bidi="en-GB"/>
        </w:rPr>
        <w:t>e</w:t>
      </w:r>
      <w:r w:rsidR="004A4CF5" w:rsidRPr="00BA32F5">
        <w:rPr>
          <w:lang w:val="en-GB" w:bidi="en-GB"/>
        </w:rPr>
        <w:t xml:space="preserve"> the voice</w:t>
      </w:r>
      <w:r>
        <w:rPr>
          <w:lang w:val="en-GB" w:bidi="en-GB"/>
        </w:rPr>
        <w:t>s</w:t>
      </w:r>
      <w:r w:rsidR="004A4CF5" w:rsidRPr="00BA32F5">
        <w:rPr>
          <w:lang w:val="en-GB" w:bidi="en-GB"/>
        </w:rPr>
        <w:t xml:space="preserve"> of communities, particularly those facing vulnerabilities, into project design and decision-making. Quality assurance mechanisms will ensure that the perspectives and needs of vulnerable groups are effectively incorporated into project management. </w:t>
      </w:r>
    </w:p>
    <w:p w14:paraId="755A33A3" w14:textId="65D907F6" w:rsidR="004A4CF5" w:rsidRPr="00BA32F5" w:rsidRDefault="004A4CF5" w:rsidP="00F42446">
      <w:pPr>
        <w:pStyle w:val="ListParagraph"/>
        <w:numPr>
          <w:ilvl w:val="0"/>
          <w:numId w:val="18"/>
        </w:numPr>
        <w:spacing w:after="120"/>
        <w:ind w:left="1080" w:right="900" w:firstLine="0"/>
        <w:jc w:val="both"/>
        <w:rPr>
          <w:lang w:val="en-GB" w:bidi="en-GB"/>
        </w:rPr>
      </w:pPr>
      <w:r w:rsidRPr="00BA32F5">
        <w:rPr>
          <w:lang w:val="en-GB" w:bidi="en-GB"/>
        </w:rPr>
        <w:lastRenderedPageBreak/>
        <w:t xml:space="preserve">An issues-based, multidimensional approach guided the design of the country programme. First, interventions and outputs in one work area contribute to others. For example, enhancing </w:t>
      </w:r>
      <w:r w:rsidR="007B2F70">
        <w:rPr>
          <w:lang w:val="en-GB" w:bidi="en-GB"/>
        </w:rPr>
        <w:t>the</w:t>
      </w:r>
      <w:r w:rsidR="007B2F70" w:rsidRPr="00BA32F5">
        <w:rPr>
          <w:lang w:val="en-GB" w:bidi="en-GB"/>
        </w:rPr>
        <w:t xml:space="preserve"> </w:t>
      </w:r>
      <w:r w:rsidRPr="00BA32F5">
        <w:rPr>
          <w:lang w:val="en-GB" w:bidi="en-GB"/>
        </w:rPr>
        <w:t>well</w:t>
      </w:r>
      <w:r w:rsidR="007B2F70">
        <w:rPr>
          <w:lang w:val="en-GB" w:bidi="en-GB"/>
        </w:rPr>
        <w:t>-</w:t>
      </w:r>
      <w:r w:rsidRPr="00BA32F5">
        <w:rPr>
          <w:lang w:val="en-GB" w:bidi="en-GB"/>
        </w:rPr>
        <w:t xml:space="preserve">being and opportunities </w:t>
      </w:r>
      <w:r w:rsidR="007B2F70">
        <w:rPr>
          <w:lang w:val="en-GB" w:bidi="en-GB"/>
        </w:rPr>
        <w:t xml:space="preserve">for youth </w:t>
      </w:r>
      <w:r w:rsidRPr="00BA32F5">
        <w:rPr>
          <w:lang w:val="en-GB" w:bidi="en-GB"/>
        </w:rPr>
        <w:t>addres</w:t>
      </w:r>
      <w:r w:rsidR="002F3B56">
        <w:rPr>
          <w:lang w:val="en-GB" w:bidi="en-GB"/>
        </w:rPr>
        <w:t>se</w:t>
      </w:r>
      <w:r w:rsidRPr="00BA32F5">
        <w:rPr>
          <w:lang w:val="en-GB" w:bidi="en-GB"/>
        </w:rPr>
        <w:t>s equality issues (</w:t>
      </w:r>
      <w:r w:rsidR="007B2F70">
        <w:rPr>
          <w:lang w:val="en-GB" w:bidi="en-GB"/>
        </w:rPr>
        <w:t>o</w:t>
      </w:r>
      <w:r w:rsidRPr="00BA32F5">
        <w:rPr>
          <w:lang w:val="en-GB" w:bidi="en-GB"/>
        </w:rPr>
        <w:t xml:space="preserve">utcome </w:t>
      </w:r>
      <w:r w:rsidR="007B2F70">
        <w:rPr>
          <w:lang w:val="en-GB" w:bidi="en-GB"/>
        </w:rPr>
        <w:t>a</w:t>
      </w:r>
      <w:r w:rsidRPr="00BA32F5">
        <w:rPr>
          <w:lang w:val="en-GB" w:bidi="en-GB"/>
        </w:rPr>
        <w:t xml:space="preserve">rea </w:t>
      </w:r>
      <w:r w:rsidR="007F4E56" w:rsidRPr="00BA32F5">
        <w:rPr>
          <w:lang w:val="en-GB" w:bidi="en-GB"/>
        </w:rPr>
        <w:t>2</w:t>
      </w:r>
      <w:r w:rsidRPr="00BA32F5">
        <w:rPr>
          <w:lang w:val="en-GB" w:bidi="en-GB"/>
        </w:rPr>
        <w:t>) while also contributing to the reduction of crime and violence (</w:t>
      </w:r>
      <w:r w:rsidR="007B2F70">
        <w:rPr>
          <w:lang w:val="en-GB" w:bidi="en-GB"/>
        </w:rPr>
        <w:t>o</w:t>
      </w:r>
      <w:r w:rsidRPr="00BA32F5">
        <w:rPr>
          <w:lang w:val="en-GB" w:bidi="en-GB"/>
        </w:rPr>
        <w:t xml:space="preserve">utcome </w:t>
      </w:r>
      <w:r w:rsidR="007B2F70">
        <w:rPr>
          <w:lang w:val="en-GB" w:bidi="en-GB"/>
        </w:rPr>
        <w:t>a</w:t>
      </w:r>
      <w:r w:rsidRPr="00BA32F5">
        <w:rPr>
          <w:lang w:val="en-GB" w:bidi="en-GB"/>
        </w:rPr>
        <w:t xml:space="preserve">rea </w:t>
      </w:r>
      <w:r w:rsidR="007F4E56" w:rsidRPr="00BA32F5">
        <w:rPr>
          <w:lang w:val="en-GB" w:bidi="en-GB"/>
        </w:rPr>
        <w:t>4</w:t>
      </w:r>
      <w:r w:rsidRPr="00BA32F5">
        <w:rPr>
          <w:lang w:val="en-GB" w:bidi="en-GB"/>
        </w:rPr>
        <w:t>). Second, specific interventions (innovation or digitali</w:t>
      </w:r>
      <w:r w:rsidR="007B2F70">
        <w:rPr>
          <w:lang w:val="en-GB" w:bidi="en-GB"/>
        </w:rPr>
        <w:t>z</w:t>
      </w:r>
      <w:r w:rsidRPr="00BA32F5">
        <w:rPr>
          <w:lang w:val="en-GB" w:bidi="en-GB"/>
        </w:rPr>
        <w:t xml:space="preserve">ation) are relevant across several work areas. Third, within a given work area, this programme seeks complementarity among programming mechanisms (such as combining research findings with technical support, policy advocacy and community action). In addition, a networked implementation style targeting greater coordination among UNDP projects, as well as increased collaboration with national development actors and United Nations agencies, should strengthen vertical and horizontal policy coherence. </w:t>
      </w:r>
    </w:p>
    <w:p w14:paraId="3F08C0AF" w14:textId="71442EAB" w:rsidR="00787753" w:rsidRPr="00BA32F5" w:rsidRDefault="00787753" w:rsidP="00F42446">
      <w:pPr>
        <w:pStyle w:val="ListParagraph"/>
        <w:numPr>
          <w:ilvl w:val="0"/>
          <w:numId w:val="18"/>
        </w:numPr>
        <w:spacing w:after="120"/>
        <w:ind w:left="1080" w:right="900" w:firstLine="0"/>
        <w:jc w:val="both"/>
        <w:rPr>
          <w:lang w:val="en-GB" w:bidi="en-GB"/>
        </w:rPr>
      </w:pPr>
      <w:r w:rsidRPr="00BA32F5">
        <w:rPr>
          <w:lang w:val="en-GB" w:bidi="en-GB"/>
        </w:rPr>
        <w:t xml:space="preserve">The </w:t>
      </w:r>
      <w:r w:rsidR="004A4CF5" w:rsidRPr="00BA32F5">
        <w:rPr>
          <w:lang w:val="en-GB" w:bidi="en-GB"/>
        </w:rPr>
        <w:t xml:space="preserve">country </w:t>
      </w:r>
      <w:r w:rsidRPr="00BA32F5">
        <w:rPr>
          <w:lang w:val="en-GB" w:bidi="en-GB"/>
        </w:rPr>
        <w:t xml:space="preserve">programme will be nationally executed. If necessary, national execution may be replaced by direct execution for part or all of the programme to enable response to force majeure. </w:t>
      </w:r>
      <w:r w:rsidR="007B2F70">
        <w:rPr>
          <w:lang w:val="en-GB" w:bidi="en-GB"/>
        </w:rPr>
        <w:t>The h</w:t>
      </w:r>
      <w:r w:rsidRPr="00BA32F5">
        <w:rPr>
          <w:lang w:val="en-GB" w:bidi="en-GB"/>
        </w:rPr>
        <w:t>armoni</w:t>
      </w:r>
      <w:r w:rsidR="004637A9">
        <w:rPr>
          <w:lang w:val="en-GB" w:bidi="en-GB"/>
        </w:rPr>
        <w:t>zed</w:t>
      </w:r>
      <w:r w:rsidRPr="00BA32F5">
        <w:rPr>
          <w:lang w:val="en-GB" w:bidi="en-GB"/>
        </w:rPr>
        <w:t xml:space="preserve"> </w:t>
      </w:r>
      <w:r w:rsidR="007B2F70">
        <w:rPr>
          <w:lang w:val="en-GB" w:bidi="en-GB"/>
        </w:rPr>
        <w:t>a</w:t>
      </w:r>
      <w:r w:rsidRPr="00BA32F5">
        <w:rPr>
          <w:lang w:val="en-GB" w:bidi="en-GB"/>
        </w:rPr>
        <w:t xml:space="preserve">pproach to </w:t>
      </w:r>
      <w:r w:rsidR="007B2F70">
        <w:rPr>
          <w:lang w:val="en-GB" w:bidi="en-GB"/>
        </w:rPr>
        <w:t>c</w:t>
      </w:r>
      <w:r w:rsidRPr="00BA32F5">
        <w:rPr>
          <w:lang w:val="en-GB" w:bidi="en-GB"/>
        </w:rPr>
        <w:t xml:space="preserve">ash </w:t>
      </w:r>
      <w:r w:rsidR="007B2F70">
        <w:rPr>
          <w:lang w:val="en-GB" w:bidi="en-GB"/>
        </w:rPr>
        <w:t>t</w:t>
      </w:r>
      <w:r w:rsidRPr="00BA32F5">
        <w:rPr>
          <w:lang w:val="en-GB" w:bidi="en-GB"/>
        </w:rPr>
        <w:t>ransfers will be used in a coordinated fashion with other U</w:t>
      </w:r>
      <w:r w:rsidR="00B4096E" w:rsidRPr="00BA32F5">
        <w:rPr>
          <w:lang w:val="en-GB" w:bidi="en-GB"/>
        </w:rPr>
        <w:t xml:space="preserve">nited </w:t>
      </w:r>
      <w:r w:rsidRPr="00BA32F5">
        <w:rPr>
          <w:lang w:val="en-GB" w:bidi="en-GB"/>
        </w:rPr>
        <w:t>N</w:t>
      </w:r>
      <w:r w:rsidR="00B4096E" w:rsidRPr="00BA32F5">
        <w:rPr>
          <w:lang w:val="en-GB" w:bidi="en-GB"/>
        </w:rPr>
        <w:t>ations</w:t>
      </w:r>
      <w:r w:rsidRPr="00BA32F5">
        <w:rPr>
          <w:lang w:val="en-GB" w:bidi="en-GB"/>
        </w:rPr>
        <w:t xml:space="preserve"> agencies to manage financial risks. Cost definitions and classifications for programme and development effectiveness will be charged to the concerned projects.</w:t>
      </w:r>
    </w:p>
    <w:p w14:paraId="2DA0BBBA" w14:textId="5FBF592B" w:rsidR="004A4CF5" w:rsidRPr="00BA32F5" w:rsidRDefault="00C51973" w:rsidP="00F42446">
      <w:pPr>
        <w:pStyle w:val="ListParagraph"/>
        <w:numPr>
          <w:ilvl w:val="0"/>
          <w:numId w:val="18"/>
        </w:numPr>
        <w:spacing w:after="120"/>
        <w:ind w:left="1080" w:right="900" w:firstLine="0"/>
        <w:jc w:val="both"/>
        <w:rPr>
          <w:lang w:val="en-GB" w:bidi="en-GB"/>
        </w:rPr>
      </w:pPr>
      <w:r w:rsidRPr="00BA32F5">
        <w:rPr>
          <w:lang w:val="en-GB" w:bidi="en-GB"/>
        </w:rPr>
        <w:t xml:space="preserve">For the successful implementation of the programme, different types of risks – programming, social and environmental safeguards, physical and operational – </w:t>
      </w:r>
      <w:r w:rsidR="00F97B0C" w:rsidRPr="00BA32F5">
        <w:rPr>
          <w:lang w:val="en-GB" w:bidi="en-GB"/>
        </w:rPr>
        <w:t xml:space="preserve">must </w:t>
      </w:r>
      <w:r w:rsidRPr="00BA32F5">
        <w:rPr>
          <w:lang w:val="en-GB" w:bidi="en-GB"/>
        </w:rPr>
        <w:t>be considered.</w:t>
      </w:r>
    </w:p>
    <w:p w14:paraId="34DA1692" w14:textId="2B6B54CE" w:rsidR="004A4CF5" w:rsidRPr="00BA32F5" w:rsidRDefault="004A4CF5" w:rsidP="00F42446">
      <w:pPr>
        <w:pStyle w:val="ListParagraph"/>
        <w:numPr>
          <w:ilvl w:val="0"/>
          <w:numId w:val="18"/>
        </w:numPr>
        <w:spacing w:after="120"/>
        <w:ind w:left="1080" w:right="900" w:firstLine="0"/>
        <w:jc w:val="both"/>
        <w:rPr>
          <w:color w:val="000000"/>
        </w:rPr>
      </w:pPr>
      <w:r w:rsidRPr="00BA32F5">
        <w:rPr>
          <w:color w:val="000000"/>
        </w:rPr>
        <w:t xml:space="preserve">Accountabilities of managers at the country, regional and headquarter levels with respect to country programmes are prescribed in the organization’s </w:t>
      </w:r>
      <w:hyperlink r:id="rId12" w:history="1">
        <w:r w:rsidR="007B2F70" w:rsidRPr="00FC5623">
          <w:rPr>
            <w:rStyle w:val="Hyperlink"/>
            <w:color w:val="auto"/>
          </w:rPr>
          <w:t>programme and operations policies and procedures</w:t>
        </w:r>
      </w:hyperlink>
      <w:r w:rsidR="007B2F70" w:rsidRPr="00FC5623">
        <w:t xml:space="preserve"> and </w:t>
      </w:r>
      <w:hyperlink r:id="rId13" w:history="1">
        <w:r w:rsidR="007B2F70" w:rsidRPr="00FC5623">
          <w:rPr>
            <w:rStyle w:val="Hyperlink"/>
            <w:color w:val="auto"/>
          </w:rPr>
          <w:t>internal control framework</w:t>
        </w:r>
      </w:hyperlink>
      <w:r w:rsidRPr="00BA32F5">
        <w:rPr>
          <w:color w:val="000000"/>
        </w:rPr>
        <w:t xml:space="preserve">. UNDP will also employ its </w:t>
      </w:r>
      <w:r w:rsidR="007B2F70" w:rsidRPr="00BA32F5">
        <w:rPr>
          <w:color w:val="000000"/>
        </w:rPr>
        <w:t xml:space="preserve">enterprise risk management policy </w:t>
      </w:r>
      <w:r w:rsidRPr="00BA32F5">
        <w:rPr>
          <w:color w:val="000000"/>
        </w:rPr>
        <w:t xml:space="preserve">to create a risk management culture throughout the country office in all spheres of activity from the project design stage and throughout project implementation. </w:t>
      </w:r>
    </w:p>
    <w:p w14:paraId="630C0436" w14:textId="4FA11C4E" w:rsidR="007F4E56" w:rsidRPr="00BA32F5" w:rsidRDefault="007F4E56" w:rsidP="00F42446">
      <w:pPr>
        <w:pStyle w:val="ListParagraph"/>
        <w:numPr>
          <w:ilvl w:val="0"/>
          <w:numId w:val="18"/>
        </w:numPr>
        <w:spacing w:after="120"/>
        <w:ind w:left="1080" w:right="900" w:firstLine="0"/>
        <w:jc w:val="both"/>
        <w:rPr>
          <w:lang w:val="en-GB" w:bidi="en-GB"/>
        </w:rPr>
      </w:pPr>
      <w:r w:rsidRPr="00BA32F5">
        <w:t xml:space="preserve">This </w:t>
      </w:r>
      <w:r w:rsidR="005464FD">
        <w:t>c</w:t>
      </w:r>
      <w:r w:rsidRPr="00BA32F5">
        <w:t xml:space="preserve">ountry programme is based on </w:t>
      </w:r>
      <w:r w:rsidR="007B2F70">
        <w:t xml:space="preserve">the </w:t>
      </w:r>
      <w:r w:rsidRPr="00BA32F5">
        <w:t>assumption that cost</w:t>
      </w:r>
      <w:r w:rsidR="007B2F70">
        <w:t>-</w:t>
      </w:r>
      <w:r w:rsidRPr="00BA32F5">
        <w:t xml:space="preserve">sharing contributions from government and external partners will continue to be strong despite volatility in the global economy caused by COVID-19. To offset this risk, UNDP will expand its dialogue with external donors and seek to assist the </w:t>
      </w:r>
      <w:r w:rsidR="007B2F70">
        <w:t>G</w:t>
      </w:r>
      <w:r w:rsidRPr="00BA32F5">
        <w:t>overnment of Trinidad and Tobago</w:t>
      </w:r>
      <w:r w:rsidR="005464FD">
        <w:t xml:space="preserve">, in </w:t>
      </w:r>
      <w:r w:rsidR="00B51027">
        <w:t xml:space="preserve">particular </w:t>
      </w:r>
      <w:r w:rsidR="00B51027" w:rsidRPr="00BA32F5">
        <w:t>to</w:t>
      </w:r>
      <w:r w:rsidRPr="00BA32F5">
        <w:t xml:space="preserve"> benefit from expanding climate finance facilities.</w:t>
      </w:r>
    </w:p>
    <w:p w14:paraId="3F0FF8A5" w14:textId="02E16DC5" w:rsidR="00C51973" w:rsidRPr="00BA32F5" w:rsidRDefault="00C51973" w:rsidP="00F42446">
      <w:pPr>
        <w:pStyle w:val="ListParagraph"/>
        <w:numPr>
          <w:ilvl w:val="0"/>
          <w:numId w:val="18"/>
        </w:numPr>
        <w:spacing w:after="200"/>
        <w:ind w:left="1080" w:right="900" w:firstLine="0"/>
        <w:jc w:val="both"/>
        <w:rPr>
          <w:lang w:val="en-GB" w:bidi="en-GB"/>
        </w:rPr>
      </w:pPr>
      <w:r w:rsidRPr="00BA32F5">
        <w:rPr>
          <w:lang w:val="en-GB" w:bidi="en-GB"/>
        </w:rPr>
        <w:t>Hydro-meteorological and seismic events pose a physical risk in Trinidad and Tobago. UNDP implements business continuity testing to strengthen risk resilience and flexibility for internal operations and external programme execution. UNDP</w:t>
      </w:r>
      <w:r w:rsidR="005464FD">
        <w:rPr>
          <w:lang w:val="en-GB" w:bidi="en-GB"/>
        </w:rPr>
        <w:t xml:space="preserve"> will continue to provide strong support as part of the </w:t>
      </w:r>
      <w:r w:rsidRPr="00BA32F5">
        <w:rPr>
          <w:lang w:val="en-GB" w:bidi="en-GB"/>
        </w:rPr>
        <w:t xml:space="preserve">United Nations Emergency Technical Team, which works with the Office of Disaster Preparedness </w:t>
      </w:r>
      <w:r w:rsidR="007B2F70">
        <w:rPr>
          <w:lang w:val="en-GB" w:bidi="en-GB"/>
        </w:rPr>
        <w:t xml:space="preserve">and </w:t>
      </w:r>
      <w:r w:rsidRPr="00BA32F5">
        <w:rPr>
          <w:lang w:val="en-GB" w:bidi="en-GB"/>
        </w:rPr>
        <w:t xml:space="preserve">Management, monitoring responses to early warning mechanisms and standing ready to mobilize technical assistance and resources in the event of a national emergency (including as part of programmatic disaster risk reduction interventions). </w:t>
      </w:r>
    </w:p>
    <w:p w14:paraId="2440D409" w14:textId="247E92C8" w:rsidR="00701B6B" w:rsidRPr="00BA32F5" w:rsidRDefault="001B3F87" w:rsidP="00F42446">
      <w:pPr>
        <w:pStyle w:val="Heading2"/>
        <w:spacing w:after="200"/>
        <w:ind w:left="1080" w:right="900" w:hanging="450"/>
        <w:jc w:val="both"/>
        <w:rPr>
          <w:rFonts w:ascii="Times New Roman" w:hAnsi="Times New Roman"/>
          <w:bCs/>
          <w:color w:val="000000"/>
          <w:sz w:val="24"/>
          <w:szCs w:val="24"/>
          <w:lang w:val="en-GB"/>
        </w:rPr>
      </w:pPr>
      <w:r w:rsidRPr="00BA32F5">
        <w:rPr>
          <w:rFonts w:ascii="Times New Roman" w:hAnsi="Times New Roman"/>
          <w:bCs/>
          <w:color w:val="000000"/>
          <w:sz w:val="24"/>
          <w:szCs w:val="24"/>
          <w:lang w:val="en-GB"/>
        </w:rPr>
        <w:t>IV</w:t>
      </w:r>
      <w:r w:rsidR="001D42D1" w:rsidRPr="00BA32F5">
        <w:rPr>
          <w:rFonts w:ascii="Times New Roman" w:hAnsi="Times New Roman"/>
          <w:bCs/>
          <w:color w:val="000000"/>
          <w:sz w:val="24"/>
          <w:szCs w:val="24"/>
          <w:lang w:val="en-GB"/>
        </w:rPr>
        <w:t xml:space="preserve">. </w:t>
      </w:r>
      <w:r w:rsidR="00776736" w:rsidRPr="00BA32F5">
        <w:rPr>
          <w:rFonts w:ascii="Times New Roman" w:hAnsi="Times New Roman"/>
          <w:bCs/>
          <w:color w:val="000000"/>
          <w:sz w:val="24"/>
          <w:szCs w:val="24"/>
          <w:lang w:val="en-GB"/>
        </w:rPr>
        <w:tab/>
      </w:r>
      <w:r w:rsidR="001D42D1" w:rsidRPr="00BA32F5">
        <w:rPr>
          <w:rFonts w:ascii="Times New Roman" w:hAnsi="Times New Roman"/>
          <w:bCs/>
          <w:color w:val="000000"/>
          <w:sz w:val="24"/>
          <w:szCs w:val="24"/>
          <w:lang w:val="en-GB"/>
        </w:rPr>
        <w:t xml:space="preserve">Monitoring and </w:t>
      </w:r>
      <w:r w:rsidR="00F42446">
        <w:rPr>
          <w:rFonts w:ascii="Times New Roman" w:hAnsi="Times New Roman"/>
          <w:bCs/>
          <w:color w:val="000000"/>
          <w:sz w:val="24"/>
          <w:szCs w:val="24"/>
          <w:lang w:val="en-GB"/>
        </w:rPr>
        <w:t>e</w:t>
      </w:r>
      <w:r w:rsidRPr="00BA32F5">
        <w:rPr>
          <w:rFonts w:ascii="Times New Roman" w:hAnsi="Times New Roman"/>
          <w:bCs/>
          <w:color w:val="000000"/>
          <w:sz w:val="24"/>
          <w:szCs w:val="24"/>
          <w:lang w:val="en-GB"/>
        </w:rPr>
        <w:t>valuation</w:t>
      </w:r>
    </w:p>
    <w:p w14:paraId="715E2B1D" w14:textId="33B7CF3F" w:rsidR="00DF3B1B" w:rsidRPr="00BA32F5" w:rsidRDefault="00DF3B1B" w:rsidP="00F42446">
      <w:pPr>
        <w:pStyle w:val="ListParagraph"/>
        <w:numPr>
          <w:ilvl w:val="0"/>
          <w:numId w:val="18"/>
        </w:numPr>
        <w:tabs>
          <w:tab w:val="left" w:pos="1440"/>
        </w:tabs>
        <w:spacing w:after="120"/>
        <w:ind w:left="1080" w:right="900" w:firstLine="0"/>
        <w:jc w:val="both"/>
        <w:rPr>
          <w:lang w:val="en-GB" w:bidi="en-GB"/>
        </w:rPr>
      </w:pPr>
      <w:r w:rsidRPr="00BA32F5">
        <w:rPr>
          <w:lang w:val="en-GB" w:bidi="en-GB"/>
        </w:rPr>
        <w:t xml:space="preserve">Monitoring and evaluation are essential elements of good programme management. </w:t>
      </w:r>
      <w:r w:rsidR="000D1842" w:rsidRPr="00BA32F5">
        <w:rPr>
          <w:lang w:val="en-GB" w:bidi="en-GB"/>
        </w:rPr>
        <w:t xml:space="preserve">Project evaluations will inform strategic assessments, such as the </w:t>
      </w:r>
      <w:r w:rsidR="009B15CC">
        <w:rPr>
          <w:lang w:val="en-GB" w:bidi="en-GB"/>
        </w:rPr>
        <w:t>m</w:t>
      </w:r>
      <w:r w:rsidR="000D1842" w:rsidRPr="004E14CD">
        <w:rPr>
          <w:lang w:val="en-GB" w:bidi="en-GB"/>
        </w:rPr>
        <w:t xml:space="preserve">idterm </w:t>
      </w:r>
      <w:r w:rsidR="009B15CC">
        <w:rPr>
          <w:lang w:val="en-GB" w:bidi="en-GB"/>
        </w:rPr>
        <w:t>r</w:t>
      </w:r>
      <w:r w:rsidR="000D1842" w:rsidRPr="004E14CD">
        <w:rPr>
          <w:lang w:val="en-GB" w:bidi="en-GB"/>
        </w:rPr>
        <w:t xml:space="preserve">eview and </w:t>
      </w:r>
      <w:r w:rsidR="009B15CC">
        <w:rPr>
          <w:lang w:val="en-GB" w:bidi="en-GB"/>
        </w:rPr>
        <w:t>f</w:t>
      </w:r>
      <w:r w:rsidR="000D1842" w:rsidRPr="004E14CD">
        <w:rPr>
          <w:lang w:val="en-GB" w:bidi="en-GB"/>
        </w:rPr>
        <w:t xml:space="preserve">inal </w:t>
      </w:r>
      <w:r w:rsidR="009B15CC">
        <w:rPr>
          <w:lang w:val="en-GB" w:bidi="en-GB"/>
        </w:rPr>
        <w:t>e</w:t>
      </w:r>
      <w:r w:rsidR="000D1842" w:rsidRPr="004E14CD">
        <w:rPr>
          <w:lang w:val="en-GB" w:bidi="en-GB"/>
        </w:rPr>
        <w:t>valuation</w:t>
      </w:r>
      <w:r w:rsidR="009B15CC">
        <w:rPr>
          <w:lang w:val="en-GB" w:bidi="en-GB"/>
        </w:rPr>
        <w:t xml:space="preserve"> of the country programme</w:t>
      </w:r>
      <w:r w:rsidR="000D1842" w:rsidRPr="004E14CD">
        <w:rPr>
          <w:lang w:val="en-GB" w:bidi="en-GB"/>
        </w:rPr>
        <w:t xml:space="preserve">. </w:t>
      </w:r>
      <w:r w:rsidRPr="004E14CD">
        <w:rPr>
          <w:lang w:val="en-GB" w:bidi="en-GB"/>
        </w:rPr>
        <w:t>UNDP will ensure that</w:t>
      </w:r>
      <w:r w:rsidRPr="00BA32F5">
        <w:rPr>
          <w:lang w:val="en-GB" w:bidi="en-GB"/>
        </w:rPr>
        <w:t xml:space="preserve"> </w:t>
      </w:r>
      <w:r w:rsidR="000D1842" w:rsidRPr="00BA32F5">
        <w:rPr>
          <w:lang w:val="en-GB" w:bidi="en-GB"/>
        </w:rPr>
        <w:t>monitoring and evaluation results will improve planning and decision-making</w:t>
      </w:r>
      <w:r w:rsidR="000D1842" w:rsidRPr="00BA32F5" w:rsidDel="000D1842">
        <w:rPr>
          <w:lang w:val="en-GB" w:bidi="en-GB"/>
        </w:rPr>
        <w:t xml:space="preserve"> </w:t>
      </w:r>
      <w:r w:rsidR="000D1842" w:rsidRPr="00BA32F5">
        <w:rPr>
          <w:lang w:val="en-GB" w:bidi="en-GB"/>
        </w:rPr>
        <w:t xml:space="preserve">and </w:t>
      </w:r>
      <w:r w:rsidRPr="00BA32F5">
        <w:rPr>
          <w:lang w:val="en-GB" w:bidi="en-GB"/>
        </w:rPr>
        <w:t>includ</w:t>
      </w:r>
      <w:r w:rsidR="000D1842" w:rsidRPr="00BA32F5">
        <w:rPr>
          <w:lang w:val="en-GB" w:bidi="en-GB"/>
        </w:rPr>
        <w:t>e</w:t>
      </w:r>
      <w:r w:rsidRPr="00BA32F5">
        <w:rPr>
          <w:lang w:val="en-GB" w:bidi="en-GB"/>
        </w:rPr>
        <w:t xml:space="preserve"> </w:t>
      </w:r>
      <w:r w:rsidR="00BD526C">
        <w:rPr>
          <w:lang w:val="en-GB" w:bidi="en-GB"/>
        </w:rPr>
        <w:t>using</w:t>
      </w:r>
      <w:r w:rsidRPr="00BA32F5">
        <w:rPr>
          <w:lang w:val="en-GB" w:bidi="en-GB"/>
        </w:rPr>
        <w:t xml:space="preserve"> the UNDP gender marker to monitor country programme expenditures. The country office will continue to strengthen its monitoring and evaluation capacity and build the capacit</w:t>
      </w:r>
      <w:r w:rsidR="00DD2AD0">
        <w:rPr>
          <w:lang w:val="en-GB" w:bidi="en-GB"/>
        </w:rPr>
        <w:t>ies</w:t>
      </w:r>
      <w:r w:rsidRPr="00BA32F5">
        <w:rPr>
          <w:lang w:val="en-GB" w:bidi="en-GB"/>
        </w:rPr>
        <w:t xml:space="preserve"> of national institutions to generate data and information that improve development effectiveness and programming opportunities. Specifically, UNDP will ensure compliance with project</w:t>
      </w:r>
      <w:r w:rsidR="009B15CC">
        <w:rPr>
          <w:lang w:val="en-GB" w:bidi="en-GB"/>
        </w:rPr>
        <w:t>-</w:t>
      </w:r>
      <w:r w:rsidRPr="00BA32F5">
        <w:rPr>
          <w:lang w:val="en-GB" w:bidi="en-GB"/>
        </w:rPr>
        <w:t>level monitoring and evaluation requirements including quality assurance assessment during implement</w:t>
      </w:r>
      <w:r w:rsidR="00DF7E64" w:rsidRPr="00BA32F5">
        <w:rPr>
          <w:lang w:val="en-GB" w:bidi="en-GB"/>
        </w:rPr>
        <w:t>ation</w:t>
      </w:r>
      <w:r w:rsidRPr="00BA32F5">
        <w:rPr>
          <w:lang w:val="en-GB" w:bidi="en-GB"/>
        </w:rPr>
        <w:t xml:space="preserve">, updating the risk logs and gender </w:t>
      </w:r>
      <w:r w:rsidR="00CB434F" w:rsidRPr="00BA32F5">
        <w:rPr>
          <w:lang w:val="en-GB" w:bidi="en-GB"/>
        </w:rPr>
        <w:t>markers</w:t>
      </w:r>
      <w:r w:rsidRPr="00BA32F5">
        <w:rPr>
          <w:lang w:val="en-GB" w:bidi="en-GB"/>
        </w:rPr>
        <w:t xml:space="preserve"> and ensuring </w:t>
      </w:r>
      <w:r w:rsidR="009B15CC">
        <w:rPr>
          <w:lang w:val="en-GB" w:bidi="en-GB"/>
        </w:rPr>
        <w:t xml:space="preserve">that </w:t>
      </w:r>
      <w:r w:rsidRPr="00BA32F5">
        <w:rPr>
          <w:lang w:val="en-GB" w:bidi="en-GB"/>
        </w:rPr>
        <w:t xml:space="preserve">independent terminal evaluations are </w:t>
      </w:r>
      <w:r w:rsidR="00111FFC" w:rsidRPr="00BA32F5">
        <w:rPr>
          <w:lang w:val="en-GB" w:bidi="en-GB"/>
        </w:rPr>
        <w:t>conducted</w:t>
      </w:r>
      <w:r w:rsidRPr="00BA32F5">
        <w:rPr>
          <w:lang w:val="en-GB" w:bidi="en-GB"/>
        </w:rPr>
        <w:t xml:space="preserve">. </w:t>
      </w:r>
    </w:p>
    <w:p w14:paraId="2CB61856" w14:textId="7433DC86" w:rsidR="00B20B0C" w:rsidRPr="00BA32F5" w:rsidRDefault="00B20B0C" w:rsidP="00F42446">
      <w:pPr>
        <w:pStyle w:val="ListParagraph"/>
        <w:numPr>
          <w:ilvl w:val="0"/>
          <w:numId w:val="18"/>
        </w:numPr>
        <w:tabs>
          <w:tab w:val="left" w:pos="1440"/>
        </w:tabs>
        <w:spacing w:after="120"/>
        <w:ind w:left="1080" w:right="900" w:firstLine="0"/>
        <w:jc w:val="both"/>
        <w:rPr>
          <w:lang w:val="en-GB" w:bidi="en-GB"/>
        </w:rPr>
      </w:pPr>
      <w:r w:rsidRPr="00BA32F5">
        <w:rPr>
          <w:lang w:val="en-GB" w:bidi="en-GB"/>
        </w:rPr>
        <w:lastRenderedPageBreak/>
        <w:t xml:space="preserve">All evaluation activities will follow </w:t>
      </w:r>
      <w:r w:rsidR="009B15CC">
        <w:rPr>
          <w:lang w:val="en-GB" w:bidi="en-GB"/>
        </w:rPr>
        <w:t xml:space="preserve">the </w:t>
      </w:r>
      <w:r w:rsidRPr="00BA32F5">
        <w:rPr>
          <w:lang w:val="en-GB" w:bidi="en-GB"/>
        </w:rPr>
        <w:t xml:space="preserve">UNDP evaluation policy and United Nations Evaluation Group guidelines and principles. In a net contributor country context, the expanded function of monitoring and evaluation as a developmental tool in its own right adds significant value for UNDP. </w:t>
      </w:r>
    </w:p>
    <w:p w14:paraId="60D05D1A" w14:textId="313D4CE0" w:rsidR="00B20B0C" w:rsidRPr="00BA32F5" w:rsidRDefault="00B20B0C" w:rsidP="00F42446">
      <w:pPr>
        <w:pStyle w:val="ListParagraph"/>
        <w:numPr>
          <w:ilvl w:val="0"/>
          <w:numId w:val="18"/>
        </w:numPr>
        <w:tabs>
          <w:tab w:val="left" w:pos="1440"/>
        </w:tabs>
        <w:spacing w:after="120"/>
        <w:ind w:left="1080" w:right="900" w:firstLine="0"/>
        <w:jc w:val="both"/>
        <w:rPr>
          <w:lang w:val="en-GB" w:bidi="en-GB"/>
        </w:rPr>
      </w:pPr>
      <w:r w:rsidRPr="00BA32F5">
        <w:rPr>
          <w:lang w:val="en-GB" w:bidi="en-GB"/>
        </w:rPr>
        <w:t>UNDP will continue to support the generation of disaggregated data (by gender, ethnicity, age, disability, rural/urban</w:t>
      </w:r>
      <w:r w:rsidR="00A7264F">
        <w:rPr>
          <w:lang w:val="en-GB" w:bidi="en-GB"/>
        </w:rPr>
        <w:t>, etc.</w:t>
      </w:r>
      <w:r w:rsidRPr="00BA32F5">
        <w:rPr>
          <w:lang w:val="en-GB" w:bidi="en-GB"/>
        </w:rPr>
        <w:t xml:space="preserve">) to offer </w:t>
      </w:r>
      <w:r w:rsidR="009B15CC">
        <w:rPr>
          <w:lang w:val="en-GB" w:bidi="en-GB"/>
        </w:rPr>
        <w:t xml:space="preserve">better quality </w:t>
      </w:r>
      <w:r w:rsidRPr="00BA32F5">
        <w:rPr>
          <w:lang w:val="en-GB" w:bidi="en-GB"/>
        </w:rPr>
        <w:t xml:space="preserve">data to support evidence-based decision-making </w:t>
      </w:r>
      <w:r w:rsidR="000C20F4" w:rsidRPr="00BA32F5">
        <w:rPr>
          <w:lang w:val="en-GB" w:bidi="en-GB"/>
        </w:rPr>
        <w:t xml:space="preserve">within </w:t>
      </w:r>
      <w:r w:rsidR="006B255B" w:rsidRPr="00BA32F5">
        <w:rPr>
          <w:lang w:val="en-GB" w:bidi="en-GB"/>
        </w:rPr>
        <w:t xml:space="preserve">the Ministry of Planning </w:t>
      </w:r>
      <w:r w:rsidR="009B15CC">
        <w:rPr>
          <w:lang w:val="en-GB" w:bidi="en-GB"/>
        </w:rPr>
        <w:t xml:space="preserve">and Development </w:t>
      </w:r>
      <w:r w:rsidR="000C20F4" w:rsidRPr="00BA32F5">
        <w:rPr>
          <w:lang w:val="en-GB" w:bidi="en-GB"/>
        </w:rPr>
        <w:t xml:space="preserve">when </w:t>
      </w:r>
      <w:r w:rsidR="006B255B" w:rsidRPr="00BA32F5">
        <w:rPr>
          <w:lang w:val="en-GB" w:bidi="en-GB"/>
        </w:rPr>
        <w:t>address</w:t>
      </w:r>
      <w:r w:rsidR="000C20F4" w:rsidRPr="00BA32F5">
        <w:rPr>
          <w:lang w:val="en-GB" w:bidi="en-GB"/>
        </w:rPr>
        <w:t>ing</w:t>
      </w:r>
      <w:r w:rsidR="006B255B" w:rsidRPr="00BA32F5">
        <w:rPr>
          <w:lang w:val="en-GB" w:bidi="en-GB"/>
        </w:rPr>
        <w:t xml:space="preserve"> </w:t>
      </w:r>
      <w:r w:rsidRPr="00BA32F5">
        <w:rPr>
          <w:lang w:val="en-GB" w:bidi="en-GB"/>
        </w:rPr>
        <w:t>issues related to multidimensional poverty and well</w:t>
      </w:r>
      <w:r w:rsidR="009B15CC">
        <w:rPr>
          <w:lang w:val="en-GB" w:bidi="en-GB"/>
        </w:rPr>
        <w:t>-</w:t>
      </w:r>
      <w:r w:rsidRPr="00BA32F5">
        <w:rPr>
          <w:lang w:val="en-GB" w:bidi="en-GB"/>
        </w:rPr>
        <w:t xml:space="preserve">being. </w:t>
      </w:r>
    </w:p>
    <w:p w14:paraId="4194B1FB" w14:textId="4B0F3BBB" w:rsidR="006B6E78" w:rsidRDefault="00B20B0C" w:rsidP="00F42446">
      <w:pPr>
        <w:pStyle w:val="ListParagraph"/>
        <w:numPr>
          <w:ilvl w:val="0"/>
          <w:numId w:val="18"/>
        </w:numPr>
        <w:tabs>
          <w:tab w:val="left" w:pos="1440"/>
        </w:tabs>
        <w:spacing w:after="120"/>
        <w:ind w:left="1080" w:right="900" w:firstLine="0"/>
        <w:jc w:val="both"/>
        <w:rPr>
          <w:lang w:val="en-GB" w:bidi="en-GB"/>
        </w:rPr>
      </w:pPr>
      <w:r w:rsidRPr="00BA32F5">
        <w:rPr>
          <w:lang w:val="en-GB" w:bidi="en-GB"/>
        </w:rPr>
        <w:t>Knowledge management (including research) is an integral component of UNDP efforts. UNDP will harness the knowledge generated through research and technical support into new electronic and print products in collaboration with academic partners such as the University of the West Indies</w:t>
      </w:r>
      <w:r w:rsidR="005464FD">
        <w:rPr>
          <w:lang w:val="en-GB" w:bidi="en-GB"/>
        </w:rPr>
        <w:t xml:space="preserve"> and the University of Trinidad and Tobago</w:t>
      </w:r>
      <w:r w:rsidRPr="00BA32F5">
        <w:rPr>
          <w:lang w:val="en-GB" w:bidi="en-GB"/>
        </w:rPr>
        <w:t xml:space="preserve">. Programming opportunities may emerge from outcome evaluations or </w:t>
      </w:r>
      <w:r w:rsidR="00DD6823" w:rsidRPr="00BA32F5">
        <w:rPr>
          <w:lang w:val="en-GB" w:bidi="en-GB"/>
        </w:rPr>
        <w:t xml:space="preserve">comprehensive </w:t>
      </w:r>
      <w:r w:rsidRPr="00BA32F5">
        <w:rPr>
          <w:lang w:val="en-GB" w:bidi="en-GB"/>
        </w:rPr>
        <w:t xml:space="preserve">monitoring and evaluation services. The development dialogues will be an effective mechanism for knowledge dissemination, </w:t>
      </w:r>
      <w:r w:rsidR="001568FF" w:rsidRPr="00BA32F5">
        <w:rPr>
          <w:lang w:val="en-GB" w:bidi="en-GB"/>
        </w:rPr>
        <w:t>exchange</w:t>
      </w:r>
      <w:r w:rsidRPr="00BA32F5">
        <w:rPr>
          <w:lang w:val="en-GB" w:bidi="en-GB"/>
        </w:rPr>
        <w:t xml:space="preserve"> and stakeholder engagement. Moreover, government counterparts recognize the value added by accessing the experiences of other country offices</w:t>
      </w:r>
      <w:r w:rsidR="005C1500" w:rsidRPr="00BA32F5">
        <w:rPr>
          <w:lang w:val="en-GB" w:bidi="en-GB"/>
        </w:rPr>
        <w:t>.</w:t>
      </w:r>
      <w:r w:rsidRPr="002E053D">
        <w:rPr>
          <w:lang w:val="en-GB" w:bidi="en-GB"/>
        </w:rPr>
        <w:t xml:space="preserve"> </w:t>
      </w:r>
    </w:p>
    <w:p w14:paraId="26DFDECB" w14:textId="77777777" w:rsidR="00A71578" w:rsidRPr="0061005F" w:rsidRDefault="00A71578" w:rsidP="0061005F">
      <w:pPr>
        <w:tabs>
          <w:tab w:val="left" w:pos="1620"/>
        </w:tabs>
        <w:spacing w:after="120"/>
        <w:ind w:right="1210"/>
        <w:jc w:val="both"/>
        <w:rPr>
          <w:lang w:val="en-GB" w:bidi="en-GB"/>
        </w:rPr>
      </w:pPr>
    </w:p>
    <w:p w14:paraId="2E82B0D9" w14:textId="3D3D137A" w:rsidR="004B1905" w:rsidRPr="00DD58C3" w:rsidRDefault="004B1905" w:rsidP="00DD58C3">
      <w:pPr>
        <w:sectPr w:rsidR="004B1905" w:rsidRPr="00DD58C3" w:rsidSect="00F531C9">
          <w:headerReference w:type="even" r:id="rId14"/>
          <w:headerReference w:type="default" r:id="rId15"/>
          <w:footerReference w:type="even" r:id="rId16"/>
          <w:footerReference w:type="default" r:id="rId17"/>
          <w:headerReference w:type="first" r:id="rId18"/>
          <w:pgSz w:w="12240" w:h="15840"/>
          <w:pgMar w:top="1152" w:right="1440" w:bottom="1152" w:left="1440" w:header="720" w:footer="720" w:gutter="0"/>
          <w:cols w:space="720"/>
          <w:titlePg/>
          <w:docGrid w:linePitch="272"/>
        </w:sectPr>
      </w:pPr>
    </w:p>
    <w:p w14:paraId="71C2D2EF" w14:textId="1E63534F" w:rsidR="00C2532F" w:rsidRPr="00ED49CA" w:rsidRDefault="00ED49CA" w:rsidP="00C2532F">
      <w:pPr>
        <w:pStyle w:val="Heading4"/>
        <w:spacing w:after="120"/>
        <w:rPr>
          <w:rFonts w:ascii="Times New Roman" w:hAnsi="Times New Roman"/>
          <w:i/>
          <w:color w:val="000000"/>
          <w:sz w:val="24"/>
          <w:szCs w:val="24"/>
        </w:rPr>
      </w:pPr>
      <w:r w:rsidRPr="00ED49CA">
        <w:rPr>
          <w:rFonts w:ascii="Times New Roman" w:hAnsi="Times New Roman"/>
          <w:color w:val="000000"/>
          <w:sz w:val="24"/>
          <w:szCs w:val="24"/>
          <w:lang w:val="en-GB"/>
        </w:rPr>
        <w:lastRenderedPageBreak/>
        <w:t>Annex. Results and resources framework for Trinidad and Tobago</w:t>
      </w:r>
      <w:r w:rsidRPr="00ED49CA">
        <w:rPr>
          <w:rFonts w:ascii="Times New Roman" w:hAnsi="Times New Roman"/>
          <w:sz w:val="24"/>
          <w:szCs w:val="24"/>
          <w:lang w:val="en-GB"/>
        </w:rPr>
        <w:t xml:space="preserve"> (20</w:t>
      </w:r>
      <w:r w:rsidRPr="00ED49CA">
        <w:rPr>
          <w:rFonts w:ascii="Times New Roman" w:hAnsi="Times New Roman"/>
          <w:color w:val="000000"/>
          <w:sz w:val="24"/>
          <w:szCs w:val="24"/>
          <w:lang w:val="en-GB"/>
        </w:rPr>
        <w:t>22-2026)</w:t>
      </w:r>
      <w:r w:rsidR="000E59E4" w:rsidRPr="004B5760">
        <w:rPr>
          <w:rStyle w:val="FootnoteReference"/>
          <w:rFonts w:ascii="Times New Roman" w:hAnsi="Times New Roman"/>
          <w:b w:val="0"/>
          <w:bCs/>
          <w:color w:val="000000"/>
          <w:sz w:val="24"/>
          <w:szCs w:val="24"/>
        </w:rPr>
        <w:footnoteReference w:id="3"/>
      </w:r>
      <w:r w:rsidR="00C2532F" w:rsidRPr="004B5760">
        <w:rPr>
          <w:rFonts w:ascii="Times New Roman" w:hAnsi="Times New Roman"/>
          <w:b w:val="0"/>
          <w:bCs/>
          <w:i/>
          <w:color w:val="000000"/>
          <w:sz w:val="24"/>
          <w:szCs w:val="24"/>
        </w:rPr>
        <w:t xml:space="preserve"> </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65"/>
        <w:gridCol w:w="3151"/>
        <w:gridCol w:w="36"/>
        <w:gridCol w:w="2935"/>
        <w:gridCol w:w="19"/>
        <w:gridCol w:w="2680"/>
        <w:gridCol w:w="1745"/>
        <w:gridCol w:w="98"/>
        <w:gridCol w:w="46"/>
      </w:tblGrid>
      <w:tr w:rsidR="00C2532F" w:rsidRPr="00ED49CA" w14:paraId="0C2D5732" w14:textId="77777777" w:rsidTr="000C7146">
        <w:trPr>
          <w:gridAfter w:val="2"/>
          <w:wAfter w:w="54" w:type="pct"/>
          <w:trHeight w:val="25"/>
        </w:trPr>
        <w:tc>
          <w:tcPr>
            <w:tcW w:w="4946" w:type="pct"/>
            <w:gridSpan w:val="7"/>
            <w:shd w:val="clear" w:color="auto" w:fill="DBE5F1" w:themeFill="accent1" w:themeFillTint="33"/>
            <w:tcMar>
              <w:top w:w="72" w:type="dxa"/>
              <w:left w:w="144" w:type="dxa"/>
              <w:bottom w:w="72" w:type="dxa"/>
              <w:right w:w="144" w:type="dxa"/>
            </w:tcMar>
          </w:tcPr>
          <w:p w14:paraId="5A2302C0" w14:textId="1ADD6394" w:rsidR="00C2532F" w:rsidRPr="00ED49CA" w:rsidRDefault="00C2532F" w:rsidP="00246C0C">
            <w:pPr>
              <w:rPr>
                <w:bCs/>
                <w:color w:val="000000"/>
                <w:sz w:val="18"/>
                <w:szCs w:val="18"/>
              </w:rPr>
            </w:pPr>
            <w:r w:rsidRPr="00ED49CA">
              <w:rPr>
                <w:b/>
                <w:color w:val="000000"/>
                <w:sz w:val="18"/>
                <w:szCs w:val="18"/>
                <w:lang w:val="en-GB"/>
              </w:rPr>
              <w:t>NATIONAL PRIORITY OR GOAL:</w:t>
            </w:r>
            <w:r w:rsidR="00C35A00" w:rsidRPr="00ED49CA">
              <w:rPr>
                <w:bCs/>
                <w:color w:val="000000"/>
                <w:sz w:val="18"/>
                <w:szCs w:val="18"/>
                <w:lang w:val="en-GB"/>
              </w:rPr>
              <w:t xml:space="preserve"> Economic Resilience and Shared Prosperity, </w:t>
            </w:r>
            <w:r w:rsidRPr="00ED49CA">
              <w:rPr>
                <w:bCs/>
                <w:color w:val="000000"/>
                <w:sz w:val="18"/>
                <w:szCs w:val="18"/>
                <w:lang w:val="en-GB"/>
              </w:rPr>
              <w:t xml:space="preserve">Sustainable Development Goals 9, 7 </w:t>
            </w:r>
          </w:p>
        </w:tc>
      </w:tr>
      <w:tr w:rsidR="00C2532F" w:rsidRPr="00ED49CA" w14:paraId="627022EE" w14:textId="77777777" w:rsidTr="000C7146">
        <w:trPr>
          <w:gridAfter w:val="2"/>
          <w:wAfter w:w="54" w:type="pct"/>
          <w:trHeight w:val="124"/>
        </w:trPr>
        <w:tc>
          <w:tcPr>
            <w:tcW w:w="4946" w:type="pct"/>
            <w:gridSpan w:val="7"/>
            <w:shd w:val="clear" w:color="auto" w:fill="DBE5F1" w:themeFill="accent1" w:themeFillTint="33"/>
            <w:tcMar>
              <w:top w:w="72" w:type="dxa"/>
              <w:left w:w="144" w:type="dxa"/>
              <w:bottom w:w="72" w:type="dxa"/>
              <w:right w:w="144" w:type="dxa"/>
            </w:tcMar>
          </w:tcPr>
          <w:p w14:paraId="4276CBAA" w14:textId="5C4743C3" w:rsidR="00C2532F" w:rsidRPr="00ED49CA" w:rsidRDefault="00C2532F" w:rsidP="00246C0C">
            <w:pPr>
              <w:rPr>
                <w:color w:val="000000"/>
                <w:sz w:val="18"/>
                <w:szCs w:val="18"/>
              </w:rPr>
            </w:pPr>
            <w:r w:rsidRPr="00ED49CA">
              <w:rPr>
                <w:b/>
                <w:color w:val="000000"/>
                <w:sz w:val="18"/>
                <w:szCs w:val="18"/>
                <w:lang w:val="en-GB"/>
              </w:rPr>
              <w:t>COOPERATION FRAMEWORK (OR EQUIVALENT) OUTCOME INVOLVING UNDP 1:</w:t>
            </w:r>
            <w:r w:rsidRPr="00ED49CA">
              <w:rPr>
                <w:b/>
                <w:bCs/>
                <w:sz w:val="18"/>
                <w:szCs w:val="18"/>
              </w:rPr>
              <w:t xml:space="preserve"> </w:t>
            </w:r>
            <w:r w:rsidRPr="00ED49CA">
              <w:rPr>
                <w:sz w:val="18"/>
                <w:szCs w:val="18"/>
              </w:rPr>
              <w:t>Outcome 2: The Caribbean has fully transitioned to a more diversified and sustainable economy that support</w:t>
            </w:r>
            <w:r w:rsidR="00D32835" w:rsidRPr="00ED49CA">
              <w:rPr>
                <w:sz w:val="18"/>
                <w:szCs w:val="18"/>
              </w:rPr>
              <w:t>s</w:t>
            </w:r>
            <w:r w:rsidRPr="00ED49CA">
              <w:rPr>
                <w:sz w:val="18"/>
                <w:szCs w:val="18"/>
              </w:rPr>
              <w:t xml:space="preserve"> inclusive and resilient economic growth.</w:t>
            </w:r>
            <w:r w:rsidRPr="00ED49CA">
              <w:rPr>
                <w:b/>
                <w:bCs/>
                <w:sz w:val="18"/>
                <w:szCs w:val="18"/>
              </w:rPr>
              <w:t xml:space="preserve"> </w:t>
            </w:r>
          </w:p>
        </w:tc>
      </w:tr>
      <w:tr w:rsidR="00C2532F" w:rsidRPr="00ED49CA" w14:paraId="22AB482B" w14:textId="77777777" w:rsidTr="000C7146">
        <w:trPr>
          <w:gridAfter w:val="2"/>
          <w:wAfter w:w="54" w:type="pct"/>
          <w:trHeight w:val="124"/>
        </w:trPr>
        <w:tc>
          <w:tcPr>
            <w:tcW w:w="4946" w:type="pct"/>
            <w:gridSpan w:val="7"/>
            <w:shd w:val="clear" w:color="auto" w:fill="DBE5F1" w:themeFill="accent1" w:themeFillTint="33"/>
            <w:tcMar>
              <w:top w:w="72" w:type="dxa"/>
              <w:left w:w="144" w:type="dxa"/>
              <w:bottom w:w="72" w:type="dxa"/>
              <w:right w:w="144" w:type="dxa"/>
            </w:tcMar>
          </w:tcPr>
          <w:p w14:paraId="02F8ED11" w14:textId="77777777" w:rsidR="00C2532F" w:rsidRPr="00ED49CA" w:rsidRDefault="00C2532F" w:rsidP="00246C0C">
            <w:pPr>
              <w:rPr>
                <w:b/>
                <w:color w:val="000000"/>
                <w:sz w:val="18"/>
                <w:szCs w:val="18"/>
                <w:lang w:val="en-GB"/>
              </w:rPr>
            </w:pPr>
            <w:r w:rsidRPr="00ED49CA">
              <w:rPr>
                <w:b/>
                <w:color w:val="000000"/>
                <w:sz w:val="18"/>
                <w:szCs w:val="18"/>
                <w:lang w:val="en-GB"/>
              </w:rPr>
              <w:t xml:space="preserve">RELATED STRATEGIC PLAN OUTCOME: </w:t>
            </w:r>
            <w:r w:rsidRPr="00ED49CA">
              <w:rPr>
                <w:bCs/>
                <w:color w:val="000000"/>
                <w:sz w:val="18"/>
                <w:szCs w:val="18"/>
                <w:lang w:val="en-GB"/>
              </w:rPr>
              <w:t>Outcome 3 – Strengthen resilience to shocks and crises</w:t>
            </w:r>
          </w:p>
        </w:tc>
      </w:tr>
      <w:tr w:rsidR="00751171" w:rsidRPr="00751171" w14:paraId="529350F3" w14:textId="77777777" w:rsidTr="000C7146">
        <w:trPr>
          <w:gridAfter w:val="2"/>
          <w:wAfter w:w="54" w:type="pct"/>
          <w:trHeight w:val="18"/>
        </w:trPr>
        <w:tc>
          <w:tcPr>
            <w:tcW w:w="1084" w:type="pct"/>
            <w:shd w:val="clear" w:color="auto" w:fill="DBE5F1" w:themeFill="accent1" w:themeFillTint="33"/>
            <w:tcMar>
              <w:top w:w="72" w:type="dxa"/>
              <w:left w:w="144" w:type="dxa"/>
              <w:bottom w:w="72" w:type="dxa"/>
              <w:right w:w="144" w:type="dxa"/>
            </w:tcMar>
            <w:vAlign w:val="center"/>
          </w:tcPr>
          <w:p w14:paraId="1FFC6CCC" w14:textId="723B6AFD" w:rsidR="00C2532F" w:rsidRPr="00751171" w:rsidRDefault="00751171" w:rsidP="00246C0C">
            <w:pPr>
              <w:jc w:val="center"/>
              <w:rPr>
                <w:sz w:val="18"/>
                <w:szCs w:val="18"/>
              </w:rPr>
            </w:pPr>
            <w:r>
              <w:rPr>
                <w:b/>
                <w:sz w:val="18"/>
                <w:szCs w:val="18"/>
                <w:lang w:val="en-GB"/>
              </w:rPr>
              <w:t>C</w:t>
            </w:r>
            <w:r w:rsidRPr="00751171">
              <w:rPr>
                <w:b/>
                <w:sz w:val="18"/>
                <w:szCs w:val="18"/>
                <w:lang w:val="en-GB"/>
              </w:rPr>
              <w:t xml:space="preserve">ooperation </w:t>
            </w:r>
            <w:r>
              <w:rPr>
                <w:b/>
                <w:sz w:val="18"/>
                <w:szCs w:val="18"/>
                <w:lang w:val="en-GB"/>
              </w:rPr>
              <w:t>F</w:t>
            </w:r>
            <w:r w:rsidRPr="00751171">
              <w:rPr>
                <w:b/>
                <w:sz w:val="18"/>
                <w:szCs w:val="18"/>
                <w:lang w:val="en-GB"/>
              </w:rPr>
              <w:t>ramework outcome indicator(s), baselines, target(s)</w:t>
            </w:r>
          </w:p>
        </w:tc>
        <w:tc>
          <w:tcPr>
            <w:tcW w:w="1165" w:type="pct"/>
            <w:gridSpan w:val="2"/>
            <w:shd w:val="clear" w:color="auto" w:fill="DBE5F1" w:themeFill="accent1" w:themeFillTint="33"/>
            <w:vAlign w:val="center"/>
          </w:tcPr>
          <w:p w14:paraId="31E68A0E" w14:textId="3562A45B" w:rsidR="00C2532F" w:rsidRPr="00751171" w:rsidRDefault="00751171" w:rsidP="00246C0C">
            <w:pPr>
              <w:jc w:val="center"/>
              <w:rPr>
                <w:b/>
                <w:sz w:val="18"/>
                <w:szCs w:val="18"/>
              </w:rPr>
            </w:pPr>
            <w:r>
              <w:rPr>
                <w:b/>
                <w:sz w:val="18"/>
                <w:szCs w:val="18"/>
              </w:rPr>
              <w:t>D</w:t>
            </w:r>
            <w:r w:rsidRPr="00751171">
              <w:rPr>
                <w:b/>
                <w:sz w:val="18"/>
                <w:szCs w:val="18"/>
              </w:rPr>
              <w:t>ata source and frequency of data collection, and responsibilities</w:t>
            </w:r>
          </w:p>
        </w:tc>
        <w:tc>
          <w:tcPr>
            <w:tcW w:w="1080" w:type="pct"/>
            <w:gridSpan w:val="2"/>
            <w:shd w:val="clear" w:color="auto" w:fill="DBE5F1" w:themeFill="accent1" w:themeFillTint="33"/>
            <w:tcMar>
              <w:top w:w="72" w:type="dxa"/>
              <w:left w:w="144" w:type="dxa"/>
              <w:bottom w:w="72" w:type="dxa"/>
              <w:right w:w="144" w:type="dxa"/>
            </w:tcMar>
            <w:vAlign w:val="center"/>
          </w:tcPr>
          <w:p w14:paraId="744AFA8C" w14:textId="77958913" w:rsidR="00C2532F" w:rsidRPr="00751171" w:rsidRDefault="00751171" w:rsidP="00246C0C">
            <w:pPr>
              <w:jc w:val="center"/>
              <w:rPr>
                <w:sz w:val="18"/>
                <w:szCs w:val="18"/>
              </w:rPr>
            </w:pPr>
            <w:r>
              <w:rPr>
                <w:b/>
                <w:sz w:val="18"/>
                <w:szCs w:val="18"/>
                <w:lang w:val="en-GB"/>
              </w:rPr>
              <w:t>I</w:t>
            </w:r>
            <w:r w:rsidRPr="00751171">
              <w:rPr>
                <w:b/>
                <w:sz w:val="18"/>
                <w:szCs w:val="18"/>
                <w:lang w:val="en-GB"/>
              </w:rPr>
              <w:t>ndicative country programme outputs (including indicators, baselines targets)</w:t>
            </w:r>
          </w:p>
        </w:tc>
        <w:tc>
          <w:tcPr>
            <w:tcW w:w="979" w:type="pct"/>
            <w:shd w:val="clear" w:color="auto" w:fill="DBE5F1" w:themeFill="accent1" w:themeFillTint="33"/>
            <w:vAlign w:val="center"/>
          </w:tcPr>
          <w:p w14:paraId="7B7AC74A" w14:textId="5D712547" w:rsidR="00C2532F" w:rsidRPr="00751171" w:rsidRDefault="00751171" w:rsidP="00246C0C">
            <w:pPr>
              <w:jc w:val="center"/>
              <w:rPr>
                <w:b/>
                <w:sz w:val="18"/>
                <w:szCs w:val="18"/>
                <w:lang w:val="en-GB"/>
              </w:rPr>
            </w:pPr>
            <w:r>
              <w:rPr>
                <w:b/>
                <w:sz w:val="18"/>
                <w:szCs w:val="18"/>
                <w:lang w:val="en-GB"/>
              </w:rPr>
              <w:t>M</w:t>
            </w:r>
            <w:r w:rsidRPr="00751171">
              <w:rPr>
                <w:b/>
                <w:sz w:val="18"/>
                <w:szCs w:val="18"/>
                <w:lang w:val="en-GB"/>
              </w:rPr>
              <w:t>ajor partners / partnerships</w:t>
            </w:r>
          </w:p>
          <w:p w14:paraId="303C5A98" w14:textId="1B78A418" w:rsidR="00C2532F" w:rsidRPr="00751171" w:rsidRDefault="00751171" w:rsidP="00246C0C">
            <w:pPr>
              <w:jc w:val="center"/>
              <w:rPr>
                <w:b/>
                <w:sz w:val="18"/>
                <w:szCs w:val="18"/>
                <w:lang w:val="en-GB"/>
              </w:rPr>
            </w:pPr>
            <w:r w:rsidRPr="00751171">
              <w:rPr>
                <w:b/>
                <w:sz w:val="18"/>
                <w:szCs w:val="18"/>
                <w:lang w:val="en-GB"/>
              </w:rPr>
              <w:t>frameworks</w:t>
            </w:r>
          </w:p>
        </w:tc>
        <w:tc>
          <w:tcPr>
            <w:tcW w:w="638" w:type="pct"/>
            <w:shd w:val="clear" w:color="auto" w:fill="DBE5F1" w:themeFill="accent1" w:themeFillTint="33"/>
            <w:tcMar>
              <w:top w:w="15" w:type="dxa"/>
              <w:left w:w="108" w:type="dxa"/>
              <w:bottom w:w="0" w:type="dxa"/>
              <w:right w:w="108" w:type="dxa"/>
            </w:tcMar>
            <w:vAlign w:val="center"/>
          </w:tcPr>
          <w:p w14:paraId="166C44AD" w14:textId="72F4D0E8" w:rsidR="00C2532F" w:rsidRPr="00751171" w:rsidRDefault="00751171" w:rsidP="00246C0C">
            <w:pPr>
              <w:jc w:val="center"/>
              <w:rPr>
                <w:sz w:val="18"/>
                <w:szCs w:val="18"/>
              </w:rPr>
            </w:pPr>
            <w:r>
              <w:rPr>
                <w:b/>
                <w:sz w:val="18"/>
                <w:szCs w:val="18"/>
                <w:lang w:val="en-GB"/>
              </w:rPr>
              <w:t>E</w:t>
            </w:r>
            <w:r w:rsidRPr="00751171">
              <w:rPr>
                <w:b/>
                <w:sz w:val="18"/>
                <w:szCs w:val="18"/>
                <w:lang w:val="en-GB"/>
              </w:rPr>
              <w:t>stimated cost by outcome ($)</w:t>
            </w:r>
          </w:p>
        </w:tc>
      </w:tr>
      <w:tr w:rsidR="00C2532F" w:rsidRPr="00ED49CA" w14:paraId="627887E0" w14:textId="77777777" w:rsidTr="000C7146">
        <w:trPr>
          <w:gridAfter w:val="2"/>
          <w:wAfter w:w="54" w:type="pct"/>
          <w:trHeight w:val="133"/>
        </w:trPr>
        <w:tc>
          <w:tcPr>
            <w:tcW w:w="1084" w:type="pct"/>
            <w:vMerge w:val="restart"/>
            <w:tcMar>
              <w:top w:w="72" w:type="dxa"/>
              <w:left w:w="144" w:type="dxa"/>
              <w:bottom w:w="72" w:type="dxa"/>
              <w:right w:w="144" w:type="dxa"/>
            </w:tcMar>
          </w:tcPr>
          <w:p w14:paraId="002BFFEB" w14:textId="206D2BF4" w:rsidR="00876D30" w:rsidRPr="00ED49CA" w:rsidRDefault="00570F73" w:rsidP="00693BEF">
            <w:pPr>
              <w:tabs>
                <w:tab w:val="left" w:pos="1440"/>
              </w:tabs>
              <w:textAlignment w:val="baseline"/>
              <w:rPr>
                <w:rFonts w:eastAsia="Segoe UI"/>
                <w:sz w:val="18"/>
                <w:szCs w:val="18"/>
              </w:rPr>
            </w:pPr>
            <w:r w:rsidRPr="00ED49CA">
              <w:rPr>
                <w:rFonts w:eastAsia="Segoe UI"/>
                <w:sz w:val="18"/>
                <w:szCs w:val="18"/>
              </w:rPr>
              <w:t>IRRF</w:t>
            </w:r>
            <w:r w:rsidR="00693BEF">
              <w:rPr>
                <w:rStyle w:val="FootnoteReference"/>
                <w:rFonts w:eastAsia="Segoe UI"/>
                <w:sz w:val="18"/>
                <w:szCs w:val="18"/>
              </w:rPr>
              <w:footnoteReference w:id="4"/>
            </w:r>
            <w:r w:rsidRPr="00ED49CA">
              <w:rPr>
                <w:rFonts w:eastAsia="Segoe UI"/>
                <w:sz w:val="18"/>
                <w:szCs w:val="18"/>
              </w:rPr>
              <w:t>: 1.1.1 Number of countries that have development plans and budgets that integrate intergovernmentally-agreed frameworks across the whole-of-government</w:t>
            </w:r>
            <w:r w:rsidR="002D357D" w:rsidRPr="00ED49CA">
              <w:rPr>
                <w:rFonts w:eastAsia="Segoe UI"/>
                <w:sz w:val="18"/>
                <w:szCs w:val="18"/>
              </w:rPr>
              <w:t xml:space="preserve"> (</w:t>
            </w:r>
            <w:r w:rsidRPr="00ED49CA">
              <w:rPr>
                <w:rFonts w:eastAsia="Segoe UI"/>
                <w:sz w:val="18"/>
                <w:szCs w:val="18"/>
              </w:rPr>
              <w:t>2030 Agenda for Sustainable Development</w:t>
            </w:r>
            <w:r w:rsidR="002D357D" w:rsidRPr="00ED49CA">
              <w:rPr>
                <w:rFonts w:eastAsia="Segoe UI"/>
                <w:sz w:val="18"/>
                <w:szCs w:val="18"/>
              </w:rPr>
              <w:t xml:space="preserve">, </w:t>
            </w:r>
            <w:r w:rsidRPr="00ED49CA">
              <w:rPr>
                <w:rFonts w:eastAsia="Segoe UI"/>
                <w:sz w:val="18"/>
                <w:szCs w:val="18"/>
              </w:rPr>
              <w:t>Paris Agreement</w:t>
            </w:r>
            <w:r w:rsidR="002D357D" w:rsidRPr="00ED49CA">
              <w:rPr>
                <w:rFonts w:eastAsia="Segoe UI"/>
                <w:sz w:val="18"/>
                <w:szCs w:val="18"/>
              </w:rPr>
              <w:t xml:space="preserve">, </w:t>
            </w:r>
            <w:r w:rsidRPr="00ED49CA">
              <w:rPr>
                <w:rFonts w:eastAsia="Segoe UI"/>
                <w:sz w:val="18"/>
                <w:szCs w:val="18"/>
              </w:rPr>
              <w:t>Beijing Declaration and Platform for Action</w:t>
            </w:r>
            <w:r w:rsidR="002D357D" w:rsidRPr="00ED49CA">
              <w:rPr>
                <w:rFonts w:eastAsia="Segoe UI"/>
                <w:sz w:val="18"/>
                <w:szCs w:val="18"/>
              </w:rPr>
              <w:t xml:space="preserve">, </w:t>
            </w:r>
            <w:r w:rsidRPr="00ED49CA">
              <w:rPr>
                <w:rFonts w:eastAsia="Segoe UI"/>
                <w:sz w:val="18"/>
                <w:szCs w:val="18"/>
              </w:rPr>
              <w:t>SAMOA Pathway</w:t>
            </w:r>
            <w:r w:rsidR="002D357D" w:rsidRPr="00ED49CA">
              <w:rPr>
                <w:rFonts w:eastAsia="Segoe UI"/>
                <w:sz w:val="18"/>
                <w:szCs w:val="18"/>
              </w:rPr>
              <w:t>,</w:t>
            </w:r>
            <w:r w:rsidR="007C1EE0" w:rsidRPr="00ED49CA">
              <w:rPr>
                <w:rFonts w:eastAsia="Segoe UI"/>
                <w:sz w:val="18"/>
                <w:szCs w:val="18"/>
              </w:rPr>
              <w:t xml:space="preserve"> </w:t>
            </w:r>
            <w:r w:rsidR="00480223" w:rsidRPr="00ED49CA">
              <w:rPr>
                <w:rFonts w:eastAsia="Segoe UI"/>
                <w:sz w:val="18"/>
                <w:szCs w:val="18"/>
              </w:rPr>
              <w:t xml:space="preserve">Montreal </w:t>
            </w:r>
            <w:r w:rsidR="002E04EA" w:rsidRPr="00ED49CA">
              <w:rPr>
                <w:rFonts w:eastAsia="Segoe UI"/>
                <w:sz w:val="18"/>
                <w:szCs w:val="18"/>
              </w:rPr>
              <w:t>Protocol</w:t>
            </w:r>
            <w:r w:rsidR="00C605E8" w:rsidRPr="00ED49CA">
              <w:rPr>
                <w:rFonts w:eastAsia="Segoe UI"/>
                <w:sz w:val="18"/>
                <w:szCs w:val="18"/>
              </w:rPr>
              <w:t>, Kigali Amendment</w:t>
            </w:r>
            <w:r w:rsidR="002E04EA" w:rsidRPr="00ED49CA">
              <w:rPr>
                <w:rFonts w:eastAsia="Segoe UI"/>
                <w:sz w:val="18"/>
                <w:szCs w:val="18"/>
              </w:rPr>
              <w:t>)</w:t>
            </w:r>
          </w:p>
          <w:p w14:paraId="0143A749" w14:textId="2833104C" w:rsidR="00280FD3" w:rsidRPr="00ED49CA" w:rsidRDefault="00280FD3" w:rsidP="00246C0C">
            <w:pPr>
              <w:textAlignment w:val="baseline"/>
              <w:rPr>
                <w:rFonts w:eastAsia="Segoe UI"/>
                <w:sz w:val="18"/>
                <w:szCs w:val="18"/>
              </w:rPr>
            </w:pPr>
            <w:r w:rsidRPr="00ED49CA">
              <w:rPr>
                <w:rFonts w:eastAsia="Segoe UI"/>
                <w:sz w:val="18"/>
                <w:szCs w:val="18"/>
              </w:rPr>
              <w:t>Baseline:</w:t>
            </w:r>
          </w:p>
          <w:p w14:paraId="6DC341C7" w14:textId="22736255" w:rsidR="00C35A00" w:rsidRPr="00ED49CA" w:rsidRDefault="00C35A00" w:rsidP="008202BB">
            <w:pPr>
              <w:pStyle w:val="ListParagraph"/>
              <w:numPr>
                <w:ilvl w:val="0"/>
                <w:numId w:val="14"/>
              </w:numPr>
              <w:rPr>
                <w:rFonts w:eastAsia="Segoe UI"/>
                <w:sz w:val="18"/>
                <w:szCs w:val="18"/>
              </w:rPr>
            </w:pPr>
            <w:r w:rsidRPr="00ED49CA">
              <w:rPr>
                <w:rFonts w:eastAsia="Segoe UI"/>
                <w:sz w:val="18"/>
                <w:szCs w:val="18"/>
              </w:rPr>
              <w:t>Trinidad and Tobago</w:t>
            </w:r>
            <w:r w:rsidR="009B15CC">
              <w:rPr>
                <w:rFonts w:eastAsia="Segoe UI"/>
                <w:sz w:val="18"/>
                <w:szCs w:val="18"/>
              </w:rPr>
              <w:t>:</w:t>
            </w:r>
            <w:r w:rsidRPr="00ED49CA">
              <w:rPr>
                <w:rFonts w:eastAsia="Segoe UI"/>
                <w:sz w:val="18"/>
                <w:szCs w:val="18"/>
              </w:rPr>
              <w:t xml:space="preserve"> 2 (integration in progress)</w:t>
            </w:r>
          </w:p>
          <w:p w14:paraId="76BF7257" w14:textId="3F9011D9" w:rsidR="00C35A00" w:rsidRPr="00ED49CA" w:rsidRDefault="00C35A00" w:rsidP="008202BB">
            <w:pPr>
              <w:pStyle w:val="ListParagraph"/>
              <w:numPr>
                <w:ilvl w:val="0"/>
                <w:numId w:val="14"/>
              </w:numPr>
              <w:rPr>
                <w:rFonts w:eastAsia="Segoe UI"/>
                <w:sz w:val="18"/>
                <w:szCs w:val="18"/>
              </w:rPr>
            </w:pPr>
            <w:r w:rsidRPr="00ED49CA">
              <w:rPr>
                <w:rFonts w:eastAsia="Segoe UI"/>
                <w:sz w:val="18"/>
                <w:szCs w:val="18"/>
              </w:rPr>
              <w:t>Aruba</w:t>
            </w:r>
            <w:r w:rsidR="009B15CC">
              <w:rPr>
                <w:rFonts w:eastAsia="Segoe UI"/>
                <w:sz w:val="18"/>
                <w:szCs w:val="18"/>
              </w:rPr>
              <w:t xml:space="preserve">: </w:t>
            </w:r>
            <w:r w:rsidRPr="00ED49CA">
              <w:rPr>
                <w:rFonts w:eastAsia="Segoe UI"/>
                <w:sz w:val="18"/>
                <w:szCs w:val="18"/>
              </w:rPr>
              <w:t>2</w:t>
            </w:r>
            <w:r w:rsidR="00F62CFF" w:rsidRPr="00ED49CA">
              <w:rPr>
                <w:rFonts w:eastAsia="Segoe UI"/>
                <w:sz w:val="18"/>
                <w:szCs w:val="18"/>
              </w:rPr>
              <w:t xml:space="preserve"> (integration in progress)</w:t>
            </w:r>
          </w:p>
          <w:p w14:paraId="299267F9" w14:textId="64A85C76" w:rsidR="00C35A00" w:rsidRPr="00ED49CA" w:rsidRDefault="00C35A00" w:rsidP="008202BB">
            <w:pPr>
              <w:pStyle w:val="ListParagraph"/>
              <w:numPr>
                <w:ilvl w:val="0"/>
                <w:numId w:val="14"/>
              </w:numPr>
              <w:rPr>
                <w:rFonts w:eastAsia="Segoe UI"/>
                <w:sz w:val="18"/>
                <w:szCs w:val="18"/>
              </w:rPr>
            </w:pPr>
            <w:r w:rsidRPr="00ED49CA">
              <w:rPr>
                <w:rFonts w:eastAsia="Segoe UI"/>
                <w:sz w:val="18"/>
                <w:szCs w:val="18"/>
              </w:rPr>
              <w:t>Cura</w:t>
            </w:r>
            <w:r w:rsidR="00840D5F">
              <w:rPr>
                <w:lang w:val="en-GB" w:bidi="en-GB"/>
              </w:rPr>
              <w:t>ç</w:t>
            </w:r>
            <w:r w:rsidRPr="00ED49CA">
              <w:rPr>
                <w:rFonts w:eastAsia="Segoe UI"/>
                <w:sz w:val="18"/>
                <w:szCs w:val="18"/>
              </w:rPr>
              <w:t>ao</w:t>
            </w:r>
            <w:r w:rsidR="009B15CC">
              <w:rPr>
                <w:rFonts w:eastAsia="Segoe UI"/>
                <w:sz w:val="18"/>
                <w:szCs w:val="18"/>
              </w:rPr>
              <w:t>:</w:t>
            </w:r>
            <w:r w:rsidRPr="00ED49CA">
              <w:rPr>
                <w:rFonts w:eastAsia="Segoe UI"/>
                <w:sz w:val="18"/>
                <w:szCs w:val="18"/>
              </w:rPr>
              <w:t xml:space="preserve"> 1 (integration started)</w:t>
            </w:r>
          </w:p>
          <w:p w14:paraId="1DD4B280" w14:textId="57089D84" w:rsidR="00207813" w:rsidRPr="00ED49CA" w:rsidRDefault="00C35A00" w:rsidP="008202BB">
            <w:pPr>
              <w:pStyle w:val="ListParagraph"/>
              <w:numPr>
                <w:ilvl w:val="0"/>
                <w:numId w:val="14"/>
              </w:numPr>
              <w:rPr>
                <w:rFonts w:eastAsia="Segoe UI"/>
                <w:sz w:val="18"/>
                <w:szCs w:val="18"/>
              </w:rPr>
            </w:pPr>
            <w:r w:rsidRPr="00ED49CA">
              <w:rPr>
                <w:rFonts w:eastAsia="Segoe UI"/>
                <w:sz w:val="18"/>
                <w:szCs w:val="18"/>
              </w:rPr>
              <w:t>Sint Maarten</w:t>
            </w:r>
            <w:r w:rsidR="009B15CC">
              <w:rPr>
                <w:rFonts w:eastAsia="Segoe UI"/>
                <w:sz w:val="18"/>
                <w:szCs w:val="18"/>
              </w:rPr>
              <w:t>:</w:t>
            </w:r>
            <w:r w:rsidRPr="00ED49CA">
              <w:rPr>
                <w:rFonts w:eastAsia="Segoe UI"/>
                <w:sz w:val="18"/>
                <w:szCs w:val="18"/>
              </w:rPr>
              <w:t xml:space="preserve"> 1</w:t>
            </w:r>
            <w:r w:rsidR="00207813" w:rsidRPr="00ED49CA">
              <w:rPr>
                <w:rFonts w:eastAsia="Segoe UI"/>
                <w:sz w:val="18"/>
                <w:szCs w:val="18"/>
              </w:rPr>
              <w:t xml:space="preserve"> (integration started)</w:t>
            </w:r>
          </w:p>
          <w:p w14:paraId="38B55FE6" w14:textId="77777777" w:rsidR="007D1F21" w:rsidRDefault="00C35A00" w:rsidP="00C35A00">
            <w:pPr>
              <w:rPr>
                <w:rFonts w:eastAsia="Segoe UI"/>
                <w:sz w:val="18"/>
                <w:szCs w:val="18"/>
              </w:rPr>
            </w:pPr>
            <w:r w:rsidRPr="00ED49CA">
              <w:rPr>
                <w:rFonts w:eastAsia="Segoe UI"/>
                <w:sz w:val="18"/>
                <w:szCs w:val="18"/>
              </w:rPr>
              <w:t xml:space="preserve">Target: </w:t>
            </w:r>
          </w:p>
          <w:p w14:paraId="7C4FD28B" w14:textId="14EB8104" w:rsidR="00C35A00" w:rsidRPr="00ED49CA" w:rsidRDefault="00C35A00" w:rsidP="007D1F21">
            <w:pPr>
              <w:pStyle w:val="ListParagraph"/>
              <w:numPr>
                <w:ilvl w:val="0"/>
                <w:numId w:val="21"/>
              </w:numPr>
              <w:rPr>
                <w:rFonts w:eastAsia="Segoe UI"/>
                <w:sz w:val="18"/>
                <w:szCs w:val="18"/>
              </w:rPr>
            </w:pPr>
            <w:r w:rsidRPr="00ED49CA">
              <w:rPr>
                <w:rFonts w:eastAsia="Segoe UI"/>
                <w:sz w:val="18"/>
                <w:szCs w:val="18"/>
              </w:rPr>
              <w:t>3 (almost complete)</w:t>
            </w:r>
          </w:p>
          <w:p w14:paraId="1D4D2080" w14:textId="29C13D69" w:rsidR="00C35A00" w:rsidRPr="00ED49CA" w:rsidRDefault="00C35A00" w:rsidP="007D1F21">
            <w:pPr>
              <w:pStyle w:val="ListParagraph"/>
              <w:numPr>
                <w:ilvl w:val="0"/>
                <w:numId w:val="21"/>
              </w:numPr>
              <w:rPr>
                <w:rFonts w:eastAsia="Segoe UI"/>
                <w:sz w:val="18"/>
                <w:szCs w:val="18"/>
              </w:rPr>
            </w:pPr>
            <w:r w:rsidRPr="00ED49CA">
              <w:rPr>
                <w:rFonts w:eastAsia="Segoe UI"/>
                <w:sz w:val="18"/>
                <w:szCs w:val="18"/>
              </w:rPr>
              <w:t>3</w:t>
            </w:r>
            <w:r w:rsidR="00207813" w:rsidRPr="00ED49CA">
              <w:rPr>
                <w:rFonts w:eastAsia="Segoe UI"/>
                <w:sz w:val="18"/>
                <w:szCs w:val="18"/>
              </w:rPr>
              <w:t xml:space="preserve"> (almost complete)</w:t>
            </w:r>
          </w:p>
          <w:p w14:paraId="32E487AC" w14:textId="755DBF81" w:rsidR="00C35A00" w:rsidRPr="00ED49CA" w:rsidRDefault="00C35A00" w:rsidP="007D1F21">
            <w:pPr>
              <w:pStyle w:val="ListParagraph"/>
              <w:numPr>
                <w:ilvl w:val="0"/>
                <w:numId w:val="21"/>
              </w:numPr>
              <w:rPr>
                <w:rFonts w:eastAsia="Segoe UI"/>
                <w:sz w:val="18"/>
                <w:szCs w:val="18"/>
              </w:rPr>
            </w:pPr>
            <w:r w:rsidRPr="00ED49CA">
              <w:rPr>
                <w:rFonts w:eastAsia="Segoe UI"/>
                <w:sz w:val="18"/>
                <w:szCs w:val="18"/>
              </w:rPr>
              <w:t>2</w:t>
            </w:r>
            <w:r w:rsidR="00F62CFF" w:rsidRPr="00ED49CA">
              <w:rPr>
                <w:rFonts w:eastAsia="Segoe UI"/>
                <w:sz w:val="18"/>
                <w:szCs w:val="18"/>
              </w:rPr>
              <w:t xml:space="preserve"> (integration in progress) </w:t>
            </w:r>
          </w:p>
          <w:p w14:paraId="04359BAB" w14:textId="2888BA51" w:rsidR="00C35A00" w:rsidRPr="00ED49CA" w:rsidRDefault="00C35A00" w:rsidP="007D1F21">
            <w:pPr>
              <w:pStyle w:val="ListParagraph"/>
              <w:numPr>
                <w:ilvl w:val="0"/>
                <w:numId w:val="21"/>
              </w:numPr>
              <w:rPr>
                <w:rFonts w:eastAsia="Segoe UI"/>
                <w:sz w:val="18"/>
                <w:szCs w:val="18"/>
              </w:rPr>
            </w:pPr>
            <w:r w:rsidRPr="00ED49CA">
              <w:rPr>
                <w:rFonts w:eastAsia="Segoe UI"/>
                <w:sz w:val="18"/>
                <w:szCs w:val="18"/>
              </w:rPr>
              <w:t>2</w:t>
            </w:r>
            <w:r w:rsidR="00F62CFF" w:rsidRPr="00ED49CA">
              <w:rPr>
                <w:rFonts w:eastAsia="Segoe UI"/>
                <w:sz w:val="18"/>
                <w:szCs w:val="18"/>
              </w:rPr>
              <w:t xml:space="preserve"> (integration in progress)</w:t>
            </w:r>
          </w:p>
          <w:p w14:paraId="3565E396" w14:textId="77777777" w:rsidR="00480223" w:rsidRPr="00ED49CA" w:rsidRDefault="00480223" w:rsidP="00246C0C">
            <w:pPr>
              <w:textAlignment w:val="baseline"/>
              <w:rPr>
                <w:color w:val="000000"/>
                <w:sz w:val="18"/>
                <w:szCs w:val="18"/>
                <w:lang w:val="en-GB"/>
              </w:rPr>
            </w:pPr>
          </w:p>
          <w:p w14:paraId="5B7DE38C" w14:textId="72C7C263" w:rsidR="00541CBC" w:rsidRPr="00ED49CA" w:rsidRDefault="00541CBC" w:rsidP="003369B1">
            <w:pPr>
              <w:textAlignment w:val="baseline"/>
              <w:rPr>
                <w:rFonts w:eastAsia="Segoe UI"/>
                <w:sz w:val="18"/>
                <w:szCs w:val="18"/>
              </w:rPr>
            </w:pPr>
            <w:r w:rsidRPr="00ED49CA">
              <w:rPr>
                <w:rFonts w:eastAsia="Segoe UI"/>
                <w:sz w:val="18"/>
                <w:szCs w:val="18"/>
              </w:rPr>
              <w:t xml:space="preserve">IRRF. 5.2.1 </w:t>
            </w:r>
            <w:r w:rsidR="00F32849" w:rsidRPr="00ED49CA">
              <w:rPr>
                <w:rFonts w:eastAsia="Segoe UI"/>
                <w:sz w:val="18"/>
                <w:szCs w:val="18"/>
              </w:rPr>
              <w:t>Megawatts by</w:t>
            </w:r>
            <w:r w:rsidRPr="00ED49CA">
              <w:rPr>
                <w:rFonts w:eastAsia="Segoe UI"/>
                <w:sz w:val="18"/>
                <w:szCs w:val="18"/>
              </w:rPr>
              <w:t xml:space="preserve"> installed renewable energy solar capacity </w:t>
            </w:r>
          </w:p>
          <w:p w14:paraId="47FEDE6B" w14:textId="75B12FD9" w:rsidR="00E805C1" w:rsidRPr="00ED49CA" w:rsidRDefault="00E805C1" w:rsidP="00E805C1">
            <w:pPr>
              <w:rPr>
                <w:rFonts w:eastAsia="Segoe UI"/>
                <w:sz w:val="18"/>
                <w:szCs w:val="18"/>
              </w:rPr>
            </w:pPr>
            <w:r w:rsidRPr="00ED49CA">
              <w:rPr>
                <w:rFonts w:eastAsia="Segoe UI"/>
                <w:sz w:val="18"/>
                <w:szCs w:val="18"/>
              </w:rPr>
              <w:lastRenderedPageBreak/>
              <w:t>Baseline:</w:t>
            </w:r>
            <w:r w:rsidR="00DD1C19" w:rsidRPr="00ED49CA">
              <w:rPr>
                <w:rFonts w:eastAsia="Segoe UI"/>
                <w:sz w:val="18"/>
                <w:szCs w:val="18"/>
              </w:rPr>
              <w:t xml:space="preserve"> 0</w:t>
            </w:r>
          </w:p>
          <w:p w14:paraId="17A7827E" w14:textId="6FC1F871" w:rsidR="00E805C1" w:rsidRPr="00ED49CA" w:rsidRDefault="00E805C1" w:rsidP="00E805C1">
            <w:pPr>
              <w:rPr>
                <w:rFonts w:eastAsia="Segoe UI"/>
                <w:sz w:val="18"/>
                <w:szCs w:val="18"/>
              </w:rPr>
            </w:pPr>
            <w:r w:rsidRPr="00ED49CA">
              <w:rPr>
                <w:rFonts w:eastAsia="Segoe UI"/>
                <w:sz w:val="18"/>
                <w:szCs w:val="18"/>
              </w:rPr>
              <w:t xml:space="preserve">Target: </w:t>
            </w:r>
            <w:r w:rsidR="00DD1C19" w:rsidRPr="00ED49CA">
              <w:rPr>
                <w:rFonts w:eastAsia="Segoe UI"/>
                <w:sz w:val="18"/>
                <w:szCs w:val="18"/>
              </w:rPr>
              <w:t>80</w:t>
            </w:r>
            <w:r w:rsidR="009B15CC">
              <w:rPr>
                <w:rFonts w:eastAsia="Segoe UI"/>
                <w:sz w:val="18"/>
                <w:szCs w:val="18"/>
              </w:rPr>
              <w:t xml:space="preserve"> </w:t>
            </w:r>
            <w:r w:rsidR="008178B5" w:rsidRPr="00ED49CA">
              <w:rPr>
                <w:rFonts w:eastAsia="Segoe UI"/>
                <w:sz w:val="18"/>
                <w:szCs w:val="18"/>
              </w:rPr>
              <w:t>M</w:t>
            </w:r>
            <w:r w:rsidR="00DD1C19" w:rsidRPr="00ED49CA">
              <w:rPr>
                <w:rFonts w:eastAsia="Segoe UI"/>
                <w:sz w:val="18"/>
                <w:szCs w:val="18"/>
              </w:rPr>
              <w:t>W</w:t>
            </w:r>
            <w:r w:rsidR="00DD1C19" w:rsidRPr="00ED49CA" w:rsidDel="00DD1C19">
              <w:rPr>
                <w:rFonts w:eastAsia="Segoe UI"/>
                <w:sz w:val="18"/>
                <w:szCs w:val="18"/>
              </w:rPr>
              <w:t xml:space="preserve"> </w:t>
            </w:r>
          </w:p>
          <w:p w14:paraId="38DEFFD2" w14:textId="77777777" w:rsidR="00541CBC" w:rsidRPr="00ED49CA" w:rsidRDefault="00541CBC" w:rsidP="00F72743">
            <w:pPr>
              <w:rPr>
                <w:color w:val="000000"/>
                <w:sz w:val="18"/>
                <w:szCs w:val="18"/>
                <w:lang w:val="en-GB"/>
              </w:rPr>
            </w:pPr>
          </w:p>
          <w:p w14:paraId="78956BA4" w14:textId="50A47D6B" w:rsidR="00C2532F" w:rsidRPr="00ED49CA" w:rsidRDefault="00C2532F" w:rsidP="00246C0C">
            <w:pPr>
              <w:textAlignment w:val="baseline"/>
              <w:rPr>
                <w:rFonts w:eastAsia="Segoe UI"/>
                <w:sz w:val="18"/>
                <w:szCs w:val="18"/>
              </w:rPr>
            </w:pPr>
            <w:r w:rsidRPr="00ED49CA">
              <w:rPr>
                <w:color w:val="000000"/>
                <w:sz w:val="18"/>
                <w:szCs w:val="18"/>
                <w:lang w:val="en-GB"/>
              </w:rPr>
              <w:t>IRRF</w:t>
            </w:r>
            <w:r w:rsidRPr="00ED49CA">
              <w:rPr>
                <w:rFonts w:eastAsia="Segoe UI"/>
                <w:sz w:val="18"/>
                <w:szCs w:val="18"/>
              </w:rPr>
              <w:t>.</w:t>
            </w:r>
            <w:r w:rsidR="006B4F6B" w:rsidRPr="00ED49CA">
              <w:rPr>
                <w:rFonts w:eastAsia="Segoe UI"/>
                <w:sz w:val="18"/>
                <w:szCs w:val="18"/>
              </w:rPr>
              <w:t>E.</w:t>
            </w:r>
            <w:r w:rsidRPr="00ED49CA">
              <w:rPr>
                <w:rFonts w:eastAsia="Segoe UI"/>
                <w:sz w:val="18"/>
                <w:szCs w:val="18"/>
              </w:rPr>
              <w:t xml:space="preserve">1.2: Number of public institutions that leverage digital technologies in ways that improve people’s lives at </w:t>
            </w:r>
            <w:r w:rsidR="004C6489">
              <w:rPr>
                <w:rFonts w:eastAsia="Segoe UI"/>
                <w:sz w:val="18"/>
                <w:szCs w:val="18"/>
              </w:rPr>
              <w:t xml:space="preserve">the </w:t>
            </w:r>
            <w:r w:rsidRPr="00ED49CA">
              <w:rPr>
                <w:rFonts w:eastAsia="Segoe UI"/>
                <w:sz w:val="18"/>
                <w:szCs w:val="18"/>
              </w:rPr>
              <w:t>national level</w:t>
            </w:r>
          </w:p>
          <w:p w14:paraId="174F6BF7" w14:textId="0FCB4F7C" w:rsidR="00C2532F" w:rsidRPr="00ED49CA" w:rsidRDefault="00C2532F" w:rsidP="00246C0C">
            <w:pPr>
              <w:textAlignment w:val="baseline"/>
              <w:rPr>
                <w:color w:val="000000"/>
                <w:sz w:val="18"/>
                <w:szCs w:val="18"/>
                <w:lang w:val="en-GB"/>
              </w:rPr>
            </w:pPr>
            <w:r w:rsidRPr="00ED49CA">
              <w:rPr>
                <w:color w:val="000000"/>
                <w:sz w:val="18"/>
                <w:szCs w:val="18"/>
                <w:lang w:val="en-GB"/>
              </w:rPr>
              <w:t>Baseline:</w:t>
            </w:r>
            <w:r w:rsidR="006B6CBC" w:rsidRPr="00ED49CA">
              <w:rPr>
                <w:color w:val="000000"/>
                <w:sz w:val="18"/>
                <w:szCs w:val="18"/>
                <w:lang w:val="en-GB"/>
              </w:rPr>
              <w:t xml:space="preserve"> </w:t>
            </w:r>
            <w:r w:rsidRPr="00ED49CA">
              <w:rPr>
                <w:color w:val="000000"/>
                <w:sz w:val="18"/>
                <w:szCs w:val="18"/>
                <w:lang w:val="en-GB"/>
              </w:rPr>
              <w:t>5</w:t>
            </w:r>
          </w:p>
          <w:p w14:paraId="5CEDA018" w14:textId="05B4FA2E" w:rsidR="00C2532F" w:rsidRPr="00ED49CA" w:rsidRDefault="00C2532F" w:rsidP="00246C0C">
            <w:pPr>
              <w:textAlignment w:val="baseline"/>
              <w:rPr>
                <w:color w:val="000000"/>
                <w:sz w:val="18"/>
                <w:szCs w:val="18"/>
                <w:lang w:val="en-GB"/>
              </w:rPr>
            </w:pPr>
            <w:r w:rsidRPr="00ED49CA">
              <w:rPr>
                <w:color w:val="000000"/>
                <w:sz w:val="18"/>
                <w:szCs w:val="18"/>
                <w:lang w:val="en-GB"/>
              </w:rPr>
              <w:t>Target:</w:t>
            </w:r>
            <w:r w:rsidR="006B6CBC" w:rsidRPr="00ED49CA">
              <w:rPr>
                <w:color w:val="000000"/>
                <w:sz w:val="18"/>
                <w:szCs w:val="18"/>
                <w:lang w:val="en-GB"/>
              </w:rPr>
              <w:t xml:space="preserve"> </w:t>
            </w:r>
            <w:r w:rsidRPr="00ED49CA">
              <w:rPr>
                <w:color w:val="000000"/>
                <w:sz w:val="18"/>
                <w:szCs w:val="18"/>
                <w:lang w:val="en-GB"/>
              </w:rPr>
              <w:t>7</w:t>
            </w:r>
          </w:p>
          <w:p w14:paraId="2323AFDB" w14:textId="74A3EA59" w:rsidR="00570F73" w:rsidRPr="00ED49CA" w:rsidRDefault="00570F73" w:rsidP="00751171">
            <w:pPr>
              <w:pStyle w:val="paragraph"/>
              <w:spacing w:before="0" w:beforeAutospacing="0" w:after="0" w:afterAutospacing="0"/>
              <w:textAlignment w:val="baseline"/>
              <w:rPr>
                <w:color w:val="000000"/>
                <w:sz w:val="18"/>
                <w:szCs w:val="18"/>
              </w:rPr>
            </w:pPr>
          </w:p>
        </w:tc>
        <w:tc>
          <w:tcPr>
            <w:tcW w:w="1165" w:type="pct"/>
            <w:gridSpan w:val="2"/>
            <w:vMerge w:val="restart"/>
          </w:tcPr>
          <w:p w14:paraId="5EB2B152" w14:textId="77777777" w:rsidR="00DD1C19" w:rsidRPr="00ED49CA" w:rsidRDefault="00DD1C19" w:rsidP="008202BB">
            <w:pPr>
              <w:pStyle w:val="ListParagraph"/>
              <w:numPr>
                <w:ilvl w:val="0"/>
                <w:numId w:val="11"/>
              </w:numPr>
              <w:rPr>
                <w:bCs/>
                <w:color w:val="000000"/>
                <w:sz w:val="18"/>
                <w:szCs w:val="18"/>
                <w:lang w:val="en-GB"/>
              </w:rPr>
            </w:pPr>
            <w:r w:rsidRPr="00ED49CA">
              <w:rPr>
                <w:sz w:val="18"/>
                <w:szCs w:val="18"/>
              </w:rPr>
              <w:lastRenderedPageBreak/>
              <w:t>Ministry of Planning and Development</w:t>
            </w:r>
          </w:p>
          <w:p w14:paraId="4B298B77" w14:textId="7A685014" w:rsidR="005C007D" w:rsidRPr="00ED49CA" w:rsidRDefault="005C007D" w:rsidP="008202BB">
            <w:pPr>
              <w:pStyle w:val="ListParagraph"/>
              <w:numPr>
                <w:ilvl w:val="0"/>
                <w:numId w:val="11"/>
              </w:numPr>
              <w:rPr>
                <w:bCs/>
                <w:color w:val="000000"/>
                <w:sz w:val="18"/>
                <w:szCs w:val="18"/>
                <w:lang w:val="en-GB"/>
              </w:rPr>
            </w:pPr>
            <w:r w:rsidRPr="00ED49CA">
              <w:rPr>
                <w:bCs/>
                <w:color w:val="000000"/>
                <w:sz w:val="18"/>
                <w:szCs w:val="18"/>
              </w:rPr>
              <w:t>Ministry of Energy and Energy Industries</w:t>
            </w:r>
          </w:p>
          <w:p w14:paraId="2B1E370E" w14:textId="17BAF349" w:rsidR="005D4EF0" w:rsidRPr="00ED49CA" w:rsidRDefault="005D4EF0" w:rsidP="008202BB">
            <w:pPr>
              <w:pStyle w:val="ListParagraph"/>
              <w:numPr>
                <w:ilvl w:val="0"/>
                <w:numId w:val="11"/>
              </w:numPr>
              <w:rPr>
                <w:bCs/>
                <w:color w:val="000000"/>
                <w:sz w:val="18"/>
                <w:szCs w:val="18"/>
                <w:lang w:val="en-GB"/>
              </w:rPr>
            </w:pPr>
            <w:r w:rsidRPr="00ED49CA">
              <w:rPr>
                <w:bCs/>
                <w:color w:val="000000"/>
                <w:sz w:val="18"/>
                <w:szCs w:val="18"/>
              </w:rPr>
              <w:t xml:space="preserve">Central Statistical Office </w:t>
            </w:r>
            <w:r w:rsidR="000F35BD" w:rsidRPr="00ED49CA">
              <w:rPr>
                <w:bCs/>
                <w:color w:val="000000"/>
                <w:sz w:val="18"/>
                <w:szCs w:val="18"/>
              </w:rPr>
              <w:t>(</w:t>
            </w:r>
            <w:r w:rsidRPr="00ED49CA">
              <w:rPr>
                <w:bCs/>
                <w:color w:val="000000"/>
                <w:sz w:val="18"/>
                <w:szCs w:val="18"/>
              </w:rPr>
              <w:t>Aruba</w:t>
            </w:r>
            <w:r w:rsidR="000F35BD" w:rsidRPr="00ED49CA">
              <w:rPr>
                <w:bCs/>
                <w:color w:val="000000"/>
                <w:sz w:val="18"/>
                <w:szCs w:val="18"/>
              </w:rPr>
              <w:t xml:space="preserve">, </w:t>
            </w:r>
            <w:r w:rsidRPr="00ED49CA">
              <w:rPr>
                <w:bCs/>
                <w:color w:val="000000"/>
                <w:sz w:val="18"/>
                <w:szCs w:val="18"/>
              </w:rPr>
              <w:t>Cura</w:t>
            </w:r>
            <w:r w:rsidR="00C56D7A">
              <w:rPr>
                <w:bCs/>
                <w:color w:val="000000"/>
                <w:sz w:val="18"/>
                <w:szCs w:val="18"/>
              </w:rPr>
              <w:t>ç</w:t>
            </w:r>
            <w:r w:rsidRPr="00ED49CA">
              <w:rPr>
                <w:bCs/>
                <w:color w:val="000000"/>
                <w:sz w:val="18"/>
                <w:szCs w:val="18"/>
              </w:rPr>
              <w:t>ao</w:t>
            </w:r>
            <w:r w:rsidR="00803F86" w:rsidRPr="00ED49CA">
              <w:rPr>
                <w:bCs/>
                <w:color w:val="000000"/>
                <w:sz w:val="18"/>
                <w:szCs w:val="18"/>
              </w:rPr>
              <w:t>)</w:t>
            </w:r>
          </w:p>
        </w:tc>
        <w:tc>
          <w:tcPr>
            <w:tcW w:w="1080" w:type="pct"/>
            <w:gridSpan w:val="2"/>
            <w:vMerge w:val="restart"/>
            <w:tcMar>
              <w:top w:w="72" w:type="dxa"/>
              <w:left w:w="144" w:type="dxa"/>
              <w:bottom w:w="72" w:type="dxa"/>
              <w:right w:w="144" w:type="dxa"/>
            </w:tcMar>
          </w:tcPr>
          <w:p w14:paraId="4132ED67" w14:textId="10CB80E5" w:rsidR="00C2532F" w:rsidRPr="00ED49CA" w:rsidRDefault="00C2532F" w:rsidP="00246C0C">
            <w:pPr>
              <w:pStyle w:val="Default"/>
              <w:rPr>
                <w:b/>
                <w:bCs/>
                <w:sz w:val="18"/>
                <w:szCs w:val="18"/>
              </w:rPr>
            </w:pPr>
            <w:r w:rsidRPr="00ED49CA">
              <w:rPr>
                <w:b/>
                <w:bCs/>
                <w:sz w:val="18"/>
                <w:szCs w:val="18"/>
              </w:rPr>
              <w:t>1.1 Policymakers, parliamentarians and academics improve their capacity to develop evidence</w:t>
            </w:r>
            <w:r w:rsidR="009B15CC">
              <w:rPr>
                <w:b/>
                <w:bCs/>
                <w:sz w:val="18"/>
                <w:szCs w:val="18"/>
              </w:rPr>
              <w:t>-</w:t>
            </w:r>
            <w:r w:rsidRPr="00ED49CA">
              <w:rPr>
                <w:b/>
                <w:bCs/>
                <w:sz w:val="18"/>
                <w:szCs w:val="18"/>
              </w:rPr>
              <w:t>based, gender</w:t>
            </w:r>
            <w:r w:rsidR="009B15CC">
              <w:rPr>
                <w:b/>
                <w:bCs/>
                <w:sz w:val="18"/>
                <w:szCs w:val="18"/>
              </w:rPr>
              <w:t>-</w:t>
            </w:r>
            <w:r w:rsidRPr="00ED49CA">
              <w:rPr>
                <w:b/>
                <w:bCs/>
                <w:sz w:val="18"/>
                <w:szCs w:val="18"/>
              </w:rPr>
              <w:t>responsive COVID-19 recovery policies to build a resilient, inclusive economy</w:t>
            </w:r>
          </w:p>
          <w:p w14:paraId="59CA4FAC" w14:textId="77777777" w:rsidR="00C2532F" w:rsidRPr="00ED49CA" w:rsidRDefault="00C2532F" w:rsidP="00246C0C">
            <w:pPr>
              <w:pStyle w:val="Default"/>
              <w:rPr>
                <w:sz w:val="18"/>
                <w:szCs w:val="18"/>
              </w:rPr>
            </w:pPr>
          </w:p>
          <w:p w14:paraId="415F6FB9" w14:textId="1692A82F" w:rsidR="00C2532F" w:rsidRPr="00ED49CA" w:rsidRDefault="00C2532F" w:rsidP="00246C0C">
            <w:pPr>
              <w:pStyle w:val="Default"/>
              <w:rPr>
                <w:sz w:val="18"/>
                <w:szCs w:val="18"/>
              </w:rPr>
            </w:pPr>
            <w:r w:rsidRPr="00ED49CA">
              <w:rPr>
                <w:sz w:val="18"/>
                <w:szCs w:val="18"/>
              </w:rPr>
              <w:t>I.1.1: Number of UNDP</w:t>
            </w:r>
            <w:r w:rsidR="008C736C">
              <w:rPr>
                <w:sz w:val="18"/>
                <w:szCs w:val="18"/>
              </w:rPr>
              <w:t>-</w:t>
            </w:r>
            <w:r w:rsidRPr="00ED49CA">
              <w:rPr>
                <w:sz w:val="18"/>
                <w:szCs w:val="18"/>
              </w:rPr>
              <w:t>supported research and policy dialogues on socioeconomic and climate</w:t>
            </w:r>
            <w:r w:rsidR="008C736C">
              <w:rPr>
                <w:sz w:val="18"/>
                <w:szCs w:val="18"/>
              </w:rPr>
              <w:t>-</w:t>
            </w:r>
            <w:r w:rsidRPr="00ED49CA">
              <w:rPr>
                <w:sz w:val="18"/>
                <w:szCs w:val="18"/>
              </w:rPr>
              <w:t>related policy options and best practices</w:t>
            </w:r>
          </w:p>
          <w:p w14:paraId="054DD7D0" w14:textId="77777777" w:rsidR="00C2532F" w:rsidRPr="00ED49CA" w:rsidRDefault="00C2532F" w:rsidP="000F3870">
            <w:pPr>
              <w:pStyle w:val="Default"/>
              <w:ind w:left="356"/>
              <w:rPr>
                <w:sz w:val="18"/>
                <w:szCs w:val="18"/>
              </w:rPr>
            </w:pPr>
            <w:r w:rsidRPr="00ED49CA">
              <w:rPr>
                <w:sz w:val="18"/>
                <w:szCs w:val="18"/>
              </w:rPr>
              <w:t>Baseline (2021): 0</w:t>
            </w:r>
          </w:p>
          <w:p w14:paraId="165D049B" w14:textId="77777777" w:rsidR="00C2532F" w:rsidRPr="00ED49CA" w:rsidRDefault="00C2532F" w:rsidP="000F3870">
            <w:pPr>
              <w:pStyle w:val="Default"/>
              <w:ind w:left="356"/>
              <w:rPr>
                <w:sz w:val="18"/>
                <w:szCs w:val="18"/>
              </w:rPr>
            </w:pPr>
            <w:r w:rsidRPr="00ED49CA">
              <w:rPr>
                <w:sz w:val="18"/>
                <w:szCs w:val="18"/>
              </w:rPr>
              <w:t>Target (2025): 12 dialogues, 3 analytical papers</w:t>
            </w:r>
          </w:p>
          <w:p w14:paraId="09867113" w14:textId="134AD371" w:rsidR="00C2532F" w:rsidRPr="00ED49CA" w:rsidRDefault="00C2532F" w:rsidP="000F3870">
            <w:pPr>
              <w:pStyle w:val="Default"/>
              <w:ind w:left="356"/>
              <w:rPr>
                <w:sz w:val="18"/>
                <w:szCs w:val="18"/>
              </w:rPr>
            </w:pPr>
            <w:r w:rsidRPr="00ED49CA">
              <w:rPr>
                <w:sz w:val="18"/>
                <w:szCs w:val="18"/>
              </w:rPr>
              <w:t>Source, frequency: UNDP, semi</w:t>
            </w:r>
            <w:r w:rsidR="00BF64F1">
              <w:rPr>
                <w:sz w:val="18"/>
                <w:szCs w:val="18"/>
              </w:rPr>
              <w:t>-</w:t>
            </w:r>
            <w:r w:rsidRPr="00ED49CA">
              <w:rPr>
                <w:sz w:val="18"/>
                <w:szCs w:val="18"/>
              </w:rPr>
              <w:t>annual</w:t>
            </w:r>
            <w:r w:rsidR="00BF64F1">
              <w:rPr>
                <w:sz w:val="18"/>
                <w:szCs w:val="18"/>
              </w:rPr>
              <w:t>ly</w:t>
            </w:r>
            <w:r w:rsidRPr="00ED49CA">
              <w:rPr>
                <w:sz w:val="18"/>
                <w:szCs w:val="18"/>
              </w:rPr>
              <w:t xml:space="preserve"> </w:t>
            </w:r>
          </w:p>
          <w:p w14:paraId="05AC9350" w14:textId="77777777" w:rsidR="00C2532F" w:rsidRPr="00ED49CA" w:rsidRDefault="00C2532F" w:rsidP="00246C0C">
            <w:pPr>
              <w:pStyle w:val="Default"/>
              <w:rPr>
                <w:sz w:val="18"/>
                <w:szCs w:val="18"/>
              </w:rPr>
            </w:pPr>
          </w:p>
          <w:p w14:paraId="489C1A63" w14:textId="77777777" w:rsidR="00C2532F" w:rsidRPr="00ED49CA" w:rsidRDefault="00C2532F" w:rsidP="00246C0C">
            <w:pPr>
              <w:pStyle w:val="Default"/>
              <w:rPr>
                <w:b/>
                <w:bCs/>
                <w:sz w:val="18"/>
                <w:szCs w:val="18"/>
              </w:rPr>
            </w:pPr>
            <w:r w:rsidRPr="00ED49CA">
              <w:rPr>
                <w:b/>
                <w:bCs/>
                <w:sz w:val="18"/>
                <w:szCs w:val="18"/>
              </w:rPr>
              <w:t xml:space="preserve">1.2 Support government agencies’ implementation of inclusive digital strategies and solutions </w:t>
            </w:r>
          </w:p>
          <w:p w14:paraId="27AD15E4" w14:textId="77777777" w:rsidR="00C2532F" w:rsidRPr="00ED49CA" w:rsidRDefault="00C2532F" w:rsidP="00246C0C">
            <w:pPr>
              <w:pStyle w:val="Default"/>
              <w:rPr>
                <w:sz w:val="18"/>
                <w:szCs w:val="18"/>
              </w:rPr>
            </w:pPr>
          </w:p>
          <w:p w14:paraId="362DA212" w14:textId="77777777" w:rsidR="00C2532F" w:rsidRPr="00ED49CA" w:rsidRDefault="00C2532F" w:rsidP="00246C0C">
            <w:pPr>
              <w:pStyle w:val="Default"/>
              <w:rPr>
                <w:sz w:val="18"/>
                <w:szCs w:val="18"/>
              </w:rPr>
            </w:pPr>
            <w:r w:rsidRPr="00ED49CA">
              <w:rPr>
                <w:sz w:val="18"/>
                <w:szCs w:val="18"/>
              </w:rPr>
              <w:t>I.1.2: Level of progress in the development of a national digital strategy implemented</w:t>
            </w:r>
          </w:p>
          <w:p w14:paraId="0FAF6901" w14:textId="77777777" w:rsidR="00C2532F" w:rsidRPr="00ED49CA" w:rsidRDefault="00C2532F" w:rsidP="000F3870">
            <w:pPr>
              <w:pStyle w:val="Default"/>
              <w:ind w:left="356"/>
              <w:rPr>
                <w:sz w:val="18"/>
                <w:szCs w:val="18"/>
              </w:rPr>
            </w:pPr>
            <w:r w:rsidRPr="00ED49CA">
              <w:rPr>
                <w:sz w:val="18"/>
                <w:szCs w:val="18"/>
              </w:rPr>
              <w:t>Baseline: 0</w:t>
            </w:r>
          </w:p>
          <w:p w14:paraId="575C0462" w14:textId="77777777" w:rsidR="00C2532F" w:rsidRPr="00ED49CA" w:rsidRDefault="00C2532F" w:rsidP="000F3870">
            <w:pPr>
              <w:pStyle w:val="Default"/>
              <w:ind w:left="356"/>
              <w:rPr>
                <w:sz w:val="18"/>
                <w:szCs w:val="18"/>
              </w:rPr>
            </w:pPr>
            <w:r w:rsidRPr="00ED49CA">
              <w:rPr>
                <w:sz w:val="18"/>
                <w:szCs w:val="18"/>
              </w:rPr>
              <w:t>Target: Drafted</w:t>
            </w:r>
          </w:p>
          <w:p w14:paraId="00210636" w14:textId="77777777" w:rsidR="00C2532F" w:rsidRPr="00ED49CA" w:rsidRDefault="00C2532F" w:rsidP="000F3870">
            <w:pPr>
              <w:pStyle w:val="Default"/>
              <w:ind w:left="356"/>
              <w:rPr>
                <w:sz w:val="18"/>
                <w:szCs w:val="18"/>
              </w:rPr>
            </w:pPr>
            <w:r w:rsidRPr="00ED49CA">
              <w:rPr>
                <w:sz w:val="18"/>
                <w:szCs w:val="18"/>
              </w:rPr>
              <w:t xml:space="preserve">Source: UNDP, annual </w:t>
            </w:r>
          </w:p>
          <w:p w14:paraId="7D555CCD" w14:textId="29F8F1D3" w:rsidR="00C2532F" w:rsidRPr="00ED49CA" w:rsidRDefault="00C2532F" w:rsidP="00246C0C">
            <w:pPr>
              <w:pStyle w:val="Default"/>
              <w:rPr>
                <w:b/>
                <w:bCs/>
                <w:color w:val="auto"/>
                <w:sz w:val="18"/>
                <w:szCs w:val="18"/>
              </w:rPr>
            </w:pPr>
            <w:r w:rsidRPr="00ED49CA">
              <w:rPr>
                <w:b/>
                <w:bCs/>
                <w:color w:val="auto"/>
                <w:sz w:val="18"/>
                <w:szCs w:val="18"/>
              </w:rPr>
              <w:lastRenderedPageBreak/>
              <w:t xml:space="preserve">1.3 </w:t>
            </w:r>
            <w:r w:rsidRPr="00ED49CA">
              <w:rPr>
                <w:b/>
                <w:bCs/>
                <w:sz w:val="18"/>
                <w:szCs w:val="18"/>
              </w:rPr>
              <w:t xml:space="preserve">Government of Trinidad and Tobago </w:t>
            </w:r>
            <w:r w:rsidR="00E34A4A" w:rsidRPr="00ED49CA">
              <w:rPr>
                <w:b/>
                <w:bCs/>
                <w:sz w:val="18"/>
                <w:szCs w:val="18"/>
              </w:rPr>
              <w:t xml:space="preserve">policies, laws and regulations in place </w:t>
            </w:r>
            <w:r w:rsidRPr="00ED49CA">
              <w:rPr>
                <w:b/>
                <w:bCs/>
                <w:color w:val="auto"/>
                <w:sz w:val="18"/>
                <w:szCs w:val="18"/>
              </w:rPr>
              <w:t>for the adoption of green transition</w:t>
            </w:r>
            <w:r w:rsidR="00BD508A" w:rsidRPr="00ED49CA">
              <w:rPr>
                <w:b/>
                <w:bCs/>
                <w:color w:val="auto"/>
                <w:sz w:val="18"/>
                <w:szCs w:val="18"/>
              </w:rPr>
              <w:t xml:space="preserve"> in line with </w:t>
            </w:r>
            <w:r w:rsidR="00E34A4A" w:rsidRPr="00ED49CA">
              <w:rPr>
                <w:b/>
                <w:bCs/>
                <w:color w:val="auto"/>
                <w:sz w:val="18"/>
                <w:szCs w:val="18"/>
              </w:rPr>
              <w:t>national</w:t>
            </w:r>
            <w:r w:rsidR="00BD508A" w:rsidRPr="00ED49CA">
              <w:rPr>
                <w:b/>
                <w:bCs/>
                <w:color w:val="auto"/>
                <w:sz w:val="18"/>
                <w:szCs w:val="18"/>
              </w:rPr>
              <w:t xml:space="preserve"> climate </w:t>
            </w:r>
            <w:r w:rsidR="00E34A4A" w:rsidRPr="00ED49CA">
              <w:rPr>
                <w:b/>
                <w:bCs/>
                <w:color w:val="auto"/>
                <w:sz w:val="18"/>
                <w:szCs w:val="18"/>
              </w:rPr>
              <w:t>commitments</w:t>
            </w:r>
          </w:p>
          <w:p w14:paraId="4ED62CE6" w14:textId="77777777" w:rsidR="00C2532F" w:rsidRPr="00ED49CA" w:rsidRDefault="00C2532F" w:rsidP="00246C0C">
            <w:pPr>
              <w:pStyle w:val="Default"/>
              <w:rPr>
                <w:b/>
                <w:bCs/>
                <w:sz w:val="18"/>
                <w:szCs w:val="18"/>
              </w:rPr>
            </w:pPr>
          </w:p>
          <w:p w14:paraId="09854C59" w14:textId="727C32ED" w:rsidR="00C2532F" w:rsidRPr="00ED49CA" w:rsidRDefault="00C2532F" w:rsidP="00246C0C">
            <w:pPr>
              <w:pStyle w:val="Default"/>
              <w:rPr>
                <w:sz w:val="18"/>
                <w:szCs w:val="18"/>
              </w:rPr>
            </w:pPr>
            <w:r w:rsidRPr="00ED49CA">
              <w:rPr>
                <w:sz w:val="18"/>
                <w:szCs w:val="18"/>
              </w:rPr>
              <w:t xml:space="preserve">I.1.3a: </w:t>
            </w:r>
            <w:bookmarkStart w:id="4" w:name="_Hlk85200976"/>
            <w:r w:rsidRPr="00ED49CA">
              <w:rPr>
                <w:sz w:val="18"/>
                <w:szCs w:val="18"/>
              </w:rPr>
              <w:t xml:space="preserve">Level of progress in the design of </w:t>
            </w:r>
            <w:r w:rsidR="00E34A4A" w:rsidRPr="00ED49CA">
              <w:rPr>
                <w:sz w:val="18"/>
                <w:szCs w:val="18"/>
              </w:rPr>
              <w:t>policies and laws and regulations</w:t>
            </w:r>
            <w:r w:rsidRPr="00ED49CA">
              <w:rPr>
                <w:sz w:val="18"/>
                <w:szCs w:val="18"/>
              </w:rPr>
              <w:t xml:space="preserve"> for the adoption of renewable energies</w:t>
            </w:r>
            <w:r w:rsidR="00E34A4A" w:rsidRPr="00ED49CA">
              <w:rPr>
                <w:sz w:val="18"/>
                <w:szCs w:val="18"/>
              </w:rPr>
              <w:t xml:space="preserve"> and electric vehicles</w:t>
            </w:r>
          </w:p>
          <w:bookmarkEnd w:id="4"/>
          <w:p w14:paraId="59CEAF2C" w14:textId="2D07B911" w:rsidR="00C2532F" w:rsidRPr="00ED49CA" w:rsidRDefault="00C2532F" w:rsidP="00246C0C">
            <w:pPr>
              <w:pStyle w:val="Default"/>
              <w:ind w:left="720"/>
              <w:rPr>
                <w:sz w:val="18"/>
                <w:szCs w:val="18"/>
              </w:rPr>
            </w:pPr>
            <w:r w:rsidRPr="00ED49CA">
              <w:rPr>
                <w:sz w:val="18"/>
                <w:szCs w:val="18"/>
              </w:rPr>
              <w:t xml:space="preserve">Baseline: </w:t>
            </w:r>
            <w:r w:rsidR="00511F3A" w:rsidRPr="00ED49CA">
              <w:rPr>
                <w:sz w:val="18"/>
                <w:szCs w:val="18"/>
              </w:rPr>
              <w:t>started</w:t>
            </w:r>
          </w:p>
          <w:p w14:paraId="692317B4" w14:textId="77777777" w:rsidR="00C2532F" w:rsidRPr="00ED49CA" w:rsidRDefault="00C2532F" w:rsidP="00246C0C">
            <w:pPr>
              <w:pStyle w:val="Default"/>
              <w:ind w:left="720"/>
              <w:rPr>
                <w:sz w:val="18"/>
                <w:szCs w:val="18"/>
              </w:rPr>
            </w:pPr>
            <w:r w:rsidRPr="00ED49CA">
              <w:rPr>
                <w:sz w:val="18"/>
                <w:szCs w:val="18"/>
              </w:rPr>
              <w:t>Target: drafted</w:t>
            </w:r>
          </w:p>
          <w:p w14:paraId="025143BD" w14:textId="389E4AA7" w:rsidR="00C2532F" w:rsidRPr="00ED49CA" w:rsidRDefault="00C2532F" w:rsidP="00246C0C">
            <w:pPr>
              <w:pStyle w:val="Default"/>
              <w:ind w:left="720"/>
              <w:rPr>
                <w:sz w:val="18"/>
                <w:szCs w:val="18"/>
              </w:rPr>
            </w:pPr>
            <w:r w:rsidRPr="00ED49CA">
              <w:rPr>
                <w:sz w:val="18"/>
                <w:szCs w:val="18"/>
              </w:rPr>
              <w:t xml:space="preserve">Source: </w:t>
            </w:r>
            <w:r w:rsidR="008C736C">
              <w:rPr>
                <w:sz w:val="18"/>
                <w:szCs w:val="18"/>
              </w:rPr>
              <w:t>Ministry of Planning and Development</w:t>
            </w:r>
            <w:r w:rsidR="0016464F" w:rsidRPr="00ED49CA">
              <w:rPr>
                <w:sz w:val="18"/>
                <w:szCs w:val="18"/>
              </w:rPr>
              <w:t>,</w:t>
            </w:r>
            <w:r w:rsidRPr="00ED49CA">
              <w:rPr>
                <w:sz w:val="18"/>
                <w:szCs w:val="18"/>
              </w:rPr>
              <w:t xml:space="preserve"> annual </w:t>
            </w:r>
          </w:p>
          <w:p w14:paraId="02A059FE" w14:textId="77777777" w:rsidR="00C2532F" w:rsidRPr="00ED49CA" w:rsidRDefault="00C2532F" w:rsidP="00246C0C">
            <w:pPr>
              <w:pStyle w:val="Default"/>
              <w:rPr>
                <w:sz w:val="18"/>
                <w:szCs w:val="18"/>
              </w:rPr>
            </w:pPr>
          </w:p>
          <w:p w14:paraId="5C7A130F" w14:textId="3A73D647" w:rsidR="00921498" w:rsidRPr="00ED49CA" w:rsidRDefault="00921498" w:rsidP="00921498">
            <w:pPr>
              <w:autoSpaceDE w:val="0"/>
              <w:autoSpaceDN w:val="0"/>
              <w:adjustRightInd w:val="0"/>
              <w:rPr>
                <w:rFonts w:eastAsiaTheme="minorHAnsi"/>
                <w:sz w:val="18"/>
                <w:szCs w:val="18"/>
              </w:rPr>
            </w:pPr>
            <w:r w:rsidRPr="00ED49CA">
              <w:rPr>
                <w:sz w:val="18"/>
                <w:szCs w:val="18"/>
              </w:rPr>
              <w:t>I.</w:t>
            </w:r>
            <w:r w:rsidR="00A7427E" w:rsidRPr="00ED49CA">
              <w:rPr>
                <w:sz w:val="18"/>
                <w:szCs w:val="18"/>
              </w:rPr>
              <w:t>1</w:t>
            </w:r>
            <w:r w:rsidRPr="00ED49CA">
              <w:rPr>
                <w:sz w:val="18"/>
                <w:szCs w:val="18"/>
              </w:rPr>
              <w:t>.3</w:t>
            </w:r>
            <w:r w:rsidR="00A7427E" w:rsidRPr="00ED49CA">
              <w:rPr>
                <w:sz w:val="18"/>
                <w:szCs w:val="18"/>
              </w:rPr>
              <w:t>b</w:t>
            </w:r>
            <w:r w:rsidRPr="00ED49CA">
              <w:rPr>
                <w:sz w:val="18"/>
                <w:szCs w:val="18"/>
              </w:rPr>
              <w:t xml:space="preserve">: Number of national </w:t>
            </w:r>
            <w:r w:rsidRPr="00ED49CA">
              <w:rPr>
                <w:rFonts w:eastAsiaTheme="minorHAnsi"/>
                <w:sz w:val="18"/>
                <w:szCs w:val="18"/>
              </w:rPr>
              <w:t xml:space="preserve">policies, regulatory and institutional frameworks developed or amended to incorporate energy efficiency for </w:t>
            </w:r>
            <w:r w:rsidR="008C736C">
              <w:rPr>
                <w:rFonts w:eastAsiaTheme="minorHAnsi"/>
                <w:sz w:val="18"/>
                <w:szCs w:val="18"/>
              </w:rPr>
              <w:t>r</w:t>
            </w:r>
            <w:r w:rsidR="002259F6" w:rsidRPr="00ED49CA">
              <w:rPr>
                <w:rFonts w:eastAsiaTheme="minorHAnsi"/>
                <w:sz w:val="18"/>
                <w:szCs w:val="18"/>
              </w:rPr>
              <w:t xml:space="preserve">efrigeration and </w:t>
            </w:r>
            <w:r w:rsidR="008C736C">
              <w:rPr>
                <w:rFonts w:eastAsiaTheme="minorHAnsi"/>
                <w:sz w:val="18"/>
                <w:szCs w:val="18"/>
              </w:rPr>
              <w:t>a</w:t>
            </w:r>
            <w:r w:rsidR="002259F6" w:rsidRPr="00ED49CA">
              <w:rPr>
                <w:rFonts w:eastAsiaTheme="minorHAnsi"/>
                <w:sz w:val="18"/>
                <w:szCs w:val="18"/>
              </w:rPr>
              <w:t>ir-</w:t>
            </w:r>
            <w:r w:rsidR="008C736C">
              <w:rPr>
                <w:rFonts w:eastAsiaTheme="minorHAnsi"/>
                <w:sz w:val="18"/>
                <w:szCs w:val="18"/>
              </w:rPr>
              <w:t>c</w:t>
            </w:r>
            <w:r w:rsidR="002259F6" w:rsidRPr="00ED49CA">
              <w:rPr>
                <w:rFonts w:eastAsiaTheme="minorHAnsi"/>
                <w:sz w:val="18"/>
                <w:szCs w:val="18"/>
              </w:rPr>
              <w:t xml:space="preserve">onditioning </w:t>
            </w:r>
            <w:r w:rsidRPr="00ED49CA">
              <w:rPr>
                <w:rFonts w:eastAsiaTheme="minorHAnsi"/>
                <w:sz w:val="18"/>
                <w:szCs w:val="18"/>
              </w:rPr>
              <w:t>sector.</w:t>
            </w:r>
          </w:p>
          <w:p w14:paraId="523A19B0" w14:textId="77777777" w:rsidR="00921498" w:rsidRPr="00ED49CA" w:rsidRDefault="00921498" w:rsidP="00921498">
            <w:pPr>
              <w:pStyle w:val="Default"/>
              <w:ind w:left="720"/>
              <w:rPr>
                <w:sz w:val="18"/>
                <w:szCs w:val="18"/>
              </w:rPr>
            </w:pPr>
            <w:r w:rsidRPr="00ED49CA">
              <w:rPr>
                <w:sz w:val="18"/>
                <w:szCs w:val="18"/>
              </w:rPr>
              <w:t xml:space="preserve">Baseline: 0 </w:t>
            </w:r>
          </w:p>
          <w:p w14:paraId="19F85CB7" w14:textId="77777777" w:rsidR="00921498" w:rsidRPr="00ED49CA" w:rsidRDefault="00921498" w:rsidP="00921498">
            <w:pPr>
              <w:pStyle w:val="Default"/>
              <w:ind w:left="720"/>
              <w:rPr>
                <w:sz w:val="18"/>
                <w:szCs w:val="18"/>
              </w:rPr>
            </w:pPr>
            <w:r w:rsidRPr="00ED49CA">
              <w:rPr>
                <w:sz w:val="18"/>
                <w:szCs w:val="18"/>
              </w:rPr>
              <w:t xml:space="preserve">Target: 3 </w:t>
            </w:r>
          </w:p>
          <w:p w14:paraId="6809A1E8" w14:textId="08F04574" w:rsidR="00921498" w:rsidRPr="00ED49CA" w:rsidRDefault="00921498" w:rsidP="00921498">
            <w:pPr>
              <w:pStyle w:val="Default"/>
              <w:ind w:left="720"/>
              <w:rPr>
                <w:sz w:val="18"/>
                <w:szCs w:val="18"/>
              </w:rPr>
            </w:pPr>
            <w:r w:rsidRPr="00ED49CA">
              <w:rPr>
                <w:sz w:val="18"/>
                <w:szCs w:val="18"/>
              </w:rPr>
              <w:t xml:space="preserve">Source: </w:t>
            </w:r>
            <w:r w:rsidR="008C736C">
              <w:rPr>
                <w:sz w:val="18"/>
                <w:szCs w:val="18"/>
              </w:rPr>
              <w:t>Ministry of Planning and Development</w:t>
            </w:r>
            <w:r w:rsidRPr="00ED49CA">
              <w:rPr>
                <w:sz w:val="18"/>
                <w:szCs w:val="18"/>
              </w:rPr>
              <w:t>, annual</w:t>
            </w:r>
          </w:p>
          <w:p w14:paraId="2F983603" w14:textId="77777777" w:rsidR="00921498" w:rsidRPr="00ED49CA" w:rsidRDefault="00921498" w:rsidP="00246C0C">
            <w:pPr>
              <w:pStyle w:val="Default"/>
              <w:rPr>
                <w:sz w:val="18"/>
                <w:szCs w:val="18"/>
              </w:rPr>
            </w:pPr>
          </w:p>
          <w:p w14:paraId="5CA91ED2" w14:textId="2A60F066" w:rsidR="00C2532F" w:rsidRPr="00ED49CA" w:rsidRDefault="00C2532F" w:rsidP="00246C0C">
            <w:pPr>
              <w:pStyle w:val="Default"/>
              <w:rPr>
                <w:sz w:val="18"/>
                <w:szCs w:val="18"/>
              </w:rPr>
            </w:pPr>
            <w:r w:rsidRPr="00ED49CA">
              <w:rPr>
                <w:sz w:val="18"/>
                <w:szCs w:val="18"/>
              </w:rPr>
              <w:t>I.1.3</w:t>
            </w:r>
            <w:r w:rsidR="002D0EF2" w:rsidRPr="00ED49CA">
              <w:rPr>
                <w:sz w:val="18"/>
                <w:szCs w:val="18"/>
              </w:rPr>
              <w:t>c</w:t>
            </w:r>
            <w:r w:rsidRPr="00ED49CA">
              <w:rPr>
                <w:sz w:val="18"/>
                <w:szCs w:val="18"/>
              </w:rPr>
              <w:t xml:space="preserve">: Number of community-based sites running on solar power </w:t>
            </w:r>
          </w:p>
          <w:p w14:paraId="5F103BF1" w14:textId="77777777" w:rsidR="00C2532F" w:rsidRPr="00ED49CA" w:rsidRDefault="00C2532F" w:rsidP="00246C0C">
            <w:pPr>
              <w:pStyle w:val="Default"/>
              <w:ind w:left="720"/>
              <w:rPr>
                <w:sz w:val="18"/>
                <w:szCs w:val="18"/>
              </w:rPr>
            </w:pPr>
            <w:r w:rsidRPr="00ED49CA">
              <w:rPr>
                <w:sz w:val="18"/>
                <w:szCs w:val="18"/>
              </w:rPr>
              <w:t>Baseline: 0</w:t>
            </w:r>
          </w:p>
          <w:p w14:paraId="0CD88710" w14:textId="77777777" w:rsidR="00C2532F" w:rsidRPr="00ED49CA" w:rsidRDefault="00C2532F" w:rsidP="00246C0C">
            <w:pPr>
              <w:pStyle w:val="Default"/>
              <w:ind w:left="720"/>
              <w:rPr>
                <w:sz w:val="18"/>
                <w:szCs w:val="18"/>
              </w:rPr>
            </w:pPr>
            <w:r w:rsidRPr="00ED49CA">
              <w:rPr>
                <w:sz w:val="18"/>
                <w:szCs w:val="18"/>
              </w:rPr>
              <w:t xml:space="preserve">Target: 8 </w:t>
            </w:r>
          </w:p>
          <w:p w14:paraId="69C2239D" w14:textId="4C62213E" w:rsidR="00C2532F" w:rsidRPr="00ED49CA" w:rsidRDefault="00C2532F" w:rsidP="00246C0C">
            <w:pPr>
              <w:pStyle w:val="Default"/>
              <w:ind w:left="720"/>
              <w:rPr>
                <w:sz w:val="18"/>
                <w:szCs w:val="18"/>
              </w:rPr>
            </w:pPr>
            <w:r w:rsidRPr="00ED49CA">
              <w:rPr>
                <w:sz w:val="18"/>
                <w:szCs w:val="18"/>
              </w:rPr>
              <w:t xml:space="preserve">Source: </w:t>
            </w:r>
            <w:r w:rsidR="00E34A4A" w:rsidRPr="00ED49CA">
              <w:rPr>
                <w:sz w:val="18"/>
                <w:szCs w:val="18"/>
              </w:rPr>
              <w:t>UNDP</w:t>
            </w:r>
            <w:r w:rsidR="0016464F" w:rsidRPr="00ED49CA">
              <w:rPr>
                <w:sz w:val="18"/>
                <w:szCs w:val="18"/>
              </w:rPr>
              <w:t>,</w:t>
            </w:r>
            <w:r w:rsidRPr="00ED49CA">
              <w:rPr>
                <w:sz w:val="18"/>
                <w:szCs w:val="18"/>
              </w:rPr>
              <w:t xml:space="preserve"> annual </w:t>
            </w:r>
          </w:p>
          <w:p w14:paraId="57DD1DB8" w14:textId="5860463E" w:rsidR="00C2532F" w:rsidRPr="00ED49CA" w:rsidRDefault="00C2532F" w:rsidP="00246C0C">
            <w:pPr>
              <w:rPr>
                <w:b/>
                <w:bCs/>
                <w:sz w:val="18"/>
                <w:szCs w:val="18"/>
              </w:rPr>
            </w:pPr>
          </w:p>
          <w:p w14:paraId="2F7F9E3D" w14:textId="6A7E8F57" w:rsidR="00921498" w:rsidRPr="00ED49CA" w:rsidRDefault="00921498" w:rsidP="00921498">
            <w:pPr>
              <w:autoSpaceDE w:val="0"/>
              <w:autoSpaceDN w:val="0"/>
              <w:adjustRightInd w:val="0"/>
              <w:rPr>
                <w:rFonts w:eastAsiaTheme="minorHAnsi"/>
                <w:sz w:val="18"/>
                <w:szCs w:val="18"/>
              </w:rPr>
            </w:pPr>
            <w:r w:rsidRPr="00ED49CA">
              <w:rPr>
                <w:sz w:val="18"/>
                <w:szCs w:val="18"/>
              </w:rPr>
              <w:t>I.</w:t>
            </w:r>
            <w:r w:rsidR="00494A58" w:rsidRPr="00ED49CA">
              <w:rPr>
                <w:sz w:val="18"/>
                <w:szCs w:val="18"/>
              </w:rPr>
              <w:t>1</w:t>
            </w:r>
            <w:r w:rsidRPr="00ED49CA">
              <w:rPr>
                <w:sz w:val="18"/>
                <w:szCs w:val="18"/>
              </w:rPr>
              <w:t>.3</w:t>
            </w:r>
            <w:r w:rsidR="001C5AEE" w:rsidRPr="00ED49CA">
              <w:rPr>
                <w:sz w:val="18"/>
                <w:szCs w:val="18"/>
              </w:rPr>
              <w:t>d</w:t>
            </w:r>
            <w:r w:rsidRPr="00ED49CA">
              <w:rPr>
                <w:sz w:val="18"/>
                <w:szCs w:val="18"/>
              </w:rPr>
              <w:t xml:space="preserve">: </w:t>
            </w:r>
            <w:r w:rsidRPr="00ED49CA">
              <w:rPr>
                <w:rFonts w:eastAsiaTheme="minorHAnsi"/>
                <w:sz w:val="18"/>
                <w:szCs w:val="18"/>
              </w:rPr>
              <w:t xml:space="preserve">Number of </w:t>
            </w:r>
            <w:r w:rsidRPr="00ED49CA">
              <w:rPr>
                <w:sz w:val="18"/>
                <w:szCs w:val="18"/>
              </w:rPr>
              <w:t>large-scale energy</w:t>
            </w:r>
            <w:r w:rsidR="008C736C">
              <w:rPr>
                <w:sz w:val="18"/>
                <w:szCs w:val="18"/>
              </w:rPr>
              <w:t>-</w:t>
            </w:r>
            <w:r w:rsidRPr="00ED49CA">
              <w:rPr>
                <w:sz w:val="18"/>
                <w:szCs w:val="18"/>
              </w:rPr>
              <w:t xml:space="preserve">efficient technologies implemented within the </w:t>
            </w:r>
            <w:r w:rsidR="008C736C">
              <w:rPr>
                <w:sz w:val="18"/>
                <w:szCs w:val="18"/>
              </w:rPr>
              <w:t>r</w:t>
            </w:r>
            <w:r w:rsidR="002259F6" w:rsidRPr="00ED49CA">
              <w:rPr>
                <w:rFonts w:eastAsiaTheme="minorHAnsi"/>
                <w:sz w:val="18"/>
                <w:szCs w:val="18"/>
              </w:rPr>
              <w:t xml:space="preserve">efrigeration and </w:t>
            </w:r>
            <w:r w:rsidR="008C736C">
              <w:rPr>
                <w:rFonts w:eastAsiaTheme="minorHAnsi"/>
                <w:sz w:val="18"/>
                <w:szCs w:val="18"/>
              </w:rPr>
              <w:t>a</w:t>
            </w:r>
            <w:r w:rsidR="002259F6" w:rsidRPr="00ED49CA">
              <w:rPr>
                <w:rFonts w:eastAsiaTheme="minorHAnsi"/>
                <w:sz w:val="18"/>
                <w:szCs w:val="18"/>
              </w:rPr>
              <w:t>ir</w:t>
            </w:r>
            <w:r w:rsidR="00FB4F3D">
              <w:rPr>
                <w:rFonts w:eastAsiaTheme="minorHAnsi"/>
                <w:sz w:val="18"/>
                <w:szCs w:val="18"/>
              </w:rPr>
              <w:t>-conditioning</w:t>
            </w:r>
            <w:r w:rsidRPr="00ED49CA">
              <w:rPr>
                <w:sz w:val="18"/>
                <w:szCs w:val="18"/>
              </w:rPr>
              <w:t xml:space="preserve"> sector</w:t>
            </w:r>
            <w:r w:rsidRPr="00ED49CA">
              <w:rPr>
                <w:rFonts w:eastAsiaTheme="minorHAnsi"/>
                <w:sz w:val="18"/>
                <w:szCs w:val="18"/>
              </w:rPr>
              <w:t>.</w:t>
            </w:r>
            <w:r w:rsidRPr="00ED49CA">
              <w:rPr>
                <w:sz w:val="18"/>
                <w:szCs w:val="18"/>
              </w:rPr>
              <w:t xml:space="preserve"> </w:t>
            </w:r>
          </w:p>
          <w:p w14:paraId="4DE648E0" w14:textId="77777777" w:rsidR="00921498" w:rsidRPr="00ED49CA" w:rsidRDefault="00921498" w:rsidP="00921498">
            <w:pPr>
              <w:autoSpaceDE w:val="0"/>
              <w:autoSpaceDN w:val="0"/>
              <w:adjustRightInd w:val="0"/>
              <w:ind w:left="720"/>
              <w:rPr>
                <w:sz w:val="18"/>
                <w:szCs w:val="18"/>
              </w:rPr>
            </w:pPr>
            <w:r w:rsidRPr="00ED49CA">
              <w:rPr>
                <w:sz w:val="18"/>
                <w:szCs w:val="18"/>
              </w:rPr>
              <w:t xml:space="preserve">Baseline: 0 </w:t>
            </w:r>
          </w:p>
          <w:p w14:paraId="1686947E" w14:textId="77777777" w:rsidR="00921498" w:rsidRPr="00ED49CA" w:rsidRDefault="00921498" w:rsidP="00921498">
            <w:pPr>
              <w:pStyle w:val="Default"/>
              <w:ind w:left="720"/>
              <w:rPr>
                <w:sz w:val="18"/>
                <w:szCs w:val="18"/>
              </w:rPr>
            </w:pPr>
            <w:r w:rsidRPr="00ED49CA">
              <w:rPr>
                <w:sz w:val="18"/>
                <w:szCs w:val="18"/>
              </w:rPr>
              <w:t xml:space="preserve">Target: 2 </w:t>
            </w:r>
          </w:p>
          <w:p w14:paraId="411727B7" w14:textId="4842866A" w:rsidR="00210112" w:rsidRPr="00ED49CA" w:rsidRDefault="00921498" w:rsidP="0091469C">
            <w:pPr>
              <w:pStyle w:val="Default"/>
              <w:ind w:left="720"/>
              <w:rPr>
                <w:sz w:val="18"/>
                <w:szCs w:val="18"/>
              </w:rPr>
            </w:pPr>
            <w:r w:rsidRPr="00ED49CA">
              <w:rPr>
                <w:sz w:val="18"/>
                <w:szCs w:val="18"/>
              </w:rPr>
              <w:lastRenderedPageBreak/>
              <w:t xml:space="preserve">Source: GEF, </w:t>
            </w:r>
            <w:r w:rsidR="00693BEF">
              <w:rPr>
                <w:sz w:val="18"/>
                <w:szCs w:val="18"/>
              </w:rPr>
              <w:t>Ministry of Planning and Development</w:t>
            </w:r>
            <w:r w:rsidRPr="00ED49CA">
              <w:rPr>
                <w:sz w:val="18"/>
                <w:szCs w:val="18"/>
              </w:rPr>
              <w:t>, annual</w:t>
            </w:r>
          </w:p>
          <w:p w14:paraId="217949F7" w14:textId="4EA2EC43" w:rsidR="00480223" w:rsidRPr="00ED49CA" w:rsidRDefault="00480223" w:rsidP="00246C0C">
            <w:pPr>
              <w:rPr>
                <w:b/>
                <w:bCs/>
                <w:sz w:val="18"/>
                <w:szCs w:val="18"/>
              </w:rPr>
            </w:pPr>
          </w:p>
          <w:p w14:paraId="56CA7B6A" w14:textId="7E92F6B6" w:rsidR="004339D8" w:rsidRPr="00ED49CA" w:rsidRDefault="004339D8" w:rsidP="004339D8">
            <w:pPr>
              <w:pStyle w:val="Default"/>
              <w:rPr>
                <w:sz w:val="18"/>
                <w:szCs w:val="18"/>
              </w:rPr>
            </w:pPr>
            <w:r w:rsidRPr="00ED49CA">
              <w:rPr>
                <w:sz w:val="18"/>
                <w:szCs w:val="18"/>
              </w:rPr>
              <w:t>I.1.3e: Percent</w:t>
            </w:r>
            <w:r w:rsidR="008C736C">
              <w:rPr>
                <w:sz w:val="18"/>
                <w:szCs w:val="18"/>
              </w:rPr>
              <w:t>age</w:t>
            </w:r>
            <w:r w:rsidRPr="00ED49CA">
              <w:rPr>
                <w:sz w:val="18"/>
                <w:szCs w:val="18"/>
              </w:rPr>
              <w:t xml:space="preserve"> of HCFC</w:t>
            </w:r>
            <w:r w:rsidR="008C736C">
              <w:rPr>
                <w:sz w:val="18"/>
                <w:szCs w:val="18"/>
              </w:rPr>
              <w:t xml:space="preserve"> </w:t>
            </w:r>
            <w:r w:rsidRPr="00ED49CA">
              <w:rPr>
                <w:sz w:val="18"/>
                <w:szCs w:val="18"/>
              </w:rPr>
              <w:t>consumption decreased from the 2013 baseline.</w:t>
            </w:r>
          </w:p>
          <w:p w14:paraId="30ED7A2F" w14:textId="77777777" w:rsidR="004339D8" w:rsidRPr="00ED49CA" w:rsidRDefault="004339D8" w:rsidP="00C7276B">
            <w:pPr>
              <w:autoSpaceDE w:val="0"/>
              <w:autoSpaceDN w:val="0"/>
              <w:adjustRightInd w:val="0"/>
              <w:ind w:left="720"/>
              <w:rPr>
                <w:sz w:val="18"/>
                <w:szCs w:val="18"/>
              </w:rPr>
            </w:pPr>
            <w:r w:rsidRPr="00ED49CA">
              <w:rPr>
                <w:sz w:val="18"/>
                <w:szCs w:val="18"/>
              </w:rPr>
              <w:t xml:space="preserve">Baseline: 37.5% reduction </w:t>
            </w:r>
          </w:p>
          <w:p w14:paraId="21752D66" w14:textId="77777777" w:rsidR="004339D8" w:rsidRPr="00ED49CA" w:rsidRDefault="004339D8" w:rsidP="00C7276B">
            <w:pPr>
              <w:autoSpaceDE w:val="0"/>
              <w:autoSpaceDN w:val="0"/>
              <w:adjustRightInd w:val="0"/>
              <w:ind w:left="720"/>
              <w:rPr>
                <w:sz w:val="18"/>
                <w:szCs w:val="18"/>
              </w:rPr>
            </w:pPr>
            <w:r w:rsidRPr="00ED49CA">
              <w:rPr>
                <w:sz w:val="18"/>
                <w:szCs w:val="18"/>
              </w:rPr>
              <w:t>Target: 65.5% reduction</w:t>
            </w:r>
          </w:p>
          <w:p w14:paraId="275B711B" w14:textId="77777777" w:rsidR="004339D8" w:rsidRPr="00ED49CA" w:rsidRDefault="004339D8" w:rsidP="00C7276B">
            <w:pPr>
              <w:autoSpaceDE w:val="0"/>
              <w:autoSpaceDN w:val="0"/>
              <w:adjustRightInd w:val="0"/>
              <w:ind w:left="720"/>
              <w:rPr>
                <w:sz w:val="18"/>
                <w:szCs w:val="18"/>
              </w:rPr>
            </w:pPr>
            <w:r w:rsidRPr="00ED49CA">
              <w:rPr>
                <w:sz w:val="18"/>
                <w:szCs w:val="18"/>
              </w:rPr>
              <w:t xml:space="preserve">Source: Ministry of Energy and Energy Industries </w:t>
            </w:r>
          </w:p>
          <w:p w14:paraId="5B4EADD1" w14:textId="77777777" w:rsidR="004339D8" w:rsidRPr="00ED49CA" w:rsidRDefault="004339D8" w:rsidP="00246C0C">
            <w:pPr>
              <w:rPr>
                <w:b/>
                <w:bCs/>
                <w:sz w:val="18"/>
                <w:szCs w:val="18"/>
              </w:rPr>
            </w:pPr>
          </w:p>
          <w:p w14:paraId="58C9F3F5" w14:textId="670F9542" w:rsidR="00C2532F" w:rsidRPr="00ED49CA" w:rsidRDefault="00C2532F" w:rsidP="00246C0C">
            <w:pPr>
              <w:pStyle w:val="Default"/>
              <w:rPr>
                <w:b/>
                <w:bCs/>
                <w:color w:val="auto"/>
                <w:sz w:val="18"/>
                <w:szCs w:val="18"/>
              </w:rPr>
            </w:pPr>
            <w:r w:rsidRPr="00ED49CA">
              <w:rPr>
                <w:b/>
                <w:bCs/>
                <w:color w:val="auto"/>
                <w:sz w:val="18"/>
                <w:szCs w:val="18"/>
              </w:rPr>
              <w:t>1.4 Human capital strengthened through investments in research, science and technology to achieve higher levels of economic productivity and innovation.</w:t>
            </w:r>
          </w:p>
          <w:p w14:paraId="56A0EF38" w14:textId="77777777" w:rsidR="00C2532F" w:rsidRPr="00ED49CA" w:rsidRDefault="00C2532F" w:rsidP="00246C0C">
            <w:pPr>
              <w:pStyle w:val="Default"/>
              <w:rPr>
                <w:color w:val="auto"/>
                <w:sz w:val="18"/>
                <w:szCs w:val="18"/>
              </w:rPr>
            </w:pPr>
          </w:p>
          <w:p w14:paraId="72B5BAC1" w14:textId="5BDDE99B" w:rsidR="000217F2" w:rsidRDefault="00C2532F" w:rsidP="00246C0C">
            <w:pPr>
              <w:pStyle w:val="Default"/>
              <w:rPr>
                <w:sz w:val="18"/>
                <w:szCs w:val="18"/>
              </w:rPr>
            </w:pPr>
            <w:r w:rsidRPr="00ED49CA">
              <w:rPr>
                <w:sz w:val="18"/>
                <w:szCs w:val="18"/>
              </w:rPr>
              <w:t xml:space="preserve">I.1.4: </w:t>
            </w:r>
            <w:r w:rsidR="00237F90" w:rsidRPr="00ED49CA">
              <w:rPr>
                <w:sz w:val="18"/>
                <w:szCs w:val="18"/>
              </w:rPr>
              <w:t>Level of progress in developing</w:t>
            </w:r>
            <w:r w:rsidRPr="00ED49CA">
              <w:rPr>
                <w:sz w:val="18"/>
                <w:szCs w:val="18"/>
              </w:rPr>
              <w:t xml:space="preserve"> a science</w:t>
            </w:r>
            <w:r w:rsidR="000217F2">
              <w:rPr>
                <w:sz w:val="18"/>
                <w:szCs w:val="18"/>
              </w:rPr>
              <w:t>,</w:t>
            </w:r>
            <w:r w:rsidRPr="00ED49CA">
              <w:rPr>
                <w:sz w:val="18"/>
                <w:szCs w:val="18"/>
              </w:rPr>
              <w:t xml:space="preserve"> technology and engineering research and training centr</w:t>
            </w:r>
            <w:r w:rsidR="008C736C">
              <w:rPr>
                <w:sz w:val="18"/>
                <w:szCs w:val="18"/>
              </w:rPr>
              <w:t>e</w:t>
            </w:r>
            <w:r w:rsidRPr="00ED49CA">
              <w:rPr>
                <w:sz w:val="18"/>
                <w:szCs w:val="18"/>
              </w:rPr>
              <w:t xml:space="preserve"> </w:t>
            </w:r>
            <w:r w:rsidR="000217F2">
              <w:rPr>
                <w:sz w:val="18"/>
                <w:szCs w:val="18"/>
              </w:rPr>
              <w:t>(</w:t>
            </w:r>
            <w:r w:rsidRPr="00ED49CA">
              <w:rPr>
                <w:sz w:val="18"/>
                <w:szCs w:val="18"/>
              </w:rPr>
              <w:t>equipped</w:t>
            </w:r>
            <w:r w:rsidR="000217F2">
              <w:rPr>
                <w:sz w:val="18"/>
                <w:szCs w:val="18"/>
              </w:rPr>
              <w:t>)</w:t>
            </w:r>
          </w:p>
          <w:p w14:paraId="770622CA" w14:textId="6B57B6F9" w:rsidR="00C2532F" w:rsidRPr="00ED49CA" w:rsidRDefault="00C2532F" w:rsidP="00246C0C">
            <w:pPr>
              <w:pStyle w:val="Default"/>
              <w:rPr>
                <w:color w:val="auto"/>
                <w:sz w:val="18"/>
                <w:szCs w:val="18"/>
              </w:rPr>
            </w:pPr>
            <w:r w:rsidRPr="00ED49CA">
              <w:rPr>
                <w:sz w:val="18"/>
                <w:szCs w:val="18"/>
              </w:rPr>
              <w:t>(</w:t>
            </w:r>
            <w:r w:rsidR="00071EE3" w:rsidRPr="00ED49CA">
              <w:rPr>
                <w:sz w:val="18"/>
                <w:szCs w:val="18"/>
              </w:rPr>
              <w:t>A</w:t>
            </w:r>
            <w:r w:rsidRPr="00ED49CA">
              <w:rPr>
                <w:sz w:val="18"/>
                <w:szCs w:val="18"/>
              </w:rPr>
              <w:t>ruba)</w:t>
            </w:r>
          </w:p>
          <w:p w14:paraId="41718B5B" w14:textId="1C305A88" w:rsidR="00C2532F" w:rsidRPr="00ED49CA" w:rsidRDefault="00C2532F" w:rsidP="00246C0C">
            <w:pPr>
              <w:pStyle w:val="Default"/>
              <w:ind w:left="720"/>
              <w:rPr>
                <w:sz w:val="18"/>
                <w:szCs w:val="18"/>
              </w:rPr>
            </w:pPr>
            <w:r w:rsidRPr="00ED49CA">
              <w:rPr>
                <w:sz w:val="18"/>
                <w:szCs w:val="18"/>
              </w:rPr>
              <w:t xml:space="preserve">Baseline: </w:t>
            </w:r>
            <w:r w:rsidR="00511F3A" w:rsidRPr="00ED49CA">
              <w:rPr>
                <w:sz w:val="18"/>
                <w:szCs w:val="18"/>
              </w:rPr>
              <w:t>plans prepared</w:t>
            </w:r>
          </w:p>
          <w:p w14:paraId="3BFBF228" w14:textId="77777777" w:rsidR="00C2532F" w:rsidRPr="00ED49CA" w:rsidRDefault="00C2532F" w:rsidP="00246C0C">
            <w:pPr>
              <w:pStyle w:val="Default"/>
              <w:ind w:left="720"/>
              <w:rPr>
                <w:sz w:val="18"/>
                <w:szCs w:val="18"/>
              </w:rPr>
            </w:pPr>
            <w:r w:rsidRPr="00ED49CA">
              <w:rPr>
                <w:sz w:val="18"/>
                <w:szCs w:val="18"/>
              </w:rPr>
              <w:t xml:space="preserve">Target: implemented </w:t>
            </w:r>
          </w:p>
          <w:p w14:paraId="4B85C90A" w14:textId="144DFC83" w:rsidR="00C2532F" w:rsidRPr="00ED49CA" w:rsidRDefault="00C2532F" w:rsidP="00246C0C">
            <w:pPr>
              <w:pStyle w:val="Default"/>
              <w:ind w:left="720"/>
              <w:rPr>
                <w:sz w:val="18"/>
                <w:szCs w:val="18"/>
              </w:rPr>
            </w:pPr>
            <w:r w:rsidRPr="00ED49CA">
              <w:rPr>
                <w:sz w:val="18"/>
                <w:szCs w:val="18"/>
              </w:rPr>
              <w:t>Source: UNDP, annual</w:t>
            </w:r>
          </w:p>
        </w:tc>
        <w:tc>
          <w:tcPr>
            <w:tcW w:w="979" w:type="pct"/>
            <w:vMerge w:val="restart"/>
          </w:tcPr>
          <w:p w14:paraId="667E5CAC" w14:textId="4A0F5525" w:rsidR="00C2532F" w:rsidRPr="00ED49CA" w:rsidRDefault="00C2532F" w:rsidP="00246C0C">
            <w:pPr>
              <w:pStyle w:val="Default"/>
              <w:rPr>
                <w:sz w:val="18"/>
                <w:szCs w:val="18"/>
              </w:rPr>
            </w:pPr>
            <w:r w:rsidRPr="00ED49CA">
              <w:rPr>
                <w:sz w:val="18"/>
                <w:szCs w:val="18"/>
              </w:rPr>
              <w:lastRenderedPageBreak/>
              <w:t xml:space="preserve">Government </w:t>
            </w:r>
            <w:r w:rsidR="00751171">
              <w:rPr>
                <w:sz w:val="18"/>
                <w:szCs w:val="18"/>
              </w:rPr>
              <w:t>a</w:t>
            </w:r>
            <w:r w:rsidRPr="00ED49CA">
              <w:rPr>
                <w:sz w:val="18"/>
                <w:szCs w:val="18"/>
              </w:rPr>
              <w:t>gencies</w:t>
            </w:r>
          </w:p>
          <w:p w14:paraId="18B61CBC" w14:textId="63F34F25" w:rsidR="00C2532F" w:rsidRPr="00ED49CA" w:rsidRDefault="00C2532F" w:rsidP="008202BB">
            <w:pPr>
              <w:pStyle w:val="Default"/>
              <w:numPr>
                <w:ilvl w:val="0"/>
                <w:numId w:val="3"/>
              </w:numPr>
              <w:rPr>
                <w:sz w:val="18"/>
                <w:szCs w:val="18"/>
              </w:rPr>
            </w:pPr>
            <w:r w:rsidRPr="00ED49CA">
              <w:rPr>
                <w:sz w:val="18"/>
                <w:szCs w:val="18"/>
              </w:rPr>
              <w:t>M</w:t>
            </w:r>
            <w:r w:rsidR="00057078" w:rsidRPr="00ED49CA">
              <w:rPr>
                <w:sz w:val="18"/>
                <w:szCs w:val="18"/>
              </w:rPr>
              <w:t>inistry of Planning and Development</w:t>
            </w:r>
          </w:p>
          <w:p w14:paraId="1D792181" w14:textId="77777777" w:rsidR="00C2532F" w:rsidRPr="00ED49CA" w:rsidRDefault="00C2532F" w:rsidP="008202BB">
            <w:pPr>
              <w:pStyle w:val="Default"/>
              <w:numPr>
                <w:ilvl w:val="0"/>
                <w:numId w:val="3"/>
              </w:numPr>
              <w:rPr>
                <w:sz w:val="18"/>
                <w:szCs w:val="18"/>
              </w:rPr>
            </w:pPr>
            <w:r w:rsidRPr="00ED49CA">
              <w:rPr>
                <w:sz w:val="18"/>
                <w:szCs w:val="18"/>
              </w:rPr>
              <w:t>Ministry of Energy</w:t>
            </w:r>
          </w:p>
          <w:p w14:paraId="6A0DEDA0" w14:textId="3C2E0524" w:rsidR="00C2532F" w:rsidRPr="00ED49CA" w:rsidRDefault="000C196C" w:rsidP="008202BB">
            <w:pPr>
              <w:pStyle w:val="ListParagraph"/>
              <w:numPr>
                <w:ilvl w:val="0"/>
                <w:numId w:val="3"/>
              </w:numPr>
              <w:contextualSpacing/>
              <w:rPr>
                <w:sz w:val="18"/>
                <w:szCs w:val="18"/>
              </w:rPr>
            </w:pPr>
            <w:r w:rsidRPr="00ED49CA">
              <w:rPr>
                <w:sz w:val="18"/>
                <w:szCs w:val="18"/>
              </w:rPr>
              <w:t xml:space="preserve">The </w:t>
            </w:r>
            <w:r w:rsidR="00C2532F" w:rsidRPr="00ED49CA">
              <w:rPr>
                <w:sz w:val="18"/>
                <w:szCs w:val="18"/>
              </w:rPr>
              <w:t>Parliament</w:t>
            </w:r>
            <w:r w:rsidR="00551CBF" w:rsidRPr="00ED49CA">
              <w:rPr>
                <w:sz w:val="18"/>
                <w:szCs w:val="18"/>
              </w:rPr>
              <w:t xml:space="preserve"> of Trinidad and Tobago</w:t>
            </w:r>
          </w:p>
          <w:p w14:paraId="33620145" w14:textId="4C8817EF" w:rsidR="00C2532F" w:rsidRPr="00ED49CA" w:rsidRDefault="00C2532F" w:rsidP="008202BB">
            <w:pPr>
              <w:pStyle w:val="ListParagraph"/>
              <w:numPr>
                <w:ilvl w:val="0"/>
                <w:numId w:val="3"/>
              </w:numPr>
              <w:contextualSpacing/>
              <w:rPr>
                <w:sz w:val="18"/>
                <w:szCs w:val="18"/>
              </w:rPr>
            </w:pPr>
            <w:r w:rsidRPr="00ED49CA">
              <w:rPr>
                <w:sz w:val="18"/>
                <w:szCs w:val="18"/>
              </w:rPr>
              <w:t>Ministry of Digital Transformation</w:t>
            </w:r>
          </w:p>
          <w:p w14:paraId="51D78E5B" w14:textId="77777777" w:rsidR="00C2532F" w:rsidRPr="00ED49CA" w:rsidRDefault="00C2532F" w:rsidP="008202BB">
            <w:pPr>
              <w:pStyle w:val="ListParagraph"/>
              <w:numPr>
                <w:ilvl w:val="0"/>
                <w:numId w:val="3"/>
              </w:numPr>
              <w:contextualSpacing/>
              <w:rPr>
                <w:sz w:val="18"/>
                <w:szCs w:val="18"/>
              </w:rPr>
            </w:pPr>
            <w:r w:rsidRPr="00ED49CA">
              <w:rPr>
                <w:sz w:val="18"/>
                <w:szCs w:val="18"/>
              </w:rPr>
              <w:t>Ministry of Finance (Aruba)</w:t>
            </w:r>
          </w:p>
          <w:p w14:paraId="3995BB60" w14:textId="14C11F51" w:rsidR="00C2532F" w:rsidRPr="00ED49CA" w:rsidRDefault="00C2532F" w:rsidP="008202BB">
            <w:pPr>
              <w:pStyle w:val="ListParagraph"/>
              <w:numPr>
                <w:ilvl w:val="0"/>
                <w:numId w:val="3"/>
              </w:numPr>
              <w:contextualSpacing/>
              <w:rPr>
                <w:sz w:val="18"/>
                <w:szCs w:val="18"/>
              </w:rPr>
            </w:pPr>
            <w:r w:rsidRPr="00ED49CA">
              <w:rPr>
                <w:sz w:val="18"/>
                <w:szCs w:val="18"/>
              </w:rPr>
              <w:t>University of Aruba</w:t>
            </w:r>
          </w:p>
          <w:p w14:paraId="4FDB11E2" w14:textId="1A6F1B30" w:rsidR="005D4EF0" w:rsidRPr="00ED49CA" w:rsidRDefault="005D4EF0" w:rsidP="008202BB">
            <w:pPr>
              <w:pStyle w:val="ListParagraph"/>
              <w:numPr>
                <w:ilvl w:val="0"/>
                <w:numId w:val="3"/>
              </w:numPr>
              <w:contextualSpacing/>
              <w:rPr>
                <w:sz w:val="18"/>
                <w:szCs w:val="18"/>
              </w:rPr>
            </w:pPr>
            <w:r w:rsidRPr="00ED49CA">
              <w:rPr>
                <w:sz w:val="18"/>
                <w:szCs w:val="18"/>
              </w:rPr>
              <w:t>Ministry of Kingdom Affairs, Sint Maarten</w:t>
            </w:r>
          </w:p>
          <w:p w14:paraId="3372BDCE" w14:textId="7A13FD0D" w:rsidR="005D4EF0" w:rsidRPr="00ED49CA" w:rsidRDefault="005D4EF0" w:rsidP="008202BB">
            <w:pPr>
              <w:pStyle w:val="ListParagraph"/>
              <w:numPr>
                <w:ilvl w:val="0"/>
                <w:numId w:val="3"/>
              </w:numPr>
              <w:contextualSpacing/>
              <w:rPr>
                <w:sz w:val="18"/>
                <w:szCs w:val="18"/>
              </w:rPr>
            </w:pPr>
            <w:r w:rsidRPr="00ED49CA">
              <w:rPr>
                <w:sz w:val="18"/>
                <w:szCs w:val="18"/>
              </w:rPr>
              <w:t>Ministry of General Affairs (Office of the Prime Minister) Cura</w:t>
            </w:r>
            <w:r w:rsidR="00840D5F">
              <w:rPr>
                <w:lang w:val="en-GB" w:bidi="en-GB"/>
              </w:rPr>
              <w:t>ç</w:t>
            </w:r>
            <w:r w:rsidRPr="00ED49CA">
              <w:rPr>
                <w:sz w:val="18"/>
                <w:szCs w:val="18"/>
              </w:rPr>
              <w:t>ao</w:t>
            </w:r>
          </w:p>
          <w:p w14:paraId="40422259" w14:textId="77777777" w:rsidR="00C2532F" w:rsidRPr="00ED49CA" w:rsidRDefault="00C2532F" w:rsidP="00246C0C">
            <w:pPr>
              <w:pStyle w:val="Default"/>
              <w:rPr>
                <w:sz w:val="18"/>
                <w:szCs w:val="18"/>
              </w:rPr>
            </w:pPr>
          </w:p>
          <w:p w14:paraId="2F515475" w14:textId="6BDFCB24" w:rsidR="00975427" w:rsidRPr="00ED49CA" w:rsidRDefault="00975427" w:rsidP="00975427">
            <w:pPr>
              <w:pStyle w:val="Default"/>
              <w:rPr>
                <w:sz w:val="18"/>
                <w:szCs w:val="18"/>
              </w:rPr>
            </w:pPr>
            <w:r w:rsidRPr="00ED49CA">
              <w:rPr>
                <w:sz w:val="18"/>
                <w:szCs w:val="18"/>
              </w:rPr>
              <w:t xml:space="preserve">Civil </w:t>
            </w:r>
            <w:r w:rsidR="000F3870">
              <w:rPr>
                <w:sz w:val="18"/>
                <w:szCs w:val="18"/>
              </w:rPr>
              <w:t>s</w:t>
            </w:r>
            <w:r w:rsidR="000F3870" w:rsidRPr="00ED49CA">
              <w:rPr>
                <w:sz w:val="18"/>
                <w:szCs w:val="18"/>
              </w:rPr>
              <w:t>ociety</w:t>
            </w:r>
          </w:p>
          <w:p w14:paraId="5E21E644" w14:textId="77777777" w:rsidR="00975427" w:rsidRPr="00ED49CA" w:rsidRDefault="00975427" w:rsidP="008202BB">
            <w:pPr>
              <w:pStyle w:val="Default"/>
              <w:numPr>
                <w:ilvl w:val="0"/>
                <w:numId w:val="3"/>
              </w:numPr>
              <w:spacing w:line="259" w:lineRule="auto"/>
              <w:rPr>
                <w:sz w:val="18"/>
                <w:szCs w:val="18"/>
              </w:rPr>
            </w:pPr>
            <w:r w:rsidRPr="00ED49CA">
              <w:rPr>
                <w:sz w:val="18"/>
                <w:szCs w:val="18"/>
              </w:rPr>
              <w:t>Air Conditioning and Refrigeration Industry Association</w:t>
            </w:r>
          </w:p>
          <w:p w14:paraId="4930E4D4" w14:textId="0BCE1B03" w:rsidR="00C2532F" w:rsidRPr="00ED49CA" w:rsidRDefault="00C2532F" w:rsidP="008202BB">
            <w:pPr>
              <w:pStyle w:val="Default"/>
              <w:numPr>
                <w:ilvl w:val="0"/>
                <w:numId w:val="3"/>
              </w:numPr>
              <w:rPr>
                <w:sz w:val="18"/>
                <w:szCs w:val="18"/>
              </w:rPr>
            </w:pPr>
            <w:r w:rsidRPr="00ED49CA">
              <w:rPr>
                <w:sz w:val="18"/>
                <w:szCs w:val="18"/>
              </w:rPr>
              <w:t xml:space="preserve">University of </w:t>
            </w:r>
            <w:r w:rsidR="008C736C">
              <w:rPr>
                <w:sz w:val="18"/>
                <w:szCs w:val="18"/>
              </w:rPr>
              <w:t xml:space="preserve">the </w:t>
            </w:r>
            <w:r w:rsidRPr="00ED49CA">
              <w:rPr>
                <w:sz w:val="18"/>
                <w:szCs w:val="18"/>
              </w:rPr>
              <w:t>West Indies</w:t>
            </w:r>
          </w:p>
          <w:p w14:paraId="73C7770C" w14:textId="77777777" w:rsidR="00C2532F" w:rsidRPr="00ED49CA" w:rsidRDefault="00C2532F" w:rsidP="00246C0C">
            <w:pPr>
              <w:pStyle w:val="Default"/>
              <w:rPr>
                <w:sz w:val="18"/>
                <w:szCs w:val="18"/>
              </w:rPr>
            </w:pPr>
          </w:p>
          <w:p w14:paraId="462F05FD" w14:textId="038101D1" w:rsidR="00C2532F" w:rsidRPr="00ED49CA" w:rsidRDefault="00C2532F" w:rsidP="00246C0C">
            <w:pPr>
              <w:pStyle w:val="Default"/>
              <w:rPr>
                <w:sz w:val="18"/>
                <w:szCs w:val="18"/>
              </w:rPr>
            </w:pPr>
            <w:r w:rsidRPr="00ED49CA">
              <w:rPr>
                <w:sz w:val="18"/>
                <w:szCs w:val="18"/>
              </w:rPr>
              <w:t xml:space="preserve">Development </w:t>
            </w:r>
            <w:r w:rsidR="00C56D7A">
              <w:rPr>
                <w:sz w:val="18"/>
                <w:szCs w:val="18"/>
              </w:rPr>
              <w:t>p</w:t>
            </w:r>
            <w:r w:rsidR="00C56D7A" w:rsidRPr="00ED49CA">
              <w:rPr>
                <w:sz w:val="18"/>
                <w:szCs w:val="18"/>
              </w:rPr>
              <w:t>artner</w:t>
            </w:r>
            <w:r w:rsidR="00C56D7A">
              <w:rPr>
                <w:sz w:val="18"/>
                <w:szCs w:val="18"/>
              </w:rPr>
              <w:t>s</w:t>
            </w:r>
          </w:p>
          <w:p w14:paraId="150593DA" w14:textId="314FF904" w:rsidR="00C2532F" w:rsidRPr="00ED49CA" w:rsidRDefault="00C2532F" w:rsidP="008202BB">
            <w:pPr>
              <w:pStyle w:val="Default"/>
              <w:numPr>
                <w:ilvl w:val="0"/>
                <w:numId w:val="3"/>
              </w:numPr>
              <w:rPr>
                <w:sz w:val="18"/>
                <w:szCs w:val="18"/>
              </w:rPr>
            </w:pPr>
            <w:r w:rsidRPr="00ED49CA">
              <w:rPr>
                <w:sz w:val="18"/>
                <w:szCs w:val="18"/>
              </w:rPr>
              <w:t>G</w:t>
            </w:r>
            <w:r w:rsidR="00FB4F3D">
              <w:rPr>
                <w:sz w:val="18"/>
                <w:szCs w:val="18"/>
              </w:rPr>
              <w:t>EF</w:t>
            </w:r>
          </w:p>
          <w:p w14:paraId="1205DCFA" w14:textId="77777777" w:rsidR="00C2532F" w:rsidRPr="00ED49CA" w:rsidRDefault="00C2532F" w:rsidP="008202BB">
            <w:pPr>
              <w:pStyle w:val="ListParagraph"/>
              <w:numPr>
                <w:ilvl w:val="0"/>
                <w:numId w:val="3"/>
              </w:numPr>
              <w:rPr>
                <w:color w:val="000000"/>
                <w:sz w:val="18"/>
                <w:szCs w:val="18"/>
                <w:lang w:val="en-GB"/>
              </w:rPr>
            </w:pPr>
            <w:r w:rsidRPr="00ED49CA">
              <w:rPr>
                <w:sz w:val="18"/>
                <w:szCs w:val="18"/>
              </w:rPr>
              <w:t>European Union</w:t>
            </w:r>
          </w:p>
          <w:p w14:paraId="05FB20F1" w14:textId="77777777" w:rsidR="00C2532F" w:rsidRPr="00ED49CA" w:rsidRDefault="00C2532F" w:rsidP="00246C0C">
            <w:pPr>
              <w:pStyle w:val="Default"/>
              <w:rPr>
                <w:sz w:val="18"/>
                <w:szCs w:val="18"/>
              </w:rPr>
            </w:pPr>
          </w:p>
          <w:p w14:paraId="0DBC90A0" w14:textId="77777777" w:rsidR="00975427" w:rsidRPr="00ED49CA" w:rsidRDefault="00975427" w:rsidP="00975427">
            <w:pPr>
              <w:pStyle w:val="Default"/>
              <w:rPr>
                <w:sz w:val="18"/>
                <w:szCs w:val="18"/>
              </w:rPr>
            </w:pPr>
            <w:r w:rsidRPr="00ED49CA">
              <w:rPr>
                <w:sz w:val="18"/>
                <w:szCs w:val="18"/>
              </w:rPr>
              <w:t>Frameworks</w:t>
            </w:r>
          </w:p>
          <w:p w14:paraId="16050E9D" w14:textId="77777777" w:rsidR="00975427" w:rsidRPr="00ED49CA" w:rsidRDefault="00975427" w:rsidP="008202BB">
            <w:pPr>
              <w:pStyle w:val="Default"/>
              <w:numPr>
                <w:ilvl w:val="0"/>
                <w:numId w:val="5"/>
              </w:numPr>
              <w:rPr>
                <w:sz w:val="18"/>
                <w:szCs w:val="18"/>
              </w:rPr>
            </w:pPr>
            <w:r w:rsidRPr="00ED49CA">
              <w:rPr>
                <w:sz w:val="18"/>
                <w:szCs w:val="18"/>
              </w:rPr>
              <w:lastRenderedPageBreak/>
              <w:t>Sendai Framework for Disaster Risk Reduction</w:t>
            </w:r>
          </w:p>
          <w:p w14:paraId="5B0E5142" w14:textId="77777777" w:rsidR="00975427" w:rsidRPr="00ED49CA" w:rsidRDefault="00975427" w:rsidP="008202BB">
            <w:pPr>
              <w:pStyle w:val="Default"/>
              <w:numPr>
                <w:ilvl w:val="0"/>
                <w:numId w:val="5"/>
              </w:numPr>
              <w:spacing w:line="259" w:lineRule="auto"/>
              <w:rPr>
                <w:rFonts w:eastAsiaTheme="minorEastAsia"/>
                <w:color w:val="000000" w:themeColor="text1"/>
                <w:sz w:val="18"/>
                <w:szCs w:val="18"/>
              </w:rPr>
            </w:pPr>
            <w:r w:rsidRPr="00ED49CA">
              <w:rPr>
                <w:sz w:val="18"/>
                <w:szCs w:val="18"/>
              </w:rPr>
              <w:t>United Nations Framework Convention on Climate Change/ Paris Agreement</w:t>
            </w:r>
          </w:p>
          <w:p w14:paraId="4F5041F8" w14:textId="25E25023" w:rsidR="00975427" w:rsidRPr="00ED49CA" w:rsidRDefault="00975427" w:rsidP="008202BB">
            <w:pPr>
              <w:pStyle w:val="Default"/>
              <w:numPr>
                <w:ilvl w:val="0"/>
                <w:numId w:val="5"/>
              </w:numPr>
              <w:spacing w:line="259" w:lineRule="auto"/>
              <w:rPr>
                <w:color w:val="000000" w:themeColor="text1"/>
                <w:sz w:val="18"/>
                <w:szCs w:val="18"/>
              </w:rPr>
            </w:pPr>
            <w:r w:rsidRPr="00ED49CA">
              <w:rPr>
                <w:rFonts w:eastAsia="Calibri"/>
                <w:color w:val="000000" w:themeColor="text1"/>
                <w:sz w:val="18"/>
                <w:szCs w:val="18"/>
              </w:rPr>
              <w:t>Montreal Protocol</w:t>
            </w:r>
          </w:p>
          <w:p w14:paraId="762916CB" w14:textId="7639BAE1" w:rsidR="006D2D3D" w:rsidRPr="00ED49CA" w:rsidRDefault="006D2D3D" w:rsidP="008202BB">
            <w:pPr>
              <w:pStyle w:val="Default"/>
              <w:numPr>
                <w:ilvl w:val="0"/>
                <w:numId w:val="5"/>
              </w:numPr>
              <w:spacing w:line="259" w:lineRule="auto"/>
              <w:rPr>
                <w:color w:val="000000" w:themeColor="text1"/>
                <w:sz w:val="18"/>
                <w:szCs w:val="18"/>
              </w:rPr>
            </w:pPr>
            <w:r w:rsidRPr="00ED49CA">
              <w:rPr>
                <w:rFonts w:eastAsia="Calibri"/>
                <w:color w:val="000000" w:themeColor="text1"/>
                <w:sz w:val="18"/>
                <w:szCs w:val="18"/>
              </w:rPr>
              <w:t xml:space="preserve">Kigali </w:t>
            </w:r>
            <w:r w:rsidR="00D468A8" w:rsidRPr="00ED49CA">
              <w:rPr>
                <w:rFonts w:eastAsia="Calibri"/>
                <w:color w:val="000000" w:themeColor="text1"/>
                <w:sz w:val="18"/>
                <w:szCs w:val="18"/>
              </w:rPr>
              <w:t>Amendment</w:t>
            </w:r>
          </w:p>
          <w:p w14:paraId="0E2B60EC" w14:textId="77777777" w:rsidR="00C2532F" w:rsidRPr="00ED49CA" w:rsidRDefault="00C2532F" w:rsidP="00246C0C">
            <w:pPr>
              <w:pStyle w:val="Default"/>
              <w:rPr>
                <w:sz w:val="18"/>
                <w:szCs w:val="18"/>
                <w:lang w:val="en-GB"/>
              </w:rPr>
            </w:pPr>
          </w:p>
        </w:tc>
        <w:tc>
          <w:tcPr>
            <w:tcW w:w="638" w:type="pct"/>
            <w:tcMar>
              <w:top w:w="15" w:type="dxa"/>
              <w:left w:w="108" w:type="dxa"/>
              <w:bottom w:w="0" w:type="dxa"/>
              <w:right w:w="108" w:type="dxa"/>
            </w:tcMar>
          </w:tcPr>
          <w:p w14:paraId="3131E705" w14:textId="1C098CDD" w:rsidR="00C2532F" w:rsidRPr="00ED49CA" w:rsidRDefault="00C2532F" w:rsidP="00246C0C">
            <w:pPr>
              <w:rPr>
                <w:b/>
                <w:color w:val="000000"/>
                <w:sz w:val="18"/>
                <w:szCs w:val="18"/>
              </w:rPr>
            </w:pPr>
            <w:r w:rsidRPr="00ED49CA">
              <w:rPr>
                <w:b/>
                <w:color w:val="000000"/>
                <w:sz w:val="18"/>
                <w:szCs w:val="18"/>
              </w:rPr>
              <w:lastRenderedPageBreak/>
              <w:t xml:space="preserve">Regular </w:t>
            </w:r>
            <w:r w:rsidR="00EA4566">
              <w:rPr>
                <w:b/>
                <w:color w:val="000000"/>
                <w:sz w:val="18"/>
                <w:szCs w:val="18"/>
              </w:rPr>
              <w:t>$</w:t>
            </w:r>
            <w:r w:rsidR="00F32849" w:rsidRPr="00ED49CA">
              <w:rPr>
                <w:b/>
                <w:color w:val="000000"/>
                <w:sz w:val="18"/>
                <w:szCs w:val="18"/>
              </w:rPr>
              <w:t>137,000</w:t>
            </w:r>
          </w:p>
        </w:tc>
      </w:tr>
      <w:tr w:rsidR="00C2532F" w:rsidRPr="00ED49CA" w14:paraId="1762DEC0" w14:textId="77777777" w:rsidTr="000C7146">
        <w:trPr>
          <w:gridAfter w:val="2"/>
          <w:wAfter w:w="54" w:type="pct"/>
          <w:trHeight w:val="461"/>
        </w:trPr>
        <w:tc>
          <w:tcPr>
            <w:tcW w:w="1084" w:type="pct"/>
            <w:vMerge/>
            <w:tcMar>
              <w:top w:w="72" w:type="dxa"/>
              <w:left w:w="144" w:type="dxa"/>
              <w:bottom w:w="72" w:type="dxa"/>
              <w:right w:w="144" w:type="dxa"/>
            </w:tcMar>
          </w:tcPr>
          <w:p w14:paraId="45018D24" w14:textId="77777777" w:rsidR="00C2532F" w:rsidRPr="00ED49CA" w:rsidRDefault="00C2532F" w:rsidP="00246C0C">
            <w:pPr>
              <w:rPr>
                <w:color w:val="000000"/>
                <w:sz w:val="18"/>
                <w:szCs w:val="18"/>
                <w:lang w:val="en-GB"/>
              </w:rPr>
            </w:pPr>
          </w:p>
        </w:tc>
        <w:tc>
          <w:tcPr>
            <w:tcW w:w="1165" w:type="pct"/>
            <w:gridSpan w:val="2"/>
            <w:vMerge/>
          </w:tcPr>
          <w:p w14:paraId="67908614" w14:textId="77777777" w:rsidR="00C2532F" w:rsidRPr="00ED49CA" w:rsidRDefault="00C2532F" w:rsidP="00246C0C">
            <w:pPr>
              <w:rPr>
                <w:color w:val="000000"/>
                <w:sz w:val="18"/>
                <w:szCs w:val="18"/>
                <w:lang w:val="en-GB"/>
              </w:rPr>
            </w:pPr>
          </w:p>
        </w:tc>
        <w:tc>
          <w:tcPr>
            <w:tcW w:w="1080" w:type="pct"/>
            <w:gridSpan w:val="2"/>
            <w:vMerge/>
            <w:tcMar>
              <w:top w:w="72" w:type="dxa"/>
              <w:left w:w="144" w:type="dxa"/>
              <w:bottom w:w="72" w:type="dxa"/>
              <w:right w:w="144" w:type="dxa"/>
            </w:tcMar>
          </w:tcPr>
          <w:p w14:paraId="2E748B9A" w14:textId="77777777" w:rsidR="00C2532F" w:rsidRPr="00ED49CA" w:rsidRDefault="00C2532F" w:rsidP="00246C0C">
            <w:pPr>
              <w:rPr>
                <w:color w:val="000000"/>
                <w:sz w:val="18"/>
                <w:szCs w:val="18"/>
                <w:lang w:val="en-GB"/>
              </w:rPr>
            </w:pPr>
          </w:p>
        </w:tc>
        <w:tc>
          <w:tcPr>
            <w:tcW w:w="979" w:type="pct"/>
            <w:vMerge/>
          </w:tcPr>
          <w:p w14:paraId="481C60B9" w14:textId="77777777" w:rsidR="00C2532F" w:rsidRPr="00ED49CA" w:rsidRDefault="00C2532F" w:rsidP="00246C0C">
            <w:pPr>
              <w:rPr>
                <w:color w:val="000000"/>
                <w:sz w:val="18"/>
                <w:szCs w:val="18"/>
                <w:lang w:val="en-GB"/>
              </w:rPr>
            </w:pPr>
          </w:p>
        </w:tc>
        <w:tc>
          <w:tcPr>
            <w:tcW w:w="638" w:type="pct"/>
            <w:tcMar>
              <w:top w:w="15" w:type="dxa"/>
              <w:left w:w="108" w:type="dxa"/>
              <w:bottom w:w="0" w:type="dxa"/>
              <w:right w:w="108" w:type="dxa"/>
            </w:tcMar>
          </w:tcPr>
          <w:p w14:paraId="03B76184" w14:textId="627E1C6C" w:rsidR="00C2532F" w:rsidRPr="00ED49CA" w:rsidRDefault="00C2532F" w:rsidP="00246C0C">
            <w:pPr>
              <w:rPr>
                <w:b/>
                <w:color w:val="000000"/>
                <w:sz w:val="18"/>
                <w:szCs w:val="18"/>
              </w:rPr>
            </w:pPr>
            <w:r w:rsidRPr="00ED49CA">
              <w:rPr>
                <w:b/>
                <w:color w:val="000000"/>
                <w:sz w:val="18"/>
                <w:szCs w:val="18"/>
              </w:rPr>
              <w:t>Other $</w:t>
            </w:r>
            <w:r w:rsidR="00D2061E" w:rsidRPr="00ED49CA">
              <w:rPr>
                <w:b/>
                <w:color w:val="000000"/>
                <w:sz w:val="18"/>
                <w:szCs w:val="18"/>
              </w:rPr>
              <w:t>11</w:t>
            </w:r>
            <w:r w:rsidRPr="00ED49CA">
              <w:rPr>
                <w:b/>
                <w:color w:val="000000"/>
                <w:sz w:val="18"/>
                <w:szCs w:val="18"/>
              </w:rPr>
              <w:t>,</w:t>
            </w:r>
            <w:r w:rsidR="00D2061E" w:rsidRPr="00ED49CA">
              <w:rPr>
                <w:b/>
                <w:color w:val="000000"/>
                <w:sz w:val="18"/>
                <w:szCs w:val="18"/>
              </w:rPr>
              <w:t>9</w:t>
            </w:r>
            <w:r w:rsidRPr="00ED49CA">
              <w:rPr>
                <w:b/>
                <w:color w:val="000000"/>
                <w:sz w:val="18"/>
                <w:szCs w:val="18"/>
              </w:rPr>
              <w:t>70,000</w:t>
            </w:r>
          </w:p>
          <w:p w14:paraId="70DE334C" w14:textId="77777777" w:rsidR="00C2532F" w:rsidRPr="00ED49CA" w:rsidRDefault="00C2532F" w:rsidP="00751171">
            <w:pPr>
              <w:rPr>
                <w:b/>
                <w:color w:val="000000"/>
                <w:sz w:val="18"/>
                <w:szCs w:val="18"/>
              </w:rPr>
            </w:pPr>
          </w:p>
        </w:tc>
      </w:tr>
      <w:tr w:rsidR="00C2532F" w:rsidRPr="00ED49CA" w14:paraId="258CB4CD" w14:textId="77777777" w:rsidTr="000C7146">
        <w:trPr>
          <w:gridAfter w:val="2"/>
          <w:wAfter w:w="54" w:type="pct"/>
          <w:trHeight w:val="25"/>
        </w:trPr>
        <w:tc>
          <w:tcPr>
            <w:tcW w:w="4946" w:type="pct"/>
            <w:gridSpan w:val="7"/>
            <w:shd w:val="clear" w:color="auto" w:fill="DBE5F1" w:themeFill="accent1" w:themeFillTint="33"/>
            <w:tcMar>
              <w:top w:w="72" w:type="dxa"/>
              <w:left w:w="144" w:type="dxa"/>
              <w:bottom w:w="72" w:type="dxa"/>
              <w:right w:w="144" w:type="dxa"/>
            </w:tcMar>
          </w:tcPr>
          <w:p w14:paraId="20C7A188" w14:textId="5121825A" w:rsidR="00C2532F" w:rsidRPr="00ED49CA" w:rsidRDefault="00C2532F" w:rsidP="00246C0C">
            <w:pPr>
              <w:rPr>
                <w:color w:val="000000"/>
                <w:sz w:val="18"/>
                <w:szCs w:val="18"/>
              </w:rPr>
            </w:pPr>
            <w:r w:rsidRPr="00ED49CA">
              <w:rPr>
                <w:b/>
                <w:color w:val="000000"/>
                <w:sz w:val="18"/>
                <w:szCs w:val="18"/>
                <w:lang w:val="en-GB"/>
              </w:rPr>
              <w:lastRenderedPageBreak/>
              <w:t xml:space="preserve">NATIONAL PRIORITY OR GOAL: </w:t>
            </w:r>
            <w:r w:rsidR="000E1E7B" w:rsidRPr="00ED49CA">
              <w:rPr>
                <w:bCs/>
                <w:color w:val="000000"/>
                <w:sz w:val="18"/>
                <w:szCs w:val="18"/>
                <w:lang w:val="en-GB"/>
              </w:rPr>
              <w:t>Equality and Well</w:t>
            </w:r>
            <w:r w:rsidR="008C736C">
              <w:rPr>
                <w:bCs/>
                <w:color w:val="000000"/>
                <w:sz w:val="18"/>
                <w:szCs w:val="18"/>
                <w:lang w:val="en-GB"/>
              </w:rPr>
              <w:t>-</w:t>
            </w:r>
            <w:r w:rsidR="000E1E7B" w:rsidRPr="00ED49CA">
              <w:rPr>
                <w:bCs/>
                <w:color w:val="000000"/>
                <w:sz w:val="18"/>
                <w:szCs w:val="18"/>
                <w:lang w:val="en-GB"/>
              </w:rPr>
              <w:t>being;</w:t>
            </w:r>
            <w:r w:rsidR="000E1E7B" w:rsidRPr="00ED49CA">
              <w:rPr>
                <w:b/>
                <w:color w:val="000000"/>
                <w:sz w:val="18"/>
                <w:szCs w:val="18"/>
                <w:lang w:val="en-GB"/>
              </w:rPr>
              <w:t xml:space="preserve"> </w:t>
            </w:r>
            <w:r w:rsidRPr="00ED49CA">
              <w:rPr>
                <w:bCs/>
                <w:color w:val="000000"/>
                <w:sz w:val="18"/>
                <w:szCs w:val="18"/>
                <w:lang w:val="en-GB"/>
              </w:rPr>
              <w:t>Sustainable Development Goals</w:t>
            </w:r>
            <w:r w:rsidRPr="00ED49CA">
              <w:rPr>
                <w:b/>
                <w:color w:val="000000"/>
                <w:sz w:val="18"/>
                <w:szCs w:val="18"/>
                <w:lang w:val="en-GB"/>
              </w:rPr>
              <w:t xml:space="preserve"> </w:t>
            </w:r>
            <w:r w:rsidRPr="00ED49CA">
              <w:rPr>
                <w:bCs/>
                <w:color w:val="000000"/>
                <w:sz w:val="18"/>
                <w:szCs w:val="18"/>
                <w:lang w:val="en-GB"/>
              </w:rPr>
              <w:t xml:space="preserve">3, 10 </w:t>
            </w:r>
          </w:p>
        </w:tc>
      </w:tr>
      <w:tr w:rsidR="00C2532F" w:rsidRPr="00ED49CA" w14:paraId="16B1B25F" w14:textId="77777777" w:rsidTr="000C7146">
        <w:trPr>
          <w:gridAfter w:val="2"/>
          <w:wAfter w:w="54" w:type="pct"/>
          <w:trHeight w:val="124"/>
        </w:trPr>
        <w:tc>
          <w:tcPr>
            <w:tcW w:w="4946" w:type="pct"/>
            <w:gridSpan w:val="7"/>
            <w:shd w:val="clear" w:color="auto" w:fill="DBE5F1" w:themeFill="accent1" w:themeFillTint="33"/>
            <w:tcMar>
              <w:top w:w="72" w:type="dxa"/>
              <w:left w:w="144" w:type="dxa"/>
              <w:bottom w:w="72" w:type="dxa"/>
              <w:right w:w="144" w:type="dxa"/>
            </w:tcMar>
          </w:tcPr>
          <w:p w14:paraId="2200E082" w14:textId="5FD7A5B3" w:rsidR="00C2532F" w:rsidRPr="00ED49CA" w:rsidRDefault="00C2532F" w:rsidP="00246C0C">
            <w:pPr>
              <w:rPr>
                <w:color w:val="000000"/>
                <w:sz w:val="18"/>
                <w:szCs w:val="18"/>
              </w:rPr>
            </w:pPr>
            <w:r w:rsidRPr="00ED49CA">
              <w:rPr>
                <w:b/>
                <w:color w:val="000000"/>
                <w:sz w:val="18"/>
                <w:szCs w:val="18"/>
                <w:lang w:val="en-GB"/>
              </w:rPr>
              <w:t>COOPERATION FRAMEWORK (OR EQUIVALENT) OUTCOME INVOLVING UNDP 2:</w:t>
            </w:r>
            <w:r w:rsidRPr="00ED49CA">
              <w:rPr>
                <w:b/>
                <w:bCs/>
                <w:sz w:val="18"/>
                <w:szCs w:val="18"/>
              </w:rPr>
              <w:t xml:space="preserve"> </w:t>
            </w:r>
            <w:r w:rsidRPr="00ED49CA">
              <w:rPr>
                <w:sz w:val="18"/>
                <w:szCs w:val="18"/>
              </w:rPr>
              <w:t>Outcome 4: People in the Caribbean equitably access and utilize universal, quality and shock-responsive, social protection, educational, health and care services.</w:t>
            </w:r>
          </w:p>
        </w:tc>
      </w:tr>
      <w:tr w:rsidR="00C2532F" w:rsidRPr="00ED49CA" w14:paraId="44D16028" w14:textId="77777777" w:rsidTr="000C7146">
        <w:trPr>
          <w:gridAfter w:val="2"/>
          <w:wAfter w:w="54" w:type="pct"/>
          <w:trHeight w:val="124"/>
        </w:trPr>
        <w:tc>
          <w:tcPr>
            <w:tcW w:w="4946" w:type="pct"/>
            <w:gridSpan w:val="7"/>
            <w:shd w:val="clear" w:color="auto" w:fill="DBE5F1" w:themeFill="accent1" w:themeFillTint="33"/>
            <w:tcMar>
              <w:top w:w="72" w:type="dxa"/>
              <w:left w:w="144" w:type="dxa"/>
              <w:bottom w:w="72" w:type="dxa"/>
              <w:right w:w="144" w:type="dxa"/>
            </w:tcMar>
          </w:tcPr>
          <w:p w14:paraId="3A14A381" w14:textId="77777777" w:rsidR="00C2532F" w:rsidRPr="00ED49CA" w:rsidRDefault="00C2532F" w:rsidP="00246C0C">
            <w:pPr>
              <w:rPr>
                <w:b/>
                <w:color w:val="000000"/>
                <w:sz w:val="18"/>
                <w:szCs w:val="18"/>
                <w:lang w:val="en-GB"/>
              </w:rPr>
            </w:pPr>
            <w:r w:rsidRPr="00ED49CA">
              <w:rPr>
                <w:b/>
                <w:color w:val="000000"/>
                <w:sz w:val="18"/>
                <w:szCs w:val="18"/>
                <w:lang w:val="en-GB"/>
              </w:rPr>
              <w:t xml:space="preserve">RELATED STRATEGIC PLAN OUTCOME: </w:t>
            </w:r>
            <w:r w:rsidRPr="00ED49CA">
              <w:rPr>
                <w:bCs/>
                <w:color w:val="000000"/>
                <w:sz w:val="18"/>
                <w:szCs w:val="18"/>
                <w:lang w:val="en-GB"/>
              </w:rPr>
              <w:t>Outcome 1 – Advance poverty eradication in all its forms and dimensions</w:t>
            </w:r>
          </w:p>
        </w:tc>
      </w:tr>
      <w:tr w:rsidR="00C2532F" w:rsidRPr="00ED49CA" w14:paraId="37D55DFE" w14:textId="77777777" w:rsidTr="002B2CAE">
        <w:trPr>
          <w:gridAfter w:val="2"/>
          <w:wAfter w:w="54" w:type="pct"/>
          <w:trHeight w:val="332"/>
        </w:trPr>
        <w:tc>
          <w:tcPr>
            <w:tcW w:w="1084" w:type="pct"/>
            <w:vMerge w:val="restart"/>
            <w:tcMar>
              <w:top w:w="72" w:type="dxa"/>
              <w:left w:w="144" w:type="dxa"/>
              <w:bottom w:w="72" w:type="dxa"/>
              <w:right w:w="144" w:type="dxa"/>
            </w:tcMar>
          </w:tcPr>
          <w:p w14:paraId="06AFA26E" w14:textId="6410E7D7" w:rsidR="00B76EFB" w:rsidRPr="00ED49CA" w:rsidRDefault="00C2532F" w:rsidP="00B76EFB">
            <w:pPr>
              <w:pStyle w:val="paragraph"/>
              <w:spacing w:before="0" w:beforeAutospacing="0" w:after="0" w:afterAutospacing="0"/>
              <w:textAlignment w:val="baseline"/>
              <w:rPr>
                <w:rFonts w:eastAsia="Segoe UI"/>
                <w:sz w:val="18"/>
                <w:szCs w:val="18"/>
                <w:lang w:eastAsia="en-US"/>
              </w:rPr>
            </w:pPr>
            <w:r w:rsidRPr="00ED49CA">
              <w:rPr>
                <w:rFonts w:eastAsia="Segoe UI"/>
                <w:sz w:val="18"/>
                <w:szCs w:val="18"/>
                <w:lang w:eastAsia="en-US"/>
              </w:rPr>
              <w:t>IRRF.</w:t>
            </w:r>
            <w:r w:rsidR="00B76EFB" w:rsidRPr="00ED49CA">
              <w:rPr>
                <w:rFonts w:eastAsia="Segoe UI"/>
                <w:sz w:val="18"/>
                <w:szCs w:val="18"/>
                <w:lang w:eastAsia="en-US"/>
              </w:rPr>
              <w:t xml:space="preserve">1.2.1 </w:t>
            </w:r>
            <w:r w:rsidR="003F66BD" w:rsidRPr="00ED49CA">
              <w:rPr>
                <w:rFonts w:eastAsia="Segoe UI"/>
                <w:sz w:val="18"/>
                <w:szCs w:val="18"/>
                <w:lang w:eastAsia="en-US"/>
              </w:rPr>
              <w:t>R</w:t>
            </w:r>
            <w:r w:rsidR="002D1250" w:rsidRPr="00ED49CA">
              <w:rPr>
                <w:rFonts w:eastAsia="Segoe UI"/>
                <w:sz w:val="18"/>
                <w:szCs w:val="18"/>
                <w:lang w:eastAsia="en-US"/>
              </w:rPr>
              <w:t xml:space="preserve">ating </w:t>
            </w:r>
            <w:r w:rsidR="00104C5A" w:rsidRPr="00ED49CA">
              <w:rPr>
                <w:rFonts w:eastAsia="Segoe UI"/>
                <w:sz w:val="18"/>
                <w:szCs w:val="18"/>
                <w:lang w:eastAsia="en-US"/>
              </w:rPr>
              <w:t>of p</w:t>
            </w:r>
            <w:r w:rsidR="00B76EFB" w:rsidRPr="00ED49CA">
              <w:rPr>
                <w:rFonts w:eastAsia="Segoe UI"/>
                <w:sz w:val="18"/>
                <w:szCs w:val="18"/>
                <w:lang w:eastAsia="en-US"/>
              </w:rPr>
              <w:t>olicy measures and institutional capacities in place to increase access to social protection schemes targeting</w:t>
            </w:r>
            <w:r w:rsidR="00722AC2" w:rsidRPr="00ED49CA">
              <w:rPr>
                <w:rFonts w:eastAsia="Segoe UI"/>
                <w:sz w:val="18"/>
                <w:szCs w:val="18"/>
                <w:lang w:eastAsia="en-US"/>
              </w:rPr>
              <w:t xml:space="preserve"> (</w:t>
            </w:r>
            <w:r w:rsidR="00FB4F3D" w:rsidRPr="00ED49CA">
              <w:rPr>
                <w:rFonts w:eastAsia="Segoe UI"/>
                <w:sz w:val="18"/>
                <w:szCs w:val="18"/>
                <w:lang w:eastAsia="en-US"/>
              </w:rPr>
              <w:t>women, urban poor, rural poor, p</w:t>
            </w:r>
            <w:r w:rsidR="00B76EFB" w:rsidRPr="00ED49CA">
              <w:rPr>
                <w:rFonts w:eastAsia="Segoe UI"/>
                <w:sz w:val="18"/>
                <w:szCs w:val="18"/>
                <w:lang w:eastAsia="en-US"/>
              </w:rPr>
              <w:t>erson</w:t>
            </w:r>
            <w:r w:rsidR="000F3870">
              <w:rPr>
                <w:rFonts w:eastAsia="Segoe UI"/>
                <w:sz w:val="18"/>
                <w:szCs w:val="18"/>
                <w:lang w:eastAsia="en-US"/>
              </w:rPr>
              <w:t>s</w:t>
            </w:r>
            <w:r w:rsidR="00B76EFB" w:rsidRPr="00ED49CA">
              <w:rPr>
                <w:rFonts w:eastAsia="Segoe UI"/>
                <w:sz w:val="18"/>
                <w:szCs w:val="18"/>
                <w:lang w:eastAsia="en-US"/>
              </w:rPr>
              <w:t xml:space="preserve"> with disabilities</w:t>
            </w:r>
            <w:r w:rsidR="00722AC2" w:rsidRPr="00ED49CA">
              <w:rPr>
                <w:rFonts w:eastAsia="Segoe UI"/>
                <w:sz w:val="18"/>
                <w:szCs w:val="18"/>
                <w:lang w:eastAsia="en-US"/>
              </w:rPr>
              <w:t xml:space="preserve">, </w:t>
            </w:r>
            <w:r w:rsidR="00B76EFB" w:rsidRPr="00ED49CA">
              <w:rPr>
                <w:rFonts w:eastAsia="Segoe UI"/>
                <w:sz w:val="18"/>
                <w:szCs w:val="18"/>
                <w:lang w:eastAsia="en-US"/>
              </w:rPr>
              <w:t>informal sector workers</w:t>
            </w:r>
            <w:r w:rsidR="00722AC2" w:rsidRPr="00ED49CA">
              <w:rPr>
                <w:rFonts w:eastAsia="Segoe UI"/>
                <w:sz w:val="18"/>
                <w:szCs w:val="18"/>
                <w:lang w:eastAsia="en-US"/>
              </w:rPr>
              <w:t>)</w:t>
            </w:r>
            <w:r w:rsidR="00B76EFB" w:rsidRPr="00ED49CA">
              <w:rPr>
                <w:rFonts w:eastAsia="Segoe UI"/>
                <w:sz w:val="18"/>
                <w:szCs w:val="18"/>
                <w:lang w:eastAsia="en-US"/>
              </w:rPr>
              <w:t> </w:t>
            </w:r>
          </w:p>
          <w:p w14:paraId="2B73C158" w14:textId="77777777" w:rsidR="008C627D" w:rsidRPr="00ED49CA" w:rsidRDefault="00C2532F" w:rsidP="00246C0C">
            <w:pPr>
              <w:rPr>
                <w:rFonts w:eastAsia="Segoe UI"/>
                <w:sz w:val="18"/>
                <w:szCs w:val="18"/>
              </w:rPr>
            </w:pPr>
            <w:r w:rsidRPr="00ED49CA">
              <w:rPr>
                <w:rFonts w:eastAsia="Segoe UI"/>
                <w:sz w:val="18"/>
                <w:szCs w:val="18"/>
              </w:rPr>
              <w:t>Baseline:</w:t>
            </w:r>
          </w:p>
          <w:p w14:paraId="37C5453F" w14:textId="779B17B1" w:rsidR="002D1250" w:rsidRPr="00ED49CA" w:rsidRDefault="002D1250" w:rsidP="008202BB">
            <w:pPr>
              <w:pStyle w:val="ListParagraph"/>
              <w:numPr>
                <w:ilvl w:val="0"/>
                <w:numId w:val="15"/>
              </w:numPr>
              <w:rPr>
                <w:rFonts w:eastAsia="Segoe UI"/>
                <w:sz w:val="18"/>
                <w:szCs w:val="18"/>
              </w:rPr>
            </w:pPr>
            <w:r w:rsidRPr="00ED49CA">
              <w:rPr>
                <w:rFonts w:eastAsia="Segoe UI"/>
                <w:sz w:val="18"/>
                <w:szCs w:val="18"/>
              </w:rPr>
              <w:lastRenderedPageBreak/>
              <w:t>Trinidad and Tobago rating 2 (work in progress)</w:t>
            </w:r>
          </w:p>
          <w:p w14:paraId="25FE4925" w14:textId="4137CB92" w:rsidR="002D1250" w:rsidRPr="00ED49CA" w:rsidRDefault="002D1250" w:rsidP="008202BB">
            <w:pPr>
              <w:pStyle w:val="ListParagraph"/>
              <w:numPr>
                <w:ilvl w:val="0"/>
                <w:numId w:val="15"/>
              </w:numPr>
              <w:rPr>
                <w:rFonts w:eastAsia="Segoe UI"/>
                <w:sz w:val="18"/>
                <w:szCs w:val="18"/>
              </w:rPr>
            </w:pPr>
            <w:r w:rsidRPr="00ED49CA">
              <w:rPr>
                <w:rFonts w:eastAsia="Segoe UI"/>
                <w:sz w:val="18"/>
                <w:szCs w:val="18"/>
              </w:rPr>
              <w:t>Cura</w:t>
            </w:r>
            <w:r w:rsidR="00840D5F">
              <w:rPr>
                <w:lang w:val="en-GB" w:bidi="en-GB"/>
              </w:rPr>
              <w:t>ç</w:t>
            </w:r>
            <w:r w:rsidRPr="00ED49CA">
              <w:rPr>
                <w:rFonts w:eastAsia="Segoe UI"/>
                <w:sz w:val="18"/>
                <w:szCs w:val="18"/>
              </w:rPr>
              <w:t>a</w:t>
            </w:r>
            <w:r w:rsidR="00511F3A" w:rsidRPr="00ED49CA">
              <w:rPr>
                <w:rFonts w:eastAsia="Segoe UI"/>
                <w:sz w:val="18"/>
                <w:szCs w:val="18"/>
              </w:rPr>
              <w:t>o</w:t>
            </w:r>
            <w:r w:rsidR="003F66BD" w:rsidRPr="00ED49CA">
              <w:rPr>
                <w:rFonts w:eastAsia="Segoe UI"/>
                <w:sz w:val="18"/>
                <w:szCs w:val="18"/>
              </w:rPr>
              <w:t xml:space="preserve"> </w:t>
            </w:r>
            <w:r w:rsidRPr="00ED49CA">
              <w:rPr>
                <w:rFonts w:eastAsia="Segoe UI"/>
                <w:sz w:val="18"/>
                <w:szCs w:val="18"/>
              </w:rPr>
              <w:t xml:space="preserve">rating 1 (work started) </w:t>
            </w:r>
          </w:p>
          <w:p w14:paraId="2748E051" w14:textId="13E8D36B" w:rsidR="002D1250" w:rsidRPr="00ED49CA" w:rsidRDefault="002D1250" w:rsidP="008202BB">
            <w:pPr>
              <w:pStyle w:val="ListParagraph"/>
              <w:numPr>
                <w:ilvl w:val="0"/>
                <w:numId w:val="15"/>
              </w:numPr>
              <w:rPr>
                <w:rFonts w:eastAsia="Segoe UI"/>
                <w:sz w:val="18"/>
                <w:szCs w:val="18"/>
              </w:rPr>
            </w:pPr>
            <w:r w:rsidRPr="00ED49CA">
              <w:rPr>
                <w:rFonts w:eastAsia="Segoe UI"/>
                <w:sz w:val="18"/>
                <w:szCs w:val="18"/>
              </w:rPr>
              <w:t>Aruba</w:t>
            </w:r>
            <w:r w:rsidR="003F66BD" w:rsidRPr="00ED49CA">
              <w:rPr>
                <w:rFonts w:eastAsia="Segoe UI"/>
                <w:sz w:val="18"/>
                <w:szCs w:val="18"/>
              </w:rPr>
              <w:t xml:space="preserve"> </w:t>
            </w:r>
            <w:r w:rsidRPr="00ED49CA">
              <w:rPr>
                <w:rFonts w:eastAsia="Segoe UI"/>
                <w:sz w:val="18"/>
                <w:szCs w:val="18"/>
              </w:rPr>
              <w:t>rating 1</w:t>
            </w:r>
            <w:r w:rsidR="00665E2F" w:rsidRPr="00ED49CA">
              <w:rPr>
                <w:rFonts w:eastAsia="Segoe UI"/>
                <w:sz w:val="18"/>
                <w:szCs w:val="18"/>
              </w:rPr>
              <w:t xml:space="preserve"> (work started)</w:t>
            </w:r>
          </w:p>
          <w:p w14:paraId="31D24F08" w14:textId="37A4AB42" w:rsidR="002D1250" w:rsidRPr="00ED49CA" w:rsidRDefault="002D1250" w:rsidP="008202BB">
            <w:pPr>
              <w:pStyle w:val="ListParagraph"/>
              <w:numPr>
                <w:ilvl w:val="0"/>
                <w:numId w:val="15"/>
              </w:numPr>
              <w:rPr>
                <w:rFonts w:eastAsia="Segoe UI"/>
                <w:sz w:val="18"/>
                <w:szCs w:val="18"/>
              </w:rPr>
            </w:pPr>
            <w:r w:rsidRPr="00ED49CA">
              <w:rPr>
                <w:rFonts w:eastAsia="Segoe UI"/>
                <w:sz w:val="18"/>
                <w:szCs w:val="18"/>
              </w:rPr>
              <w:t>Sint Maarten</w:t>
            </w:r>
            <w:r w:rsidR="003F66BD" w:rsidRPr="00ED49CA">
              <w:rPr>
                <w:rFonts w:eastAsia="Segoe UI"/>
                <w:sz w:val="18"/>
                <w:szCs w:val="18"/>
              </w:rPr>
              <w:t xml:space="preserve"> </w:t>
            </w:r>
            <w:r w:rsidRPr="00ED49CA">
              <w:rPr>
                <w:rFonts w:eastAsia="Segoe UI"/>
                <w:sz w:val="18"/>
                <w:szCs w:val="18"/>
              </w:rPr>
              <w:t>rating 1</w:t>
            </w:r>
            <w:r w:rsidR="00665E2F" w:rsidRPr="00ED49CA">
              <w:rPr>
                <w:rFonts w:eastAsia="Segoe UI"/>
                <w:sz w:val="18"/>
                <w:szCs w:val="18"/>
              </w:rPr>
              <w:t xml:space="preserve"> (work started)</w:t>
            </w:r>
          </w:p>
          <w:p w14:paraId="5454640A" w14:textId="77777777" w:rsidR="002D1250" w:rsidRPr="00ED49CA" w:rsidRDefault="002D1250" w:rsidP="002D1250">
            <w:pPr>
              <w:rPr>
                <w:rFonts w:eastAsia="Segoe UI"/>
                <w:sz w:val="18"/>
                <w:szCs w:val="18"/>
              </w:rPr>
            </w:pPr>
            <w:r w:rsidRPr="00ED49CA">
              <w:rPr>
                <w:rFonts w:eastAsia="Segoe UI"/>
                <w:sz w:val="18"/>
                <w:szCs w:val="18"/>
              </w:rPr>
              <w:t xml:space="preserve">Target: </w:t>
            </w:r>
          </w:p>
          <w:p w14:paraId="448EA77A" w14:textId="7CC3FD78" w:rsidR="002D1250" w:rsidRPr="00ED49CA" w:rsidRDefault="002D1250" w:rsidP="008202BB">
            <w:pPr>
              <w:pStyle w:val="ListParagraph"/>
              <w:numPr>
                <w:ilvl w:val="0"/>
                <w:numId w:val="16"/>
              </w:numPr>
              <w:rPr>
                <w:rFonts w:eastAsia="Segoe UI"/>
                <w:sz w:val="18"/>
                <w:szCs w:val="18"/>
              </w:rPr>
            </w:pPr>
            <w:r w:rsidRPr="00ED49CA">
              <w:rPr>
                <w:rFonts w:eastAsia="Segoe UI"/>
                <w:sz w:val="18"/>
                <w:szCs w:val="18"/>
              </w:rPr>
              <w:t>rating 3 (work almost complete)</w:t>
            </w:r>
            <w:r w:rsidRPr="00ED49CA" w:rsidDel="008C627D">
              <w:rPr>
                <w:rFonts w:eastAsia="Segoe UI"/>
                <w:sz w:val="18"/>
                <w:szCs w:val="18"/>
              </w:rPr>
              <w:t xml:space="preserve"> </w:t>
            </w:r>
          </w:p>
          <w:p w14:paraId="2FBBD6FA" w14:textId="66037BEC" w:rsidR="002D1250" w:rsidRPr="00ED49CA" w:rsidRDefault="002D1250" w:rsidP="008202BB">
            <w:pPr>
              <w:pStyle w:val="ListParagraph"/>
              <w:numPr>
                <w:ilvl w:val="0"/>
                <w:numId w:val="16"/>
              </w:numPr>
              <w:rPr>
                <w:rFonts w:eastAsia="Segoe UI"/>
                <w:sz w:val="18"/>
                <w:szCs w:val="18"/>
              </w:rPr>
            </w:pPr>
            <w:r w:rsidRPr="00ED49CA">
              <w:rPr>
                <w:rFonts w:eastAsia="Segoe UI"/>
                <w:sz w:val="18"/>
                <w:szCs w:val="18"/>
              </w:rPr>
              <w:t>rating 1</w:t>
            </w:r>
            <w:r w:rsidR="00665E2F" w:rsidRPr="00ED49CA">
              <w:rPr>
                <w:rFonts w:eastAsia="Segoe UI"/>
                <w:sz w:val="18"/>
                <w:szCs w:val="18"/>
              </w:rPr>
              <w:t xml:space="preserve"> (work started) </w:t>
            </w:r>
          </w:p>
          <w:p w14:paraId="5432FEA0" w14:textId="2AA80FBD" w:rsidR="002D1250" w:rsidRPr="00ED49CA" w:rsidRDefault="002D1250" w:rsidP="008202BB">
            <w:pPr>
              <w:pStyle w:val="ListParagraph"/>
              <w:numPr>
                <w:ilvl w:val="0"/>
                <w:numId w:val="16"/>
              </w:numPr>
              <w:rPr>
                <w:rFonts w:eastAsia="Segoe UI"/>
                <w:sz w:val="18"/>
                <w:szCs w:val="18"/>
              </w:rPr>
            </w:pPr>
            <w:r w:rsidRPr="00ED49CA">
              <w:rPr>
                <w:rFonts w:eastAsia="Segoe UI"/>
                <w:sz w:val="18"/>
                <w:szCs w:val="18"/>
              </w:rPr>
              <w:t xml:space="preserve">rating 2 </w:t>
            </w:r>
            <w:r w:rsidR="00665E2F" w:rsidRPr="00ED49CA">
              <w:rPr>
                <w:rFonts w:eastAsia="Segoe UI"/>
                <w:sz w:val="18"/>
                <w:szCs w:val="18"/>
              </w:rPr>
              <w:t>(work in progress)</w:t>
            </w:r>
          </w:p>
          <w:p w14:paraId="44D26BDC" w14:textId="44DC7E65" w:rsidR="00CC6A34" w:rsidRPr="00ED49CA" w:rsidRDefault="00CC6A34" w:rsidP="008202BB">
            <w:pPr>
              <w:pStyle w:val="ListParagraph"/>
              <w:numPr>
                <w:ilvl w:val="0"/>
                <w:numId w:val="16"/>
              </w:numPr>
              <w:rPr>
                <w:rFonts w:eastAsia="Segoe UI"/>
                <w:sz w:val="18"/>
                <w:szCs w:val="18"/>
              </w:rPr>
            </w:pPr>
            <w:r w:rsidRPr="00ED49CA">
              <w:rPr>
                <w:rFonts w:eastAsia="Segoe UI"/>
                <w:sz w:val="18"/>
                <w:szCs w:val="18"/>
              </w:rPr>
              <w:t>rating 2 (work in progress)</w:t>
            </w:r>
          </w:p>
          <w:p w14:paraId="132AFABD" w14:textId="77777777" w:rsidR="00C2532F" w:rsidRPr="00ED49CA" w:rsidRDefault="00C2532F" w:rsidP="00246C0C">
            <w:pPr>
              <w:rPr>
                <w:rFonts w:eastAsia="Segoe UI"/>
                <w:sz w:val="18"/>
                <w:szCs w:val="18"/>
              </w:rPr>
            </w:pPr>
          </w:p>
          <w:p w14:paraId="05F51AFF" w14:textId="7BDAEFB7" w:rsidR="00570F73" w:rsidRPr="00ED49CA" w:rsidRDefault="005370B8" w:rsidP="002656BE">
            <w:pPr>
              <w:pStyle w:val="paragraph"/>
              <w:spacing w:before="0" w:beforeAutospacing="0" w:after="0" w:afterAutospacing="0"/>
              <w:textAlignment w:val="baseline"/>
              <w:rPr>
                <w:rFonts w:eastAsia="Segoe UI"/>
                <w:sz w:val="18"/>
                <w:szCs w:val="18"/>
                <w:lang w:eastAsia="en-US"/>
              </w:rPr>
            </w:pPr>
            <w:r w:rsidRPr="00ED49CA">
              <w:rPr>
                <w:rFonts w:eastAsia="Segoe UI"/>
                <w:sz w:val="18"/>
                <w:szCs w:val="18"/>
                <w:lang w:eastAsia="en-US"/>
              </w:rPr>
              <w:t>I</w:t>
            </w:r>
            <w:r w:rsidRPr="00ED49CA">
              <w:rPr>
                <w:rFonts w:eastAsia="Segoe UI"/>
                <w:sz w:val="18"/>
                <w:szCs w:val="18"/>
              </w:rPr>
              <w:t>RRF.</w:t>
            </w:r>
            <w:r w:rsidR="00570F73" w:rsidRPr="00ED49CA">
              <w:rPr>
                <w:rFonts w:eastAsia="Segoe UI"/>
                <w:sz w:val="18"/>
                <w:szCs w:val="18"/>
                <w:lang w:eastAsia="en-US"/>
              </w:rPr>
              <w:t xml:space="preserve">1.2.2 </w:t>
            </w:r>
            <w:r w:rsidR="00D70E28" w:rsidRPr="00ED49CA">
              <w:rPr>
                <w:rFonts w:eastAsia="Segoe UI"/>
                <w:sz w:val="18"/>
                <w:szCs w:val="18"/>
                <w:lang w:eastAsia="en-US"/>
              </w:rPr>
              <w:t>Rating in</w:t>
            </w:r>
            <w:r w:rsidR="00570F73" w:rsidRPr="00ED49CA">
              <w:rPr>
                <w:rFonts w:eastAsia="Segoe UI"/>
                <w:sz w:val="18"/>
                <w:szCs w:val="18"/>
                <w:lang w:eastAsia="en-US"/>
              </w:rPr>
              <w:t xml:space="preserve"> countries that have increased types and quality of social protection services</w:t>
            </w:r>
            <w:r w:rsidR="002E7DEC" w:rsidRPr="00ED49CA">
              <w:rPr>
                <w:rFonts w:eastAsia="Segoe UI"/>
                <w:sz w:val="18"/>
                <w:szCs w:val="18"/>
                <w:lang w:eastAsia="en-US"/>
              </w:rPr>
              <w:t xml:space="preserve"> (</w:t>
            </w:r>
            <w:r w:rsidR="000217F2">
              <w:rPr>
                <w:rFonts w:eastAsia="Segoe UI"/>
                <w:sz w:val="18"/>
                <w:szCs w:val="18"/>
                <w:lang w:eastAsia="en-US"/>
              </w:rPr>
              <w:t>t</w:t>
            </w:r>
            <w:r w:rsidR="00570F73" w:rsidRPr="00ED49CA">
              <w:rPr>
                <w:rFonts w:eastAsia="Segoe UI"/>
                <w:sz w:val="18"/>
                <w:szCs w:val="18"/>
                <w:lang w:eastAsia="en-US"/>
              </w:rPr>
              <w:t>ype of services</w:t>
            </w:r>
            <w:r w:rsidR="002E7DEC" w:rsidRPr="00ED49CA">
              <w:rPr>
                <w:rFonts w:eastAsia="Segoe UI"/>
                <w:sz w:val="18"/>
                <w:szCs w:val="18"/>
                <w:lang w:eastAsia="en-US"/>
              </w:rPr>
              <w:t xml:space="preserve">, </w:t>
            </w:r>
            <w:r w:rsidR="000217F2">
              <w:rPr>
                <w:rFonts w:eastAsia="Segoe UI"/>
                <w:sz w:val="18"/>
                <w:szCs w:val="18"/>
                <w:lang w:eastAsia="en-US"/>
              </w:rPr>
              <w:t>q</w:t>
            </w:r>
            <w:r w:rsidR="00570F73" w:rsidRPr="00ED49CA">
              <w:rPr>
                <w:rFonts w:eastAsia="Segoe UI"/>
                <w:sz w:val="18"/>
                <w:szCs w:val="18"/>
                <w:lang w:eastAsia="en-US"/>
              </w:rPr>
              <w:t>uality of services</w:t>
            </w:r>
            <w:r w:rsidR="002E7DEC" w:rsidRPr="00ED49CA">
              <w:rPr>
                <w:rFonts w:eastAsia="Segoe UI"/>
                <w:sz w:val="18"/>
                <w:szCs w:val="18"/>
                <w:lang w:eastAsia="en-US"/>
              </w:rPr>
              <w:t xml:space="preserve">, </w:t>
            </w:r>
            <w:r w:rsidR="000217F2">
              <w:rPr>
                <w:rFonts w:eastAsia="Segoe UI"/>
                <w:sz w:val="18"/>
                <w:szCs w:val="18"/>
                <w:lang w:eastAsia="en-US"/>
              </w:rPr>
              <w:t>c</w:t>
            </w:r>
            <w:r w:rsidR="00570F73" w:rsidRPr="00ED49CA">
              <w:rPr>
                <w:rFonts w:eastAsia="Segoe UI"/>
                <w:sz w:val="18"/>
                <w:szCs w:val="18"/>
                <w:lang w:eastAsia="en-US"/>
              </w:rPr>
              <w:t>overage</w:t>
            </w:r>
            <w:r w:rsidR="002E7DEC" w:rsidRPr="00ED49CA">
              <w:rPr>
                <w:rFonts w:eastAsia="Segoe UI"/>
                <w:sz w:val="18"/>
                <w:szCs w:val="18"/>
                <w:lang w:eastAsia="en-US"/>
              </w:rPr>
              <w:t xml:space="preserve">, </w:t>
            </w:r>
            <w:r w:rsidR="000217F2">
              <w:rPr>
                <w:rFonts w:eastAsia="Segoe UI"/>
                <w:sz w:val="18"/>
                <w:szCs w:val="18"/>
                <w:lang w:eastAsia="en-US"/>
              </w:rPr>
              <w:t>a</w:t>
            </w:r>
            <w:r w:rsidR="00570F73" w:rsidRPr="00ED49CA">
              <w:rPr>
                <w:rFonts w:eastAsia="Segoe UI"/>
                <w:sz w:val="18"/>
                <w:szCs w:val="18"/>
                <w:lang w:eastAsia="en-US"/>
              </w:rPr>
              <w:t>dequacy</w:t>
            </w:r>
            <w:r w:rsidR="002E7DEC" w:rsidRPr="00ED49CA">
              <w:rPr>
                <w:rFonts w:eastAsia="Segoe UI"/>
                <w:sz w:val="18"/>
                <w:szCs w:val="18"/>
                <w:lang w:eastAsia="en-US"/>
              </w:rPr>
              <w:t xml:space="preserve">, </w:t>
            </w:r>
            <w:r w:rsidR="000217F2">
              <w:rPr>
                <w:rFonts w:eastAsia="Segoe UI"/>
                <w:sz w:val="18"/>
                <w:szCs w:val="18"/>
                <w:lang w:eastAsia="en-US"/>
              </w:rPr>
              <w:t>a</w:t>
            </w:r>
            <w:r w:rsidR="00570F73" w:rsidRPr="00ED49CA">
              <w:rPr>
                <w:rFonts w:eastAsia="Segoe UI"/>
                <w:sz w:val="18"/>
                <w:szCs w:val="18"/>
                <w:lang w:eastAsia="en-US"/>
              </w:rPr>
              <w:t>ccess</w:t>
            </w:r>
            <w:r w:rsidR="002E7DEC" w:rsidRPr="00ED49CA">
              <w:rPr>
                <w:rFonts w:eastAsia="Segoe UI"/>
                <w:sz w:val="18"/>
                <w:szCs w:val="18"/>
                <w:lang w:eastAsia="en-US"/>
              </w:rPr>
              <w:t>)</w:t>
            </w:r>
            <w:r w:rsidR="00C95BD6" w:rsidRPr="00ED49CA">
              <w:rPr>
                <w:rStyle w:val="FootnoteReference"/>
                <w:rFonts w:eastAsia="Segoe UI"/>
                <w:sz w:val="18"/>
                <w:szCs w:val="18"/>
                <w:lang w:eastAsia="en-US"/>
              </w:rPr>
              <w:footnoteReference w:id="5"/>
            </w:r>
          </w:p>
          <w:p w14:paraId="7C5331A4" w14:textId="192B2DB4" w:rsidR="00D70E28" w:rsidRPr="00ED49CA" w:rsidRDefault="00D70E28" w:rsidP="00D70E28">
            <w:pPr>
              <w:rPr>
                <w:rFonts w:eastAsia="Segoe UI"/>
                <w:sz w:val="18"/>
                <w:szCs w:val="18"/>
              </w:rPr>
            </w:pPr>
            <w:r w:rsidRPr="00ED49CA">
              <w:rPr>
                <w:rFonts w:eastAsia="Segoe UI"/>
                <w:sz w:val="18"/>
                <w:szCs w:val="18"/>
              </w:rPr>
              <w:t>Baseline: Trinidad and Tobago Rating 1 (Low)</w:t>
            </w:r>
          </w:p>
          <w:p w14:paraId="1EA4692D" w14:textId="66415016" w:rsidR="00D70E28" w:rsidRPr="00ED49CA" w:rsidRDefault="00D70E28" w:rsidP="00D70E28">
            <w:pPr>
              <w:rPr>
                <w:rFonts w:eastAsia="Segoe UI"/>
                <w:sz w:val="18"/>
                <w:szCs w:val="18"/>
              </w:rPr>
            </w:pPr>
            <w:r w:rsidRPr="00ED49CA">
              <w:rPr>
                <w:rFonts w:eastAsia="Segoe UI"/>
                <w:sz w:val="18"/>
                <w:szCs w:val="18"/>
              </w:rPr>
              <w:t>Target: Rating 3 (high)</w:t>
            </w:r>
            <w:r w:rsidRPr="00ED49CA" w:rsidDel="002F278D">
              <w:rPr>
                <w:rFonts w:eastAsia="Segoe UI"/>
                <w:sz w:val="18"/>
                <w:szCs w:val="18"/>
              </w:rPr>
              <w:t xml:space="preserve"> </w:t>
            </w:r>
          </w:p>
          <w:p w14:paraId="01F08EAB" w14:textId="6C604957" w:rsidR="00570F73" w:rsidRPr="00ED49CA" w:rsidRDefault="00570F73" w:rsidP="00246C0C">
            <w:pPr>
              <w:rPr>
                <w:rFonts w:eastAsia="Segoe UI"/>
                <w:sz w:val="18"/>
                <w:szCs w:val="18"/>
              </w:rPr>
            </w:pPr>
          </w:p>
          <w:p w14:paraId="741E19B4" w14:textId="3E060A5F" w:rsidR="00D33160" w:rsidRPr="00ED49CA" w:rsidRDefault="00794623" w:rsidP="00034C8C">
            <w:pPr>
              <w:pStyle w:val="paragraph"/>
              <w:spacing w:before="0" w:beforeAutospacing="0" w:after="0" w:afterAutospacing="0"/>
              <w:textAlignment w:val="baseline"/>
              <w:rPr>
                <w:rFonts w:eastAsia="Segoe UI"/>
                <w:sz w:val="18"/>
                <w:szCs w:val="18"/>
                <w:lang w:eastAsia="en-US"/>
              </w:rPr>
            </w:pPr>
            <w:r w:rsidRPr="00ED49CA">
              <w:rPr>
                <w:rFonts w:eastAsia="Segoe UI"/>
                <w:sz w:val="18"/>
                <w:szCs w:val="18"/>
                <w:lang w:eastAsia="en-US"/>
              </w:rPr>
              <w:t>IRRF.</w:t>
            </w:r>
            <w:r w:rsidR="00D33160" w:rsidRPr="00ED49CA">
              <w:rPr>
                <w:rFonts w:eastAsia="Segoe UI"/>
                <w:sz w:val="18"/>
                <w:szCs w:val="18"/>
                <w:lang w:eastAsia="en-US"/>
              </w:rPr>
              <w:t xml:space="preserve">1.3.1 </w:t>
            </w:r>
            <w:r w:rsidR="00766F3E" w:rsidRPr="00ED49CA">
              <w:rPr>
                <w:rFonts w:eastAsia="Segoe UI"/>
                <w:sz w:val="18"/>
                <w:szCs w:val="18"/>
                <w:lang w:eastAsia="en-US"/>
              </w:rPr>
              <w:t>Percentage and number</w:t>
            </w:r>
            <w:r w:rsidR="00766F3E" w:rsidRPr="00ED49CA" w:rsidDel="00766F3E">
              <w:rPr>
                <w:rFonts w:eastAsia="Segoe UI"/>
                <w:sz w:val="18"/>
                <w:szCs w:val="18"/>
                <w:lang w:eastAsia="en-US"/>
              </w:rPr>
              <w:t xml:space="preserve"> </w:t>
            </w:r>
            <w:r w:rsidR="00D33160" w:rsidRPr="00ED49CA">
              <w:rPr>
                <w:rFonts w:eastAsia="Segoe UI"/>
                <w:sz w:val="18"/>
                <w:szCs w:val="18"/>
                <w:lang w:eastAsia="en-US"/>
              </w:rPr>
              <w:t>of people accessing basic services</w:t>
            </w:r>
            <w:r w:rsidR="00071F87" w:rsidRPr="00ED49CA">
              <w:rPr>
                <w:rFonts w:eastAsia="Segoe UI"/>
                <w:sz w:val="18"/>
                <w:szCs w:val="18"/>
                <w:lang w:eastAsia="en-US"/>
              </w:rPr>
              <w:t xml:space="preserve"> (</w:t>
            </w:r>
            <w:r w:rsidR="000217F2">
              <w:rPr>
                <w:rFonts w:eastAsia="Segoe UI"/>
                <w:sz w:val="18"/>
                <w:szCs w:val="18"/>
                <w:lang w:eastAsia="en-US"/>
              </w:rPr>
              <w:t>s</w:t>
            </w:r>
            <w:r w:rsidR="00D33160" w:rsidRPr="00ED49CA">
              <w:rPr>
                <w:rFonts w:eastAsia="Segoe UI"/>
                <w:sz w:val="18"/>
                <w:szCs w:val="18"/>
                <w:lang w:eastAsia="en-US"/>
              </w:rPr>
              <w:t>ex-disaggregated data</w:t>
            </w:r>
            <w:r w:rsidR="00071F87" w:rsidRPr="00ED49CA">
              <w:rPr>
                <w:rFonts w:eastAsia="Segoe UI"/>
                <w:sz w:val="18"/>
                <w:szCs w:val="18"/>
                <w:lang w:eastAsia="en-US"/>
              </w:rPr>
              <w:t xml:space="preserve">, </w:t>
            </w:r>
            <w:r w:rsidR="000217F2">
              <w:rPr>
                <w:rFonts w:eastAsia="Segoe UI"/>
                <w:sz w:val="18"/>
                <w:szCs w:val="18"/>
                <w:lang w:eastAsia="en-US"/>
              </w:rPr>
              <w:t>the p</w:t>
            </w:r>
            <w:r w:rsidR="00D33160" w:rsidRPr="00ED49CA">
              <w:rPr>
                <w:rFonts w:eastAsia="Segoe UI"/>
                <w:sz w:val="18"/>
                <w:szCs w:val="18"/>
                <w:lang w:eastAsia="en-US"/>
              </w:rPr>
              <w:t>oor (income measure)</w:t>
            </w:r>
            <w:r w:rsidR="00071F87" w:rsidRPr="00ED49CA">
              <w:rPr>
                <w:rFonts w:eastAsia="Segoe UI"/>
                <w:sz w:val="18"/>
                <w:szCs w:val="18"/>
                <w:lang w:eastAsia="en-US"/>
              </w:rPr>
              <w:t xml:space="preserve">, </w:t>
            </w:r>
            <w:r w:rsidR="000217F2">
              <w:rPr>
                <w:rFonts w:eastAsia="Segoe UI"/>
                <w:sz w:val="18"/>
                <w:szCs w:val="18"/>
                <w:lang w:eastAsia="en-US"/>
              </w:rPr>
              <w:t>i</w:t>
            </w:r>
            <w:r w:rsidR="00D33160" w:rsidRPr="00ED49CA">
              <w:rPr>
                <w:rFonts w:eastAsia="Segoe UI"/>
                <w:sz w:val="18"/>
                <w:szCs w:val="18"/>
                <w:lang w:eastAsia="en-US"/>
              </w:rPr>
              <w:t>nformal sector workers</w:t>
            </w:r>
            <w:r w:rsidR="00071F87" w:rsidRPr="00ED49CA">
              <w:rPr>
                <w:rFonts w:eastAsia="Segoe UI"/>
                <w:sz w:val="18"/>
                <w:szCs w:val="18"/>
                <w:lang w:eastAsia="en-US"/>
              </w:rPr>
              <w:t xml:space="preserve">, </w:t>
            </w:r>
            <w:r w:rsidR="000217F2">
              <w:rPr>
                <w:rFonts w:eastAsia="Segoe UI"/>
                <w:sz w:val="18"/>
                <w:szCs w:val="18"/>
                <w:lang w:eastAsia="en-US"/>
              </w:rPr>
              <w:t>y</w:t>
            </w:r>
            <w:r w:rsidR="00D33160" w:rsidRPr="00ED49CA">
              <w:rPr>
                <w:rFonts w:eastAsia="Segoe UI"/>
                <w:sz w:val="18"/>
                <w:szCs w:val="18"/>
                <w:lang w:eastAsia="en-US"/>
              </w:rPr>
              <w:t>outh</w:t>
            </w:r>
            <w:r w:rsidR="00071F87" w:rsidRPr="00ED49CA">
              <w:rPr>
                <w:rFonts w:eastAsia="Segoe UI"/>
                <w:sz w:val="18"/>
                <w:szCs w:val="18"/>
                <w:lang w:eastAsia="en-US"/>
              </w:rPr>
              <w:t xml:space="preserve">, </w:t>
            </w:r>
            <w:r w:rsidR="000217F2">
              <w:rPr>
                <w:rFonts w:eastAsia="Segoe UI"/>
                <w:sz w:val="18"/>
                <w:szCs w:val="18"/>
                <w:lang w:eastAsia="en-US"/>
              </w:rPr>
              <w:t>p</w:t>
            </w:r>
            <w:r w:rsidR="00D33160" w:rsidRPr="00ED49CA">
              <w:rPr>
                <w:rFonts w:eastAsia="Segoe UI"/>
                <w:sz w:val="18"/>
                <w:szCs w:val="18"/>
                <w:lang w:eastAsia="en-US"/>
              </w:rPr>
              <w:t>ersons with disabilities</w:t>
            </w:r>
            <w:r w:rsidR="00071F87" w:rsidRPr="00ED49CA">
              <w:rPr>
                <w:rFonts w:eastAsia="Segoe UI"/>
                <w:sz w:val="18"/>
                <w:szCs w:val="18"/>
                <w:lang w:eastAsia="en-US"/>
              </w:rPr>
              <w:t xml:space="preserve">, </w:t>
            </w:r>
            <w:r w:rsidR="000217F2">
              <w:rPr>
                <w:rFonts w:eastAsia="Segoe UI"/>
                <w:sz w:val="18"/>
                <w:szCs w:val="18"/>
                <w:lang w:eastAsia="en-US"/>
              </w:rPr>
              <w:t>d</w:t>
            </w:r>
            <w:r w:rsidR="00D33160" w:rsidRPr="00ED49CA">
              <w:rPr>
                <w:rFonts w:eastAsia="Segoe UI"/>
                <w:sz w:val="18"/>
                <w:szCs w:val="18"/>
                <w:lang w:eastAsia="en-US"/>
              </w:rPr>
              <w:t>isplaced populations</w:t>
            </w:r>
            <w:r w:rsidR="00071F87" w:rsidRPr="00ED49CA">
              <w:rPr>
                <w:rFonts w:eastAsia="Segoe UI"/>
                <w:sz w:val="18"/>
                <w:szCs w:val="18"/>
                <w:lang w:eastAsia="en-US"/>
              </w:rPr>
              <w:t xml:space="preserve">, </w:t>
            </w:r>
            <w:r w:rsidR="000217F2">
              <w:rPr>
                <w:rFonts w:eastAsia="Segoe UI"/>
                <w:sz w:val="18"/>
                <w:szCs w:val="18"/>
                <w:lang w:eastAsia="en-US"/>
              </w:rPr>
              <w:t>e</w:t>
            </w:r>
            <w:r w:rsidR="00D33160" w:rsidRPr="00ED49CA">
              <w:rPr>
                <w:rFonts w:eastAsia="Segoe UI"/>
                <w:sz w:val="18"/>
                <w:szCs w:val="18"/>
                <w:lang w:eastAsia="en-US"/>
              </w:rPr>
              <w:t>thnic minorities</w:t>
            </w:r>
            <w:r w:rsidR="00071F87" w:rsidRPr="00ED49CA">
              <w:rPr>
                <w:rFonts w:eastAsia="Segoe UI"/>
                <w:sz w:val="18"/>
                <w:szCs w:val="18"/>
                <w:lang w:eastAsia="en-US"/>
              </w:rPr>
              <w:t>)</w:t>
            </w:r>
          </w:p>
          <w:p w14:paraId="40540BAD" w14:textId="41FD76D9" w:rsidR="00071F87" w:rsidRPr="00ED49CA" w:rsidRDefault="00071F87" w:rsidP="00071F87">
            <w:pPr>
              <w:rPr>
                <w:rFonts w:eastAsia="Segoe UI"/>
                <w:sz w:val="18"/>
                <w:szCs w:val="18"/>
              </w:rPr>
            </w:pPr>
            <w:r w:rsidRPr="00ED49CA">
              <w:rPr>
                <w:rFonts w:eastAsia="Segoe UI"/>
                <w:sz w:val="18"/>
                <w:szCs w:val="18"/>
              </w:rPr>
              <w:t>Baseline:</w:t>
            </w:r>
            <w:r w:rsidR="002F278D" w:rsidRPr="00ED49CA">
              <w:rPr>
                <w:rFonts w:eastAsia="Segoe UI"/>
                <w:sz w:val="18"/>
                <w:szCs w:val="18"/>
              </w:rPr>
              <w:t xml:space="preserve"> </w:t>
            </w:r>
            <w:r w:rsidR="006D7CF2" w:rsidRPr="00ED49CA">
              <w:rPr>
                <w:rFonts w:eastAsia="Segoe UI"/>
                <w:sz w:val="18"/>
                <w:szCs w:val="18"/>
              </w:rPr>
              <w:t xml:space="preserve">Trinidad and Tobago </w:t>
            </w:r>
            <w:r w:rsidR="00974DB8" w:rsidRPr="00ED49CA">
              <w:rPr>
                <w:rFonts w:eastAsia="Segoe UI"/>
                <w:sz w:val="18"/>
                <w:szCs w:val="18"/>
              </w:rPr>
              <w:t xml:space="preserve">11% </w:t>
            </w:r>
            <w:r w:rsidR="002F278D" w:rsidRPr="00ED49CA">
              <w:rPr>
                <w:rFonts w:eastAsia="Segoe UI"/>
                <w:sz w:val="18"/>
                <w:szCs w:val="18"/>
              </w:rPr>
              <w:t>(156,240)</w:t>
            </w:r>
            <w:r w:rsidR="006D688F" w:rsidRPr="00ED49CA">
              <w:rPr>
                <w:rStyle w:val="FootnoteReference"/>
                <w:rFonts w:eastAsia="Segoe UI"/>
                <w:sz w:val="18"/>
                <w:szCs w:val="18"/>
              </w:rPr>
              <w:footnoteReference w:id="6"/>
            </w:r>
          </w:p>
          <w:p w14:paraId="7350C323" w14:textId="33C52A64" w:rsidR="00071F87" w:rsidRPr="00ED49CA" w:rsidRDefault="00071F87" w:rsidP="00071F87">
            <w:pPr>
              <w:rPr>
                <w:rFonts w:eastAsia="Segoe UI"/>
                <w:sz w:val="18"/>
                <w:szCs w:val="18"/>
              </w:rPr>
            </w:pPr>
            <w:r w:rsidRPr="00ED49CA">
              <w:rPr>
                <w:rFonts w:eastAsia="Segoe UI"/>
                <w:sz w:val="18"/>
                <w:szCs w:val="18"/>
              </w:rPr>
              <w:t xml:space="preserve">Target: </w:t>
            </w:r>
            <w:r w:rsidR="00D02DC5" w:rsidRPr="00ED49CA">
              <w:rPr>
                <w:rFonts w:eastAsia="Segoe UI"/>
                <w:sz w:val="18"/>
                <w:szCs w:val="18"/>
              </w:rPr>
              <w:t>14% (200,000)</w:t>
            </w:r>
          </w:p>
          <w:p w14:paraId="392E6339" w14:textId="77777777" w:rsidR="00570F73" w:rsidRPr="00ED49CA" w:rsidRDefault="00570F73" w:rsidP="00246C0C">
            <w:pPr>
              <w:rPr>
                <w:rFonts w:eastAsia="Segoe UI"/>
                <w:sz w:val="18"/>
                <w:szCs w:val="18"/>
              </w:rPr>
            </w:pPr>
          </w:p>
          <w:p w14:paraId="5D9503BB" w14:textId="77777777" w:rsidR="00C2532F" w:rsidRPr="00ED49CA" w:rsidRDefault="00C2532F" w:rsidP="00246C0C">
            <w:pPr>
              <w:pStyle w:val="paragraph"/>
              <w:spacing w:before="0" w:beforeAutospacing="0" w:after="0" w:afterAutospacing="0"/>
              <w:textAlignment w:val="baseline"/>
              <w:rPr>
                <w:rFonts w:eastAsia="Segoe UI"/>
                <w:sz w:val="18"/>
                <w:szCs w:val="18"/>
                <w:lang w:eastAsia="en-US"/>
              </w:rPr>
            </w:pPr>
            <w:r w:rsidRPr="00ED49CA">
              <w:rPr>
                <w:rFonts w:eastAsia="Segoe UI"/>
                <w:sz w:val="18"/>
                <w:szCs w:val="18"/>
                <w:lang w:eastAsia="en-US"/>
              </w:rPr>
              <w:t>IRRF.4.2.2: Number of families with enhanced resilience of food due to public resources</w:t>
            </w:r>
          </w:p>
          <w:p w14:paraId="38BCFB92" w14:textId="7614BDBD" w:rsidR="00C2532F" w:rsidRPr="00ED49CA" w:rsidRDefault="00C2532F" w:rsidP="00246C0C">
            <w:pPr>
              <w:pStyle w:val="paragraph"/>
              <w:spacing w:before="0" w:beforeAutospacing="0" w:after="0" w:afterAutospacing="0"/>
              <w:textAlignment w:val="baseline"/>
              <w:rPr>
                <w:rFonts w:eastAsia="Segoe UI"/>
                <w:sz w:val="18"/>
                <w:szCs w:val="18"/>
                <w:lang w:eastAsia="en-US"/>
              </w:rPr>
            </w:pPr>
            <w:r w:rsidRPr="00ED49CA">
              <w:rPr>
                <w:rFonts w:eastAsia="Segoe UI"/>
                <w:sz w:val="18"/>
                <w:szCs w:val="18"/>
                <w:lang w:eastAsia="en-US"/>
              </w:rPr>
              <w:t xml:space="preserve">Baseline: </w:t>
            </w:r>
            <w:r w:rsidR="00BD401D" w:rsidRPr="00ED49CA">
              <w:rPr>
                <w:rFonts w:eastAsia="Segoe UI"/>
                <w:sz w:val="18"/>
                <w:szCs w:val="18"/>
                <w:lang w:eastAsia="en-US"/>
              </w:rPr>
              <w:t>Trinidad and Tobago</w:t>
            </w:r>
            <w:r w:rsidR="00E16A72">
              <w:rPr>
                <w:rFonts w:eastAsia="Segoe UI"/>
                <w:sz w:val="18"/>
                <w:szCs w:val="18"/>
                <w:lang w:eastAsia="en-US"/>
              </w:rPr>
              <w:t>:</w:t>
            </w:r>
            <w:r w:rsidR="00BD401D" w:rsidRPr="00ED49CA">
              <w:rPr>
                <w:rFonts w:eastAsia="Segoe UI"/>
                <w:sz w:val="18"/>
                <w:szCs w:val="18"/>
                <w:lang w:eastAsia="en-US"/>
              </w:rPr>
              <w:t xml:space="preserve"> </w:t>
            </w:r>
            <w:r w:rsidRPr="00ED49CA">
              <w:rPr>
                <w:rFonts w:eastAsia="Segoe UI"/>
                <w:sz w:val="18"/>
                <w:szCs w:val="18"/>
                <w:lang w:eastAsia="en-US"/>
              </w:rPr>
              <w:t>750</w:t>
            </w:r>
          </w:p>
          <w:p w14:paraId="71B6F556" w14:textId="6D786F4C" w:rsidR="00C959F8" w:rsidRPr="00ED49CA" w:rsidRDefault="00C2532F" w:rsidP="000C7146">
            <w:pPr>
              <w:pStyle w:val="paragraph"/>
              <w:spacing w:before="0" w:beforeAutospacing="0" w:after="0" w:afterAutospacing="0"/>
              <w:textAlignment w:val="baseline"/>
              <w:rPr>
                <w:rFonts w:eastAsia="Segoe UI"/>
                <w:sz w:val="18"/>
                <w:szCs w:val="18"/>
                <w:lang w:eastAsia="en-US"/>
              </w:rPr>
            </w:pPr>
            <w:r w:rsidRPr="00ED49CA">
              <w:rPr>
                <w:rFonts w:eastAsia="Segoe UI"/>
                <w:sz w:val="18"/>
                <w:szCs w:val="18"/>
                <w:lang w:eastAsia="en-US"/>
              </w:rPr>
              <w:lastRenderedPageBreak/>
              <w:t xml:space="preserve">Target: 2700 </w:t>
            </w:r>
          </w:p>
        </w:tc>
        <w:tc>
          <w:tcPr>
            <w:tcW w:w="1165" w:type="pct"/>
            <w:gridSpan w:val="2"/>
            <w:vMerge w:val="restart"/>
          </w:tcPr>
          <w:p w14:paraId="12EECA73" w14:textId="171E88D4" w:rsidR="00C2532F" w:rsidRPr="00ED49CA" w:rsidRDefault="00C2532F" w:rsidP="008202BB">
            <w:pPr>
              <w:pStyle w:val="ListParagraph"/>
              <w:numPr>
                <w:ilvl w:val="0"/>
                <w:numId w:val="10"/>
              </w:numPr>
              <w:shd w:val="clear" w:color="auto" w:fill="FFFFFF" w:themeFill="background1"/>
              <w:ind w:left="360"/>
              <w:rPr>
                <w:b/>
                <w:color w:val="000000"/>
                <w:sz w:val="18"/>
                <w:szCs w:val="18"/>
                <w:lang w:val="en-GB"/>
              </w:rPr>
            </w:pPr>
            <w:r w:rsidRPr="00ED49CA">
              <w:rPr>
                <w:bCs/>
                <w:color w:val="000000"/>
                <w:sz w:val="18"/>
                <w:szCs w:val="18"/>
                <w:lang w:val="en-GB"/>
              </w:rPr>
              <w:lastRenderedPageBreak/>
              <w:t>Ministry of Social Development and Family Services</w:t>
            </w:r>
            <w:r w:rsidR="000217F2">
              <w:rPr>
                <w:bCs/>
                <w:color w:val="000000"/>
                <w:sz w:val="18"/>
                <w:szCs w:val="18"/>
                <w:lang w:val="en-GB"/>
              </w:rPr>
              <w:t>,</w:t>
            </w:r>
            <w:r w:rsidRPr="00ED49CA">
              <w:rPr>
                <w:bCs/>
                <w:color w:val="000000"/>
                <w:sz w:val="18"/>
                <w:szCs w:val="18"/>
                <w:lang w:val="en-GB"/>
              </w:rPr>
              <w:t xml:space="preserve"> annually</w:t>
            </w:r>
          </w:p>
          <w:p w14:paraId="6DD947F6" w14:textId="58131E00" w:rsidR="00C2532F" w:rsidRPr="00ED49CA" w:rsidRDefault="00C2532F" w:rsidP="008202BB">
            <w:pPr>
              <w:pStyle w:val="ListParagraph"/>
              <w:numPr>
                <w:ilvl w:val="0"/>
                <w:numId w:val="10"/>
              </w:numPr>
              <w:shd w:val="clear" w:color="auto" w:fill="FFFFFF" w:themeFill="background1"/>
              <w:ind w:left="360"/>
              <w:rPr>
                <w:b/>
                <w:color w:val="000000"/>
                <w:sz w:val="18"/>
                <w:szCs w:val="18"/>
                <w:lang w:val="en-GB"/>
              </w:rPr>
            </w:pPr>
            <w:r w:rsidRPr="00ED49CA">
              <w:rPr>
                <w:color w:val="000000"/>
                <w:sz w:val="18"/>
                <w:szCs w:val="18"/>
                <w:lang w:val="en-GB"/>
              </w:rPr>
              <w:t>Ministry of Finance, Social Sector Investment Programme, annually</w:t>
            </w:r>
          </w:p>
          <w:p w14:paraId="7072DC3C" w14:textId="38AF0A2A" w:rsidR="008C627D" w:rsidRPr="00ED49CA" w:rsidRDefault="008C627D" w:rsidP="008202BB">
            <w:pPr>
              <w:pStyle w:val="ListParagraph"/>
              <w:numPr>
                <w:ilvl w:val="0"/>
                <w:numId w:val="10"/>
              </w:numPr>
              <w:shd w:val="clear" w:color="auto" w:fill="FFFFFF" w:themeFill="background1"/>
              <w:ind w:left="360"/>
              <w:rPr>
                <w:bCs/>
                <w:color w:val="000000"/>
                <w:sz w:val="18"/>
                <w:szCs w:val="18"/>
                <w:lang w:val="en-GB"/>
              </w:rPr>
            </w:pPr>
            <w:r w:rsidRPr="00ED49CA">
              <w:rPr>
                <w:bCs/>
                <w:color w:val="000000"/>
                <w:sz w:val="18"/>
                <w:szCs w:val="18"/>
                <w:lang w:val="en-GB"/>
              </w:rPr>
              <w:t xml:space="preserve">Central </w:t>
            </w:r>
            <w:r w:rsidR="00BF64F1">
              <w:rPr>
                <w:bCs/>
                <w:color w:val="000000"/>
                <w:sz w:val="18"/>
                <w:szCs w:val="18"/>
                <w:lang w:val="en-GB"/>
              </w:rPr>
              <w:t>s</w:t>
            </w:r>
            <w:r w:rsidR="00BF64F1" w:rsidRPr="00ED49CA">
              <w:rPr>
                <w:bCs/>
                <w:color w:val="000000"/>
                <w:sz w:val="18"/>
                <w:szCs w:val="18"/>
                <w:lang w:val="en-GB"/>
              </w:rPr>
              <w:t>tatistical</w:t>
            </w:r>
            <w:r w:rsidRPr="00ED49CA">
              <w:rPr>
                <w:bCs/>
                <w:color w:val="000000"/>
                <w:sz w:val="18"/>
                <w:szCs w:val="18"/>
                <w:lang w:val="en-GB"/>
              </w:rPr>
              <w:t xml:space="preserve"> </w:t>
            </w:r>
            <w:r w:rsidR="000217F2">
              <w:rPr>
                <w:bCs/>
                <w:color w:val="000000"/>
                <w:sz w:val="18"/>
                <w:szCs w:val="18"/>
                <w:lang w:val="en-GB"/>
              </w:rPr>
              <w:t>o</w:t>
            </w:r>
            <w:r w:rsidRPr="00ED49CA">
              <w:rPr>
                <w:bCs/>
                <w:color w:val="000000"/>
                <w:sz w:val="18"/>
                <w:szCs w:val="18"/>
                <w:lang w:val="en-GB"/>
              </w:rPr>
              <w:t>ffices</w:t>
            </w:r>
            <w:r w:rsidR="002F278D" w:rsidRPr="00ED49CA">
              <w:rPr>
                <w:bCs/>
                <w:color w:val="000000"/>
                <w:sz w:val="18"/>
                <w:szCs w:val="18"/>
                <w:lang w:val="en-GB"/>
              </w:rPr>
              <w:t xml:space="preserve"> in all countries </w:t>
            </w:r>
          </w:p>
          <w:p w14:paraId="3664D374" w14:textId="0CB9E346" w:rsidR="008C627D" w:rsidRPr="00ED49CA" w:rsidRDefault="008C627D" w:rsidP="008202BB">
            <w:pPr>
              <w:pStyle w:val="ListParagraph"/>
              <w:numPr>
                <w:ilvl w:val="0"/>
                <w:numId w:val="10"/>
              </w:numPr>
              <w:shd w:val="clear" w:color="auto" w:fill="FFFFFF" w:themeFill="background1"/>
              <w:ind w:left="360"/>
              <w:rPr>
                <w:bCs/>
                <w:color w:val="000000"/>
                <w:sz w:val="18"/>
                <w:szCs w:val="18"/>
                <w:lang w:val="en-GB"/>
              </w:rPr>
            </w:pPr>
            <w:r w:rsidRPr="00ED49CA">
              <w:rPr>
                <w:bCs/>
                <w:color w:val="000000"/>
                <w:sz w:val="18"/>
                <w:szCs w:val="18"/>
                <w:lang w:val="en-GB"/>
              </w:rPr>
              <w:t xml:space="preserve">National Insurance Board </w:t>
            </w:r>
          </w:p>
          <w:p w14:paraId="00D60B9F" w14:textId="77777777" w:rsidR="00C2532F" w:rsidRPr="00ED49CA" w:rsidRDefault="00C2532F" w:rsidP="00941B0A">
            <w:pPr>
              <w:pStyle w:val="ListParagraph"/>
              <w:shd w:val="clear" w:color="auto" w:fill="FFFFFF" w:themeFill="background1"/>
              <w:ind w:left="360"/>
              <w:rPr>
                <w:b/>
                <w:color w:val="000000"/>
                <w:sz w:val="18"/>
                <w:szCs w:val="18"/>
                <w:lang w:val="en-GB"/>
              </w:rPr>
            </w:pPr>
          </w:p>
        </w:tc>
        <w:tc>
          <w:tcPr>
            <w:tcW w:w="1080" w:type="pct"/>
            <w:gridSpan w:val="2"/>
            <w:vMerge w:val="restart"/>
            <w:tcMar>
              <w:top w:w="72" w:type="dxa"/>
              <w:left w:w="144" w:type="dxa"/>
              <w:bottom w:w="72" w:type="dxa"/>
              <w:right w:w="144" w:type="dxa"/>
            </w:tcMar>
          </w:tcPr>
          <w:p w14:paraId="2E888078" w14:textId="77777777" w:rsidR="00C2532F" w:rsidRPr="00ED49CA" w:rsidRDefault="00C2532F" w:rsidP="00246C0C">
            <w:pPr>
              <w:pStyle w:val="Default"/>
              <w:rPr>
                <w:b/>
                <w:bCs/>
                <w:color w:val="auto"/>
                <w:sz w:val="18"/>
                <w:szCs w:val="18"/>
              </w:rPr>
            </w:pPr>
            <w:r w:rsidRPr="00ED49CA">
              <w:rPr>
                <w:b/>
                <w:bCs/>
                <w:color w:val="auto"/>
                <w:sz w:val="18"/>
                <w:szCs w:val="18"/>
              </w:rPr>
              <w:t xml:space="preserve">2.1 National partners and stakeholders have improved capacities to provide social protection and social inclusion </w:t>
            </w:r>
          </w:p>
          <w:p w14:paraId="45B54DCB" w14:textId="77777777" w:rsidR="00C2532F" w:rsidRPr="00ED49CA" w:rsidRDefault="00C2532F" w:rsidP="00246C0C">
            <w:pPr>
              <w:pStyle w:val="Default"/>
              <w:rPr>
                <w:b/>
                <w:bCs/>
                <w:color w:val="auto"/>
                <w:sz w:val="18"/>
                <w:szCs w:val="18"/>
              </w:rPr>
            </w:pPr>
          </w:p>
          <w:p w14:paraId="57762DB0" w14:textId="2DF803B7" w:rsidR="00C2532F" w:rsidRPr="00ED49CA" w:rsidRDefault="00C2532F" w:rsidP="00246C0C">
            <w:pPr>
              <w:rPr>
                <w:color w:val="000000" w:themeColor="text1"/>
                <w:sz w:val="18"/>
                <w:szCs w:val="18"/>
              </w:rPr>
            </w:pPr>
            <w:r w:rsidRPr="00ED49CA">
              <w:rPr>
                <w:color w:val="000000" w:themeColor="text1"/>
                <w:sz w:val="18"/>
                <w:szCs w:val="18"/>
              </w:rPr>
              <w:t xml:space="preserve">I.2.1a: </w:t>
            </w:r>
            <w:r w:rsidR="002D1250" w:rsidRPr="00ED49CA">
              <w:rPr>
                <w:color w:val="000000" w:themeColor="text1"/>
                <w:sz w:val="18"/>
                <w:szCs w:val="18"/>
              </w:rPr>
              <w:t>Percentage</w:t>
            </w:r>
            <w:r w:rsidR="002D1250" w:rsidRPr="00ED49CA" w:rsidDel="002D1250">
              <w:rPr>
                <w:color w:val="000000" w:themeColor="text1"/>
                <w:sz w:val="18"/>
                <w:szCs w:val="18"/>
              </w:rPr>
              <w:t xml:space="preserve"> </w:t>
            </w:r>
            <w:r w:rsidRPr="00ED49CA">
              <w:rPr>
                <w:color w:val="000000" w:themeColor="text1"/>
                <w:sz w:val="18"/>
                <w:szCs w:val="18"/>
              </w:rPr>
              <w:t xml:space="preserve">of progress in developing a detailed map or database of all social protection </w:t>
            </w:r>
            <w:r w:rsidRPr="00ED49CA">
              <w:rPr>
                <w:color w:val="000000" w:themeColor="text1"/>
                <w:sz w:val="18"/>
                <w:szCs w:val="18"/>
              </w:rPr>
              <w:lastRenderedPageBreak/>
              <w:t>programmes in Trinidad and Tobago developed</w:t>
            </w:r>
          </w:p>
          <w:p w14:paraId="6BC39F4A" w14:textId="1EB33E9A" w:rsidR="00C2532F" w:rsidRPr="00ED49CA" w:rsidRDefault="00C2532F" w:rsidP="00246C0C">
            <w:pPr>
              <w:pStyle w:val="Default"/>
              <w:ind w:left="720"/>
              <w:rPr>
                <w:sz w:val="18"/>
                <w:szCs w:val="18"/>
              </w:rPr>
            </w:pPr>
            <w:r w:rsidRPr="00ED49CA">
              <w:rPr>
                <w:sz w:val="18"/>
                <w:szCs w:val="18"/>
              </w:rPr>
              <w:t xml:space="preserve">Baseline: 10% </w:t>
            </w:r>
          </w:p>
          <w:p w14:paraId="4AC2B85E" w14:textId="77777777" w:rsidR="00C2532F" w:rsidRPr="00ED49CA" w:rsidRDefault="00C2532F" w:rsidP="00246C0C">
            <w:pPr>
              <w:pStyle w:val="Default"/>
              <w:ind w:left="720"/>
              <w:rPr>
                <w:sz w:val="18"/>
                <w:szCs w:val="18"/>
              </w:rPr>
            </w:pPr>
            <w:r w:rsidRPr="00ED49CA">
              <w:rPr>
                <w:sz w:val="18"/>
                <w:szCs w:val="18"/>
              </w:rPr>
              <w:t>Target: 100%</w:t>
            </w:r>
          </w:p>
          <w:p w14:paraId="2B27C9F0" w14:textId="033EDE7D" w:rsidR="00C2532F" w:rsidRPr="00ED49CA" w:rsidRDefault="00C2532F" w:rsidP="00246C0C">
            <w:pPr>
              <w:pStyle w:val="Default"/>
              <w:ind w:left="720"/>
              <w:rPr>
                <w:sz w:val="18"/>
                <w:szCs w:val="18"/>
              </w:rPr>
            </w:pPr>
            <w:r w:rsidRPr="00ED49CA">
              <w:rPr>
                <w:sz w:val="18"/>
                <w:szCs w:val="18"/>
              </w:rPr>
              <w:t xml:space="preserve">Source: (1) </w:t>
            </w:r>
            <w:r w:rsidR="00E34021" w:rsidRPr="00ED49CA">
              <w:rPr>
                <w:sz w:val="18"/>
                <w:szCs w:val="18"/>
              </w:rPr>
              <w:t>Ministry of Social Development and Family Services</w:t>
            </w:r>
            <w:r w:rsidRPr="00ED49CA">
              <w:rPr>
                <w:sz w:val="18"/>
                <w:szCs w:val="18"/>
              </w:rPr>
              <w:t>, annual</w:t>
            </w:r>
          </w:p>
          <w:p w14:paraId="307AC339" w14:textId="77777777" w:rsidR="00C2532F" w:rsidRPr="00ED49CA" w:rsidRDefault="00C2532F" w:rsidP="00246C0C">
            <w:pPr>
              <w:pStyle w:val="Default"/>
              <w:ind w:left="720"/>
              <w:rPr>
                <w:sz w:val="18"/>
                <w:szCs w:val="18"/>
              </w:rPr>
            </w:pPr>
            <w:r w:rsidRPr="00ED49CA">
              <w:rPr>
                <w:sz w:val="18"/>
                <w:szCs w:val="18"/>
              </w:rPr>
              <w:t>(2) Ministry of Planning and Development, annual</w:t>
            </w:r>
          </w:p>
          <w:p w14:paraId="70A01CAC" w14:textId="77777777" w:rsidR="00C2532F" w:rsidRPr="00ED49CA" w:rsidRDefault="00C2532F" w:rsidP="00246C0C">
            <w:pPr>
              <w:pStyle w:val="Default"/>
              <w:ind w:left="720"/>
              <w:rPr>
                <w:sz w:val="18"/>
                <w:szCs w:val="18"/>
              </w:rPr>
            </w:pPr>
          </w:p>
          <w:p w14:paraId="7F077D62" w14:textId="490A9E33" w:rsidR="00C2532F" w:rsidRPr="00ED49CA" w:rsidRDefault="00C2532F" w:rsidP="00246C0C">
            <w:pPr>
              <w:rPr>
                <w:color w:val="000000" w:themeColor="text1"/>
                <w:sz w:val="18"/>
                <w:szCs w:val="18"/>
              </w:rPr>
            </w:pPr>
            <w:r w:rsidRPr="00ED49CA">
              <w:rPr>
                <w:color w:val="000000" w:themeColor="text1"/>
                <w:sz w:val="18"/>
                <w:szCs w:val="18"/>
              </w:rPr>
              <w:t>I.2.1</w:t>
            </w:r>
            <w:r w:rsidR="00984D3D">
              <w:rPr>
                <w:color w:val="000000" w:themeColor="text1"/>
                <w:sz w:val="18"/>
                <w:szCs w:val="18"/>
              </w:rPr>
              <w:t>b</w:t>
            </w:r>
            <w:r w:rsidRPr="00ED49CA">
              <w:rPr>
                <w:color w:val="000000" w:themeColor="text1"/>
                <w:sz w:val="18"/>
                <w:szCs w:val="18"/>
              </w:rPr>
              <w:t xml:space="preserve">: </w:t>
            </w:r>
            <w:r w:rsidRPr="00ED49CA">
              <w:rPr>
                <w:sz w:val="18"/>
                <w:szCs w:val="18"/>
              </w:rPr>
              <w:t xml:space="preserve">Number of social protection programmes improved and digitized </w:t>
            </w:r>
          </w:p>
          <w:p w14:paraId="5D620313" w14:textId="77777777" w:rsidR="00C2532F" w:rsidRPr="00ED49CA" w:rsidRDefault="00C2532F" w:rsidP="00246C0C">
            <w:pPr>
              <w:pStyle w:val="Default"/>
              <w:ind w:left="720"/>
              <w:rPr>
                <w:sz w:val="18"/>
                <w:szCs w:val="18"/>
              </w:rPr>
            </w:pPr>
            <w:r w:rsidRPr="00ED49CA">
              <w:rPr>
                <w:sz w:val="18"/>
                <w:szCs w:val="18"/>
              </w:rPr>
              <w:t>Baseline: 0</w:t>
            </w:r>
          </w:p>
          <w:p w14:paraId="141CCE17" w14:textId="77777777" w:rsidR="00C2532F" w:rsidRPr="00ED49CA" w:rsidRDefault="00C2532F" w:rsidP="00246C0C">
            <w:pPr>
              <w:pStyle w:val="Default"/>
              <w:ind w:left="720"/>
              <w:rPr>
                <w:sz w:val="18"/>
                <w:szCs w:val="18"/>
              </w:rPr>
            </w:pPr>
            <w:r w:rsidRPr="00ED49CA">
              <w:rPr>
                <w:sz w:val="18"/>
                <w:szCs w:val="18"/>
              </w:rPr>
              <w:t>Target: 1</w:t>
            </w:r>
          </w:p>
          <w:p w14:paraId="301B0832" w14:textId="1DEA0D65" w:rsidR="00C2532F" w:rsidRPr="00ED49CA" w:rsidRDefault="00C2532F" w:rsidP="00246C0C">
            <w:pPr>
              <w:pStyle w:val="Default"/>
              <w:ind w:left="720"/>
              <w:rPr>
                <w:sz w:val="18"/>
                <w:szCs w:val="18"/>
              </w:rPr>
            </w:pPr>
            <w:r w:rsidRPr="00ED49CA">
              <w:rPr>
                <w:sz w:val="18"/>
                <w:szCs w:val="18"/>
              </w:rPr>
              <w:t xml:space="preserve">Data Source: </w:t>
            </w:r>
            <w:r w:rsidR="00E34021" w:rsidRPr="00ED49CA">
              <w:rPr>
                <w:sz w:val="18"/>
                <w:szCs w:val="18"/>
              </w:rPr>
              <w:t>Ministry of Social Development and Family Services</w:t>
            </w:r>
            <w:r w:rsidRPr="00ED49CA">
              <w:rPr>
                <w:sz w:val="18"/>
                <w:szCs w:val="18"/>
              </w:rPr>
              <w:t xml:space="preserve">, annual </w:t>
            </w:r>
          </w:p>
          <w:p w14:paraId="181636B7" w14:textId="77777777" w:rsidR="00C2532F" w:rsidRPr="00ED49CA" w:rsidRDefault="00C2532F" w:rsidP="00246C0C">
            <w:pPr>
              <w:pStyle w:val="Default"/>
              <w:rPr>
                <w:sz w:val="18"/>
                <w:szCs w:val="18"/>
              </w:rPr>
            </w:pPr>
          </w:p>
          <w:p w14:paraId="273DC813" w14:textId="1002E764" w:rsidR="00C2532F" w:rsidRPr="00ED49CA" w:rsidRDefault="00C2532F" w:rsidP="00246C0C">
            <w:pPr>
              <w:pStyle w:val="Default"/>
              <w:rPr>
                <w:color w:val="auto"/>
                <w:sz w:val="18"/>
                <w:szCs w:val="18"/>
              </w:rPr>
            </w:pPr>
            <w:r w:rsidRPr="00ED49CA">
              <w:rPr>
                <w:color w:val="auto"/>
                <w:sz w:val="18"/>
                <w:szCs w:val="18"/>
              </w:rPr>
              <w:t>I.2.1</w:t>
            </w:r>
            <w:r w:rsidR="00984D3D">
              <w:rPr>
                <w:color w:val="auto"/>
                <w:sz w:val="18"/>
                <w:szCs w:val="18"/>
              </w:rPr>
              <w:t>c</w:t>
            </w:r>
            <w:r w:rsidRPr="00ED49CA">
              <w:rPr>
                <w:color w:val="auto"/>
                <w:sz w:val="18"/>
                <w:szCs w:val="18"/>
              </w:rPr>
              <w:t>: Number of food bank systems institutionalized to improve food security (Sint Maarten)</w:t>
            </w:r>
          </w:p>
          <w:p w14:paraId="08314038" w14:textId="77777777" w:rsidR="00C2532F" w:rsidRPr="00ED49CA" w:rsidRDefault="00C2532F" w:rsidP="00246C0C">
            <w:pPr>
              <w:pStyle w:val="Default"/>
              <w:ind w:left="720"/>
              <w:rPr>
                <w:sz w:val="18"/>
                <w:szCs w:val="18"/>
              </w:rPr>
            </w:pPr>
            <w:r w:rsidRPr="00ED49CA">
              <w:rPr>
                <w:sz w:val="18"/>
                <w:szCs w:val="18"/>
              </w:rPr>
              <w:t>Baseline: 0</w:t>
            </w:r>
          </w:p>
          <w:p w14:paraId="64796A7A" w14:textId="77777777" w:rsidR="00C2532F" w:rsidRPr="00ED49CA" w:rsidRDefault="00C2532F" w:rsidP="00246C0C">
            <w:pPr>
              <w:pStyle w:val="Default"/>
              <w:ind w:left="720"/>
              <w:rPr>
                <w:sz w:val="18"/>
                <w:szCs w:val="18"/>
              </w:rPr>
            </w:pPr>
            <w:r w:rsidRPr="00ED49CA">
              <w:rPr>
                <w:sz w:val="18"/>
                <w:szCs w:val="18"/>
              </w:rPr>
              <w:t>Target: 1</w:t>
            </w:r>
          </w:p>
          <w:p w14:paraId="016582B1" w14:textId="14897DA1" w:rsidR="00C2532F" w:rsidRDefault="00C2532F" w:rsidP="00830AC3">
            <w:pPr>
              <w:pStyle w:val="Default"/>
              <w:ind w:left="720"/>
              <w:rPr>
                <w:sz w:val="18"/>
                <w:szCs w:val="18"/>
              </w:rPr>
            </w:pPr>
            <w:r w:rsidRPr="00ED49CA">
              <w:rPr>
                <w:sz w:val="18"/>
                <w:szCs w:val="18"/>
              </w:rPr>
              <w:t>Source: Government of Sint Maarten</w:t>
            </w:r>
            <w:r w:rsidR="00830AC3">
              <w:rPr>
                <w:sz w:val="18"/>
                <w:szCs w:val="18"/>
              </w:rPr>
              <w:t xml:space="preserve"> (twice a year) </w:t>
            </w:r>
          </w:p>
          <w:p w14:paraId="54F41C2C" w14:textId="77777777" w:rsidR="00830AC3" w:rsidRPr="00ED49CA" w:rsidRDefault="00830AC3" w:rsidP="00830AC3">
            <w:pPr>
              <w:pStyle w:val="Default"/>
              <w:ind w:left="720"/>
              <w:rPr>
                <w:sz w:val="18"/>
                <w:szCs w:val="18"/>
              </w:rPr>
            </w:pPr>
          </w:p>
          <w:p w14:paraId="2E536012" w14:textId="77777777" w:rsidR="00C2532F" w:rsidRPr="00ED49CA" w:rsidRDefault="00C2532F" w:rsidP="00246C0C">
            <w:pPr>
              <w:pStyle w:val="Default"/>
              <w:rPr>
                <w:b/>
                <w:bCs/>
                <w:sz w:val="18"/>
                <w:szCs w:val="18"/>
              </w:rPr>
            </w:pPr>
            <w:r w:rsidRPr="00ED49CA">
              <w:rPr>
                <w:b/>
                <w:bCs/>
                <w:sz w:val="18"/>
                <w:szCs w:val="18"/>
              </w:rPr>
              <w:t>2.3 The health system has stronger capacity to respond to the COVID-19 pandemic</w:t>
            </w:r>
          </w:p>
          <w:p w14:paraId="4F996CFA" w14:textId="77777777" w:rsidR="00C2532F" w:rsidRPr="00ED49CA" w:rsidRDefault="00C2532F" w:rsidP="00246C0C">
            <w:pPr>
              <w:pStyle w:val="Default"/>
              <w:rPr>
                <w:sz w:val="18"/>
                <w:szCs w:val="18"/>
              </w:rPr>
            </w:pPr>
          </w:p>
          <w:p w14:paraId="4BF6A160" w14:textId="0AF3AB12" w:rsidR="00C2532F" w:rsidRPr="00ED49CA" w:rsidRDefault="00C2532F" w:rsidP="00246C0C">
            <w:pPr>
              <w:pStyle w:val="Default"/>
              <w:rPr>
                <w:sz w:val="18"/>
                <w:szCs w:val="18"/>
              </w:rPr>
            </w:pPr>
            <w:r w:rsidRPr="00ED49CA">
              <w:rPr>
                <w:sz w:val="18"/>
                <w:szCs w:val="18"/>
              </w:rPr>
              <w:t>I.2.3: Number of health cent</w:t>
            </w:r>
            <w:r w:rsidR="004637A9">
              <w:rPr>
                <w:sz w:val="18"/>
                <w:szCs w:val="18"/>
              </w:rPr>
              <w:t>re</w:t>
            </w:r>
            <w:r w:rsidRPr="00ED49CA">
              <w:rPr>
                <w:sz w:val="18"/>
                <w:szCs w:val="18"/>
              </w:rPr>
              <w:t xml:space="preserve">s, hospitals, and other health institutions benefiting from medical supplies and equipment procured to support COVID-19 response </w:t>
            </w:r>
          </w:p>
          <w:p w14:paraId="4F99CD45" w14:textId="77777777" w:rsidR="00C2532F" w:rsidRPr="00ED49CA" w:rsidRDefault="00C2532F" w:rsidP="00246C0C">
            <w:pPr>
              <w:pStyle w:val="Default"/>
              <w:ind w:left="720"/>
              <w:rPr>
                <w:sz w:val="18"/>
                <w:szCs w:val="18"/>
              </w:rPr>
            </w:pPr>
            <w:r w:rsidRPr="00ED49CA">
              <w:rPr>
                <w:sz w:val="18"/>
                <w:szCs w:val="18"/>
              </w:rPr>
              <w:t>Baseline: 0</w:t>
            </w:r>
          </w:p>
          <w:p w14:paraId="5A64B166" w14:textId="77777777" w:rsidR="00C2532F" w:rsidRPr="00ED49CA" w:rsidRDefault="00C2532F" w:rsidP="00246C0C">
            <w:pPr>
              <w:pStyle w:val="Default"/>
              <w:ind w:left="720"/>
              <w:rPr>
                <w:sz w:val="18"/>
                <w:szCs w:val="18"/>
              </w:rPr>
            </w:pPr>
            <w:r w:rsidRPr="00ED49CA">
              <w:rPr>
                <w:sz w:val="18"/>
                <w:szCs w:val="18"/>
              </w:rPr>
              <w:t>Target: 10</w:t>
            </w:r>
          </w:p>
          <w:p w14:paraId="63F66E05" w14:textId="1993ECA9" w:rsidR="00C2532F" w:rsidRPr="00ED49CA" w:rsidRDefault="00C2532F" w:rsidP="00246C0C">
            <w:pPr>
              <w:pStyle w:val="Default"/>
              <w:ind w:left="720"/>
              <w:rPr>
                <w:sz w:val="18"/>
                <w:szCs w:val="18"/>
              </w:rPr>
            </w:pPr>
            <w:r w:rsidRPr="00ED49CA">
              <w:rPr>
                <w:sz w:val="18"/>
                <w:szCs w:val="18"/>
              </w:rPr>
              <w:t>Source: Ministry of Health</w:t>
            </w:r>
            <w:r w:rsidRPr="00830AC3">
              <w:rPr>
                <w:sz w:val="18"/>
                <w:szCs w:val="18"/>
              </w:rPr>
              <w:t xml:space="preserve">, </w:t>
            </w:r>
            <w:r w:rsidR="00830AC3" w:rsidRPr="00830AC3">
              <w:rPr>
                <w:sz w:val="18"/>
                <w:szCs w:val="18"/>
              </w:rPr>
              <w:t>(</w:t>
            </w:r>
            <w:r w:rsidR="004637A9" w:rsidRPr="00830AC3">
              <w:rPr>
                <w:sz w:val="18"/>
                <w:szCs w:val="18"/>
              </w:rPr>
              <w:t>twice a year</w:t>
            </w:r>
            <w:r w:rsidR="00830AC3" w:rsidRPr="00830AC3">
              <w:rPr>
                <w:sz w:val="18"/>
                <w:szCs w:val="18"/>
              </w:rPr>
              <w:t xml:space="preserve">) </w:t>
            </w:r>
          </w:p>
        </w:tc>
        <w:tc>
          <w:tcPr>
            <w:tcW w:w="979" w:type="pct"/>
            <w:vMerge w:val="restart"/>
          </w:tcPr>
          <w:p w14:paraId="7FE79918" w14:textId="7E3796F0" w:rsidR="00C2532F" w:rsidRPr="00ED49CA" w:rsidRDefault="00C2532F" w:rsidP="00246C0C">
            <w:pPr>
              <w:rPr>
                <w:sz w:val="18"/>
                <w:szCs w:val="18"/>
              </w:rPr>
            </w:pPr>
            <w:r w:rsidRPr="00ED49CA">
              <w:rPr>
                <w:sz w:val="18"/>
                <w:szCs w:val="18"/>
              </w:rPr>
              <w:lastRenderedPageBreak/>
              <w:t xml:space="preserve">Government </w:t>
            </w:r>
            <w:r w:rsidR="000217F2">
              <w:rPr>
                <w:sz w:val="18"/>
                <w:szCs w:val="18"/>
              </w:rPr>
              <w:t>a</w:t>
            </w:r>
            <w:r w:rsidRPr="00ED49CA">
              <w:rPr>
                <w:sz w:val="18"/>
                <w:szCs w:val="18"/>
              </w:rPr>
              <w:t>gencies</w:t>
            </w:r>
          </w:p>
          <w:p w14:paraId="40DDAA55" w14:textId="14E6440B" w:rsidR="00E914CF" w:rsidRPr="00ED49CA" w:rsidRDefault="00E914CF" w:rsidP="008202BB">
            <w:pPr>
              <w:pStyle w:val="ListParagraph"/>
              <w:numPr>
                <w:ilvl w:val="0"/>
                <w:numId w:val="4"/>
              </w:numPr>
              <w:contextualSpacing/>
              <w:rPr>
                <w:sz w:val="18"/>
                <w:szCs w:val="18"/>
              </w:rPr>
            </w:pPr>
            <w:r w:rsidRPr="00ED49CA">
              <w:rPr>
                <w:bCs/>
                <w:color w:val="000000"/>
                <w:sz w:val="18"/>
                <w:szCs w:val="18"/>
                <w:lang w:val="en-GB"/>
              </w:rPr>
              <w:t xml:space="preserve">Ministry of Social Development and Family Services </w:t>
            </w:r>
          </w:p>
          <w:p w14:paraId="74B37E00" w14:textId="314BC28D" w:rsidR="00C2532F" w:rsidRPr="00ED49CA" w:rsidRDefault="00C2532F" w:rsidP="008202BB">
            <w:pPr>
              <w:pStyle w:val="ListParagraph"/>
              <w:numPr>
                <w:ilvl w:val="0"/>
                <w:numId w:val="4"/>
              </w:numPr>
              <w:contextualSpacing/>
              <w:rPr>
                <w:sz w:val="18"/>
                <w:szCs w:val="18"/>
              </w:rPr>
            </w:pPr>
            <w:r w:rsidRPr="00ED49CA">
              <w:rPr>
                <w:sz w:val="18"/>
                <w:szCs w:val="18"/>
              </w:rPr>
              <w:t>M</w:t>
            </w:r>
            <w:r w:rsidR="00E914CF" w:rsidRPr="00ED49CA">
              <w:rPr>
                <w:sz w:val="18"/>
                <w:szCs w:val="18"/>
              </w:rPr>
              <w:t xml:space="preserve">inistry of </w:t>
            </w:r>
            <w:r w:rsidRPr="00ED49CA">
              <w:rPr>
                <w:sz w:val="18"/>
                <w:szCs w:val="18"/>
              </w:rPr>
              <w:t>P</w:t>
            </w:r>
            <w:r w:rsidR="00E914CF" w:rsidRPr="00ED49CA">
              <w:rPr>
                <w:sz w:val="18"/>
                <w:szCs w:val="18"/>
              </w:rPr>
              <w:t xml:space="preserve">lanning and </w:t>
            </w:r>
            <w:r w:rsidRPr="00ED49CA">
              <w:rPr>
                <w:sz w:val="18"/>
                <w:szCs w:val="18"/>
              </w:rPr>
              <w:t>D</w:t>
            </w:r>
            <w:r w:rsidR="00E914CF" w:rsidRPr="00ED49CA">
              <w:rPr>
                <w:sz w:val="18"/>
                <w:szCs w:val="18"/>
              </w:rPr>
              <w:t>evelopment</w:t>
            </w:r>
          </w:p>
          <w:p w14:paraId="035A0F4C" w14:textId="77777777" w:rsidR="00C2532F" w:rsidRPr="00ED49CA" w:rsidRDefault="00C2532F" w:rsidP="008202BB">
            <w:pPr>
              <w:pStyle w:val="ListParagraph"/>
              <w:numPr>
                <w:ilvl w:val="0"/>
                <w:numId w:val="4"/>
              </w:numPr>
              <w:contextualSpacing/>
              <w:rPr>
                <w:sz w:val="18"/>
                <w:szCs w:val="18"/>
              </w:rPr>
            </w:pPr>
            <w:r w:rsidRPr="00ED49CA">
              <w:rPr>
                <w:sz w:val="18"/>
                <w:szCs w:val="18"/>
              </w:rPr>
              <w:t>Ministry of Health</w:t>
            </w:r>
          </w:p>
          <w:p w14:paraId="1FBBE04E" w14:textId="77777777" w:rsidR="00E914CF" w:rsidRPr="00ED49CA" w:rsidRDefault="00E914CF" w:rsidP="008202BB">
            <w:pPr>
              <w:pStyle w:val="ListParagraph"/>
              <w:numPr>
                <w:ilvl w:val="0"/>
                <w:numId w:val="4"/>
              </w:numPr>
              <w:contextualSpacing/>
              <w:rPr>
                <w:sz w:val="18"/>
                <w:szCs w:val="18"/>
              </w:rPr>
            </w:pPr>
            <w:r w:rsidRPr="00ED49CA">
              <w:rPr>
                <w:sz w:val="18"/>
                <w:szCs w:val="18"/>
              </w:rPr>
              <w:t xml:space="preserve">Ministry of Finance </w:t>
            </w:r>
          </w:p>
          <w:p w14:paraId="1A07BF9A" w14:textId="61A1BE96" w:rsidR="002F278D" w:rsidRPr="00ED49CA" w:rsidRDefault="002F278D" w:rsidP="008202BB">
            <w:pPr>
              <w:pStyle w:val="ListParagraph"/>
              <w:numPr>
                <w:ilvl w:val="0"/>
                <w:numId w:val="4"/>
              </w:numPr>
              <w:contextualSpacing/>
              <w:rPr>
                <w:sz w:val="18"/>
                <w:szCs w:val="18"/>
              </w:rPr>
            </w:pPr>
            <w:r w:rsidRPr="00ED49CA">
              <w:rPr>
                <w:sz w:val="18"/>
                <w:szCs w:val="18"/>
              </w:rPr>
              <w:lastRenderedPageBreak/>
              <w:t>Ministry of Kingdom Affairs, Sint Maarten</w:t>
            </w:r>
          </w:p>
          <w:p w14:paraId="5639DD35" w14:textId="77777777" w:rsidR="00C2532F" w:rsidRPr="00ED49CA" w:rsidRDefault="00C2532F" w:rsidP="00246C0C">
            <w:pPr>
              <w:pStyle w:val="ListParagraph"/>
              <w:ind w:left="360"/>
              <w:rPr>
                <w:sz w:val="18"/>
                <w:szCs w:val="18"/>
              </w:rPr>
            </w:pPr>
          </w:p>
          <w:p w14:paraId="04E81213" w14:textId="35A67B76" w:rsidR="00C2532F" w:rsidRPr="00ED49CA" w:rsidRDefault="00C2532F" w:rsidP="00246C0C">
            <w:pPr>
              <w:rPr>
                <w:sz w:val="18"/>
                <w:szCs w:val="18"/>
              </w:rPr>
            </w:pPr>
            <w:r w:rsidRPr="00ED49CA">
              <w:rPr>
                <w:sz w:val="18"/>
                <w:szCs w:val="18"/>
              </w:rPr>
              <w:t xml:space="preserve">United Nations </w:t>
            </w:r>
            <w:r w:rsidR="000217F2">
              <w:rPr>
                <w:sz w:val="18"/>
                <w:szCs w:val="18"/>
              </w:rPr>
              <w:t>a</w:t>
            </w:r>
            <w:r w:rsidRPr="00ED49CA">
              <w:rPr>
                <w:sz w:val="18"/>
                <w:szCs w:val="18"/>
              </w:rPr>
              <w:t>gencies</w:t>
            </w:r>
          </w:p>
          <w:p w14:paraId="560A11E2" w14:textId="6AB506FA" w:rsidR="00C2532F" w:rsidRPr="00ED49CA" w:rsidRDefault="00BE1BFA" w:rsidP="008202BB">
            <w:pPr>
              <w:pStyle w:val="ListParagraph"/>
              <w:numPr>
                <w:ilvl w:val="0"/>
                <w:numId w:val="4"/>
              </w:numPr>
              <w:contextualSpacing/>
              <w:rPr>
                <w:sz w:val="18"/>
                <w:szCs w:val="18"/>
              </w:rPr>
            </w:pPr>
            <w:r w:rsidRPr="00ED49CA">
              <w:rPr>
                <w:sz w:val="18"/>
                <w:szCs w:val="18"/>
              </w:rPr>
              <w:t>UNICEF</w:t>
            </w:r>
            <w:r w:rsidR="00C2532F" w:rsidRPr="00ED49CA">
              <w:rPr>
                <w:sz w:val="18"/>
                <w:szCs w:val="18"/>
              </w:rPr>
              <w:t xml:space="preserve"> </w:t>
            </w:r>
          </w:p>
          <w:p w14:paraId="5B5CE0AB" w14:textId="46FA8B86" w:rsidR="00C2532F" w:rsidRPr="00ED49CA" w:rsidRDefault="00BE1BFA" w:rsidP="008202BB">
            <w:pPr>
              <w:pStyle w:val="ListParagraph"/>
              <w:numPr>
                <w:ilvl w:val="0"/>
                <w:numId w:val="4"/>
              </w:numPr>
              <w:contextualSpacing/>
              <w:rPr>
                <w:sz w:val="18"/>
                <w:szCs w:val="18"/>
              </w:rPr>
            </w:pPr>
            <w:r w:rsidRPr="00ED49CA">
              <w:rPr>
                <w:sz w:val="18"/>
                <w:szCs w:val="18"/>
              </w:rPr>
              <w:t>PAHO</w:t>
            </w:r>
          </w:p>
          <w:p w14:paraId="1523EA99" w14:textId="77777777" w:rsidR="00C2532F" w:rsidRPr="00ED49CA" w:rsidRDefault="00C2532F" w:rsidP="008202BB">
            <w:pPr>
              <w:pStyle w:val="ListParagraph"/>
              <w:numPr>
                <w:ilvl w:val="0"/>
                <w:numId w:val="4"/>
              </w:numPr>
              <w:contextualSpacing/>
              <w:rPr>
                <w:sz w:val="18"/>
                <w:szCs w:val="18"/>
              </w:rPr>
            </w:pPr>
            <w:r w:rsidRPr="00ED49CA">
              <w:rPr>
                <w:sz w:val="18"/>
                <w:szCs w:val="18"/>
              </w:rPr>
              <w:t>UN-Women</w:t>
            </w:r>
          </w:p>
          <w:p w14:paraId="747F20BF" w14:textId="77777777" w:rsidR="00C2532F" w:rsidRPr="00ED49CA" w:rsidRDefault="00C2532F" w:rsidP="00246C0C">
            <w:pPr>
              <w:rPr>
                <w:sz w:val="18"/>
                <w:szCs w:val="18"/>
              </w:rPr>
            </w:pPr>
          </w:p>
          <w:p w14:paraId="4C183A6B" w14:textId="14C76162" w:rsidR="00C2532F" w:rsidRPr="00ED49CA" w:rsidRDefault="00C2532F" w:rsidP="00246C0C">
            <w:pPr>
              <w:rPr>
                <w:sz w:val="18"/>
                <w:szCs w:val="18"/>
              </w:rPr>
            </w:pPr>
            <w:r w:rsidRPr="00ED49CA">
              <w:rPr>
                <w:sz w:val="18"/>
                <w:szCs w:val="18"/>
              </w:rPr>
              <w:t xml:space="preserve">Development </w:t>
            </w:r>
            <w:r w:rsidR="000217F2">
              <w:rPr>
                <w:sz w:val="18"/>
                <w:szCs w:val="18"/>
              </w:rPr>
              <w:t>p</w:t>
            </w:r>
            <w:r w:rsidRPr="00ED49CA">
              <w:rPr>
                <w:sz w:val="18"/>
                <w:szCs w:val="18"/>
              </w:rPr>
              <w:t>artner</w:t>
            </w:r>
            <w:r w:rsidR="000217F2">
              <w:rPr>
                <w:sz w:val="18"/>
                <w:szCs w:val="18"/>
              </w:rPr>
              <w:t>s</w:t>
            </w:r>
          </w:p>
          <w:p w14:paraId="6F879FE9" w14:textId="1A87F258" w:rsidR="005022E6" w:rsidRPr="00ED49CA" w:rsidRDefault="005022E6" w:rsidP="008202BB">
            <w:pPr>
              <w:pStyle w:val="ListParagraph"/>
              <w:numPr>
                <w:ilvl w:val="0"/>
                <w:numId w:val="4"/>
              </w:numPr>
              <w:contextualSpacing/>
              <w:rPr>
                <w:sz w:val="18"/>
                <w:szCs w:val="18"/>
              </w:rPr>
            </w:pPr>
            <w:r w:rsidRPr="00ED49CA">
              <w:rPr>
                <w:sz w:val="18"/>
                <w:szCs w:val="18"/>
              </w:rPr>
              <w:t>European Union</w:t>
            </w:r>
          </w:p>
          <w:p w14:paraId="5885FE99" w14:textId="500BCB6B" w:rsidR="00C2532F" w:rsidRPr="00ED49CA" w:rsidRDefault="00C2532F" w:rsidP="008202BB">
            <w:pPr>
              <w:pStyle w:val="ListParagraph"/>
              <w:numPr>
                <w:ilvl w:val="0"/>
                <w:numId w:val="4"/>
              </w:numPr>
              <w:contextualSpacing/>
              <w:rPr>
                <w:sz w:val="18"/>
                <w:szCs w:val="18"/>
              </w:rPr>
            </w:pPr>
            <w:r w:rsidRPr="00ED49CA">
              <w:rPr>
                <w:sz w:val="18"/>
                <w:szCs w:val="18"/>
              </w:rPr>
              <w:t xml:space="preserve">Resembid </w:t>
            </w:r>
          </w:p>
          <w:p w14:paraId="27852AB8" w14:textId="3FEFADF0" w:rsidR="00C2532F" w:rsidRPr="00ED49CA" w:rsidRDefault="00C2532F" w:rsidP="008202BB">
            <w:pPr>
              <w:pStyle w:val="ListParagraph"/>
              <w:numPr>
                <w:ilvl w:val="0"/>
                <w:numId w:val="4"/>
              </w:numPr>
              <w:contextualSpacing/>
              <w:rPr>
                <w:sz w:val="18"/>
                <w:szCs w:val="18"/>
              </w:rPr>
            </w:pPr>
            <w:r w:rsidRPr="00ED49CA">
              <w:rPr>
                <w:sz w:val="18"/>
                <w:szCs w:val="18"/>
              </w:rPr>
              <w:t xml:space="preserve">Civil </w:t>
            </w:r>
            <w:r w:rsidR="000217F2">
              <w:rPr>
                <w:sz w:val="18"/>
                <w:szCs w:val="18"/>
              </w:rPr>
              <w:t>s</w:t>
            </w:r>
            <w:r w:rsidRPr="00ED49CA">
              <w:rPr>
                <w:sz w:val="18"/>
                <w:szCs w:val="18"/>
              </w:rPr>
              <w:t xml:space="preserve">ociety </w:t>
            </w:r>
          </w:p>
          <w:p w14:paraId="3AC4A757" w14:textId="77777777" w:rsidR="00C2532F" w:rsidRPr="00ED49CA" w:rsidRDefault="00C2532F" w:rsidP="00246C0C">
            <w:pPr>
              <w:rPr>
                <w:color w:val="000000"/>
                <w:sz w:val="18"/>
                <w:szCs w:val="18"/>
                <w:lang w:val="en-GB"/>
              </w:rPr>
            </w:pPr>
          </w:p>
        </w:tc>
        <w:tc>
          <w:tcPr>
            <w:tcW w:w="638" w:type="pct"/>
            <w:tcMar>
              <w:top w:w="15" w:type="dxa"/>
              <w:left w:w="108" w:type="dxa"/>
              <w:bottom w:w="0" w:type="dxa"/>
              <w:right w:w="108" w:type="dxa"/>
            </w:tcMar>
          </w:tcPr>
          <w:p w14:paraId="25548DEC" w14:textId="03751DCC" w:rsidR="00C2532F" w:rsidRPr="00ED49CA" w:rsidRDefault="00C2532F" w:rsidP="00246C0C">
            <w:pPr>
              <w:rPr>
                <w:b/>
                <w:color w:val="000000"/>
                <w:sz w:val="18"/>
                <w:szCs w:val="18"/>
              </w:rPr>
            </w:pPr>
            <w:r w:rsidRPr="00ED49CA">
              <w:rPr>
                <w:b/>
                <w:color w:val="000000"/>
                <w:sz w:val="18"/>
                <w:szCs w:val="18"/>
              </w:rPr>
              <w:lastRenderedPageBreak/>
              <w:t xml:space="preserve">Regular </w:t>
            </w:r>
            <w:r w:rsidR="00BF64F1">
              <w:rPr>
                <w:b/>
                <w:color w:val="000000"/>
                <w:sz w:val="18"/>
                <w:szCs w:val="18"/>
              </w:rPr>
              <w:t>$</w:t>
            </w:r>
            <w:r w:rsidR="000E1E7B" w:rsidRPr="00ED49CA">
              <w:rPr>
                <w:b/>
                <w:color w:val="000000"/>
                <w:sz w:val="18"/>
                <w:szCs w:val="18"/>
              </w:rPr>
              <w:t>137,000</w:t>
            </w:r>
          </w:p>
        </w:tc>
      </w:tr>
      <w:tr w:rsidR="00C2532F" w:rsidRPr="00ED49CA" w14:paraId="6F1F4A36" w14:textId="77777777" w:rsidTr="000C7146">
        <w:trPr>
          <w:gridAfter w:val="2"/>
          <w:wAfter w:w="54" w:type="pct"/>
          <w:trHeight w:val="461"/>
        </w:trPr>
        <w:tc>
          <w:tcPr>
            <w:tcW w:w="1084" w:type="pct"/>
            <w:vMerge/>
            <w:tcMar>
              <w:top w:w="72" w:type="dxa"/>
              <w:left w:w="144" w:type="dxa"/>
              <w:bottom w:w="72" w:type="dxa"/>
              <w:right w:w="144" w:type="dxa"/>
            </w:tcMar>
          </w:tcPr>
          <w:p w14:paraId="0F83A926" w14:textId="77777777" w:rsidR="00C2532F" w:rsidRPr="00ED49CA" w:rsidRDefault="00C2532F" w:rsidP="00246C0C">
            <w:pPr>
              <w:rPr>
                <w:color w:val="000000"/>
                <w:sz w:val="18"/>
                <w:szCs w:val="18"/>
                <w:lang w:val="en-GB"/>
              </w:rPr>
            </w:pPr>
          </w:p>
        </w:tc>
        <w:tc>
          <w:tcPr>
            <w:tcW w:w="1165" w:type="pct"/>
            <w:gridSpan w:val="2"/>
            <w:vMerge/>
          </w:tcPr>
          <w:p w14:paraId="48FCE268" w14:textId="77777777" w:rsidR="00C2532F" w:rsidRPr="00ED49CA" w:rsidRDefault="00C2532F" w:rsidP="00246C0C">
            <w:pPr>
              <w:rPr>
                <w:color w:val="000000"/>
                <w:sz w:val="18"/>
                <w:szCs w:val="18"/>
                <w:lang w:val="en-GB"/>
              </w:rPr>
            </w:pPr>
          </w:p>
        </w:tc>
        <w:tc>
          <w:tcPr>
            <w:tcW w:w="1080" w:type="pct"/>
            <w:gridSpan w:val="2"/>
            <w:vMerge/>
            <w:tcMar>
              <w:top w:w="72" w:type="dxa"/>
              <w:left w:w="144" w:type="dxa"/>
              <w:bottom w:w="72" w:type="dxa"/>
              <w:right w:w="144" w:type="dxa"/>
            </w:tcMar>
          </w:tcPr>
          <w:p w14:paraId="28869430" w14:textId="77777777" w:rsidR="00C2532F" w:rsidRPr="00ED49CA" w:rsidRDefault="00C2532F" w:rsidP="00246C0C">
            <w:pPr>
              <w:rPr>
                <w:color w:val="000000"/>
                <w:sz w:val="18"/>
                <w:szCs w:val="18"/>
                <w:lang w:val="en-GB"/>
              </w:rPr>
            </w:pPr>
          </w:p>
        </w:tc>
        <w:tc>
          <w:tcPr>
            <w:tcW w:w="979" w:type="pct"/>
            <w:vMerge/>
          </w:tcPr>
          <w:p w14:paraId="4DEFB833" w14:textId="77777777" w:rsidR="00C2532F" w:rsidRPr="00ED49CA" w:rsidRDefault="00C2532F" w:rsidP="00246C0C">
            <w:pPr>
              <w:rPr>
                <w:color w:val="000000"/>
                <w:sz w:val="18"/>
                <w:szCs w:val="18"/>
                <w:lang w:val="en-GB"/>
              </w:rPr>
            </w:pPr>
          </w:p>
        </w:tc>
        <w:tc>
          <w:tcPr>
            <w:tcW w:w="638" w:type="pct"/>
            <w:tcMar>
              <w:top w:w="15" w:type="dxa"/>
              <w:left w:w="108" w:type="dxa"/>
              <w:bottom w:w="0" w:type="dxa"/>
              <w:right w:w="108" w:type="dxa"/>
            </w:tcMar>
          </w:tcPr>
          <w:p w14:paraId="007A504D" w14:textId="77777777" w:rsidR="00C2532F" w:rsidRPr="00ED49CA" w:rsidRDefault="00C2532F" w:rsidP="00246C0C">
            <w:pPr>
              <w:rPr>
                <w:b/>
                <w:color w:val="000000"/>
                <w:sz w:val="18"/>
                <w:szCs w:val="18"/>
              </w:rPr>
            </w:pPr>
            <w:r w:rsidRPr="00ED49CA">
              <w:rPr>
                <w:b/>
                <w:color w:val="000000"/>
                <w:sz w:val="18"/>
                <w:szCs w:val="18"/>
              </w:rPr>
              <w:t>Other $555,000</w:t>
            </w:r>
          </w:p>
          <w:p w14:paraId="25EF79C5" w14:textId="77777777" w:rsidR="00C2532F" w:rsidRPr="00ED49CA" w:rsidRDefault="00C2532F" w:rsidP="00941B0A">
            <w:pPr>
              <w:rPr>
                <w:b/>
                <w:color w:val="000000"/>
                <w:sz w:val="18"/>
                <w:szCs w:val="18"/>
              </w:rPr>
            </w:pPr>
          </w:p>
        </w:tc>
      </w:tr>
      <w:tr w:rsidR="00C2532F" w:rsidRPr="00ED49CA" w14:paraId="2CEE45CC" w14:textId="77777777" w:rsidTr="000C7146">
        <w:trPr>
          <w:gridAfter w:val="1"/>
          <w:wAfter w:w="17" w:type="pct"/>
          <w:trHeight w:val="25"/>
        </w:trPr>
        <w:tc>
          <w:tcPr>
            <w:tcW w:w="4983" w:type="pct"/>
            <w:gridSpan w:val="8"/>
            <w:shd w:val="clear" w:color="auto" w:fill="DBE5F1" w:themeFill="accent1" w:themeFillTint="33"/>
            <w:tcMar>
              <w:top w:w="72" w:type="dxa"/>
              <w:left w:w="144" w:type="dxa"/>
              <w:bottom w:w="72" w:type="dxa"/>
              <w:right w:w="144" w:type="dxa"/>
            </w:tcMar>
          </w:tcPr>
          <w:p w14:paraId="22EE598D" w14:textId="3FA53315" w:rsidR="00C2532F" w:rsidRPr="00ED49CA" w:rsidRDefault="00C2532F" w:rsidP="00246C0C">
            <w:pPr>
              <w:rPr>
                <w:bCs/>
                <w:color w:val="000000"/>
                <w:sz w:val="18"/>
                <w:szCs w:val="18"/>
              </w:rPr>
            </w:pPr>
            <w:r w:rsidRPr="00ED49CA">
              <w:rPr>
                <w:b/>
                <w:color w:val="000000"/>
                <w:sz w:val="18"/>
                <w:szCs w:val="18"/>
                <w:lang w:val="en-GB"/>
              </w:rPr>
              <w:lastRenderedPageBreak/>
              <w:t xml:space="preserve">NATIONAL PRIORITY OR GOAL: </w:t>
            </w:r>
            <w:r w:rsidR="00766F3E" w:rsidRPr="00ED49CA">
              <w:rPr>
                <w:bCs/>
                <w:color w:val="000000"/>
                <w:sz w:val="18"/>
                <w:szCs w:val="18"/>
                <w:lang w:val="en-GB"/>
              </w:rPr>
              <w:t xml:space="preserve">Resilience to climate change and </w:t>
            </w:r>
            <w:r w:rsidR="00E16A72" w:rsidRPr="00ED49CA">
              <w:rPr>
                <w:bCs/>
                <w:color w:val="000000"/>
                <w:sz w:val="18"/>
                <w:szCs w:val="18"/>
                <w:lang w:val="en-GB"/>
              </w:rPr>
              <w:t>natural resources management</w:t>
            </w:r>
            <w:r w:rsidR="00766F3E" w:rsidRPr="00ED49CA">
              <w:rPr>
                <w:bCs/>
                <w:color w:val="000000"/>
                <w:sz w:val="18"/>
                <w:szCs w:val="18"/>
                <w:lang w:val="en-GB"/>
              </w:rPr>
              <w:t>;</w:t>
            </w:r>
            <w:r w:rsidR="004C30DF" w:rsidRPr="00ED49CA">
              <w:rPr>
                <w:bCs/>
                <w:color w:val="000000"/>
                <w:sz w:val="18"/>
                <w:szCs w:val="18"/>
                <w:lang w:val="en-GB"/>
              </w:rPr>
              <w:t xml:space="preserve"> </w:t>
            </w:r>
            <w:r w:rsidRPr="00ED49CA">
              <w:rPr>
                <w:bCs/>
                <w:color w:val="000000"/>
                <w:sz w:val="18"/>
                <w:szCs w:val="18"/>
                <w:lang w:val="en-GB"/>
              </w:rPr>
              <w:t xml:space="preserve">Sustainable Development Goals 13, 7 </w:t>
            </w:r>
          </w:p>
        </w:tc>
      </w:tr>
      <w:tr w:rsidR="00C2532F" w:rsidRPr="00ED49CA" w14:paraId="164E8E6B" w14:textId="77777777" w:rsidTr="000C7146">
        <w:trPr>
          <w:gridAfter w:val="1"/>
          <w:wAfter w:w="17" w:type="pct"/>
          <w:trHeight w:val="124"/>
        </w:trPr>
        <w:tc>
          <w:tcPr>
            <w:tcW w:w="4983" w:type="pct"/>
            <w:gridSpan w:val="8"/>
            <w:shd w:val="clear" w:color="auto" w:fill="DBE5F1" w:themeFill="accent1" w:themeFillTint="33"/>
            <w:tcMar>
              <w:top w:w="72" w:type="dxa"/>
              <w:left w:w="144" w:type="dxa"/>
              <w:bottom w:w="72" w:type="dxa"/>
              <w:right w:w="144" w:type="dxa"/>
            </w:tcMar>
          </w:tcPr>
          <w:p w14:paraId="4BF87934" w14:textId="75F68659" w:rsidR="00C2532F" w:rsidRPr="00ED49CA" w:rsidRDefault="00C2532F" w:rsidP="00246C0C">
            <w:pPr>
              <w:rPr>
                <w:color w:val="000000"/>
                <w:sz w:val="18"/>
                <w:szCs w:val="18"/>
              </w:rPr>
            </w:pPr>
            <w:r w:rsidRPr="00ED49CA">
              <w:rPr>
                <w:b/>
                <w:color w:val="000000"/>
                <w:sz w:val="18"/>
                <w:szCs w:val="18"/>
                <w:lang w:val="en-GB"/>
              </w:rPr>
              <w:t>COOPERATION FRAMEWORK (OR EQUIVALENT) OUTCOME INVOLVING UNDP 3:</w:t>
            </w:r>
            <w:r w:rsidRPr="00ED49CA">
              <w:rPr>
                <w:color w:val="000000"/>
                <w:sz w:val="18"/>
                <w:szCs w:val="18"/>
                <w:lang w:val="en-GB"/>
              </w:rPr>
              <w:t xml:space="preserve"> </w:t>
            </w:r>
            <w:r w:rsidRPr="00ED49CA">
              <w:rPr>
                <w:sz w:val="18"/>
                <w:szCs w:val="18"/>
              </w:rPr>
              <w:t>Outcome 5: Caribbean people, communities</w:t>
            </w:r>
            <w:r w:rsidR="004637A9">
              <w:rPr>
                <w:sz w:val="18"/>
                <w:szCs w:val="18"/>
              </w:rPr>
              <w:t xml:space="preserve"> and</w:t>
            </w:r>
            <w:r w:rsidRPr="00ED49CA">
              <w:rPr>
                <w:sz w:val="18"/>
                <w:szCs w:val="18"/>
              </w:rPr>
              <w:t xml:space="preserve"> institutions have enhanced their adaptive capacity for inclusive, gender</w:t>
            </w:r>
            <w:r w:rsidR="00BF64F1">
              <w:rPr>
                <w:sz w:val="18"/>
                <w:szCs w:val="18"/>
              </w:rPr>
              <w:t>-</w:t>
            </w:r>
            <w:r w:rsidRPr="00ED49CA">
              <w:rPr>
                <w:sz w:val="18"/>
                <w:szCs w:val="18"/>
              </w:rPr>
              <w:t>responsive Disaster Risk Management and climate change adaptation and mitigation</w:t>
            </w:r>
          </w:p>
        </w:tc>
      </w:tr>
      <w:tr w:rsidR="00C2532F" w:rsidRPr="00ED49CA" w14:paraId="2F06DA36" w14:textId="77777777" w:rsidTr="000C7146">
        <w:trPr>
          <w:gridAfter w:val="1"/>
          <w:wAfter w:w="17" w:type="pct"/>
          <w:trHeight w:val="124"/>
        </w:trPr>
        <w:tc>
          <w:tcPr>
            <w:tcW w:w="4983" w:type="pct"/>
            <w:gridSpan w:val="8"/>
            <w:shd w:val="clear" w:color="auto" w:fill="DBE5F1" w:themeFill="accent1" w:themeFillTint="33"/>
            <w:tcMar>
              <w:top w:w="72" w:type="dxa"/>
              <w:left w:w="144" w:type="dxa"/>
              <w:bottom w:w="72" w:type="dxa"/>
              <w:right w:w="144" w:type="dxa"/>
            </w:tcMar>
          </w:tcPr>
          <w:p w14:paraId="5EBA6022" w14:textId="77777777" w:rsidR="00C2532F" w:rsidRPr="00ED49CA" w:rsidRDefault="00C2532F" w:rsidP="00246C0C">
            <w:pPr>
              <w:rPr>
                <w:b/>
                <w:color w:val="000000"/>
                <w:sz w:val="18"/>
                <w:szCs w:val="18"/>
                <w:lang w:val="en-GB"/>
              </w:rPr>
            </w:pPr>
            <w:r w:rsidRPr="00ED49CA">
              <w:rPr>
                <w:b/>
                <w:color w:val="000000"/>
                <w:sz w:val="18"/>
                <w:szCs w:val="18"/>
                <w:lang w:val="en-GB"/>
              </w:rPr>
              <w:t xml:space="preserve">RELATED STRATEGIC PLAN OUTCOME: </w:t>
            </w:r>
            <w:r w:rsidRPr="00ED49CA">
              <w:rPr>
                <w:bCs/>
                <w:color w:val="000000"/>
                <w:sz w:val="18"/>
                <w:szCs w:val="18"/>
                <w:lang w:val="en-GB"/>
              </w:rPr>
              <w:t>Outcome 2 – Accelerate structural transformations for sustainable development</w:t>
            </w:r>
          </w:p>
        </w:tc>
      </w:tr>
      <w:tr w:rsidR="00C2532F" w:rsidRPr="00ED49CA" w14:paraId="46158B1A" w14:textId="77777777" w:rsidTr="000C7146">
        <w:trPr>
          <w:gridAfter w:val="1"/>
          <w:wAfter w:w="17" w:type="pct"/>
          <w:trHeight w:val="133"/>
        </w:trPr>
        <w:tc>
          <w:tcPr>
            <w:tcW w:w="1084" w:type="pct"/>
            <w:vMerge w:val="restart"/>
            <w:tcMar>
              <w:top w:w="72" w:type="dxa"/>
              <w:left w:w="144" w:type="dxa"/>
              <w:bottom w:w="72" w:type="dxa"/>
              <w:right w:w="144" w:type="dxa"/>
            </w:tcMar>
          </w:tcPr>
          <w:p w14:paraId="3830569C" w14:textId="34D666EE" w:rsidR="00C2532F" w:rsidRPr="00ED49CA" w:rsidRDefault="00C2532F" w:rsidP="00246C0C">
            <w:pPr>
              <w:rPr>
                <w:rStyle w:val="normaltextrun"/>
                <w:sz w:val="18"/>
                <w:szCs w:val="18"/>
              </w:rPr>
            </w:pPr>
            <w:r w:rsidRPr="00ED49CA">
              <w:rPr>
                <w:rStyle w:val="normaltextrun"/>
                <w:sz w:val="18"/>
                <w:szCs w:val="18"/>
              </w:rPr>
              <w:t>IRRF.3.1</w:t>
            </w:r>
            <w:r w:rsidR="00210449" w:rsidRPr="00ED49CA">
              <w:rPr>
                <w:rStyle w:val="normaltextrun"/>
                <w:sz w:val="18"/>
                <w:szCs w:val="18"/>
              </w:rPr>
              <w:t>.1</w:t>
            </w:r>
            <w:r w:rsidRPr="00ED49CA">
              <w:rPr>
                <w:rStyle w:val="normaltextrun"/>
                <w:sz w:val="18"/>
                <w:szCs w:val="18"/>
              </w:rPr>
              <w:t xml:space="preserve">: </w:t>
            </w:r>
            <w:r w:rsidR="004C30DF" w:rsidRPr="00ED49CA">
              <w:rPr>
                <w:rStyle w:val="normaltextrun"/>
                <w:sz w:val="18"/>
                <w:szCs w:val="18"/>
              </w:rPr>
              <w:t>Number of</w:t>
            </w:r>
            <w:r w:rsidRPr="00ED49CA">
              <w:rPr>
                <w:rStyle w:val="normaltextrun"/>
                <w:sz w:val="18"/>
                <w:szCs w:val="18"/>
              </w:rPr>
              <w:t xml:space="preserve"> national disaster risk reduction strategies developed in line with the Sendai Framework</w:t>
            </w:r>
          </w:p>
          <w:p w14:paraId="31775EA9" w14:textId="3FA57995" w:rsidR="00C2532F" w:rsidRPr="00ED49CA" w:rsidRDefault="00C2532F" w:rsidP="00246C0C">
            <w:pPr>
              <w:rPr>
                <w:color w:val="000000"/>
                <w:sz w:val="18"/>
                <w:szCs w:val="18"/>
                <w:lang w:val="en-GB"/>
              </w:rPr>
            </w:pPr>
            <w:r w:rsidRPr="00ED49CA">
              <w:rPr>
                <w:color w:val="000000"/>
                <w:sz w:val="18"/>
                <w:szCs w:val="18"/>
                <w:lang w:val="en-GB"/>
              </w:rPr>
              <w:t>Baseline:</w:t>
            </w:r>
            <w:r w:rsidR="002E722A" w:rsidRPr="00ED49CA">
              <w:rPr>
                <w:color w:val="000000"/>
                <w:sz w:val="18"/>
                <w:szCs w:val="18"/>
                <w:lang w:val="en-GB"/>
              </w:rPr>
              <w:t xml:space="preserve"> Trinidad and Tobago</w:t>
            </w:r>
            <w:r w:rsidR="00E16A72">
              <w:rPr>
                <w:color w:val="000000"/>
                <w:sz w:val="18"/>
                <w:szCs w:val="18"/>
                <w:lang w:val="en-GB"/>
              </w:rPr>
              <w:t>:</w:t>
            </w:r>
            <w:r w:rsidR="002E722A" w:rsidRPr="00ED49CA">
              <w:rPr>
                <w:color w:val="000000"/>
                <w:sz w:val="18"/>
                <w:szCs w:val="18"/>
                <w:lang w:val="en-GB"/>
              </w:rPr>
              <w:t xml:space="preserve"> </w:t>
            </w:r>
            <w:r w:rsidRPr="00ED49CA">
              <w:rPr>
                <w:color w:val="000000"/>
                <w:sz w:val="18"/>
                <w:szCs w:val="18"/>
                <w:lang w:val="en-GB"/>
              </w:rPr>
              <w:t>0</w:t>
            </w:r>
          </w:p>
          <w:p w14:paraId="36884BD6" w14:textId="67837A7C" w:rsidR="00C2532F" w:rsidRPr="00ED49CA" w:rsidRDefault="00C2532F" w:rsidP="00246C0C">
            <w:pPr>
              <w:rPr>
                <w:color w:val="000000"/>
                <w:sz w:val="18"/>
                <w:szCs w:val="18"/>
                <w:lang w:val="en-GB"/>
              </w:rPr>
            </w:pPr>
            <w:r w:rsidRPr="00ED49CA">
              <w:rPr>
                <w:color w:val="000000"/>
                <w:sz w:val="18"/>
                <w:szCs w:val="18"/>
                <w:lang w:val="en-GB"/>
              </w:rPr>
              <w:t>Target:</w:t>
            </w:r>
            <w:r w:rsidR="002E722A" w:rsidRPr="00ED49CA">
              <w:rPr>
                <w:color w:val="000000"/>
                <w:sz w:val="18"/>
                <w:szCs w:val="18"/>
                <w:lang w:val="en-GB"/>
              </w:rPr>
              <w:t xml:space="preserve"> </w:t>
            </w:r>
            <w:r w:rsidRPr="00ED49CA">
              <w:rPr>
                <w:color w:val="000000"/>
                <w:sz w:val="18"/>
                <w:szCs w:val="18"/>
                <w:lang w:val="en-GB"/>
              </w:rPr>
              <w:t>2</w:t>
            </w:r>
          </w:p>
          <w:p w14:paraId="798E3E70" w14:textId="77777777" w:rsidR="009C6346" w:rsidRPr="00ED49CA" w:rsidRDefault="009C6346" w:rsidP="00246C0C">
            <w:pPr>
              <w:rPr>
                <w:color w:val="000000"/>
                <w:sz w:val="18"/>
                <w:szCs w:val="18"/>
                <w:lang w:val="en-GB"/>
              </w:rPr>
            </w:pPr>
          </w:p>
          <w:p w14:paraId="0F098CE6" w14:textId="2C8E0D14" w:rsidR="009C6346" w:rsidRPr="00ED49CA" w:rsidRDefault="00210449" w:rsidP="00CD53A4">
            <w:pPr>
              <w:rPr>
                <w:rStyle w:val="normaltextrun"/>
                <w:sz w:val="18"/>
                <w:szCs w:val="18"/>
              </w:rPr>
            </w:pPr>
            <w:r w:rsidRPr="00ED49CA">
              <w:rPr>
                <w:rStyle w:val="normaltextrun"/>
                <w:sz w:val="18"/>
                <w:szCs w:val="18"/>
              </w:rPr>
              <w:t xml:space="preserve">IRRF. </w:t>
            </w:r>
            <w:r w:rsidR="009C6346" w:rsidRPr="00ED49CA">
              <w:rPr>
                <w:rStyle w:val="normaltextrun"/>
                <w:sz w:val="18"/>
                <w:szCs w:val="18"/>
              </w:rPr>
              <w:t xml:space="preserve">3.1.2 Number </w:t>
            </w:r>
            <w:r w:rsidR="00F15E8F" w:rsidRPr="00ED49CA">
              <w:rPr>
                <w:rStyle w:val="normaltextrun"/>
                <w:sz w:val="18"/>
                <w:szCs w:val="18"/>
              </w:rPr>
              <w:t xml:space="preserve">and rating of </w:t>
            </w:r>
            <w:r w:rsidR="009C6346" w:rsidRPr="00ED49CA">
              <w:rPr>
                <w:rStyle w:val="normaltextrun"/>
                <w:sz w:val="18"/>
                <w:szCs w:val="18"/>
              </w:rPr>
              <w:t xml:space="preserve">early warning and preparedness measures in place to manage </w:t>
            </w:r>
            <w:r w:rsidR="00086F2F">
              <w:rPr>
                <w:rStyle w:val="normaltextrun"/>
                <w:sz w:val="18"/>
                <w:szCs w:val="18"/>
              </w:rPr>
              <w:t xml:space="preserve">the </w:t>
            </w:r>
            <w:r w:rsidR="009C6346" w:rsidRPr="00ED49CA">
              <w:rPr>
                <w:rStyle w:val="normaltextrun"/>
                <w:sz w:val="18"/>
                <w:szCs w:val="18"/>
              </w:rPr>
              <w:t>impact of conflicts, disasters, pandemics and other shocks</w:t>
            </w:r>
          </w:p>
          <w:p w14:paraId="25CB7FCE" w14:textId="77777777" w:rsidR="00E16A72" w:rsidRDefault="0054156B" w:rsidP="008141F8">
            <w:pPr>
              <w:rPr>
                <w:color w:val="000000"/>
                <w:sz w:val="18"/>
                <w:szCs w:val="18"/>
                <w:lang w:val="en-GB"/>
              </w:rPr>
            </w:pPr>
            <w:r w:rsidRPr="00ED49CA">
              <w:rPr>
                <w:color w:val="000000"/>
                <w:sz w:val="18"/>
                <w:szCs w:val="18"/>
                <w:lang w:val="en-GB"/>
              </w:rPr>
              <w:t>Baseline</w:t>
            </w:r>
            <w:r w:rsidR="00975427" w:rsidRPr="00ED49CA">
              <w:rPr>
                <w:color w:val="000000"/>
                <w:sz w:val="18"/>
                <w:szCs w:val="18"/>
                <w:lang w:val="en-GB"/>
              </w:rPr>
              <w:t>:</w:t>
            </w:r>
            <w:r w:rsidR="006D1B16" w:rsidRPr="00ED49CA">
              <w:rPr>
                <w:color w:val="000000"/>
                <w:sz w:val="18"/>
                <w:szCs w:val="18"/>
                <w:lang w:val="en-GB"/>
              </w:rPr>
              <w:t xml:space="preserve"> </w:t>
            </w:r>
          </w:p>
          <w:p w14:paraId="69264E23" w14:textId="79A537F1" w:rsidR="008141F8" w:rsidRPr="00ED49CA" w:rsidRDefault="008141F8" w:rsidP="008141F8">
            <w:pPr>
              <w:rPr>
                <w:color w:val="000000"/>
                <w:sz w:val="18"/>
                <w:szCs w:val="18"/>
                <w:lang w:val="en-GB"/>
              </w:rPr>
            </w:pPr>
            <w:r w:rsidRPr="00ED49CA">
              <w:rPr>
                <w:color w:val="000000"/>
                <w:sz w:val="18"/>
                <w:szCs w:val="18"/>
                <w:lang w:val="en-GB"/>
              </w:rPr>
              <w:t>(a) Trinidad and Tobago</w:t>
            </w:r>
            <w:r w:rsidR="00E16A72">
              <w:rPr>
                <w:color w:val="000000"/>
                <w:sz w:val="18"/>
                <w:szCs w:val="18"/>
                <w:lang w:val="en-GB"/>
              </w:rPr>
              <w:t>:</w:t>
            </w:r>
            <w:r w:rsidRPr="00ED49CA">
              <w:rPr>
                <w:color w:val="000000"/>
                <w:sz w:val="18"/>
                <w:szCs w:val="18"/>
                <w:lang w:val="en-GB"/>
              </w:rPr>
              <w:t xml:space="preserve"> 1</w:t>
            </w:r>
            <w:r w:rsidR="00E16A72">
              <w:rPr>
                <w:color w:val="000000"/>
                <w:sz w:val="18"/>
                <w:szCs w:val="18"/>
                <w:lang w:val="en-GB"/>
              </w:rPr>
              <w:t xml:space="preserve">; </w:t>
            </w:r>
            <w:r w:rsidRPr="00ED49CA">
              <w:rPr>
                <w:color w:val="000000"/>
                <w:sz w:val="18"/>
                <w:szCs w:val="18"/>
                <w:lang w:val="en-GB"/>
              </w:rPr>
              <w:t xml:space="preserve">Rating 1 </w:t>
            </w:r>
            <w:r w:rsidR="00E16A72">
              <w:rPr>
                <w:color w:val="000000"/>
                <w:sz w:val="18"/>
                <w:szCs w:val="18"/>
                <w:lang w:val="en-GB"/>
              </w:rPr>
              <w:t>(</w:t>
            </w:r>
            <w:r w:rsidRPr="00ED49CA">
              <w:rPr>
                <w:color w:val="000000"/>
                <w:sz w:val="18"/>
                <w:szCs w:val="18"/>
                <w:lang w:val="en-GB"/>
              </w:rPr>
              <w:t>work started)</w:t>
            </w:r>
          </w:p>
          <w:p w14:paraId="7D90797D" w14:textId="078638F9" w:rsidR="008141F8" w:rsidRPr="00ED49CA" w:rsidRDefault="008141F8" w:rsidP="008141F8">
            <w:pPr>
              <w:rPr>
                <w:color w:val="000000"/>
                <w:sz w:val="18"/>
                <w:szCs w:val="18"/>
                <w:lang w:val="en-GB"/>
              </w:rPr>
            </w:pPr>
            <w:r w:rsidRPr="00ED49CA">
              <w:rPr>
                <w:color w:val="000000"/>
                <w:sz w:val="18"/>
                <w:szCs w:val="18"/>
                <w:lang w:val="en-GB"/>
              </w:rPr>
              <w:t>(b) Sint Maarten</w:t>
            </w:r>
            <w:r w:rsidR="00E16A72">
              <w:rPr>
                <w:color w:val="000000"/>
                <w:sz w:val="18"/>
                <w:szCs w:val="18"/>
                <w:lang w:val="en-GB"/>
              </w:rPr>
              <w:t>:</w:t>
            </w:r>
            <w:r w:rsidRPr="00ED49CA">
              <w:rPr>
                <w:color w:val="000000"/>
                <w:sz w:val="18"/>
                <w:szCs w:val="18"/>
                <w:lang w:val="en-GB"/>
              </w:rPr>
              <w:t xml:space="preserve"> 0</w:t>
            </w:r>
            <w:r w:rsidR="00E16A72">
              <w:rPr>
                <w:color w:val="000000"/>
                <w:sz w:val="18"/>
                <w:szCs w:val="18"/>
                <w:lang w:val="en-GB"/>
              </w:rPr>
              <w:t>;</w:t>
            </w:r>
            <w:r w:rsidRPr="00ED49CA">
              <w:rPr>
                <w:color w:val="000000"/>
                <w:sz w:val="18"/>
                <w:szCs w:val="18"/>
                <w:lang w:val="en-GB"/>
              </w:rPr>
              <w:t xml:space="preserve"> Rating 0</w:t>
            </w:r>
            <w:r w:rsidR="00E16A72">
              <w:rPr>
                <w:color w:val="000000"/>
                <w:sz w:val="18"/>
                <w:szCs w:val="18"/>
                <w:lang w:val="en-GB"/>
              </w:rPr>
              <w:t xml:space="preserve"> (</w:t>
            </w:r>
            <w:r w:rsidRPr="00ED49CA">
              <w:rPr>
                <w:color w:val="000000"/>
                <w:sz w:val="18"/>
                <w:szCs w:val="18"/>
                <w:lang w:val="en-GB"/>
              </w:rPr>
              <w:t>not in place)</w:t>
            </w:r>
          </w:p>
          <w:p w14:paraId="1F306C8F" w14:textId="77777777" w:rsidR="00E16A72" w:rsidRDefault="00E16A72" w:rsidP="0054156B">
            <w:pPr>
              <w:rPr>
                <w:color w:val="000000"/>
                <w:sz w:val="18"/>
                <w:szCs w:val="18"/>
                <w:lang w:val="en-GB"/>
              </w:rPr>
            </w:pPr>
          </w:p>
          <w:p w14:paraId="5C967D50" w14:textId="77777777" w:rsidR="00E16A72" w:rsidRDefault="0054156B" w:rsidP="0054156B">
            <w:pPr>
              <w:rPr>
                <w:color w:val="000000"/>
                <w:sz w:val="18"/>
                <w:szCs w:val="18"/>
                <w:lang w:val="en-GB"/>
              </w:rPr>
            </w:pPr>
            <w:r w:rsidRPr="00ED49CA">
              <w:rPr>
                <w:color w:val="000000"/>
                <w:sz w:val="18"/>
                <w:szCs w:val="18"/>
                <w:lang w:val="en-GB"/>
              </w:rPr>
              <w:t>Target:</w:t>
            </w:r>
          </w:p>
          <w:p w14:paraId="2467A427" w14:textId="52600A11" w:rsidR="005F2586" w:rsidRPr="00ED49CA" w:rsidRDefault="008141F8" w:rsidP="0054156B">
            <w:pPr>
              <w:rPr>
                <w:color w:val="000000"/>
                <w:sz w:val="18"/>
                <w:szCs w:val="18"/>
                <w:lang w:val="en-GB"/>
              </w:rPr>
            </w:pPr>
            <w:r w:rsidRPr="00ED49CA">
              <w:rPr>
                <w:color w:val="000000"/>
                <w:sz w:val="18"/>
                <w:szCs w:val="18"/>
                <w:lang w:val="en-GB"/>
              </w:rPr>
              <w:t>(a)</w:t>
            </w:r>
            <w:r w:rsidR="00975427" w:rsidRPr="00ED49CA">
              <w:rPr>
                <w:color w:val="000000"/>
                <w:sz w:val="18"/>
                <w:szCs w:val="18"/>
                <w:lang w:val="en-GB"/>
              </w:rPr>
              <w:t xml:space="preserve"> </w:t>
            </w:r>
            <w:r w:rsidR="006D7CF2" w:rsidRPr="00ED49CA">
              <w:rPr>
                <w:rFonts w:eastAsia="Segoe UI"/>
                <w:sz w:val="18"/>
                <w:szCs w:val="18"/>
              </w:rPr>
              <w:t>Trinidad and Tobago</w:t>
            </w:r>
            <w:r w:rsidR="00E16A72">
              <w:rPr>
                <w:rFonts w:eastAsia="Segoe UI"/>
                <w:sz w:val="18"/>
                <w:szCs w:val="18"/>
              </w:rPr>
              <w:t>:</w:t>
            </w:r>
            <w:r w:rsidR="006D7CF2" w:rsidRPr="00ED49CA" w:rsidDel="006D7CF2">
              <w:rPr>
                <w:color w:val="000000"/>
                <w:sz w:val="18"/>
                <w:szCs w:val="18"/>
                <w:lang w:val="en-GB"/>
              </w:rPr>
              <w:t xml:space="preserve"> </w:t>
            </w:r>
            <w:r w:rsidR="005F2586" w:rsidRPr="00ED49CA">
              <w:rPr>
                <w:color w:val="000000"/>
                <w:sz w:val="18"/>
                <w:szCs w:val="18"/>
                <w:lang w:val="en-GB"/>
              </w:rPr>
              <w:t>1 – Rating</w:t>
            </w:r>
            <w:r w:rsidR="00511F3A" w:rsidRPr="00ED49CA">
              <w:rPr>
                <w:color w:val="000000"/>
                <w:sz w:val="18"/>
                <w:szCs w:val="18"/>
                <w:lang w:val="en-GB"/>
              </w:rPr>
              <w:t xml:space="preserve"> 4 </w:t>
            </w:r>
            <w:r w:rsidR="0095600D">
              <w:rPr>
                <w:color w:val="000000"/>
                <w:sz w:val="18"/>
                <w:szCs w:val="18"/>
                <w:lang w:val="en-GB"/>
              </w:rPr>
              <w:t>(</w:t>
            </w:r>
            <w:r w:rsidR="00511F3A" w:rsidRPr="00ED49CA">
              <w:rPr>
                <w:color w:val="000000"/>
                <w:sz w:val="18"/>
                <w:szCs w:val="18"/>
                <w:lang w:val="en-GB"/>
              </w:rPr>
              <w:t>in place</w:t>
            </w:r>
            <w:r w:rsidR="0095600D">
              <w:rPr>
                <w:color w:val="000000"/>
                <w:sz w:val="18"/>
                <w:szCs w:val="18"/>
                <w:lang w:val="en-GB"/>
              </w:rPr>
              <w:t>)</w:t>
            </w:r>
            <w:r w:rsidR="00511F3A" w:rsidRPr="00ED49CA">
              <w:rPr>
                <w:color w:val="000000"/>
                <w:sz w:val="18"/>
                <w:szCs w:val="18"/>
                <w:lang w:val="en-GB"/>
              </w:rPr>
              <w:t xml:space="preserve"> </w:t>
            </w:r>
          </w:p>
          <w:p w14:paraId="3D7C37B6" w14:textId="40F68F81" w:rsidR="0054156B" w:rsidRPr="00ED49CA" w:rsidRDefault="008141F8" w:rsidP="0054156B">
            <w:pPr>
              <w:rPr>
                <w:color w:val="000000"/>
                <w:sz w:val="18"/>
                <w:szCs w:val="18"/>
                <w:lang w:val="en-GB"/>
              </w:rPr>
            </w:pPr>
            <w:r w:rsidRPr="00ED49CA">
              <w:rPr>
                <w:color w:val="000000"/>
                <w:sz w:val="18"/>
                <w:szCs w:val="18"/>
                <w:lang w:val="en-GB"/>
              </w:rPr>
              <w:t xml:space="preserve">(b) </w:t>
            </w:r>
            <w:r w:rsidR="00975427" w:rsidRPr="00ED49CA">
              <w:rPr>
                <w:color w:val="000000"/>
                <w:sz w:val="18"/>
                <w:szCs w:val="18"/>
                <w:lang w:val="en-GB"/>
              </w:rPr>
              <w:t xml:space="preserve">Sint Maarten </w:t>
            </w:r>
            <w:r w:rsidR="0041488E" w:rsidRPr="00ED49CA">
              <w:rPr>
                <w:color w:val="000000"/>
                <w:sz w:val="18"/>
                <w:szCs w:val="18"/>
                <w:lang w:val="en-GB"/>
              </w:rPr>
              <w:t>1</w:t>
            </w:r>
            <w:r w:rsidR="0095600D">
              <w:rPr>
                <w:color w:val="000000"/>
                <w:sz w:val="18"/>
                <w:szCs w:val="18"/>
                <w:lang w:val="en-GB"/>
              </w:rPr>
              <w:t>:</w:t>
            </w:r>
            <w:r w:rsidR="0041488E" w:rsidRPr="00ED49CA">
              <w:rPr>
                <w:color w:val="000000"/>
                <w:sz w:val="18"/>
                <w:szCs w:val="18"/>
                <w:lang w:val="en-GB"/>
              </w:rPr>
              <w:t xml:space="preserve"> Rating</w:t>
            </w:r>
            <w:r w:rsidR="00511F3A" w:rsidRPr="00ED49CA">
              <w:rPr>
                <w:color w:val="000000"/>
                <w:sz w:val="18"/>
                <w:szCs w:val="18"/>
                <w:lang w:val="en-GB"/>
              </w:rPr>
              <w:t xml:space="preserve"> 1 </w:t>
            </w:r>
            <w:r w:rsidR="0095600D">
              <w:rPr>
                <w:color w:val="000000"/>
                <w:sz w:val="18"/>
                <w:szCs w:val="18"/>
                <w:lang w:val="en-GB"/>
              </w:rPr>
              <w:t>(</w:t>
            </w:r>
            <w:r w:rsidR="00511F3A" w:rsidRPr="00ED49CA">
              <w:rPr>
                <w:color w:val="000000"/>
                <w:sz w:val="18"/>
                <w:szCs w:val="18"/>
                <w:lang w:val="en-GB"/>
              </w:rPr>
              <w:t>work started</w:t>
            </w:r>
            <w:r w:rsidR="0095600D">
              <w:rPr>
                <w:color w:val="000000"/>
                <w:sz w:val="18"/>
                <w:szCs w:val="18"/>
                <w:lang w:val="en-GB"/>
              </w:rPr>
              <w:t>)</w:t>
            </w:r>
            <w:r w:rsidR="00511F3A" w:rsidRPr="00ED49CA">
              <w:rPr>
                <w:color w:val="000000"/>
                <w:sz w:val="18"/>
                <w:szCs w:val="18"/>
                <w:lang w:val="en-GB"/>
              </w:rPr>
              <w:t xml:space="preserve"> </w:t>
            </w:r>
          </w:p>
          <w:p w14:paraId="4B7757E1" w14:textId="142F66FA" w:rsidR="009C6346" w:rsidRPr="00ED49CA" w:rsidRDefault="009C6346" w:rsidP="000C7146">
            <w:pPr>
              <w:rPr>
                <w:color w:val="000000"/>
                <w:sz w:val="18"/>
                <w:szCs w:val="18"/>
                <w:lang w:val="en-GB"/>
              </w:rPr>
            </w:pPr>
          </w:p>
        </w:tc>
        <w:tc>
          <w:tcPr>
            <w:tcW w:w="1152" w:type="pct"/>
            <w:vMerge w:val="restart"/>
          </w:tcPr>
          <w:p w14:paraId="76C67696" w14:textId="64EEAED1" w:rsidR="00D3708F" w:rsidRPr="00ED49CA" w:rsidRDefault="00D3708F" w:rsidP="008202BB">
            <w:pPr>
              <w:pStyle w:val="ListParagraph"/>
              <w:numPr>
                <w:ilvl w:val="0"/>
                <w:numId w:val="12"/>
              </w:numPr>
              <w:contextualSpacing/>
              <w:rPr>
                <w:sz w:val="18"/>
                <w:szCs w:val="18"/>
              </w:rPr>
            </w:pPr>
            <w:r w:rsidRPr="00ED49CA">
              <w:rPr>
                <w:sz w:val="18"/>
                <w:szCs w:val="18"/>
              </w:rPr>
              <w:t xml:space="preserve">Ministry of National Security </w:t>
            </w:r>
          </w:p>
          <w:p w14:paraId="74E58931" w14:textId="54EE7AB9" w:rsidR="002D235D" w:rsidRPr="00ED49CA" w:rsidRDefault="00975427" w:rsidP="008202BB">
            <w:pPr>
              <w:pStyle w:val="ListParagraph"/>
              <w:numPr>
                <w:ilvl w:val="0"/>
                <w:numId w:val="12"/>
              </w:numPr>
              <w:rPr>
                <w:bCs/>
                <w:color w:val="000000"/>
                <w:sz w:val="18"/>
                <w:szCs w:val="18"/>
                <w:lang w:val="en-GB"/>
              </w:rPr>
            </w:pPr>
            <w:r w:rsidRPr="00ED49CA">
              <w:rPr>
                <w:sz w:val="18"/>
                <w:szCs w:val="18"/>
              </w:rPr>
              <w:t>Ministry of Planning and Development</w:t>
            </w:r>
          </w:p>
          <w:p w14:paraId="29C9D835" w14:textId="3731C238" w:rsidR="00C2532F" w:rsidRPr="00ED49CA" w:rsidRDefault="0096799E" w:rsidP="008202BB">
            <w:pPr>
              <w:pStyle w:val="ListParagraph"/>
              <w:numPr>
                <w:ilvl w:val="0"/>
                <w:numId w:val="12"/>
              </w:numPr>
              <w:rPr>
                <w:b/>
                <w:color w:val="000000"/>
                <w:sz w:val="18"/>
                <w:szCs w:val="18"/>
                <w:lang w:val="en-GB"/>
              </w:rPr>
            </w:pPr>
            <w:r w:rsidRPr="00ED49CA">
              <w:rPr>
                <w:sz w:val="18"/>
                <w:szCs w:val="18"/>
              </w:rPr>
              <w:t>Ministry of Kingdom Affairs, Sint Maarten</w:t>
            </w:r>
          </w:p>
        </w:tc>
        <w:tc>
          <w:tcPr>
            <w:tcW w:w="1086" w:type="pct"/>
            <w:gridSpan w:val="2"/>
            <w:vMerge w:val="restart"/>
            <w:tcMar>
              <w:top w:w="72" w:type="dxa"/>
              <w:left w:w="144" w:type="dxa"/>
              <w:bottom w:w="72" w:type="dxa"/>
              <w:right w:w="144" w:type="dxa"/>
            </w:tcMar>
          </w:tcPr>
          <w:p w14:paraId="3F782858" w14:textId="2609AEF2" w:rsidR="00C2532F" w:rsidRPr="00ED49CA" w:rsidRDefault="00C2532F" w:rsidP="00246C0C">
            <w:pPr>
              <w:pStyle w:val="Default"/>
              <w:rPr>
                <w:b/>
                <w:bCs/>
                <w:color w:val="auto"/>
                <w:sz w:val="18"/>
                <w:szCs w:val="18"/>
              </w:rPr>
            </w:pPr>
            <w:r w:rsidRPr="00ED49CA">
              <w:rPr>
                <w:b/>
                <w:bCs/>
                <w:color w:val="auto"/>
                <w:sz w:val="18"/>
                <w:szCs w:val="18"/>
              </w:rPr>
              <w:t xml:space="preserve">3.1 National and community capacities and processes are enhanced in disaster risk reduction, response and recovery </w:t>
            </w:r>
          </w:p>
          <w:p w14:paraId="7FB08F8E" w14:textId="77777777" w:rsidR="00C2532F" w:rsidRPr="00ED49CA" w:rsidRDefault="00C2532F" w:rsidP="00246C0C">
            <w:pPr>
              <w:pStyle w:val="Default"/>
              <w:rPr>
                <w:sz w:val="18"/>
                <w:szCs w:val="18"/>
              </w:rPr>
            </w:pPr>
          </w:p>
          <w:p w14:paraId="338047C0" w14:textId="77777777" w:rsidR="00C2532F" w:rsidRPr="00ED49CA" w:rsidRDefault="00C2532F" w:rsidP="00246C0C">
            <w:pPr>
              <w:pStyle w:val="Default"/>
              <w:rPr>
                <w:sz w:val="18"/>
                <w:szCs w:val="18"/>
                <w:lang w:val="en-GB"/>
              </w:rPr>
            </w:pPr>
            <w:r w:rsidRPr="00ED49CA">
              <w:rPr>
                <w:sz w:val="18"/>
                <w:szCs w:val="18"/>
              </w:rPr>
              <w:t>I.3.1a:</w:t>
            </w:r>
            <w:r w:rsidRPr="00ED49CA">
              <w:rPr>
                <w:color w:val="auto"/>
                <w:sz w:val="18"/>
                <w:szCs w:val="18"/>
              </w:rPr>
              <w:t xml:space="preserve"> Number of national coordination mechanisms with capacities strengthened for </w:t>
            </w:r>
            <w:r w:rsidRPr="00ED49CA">
              <w:rPr>
                <w:sz w:val="18"/>
                <w:szCs w:val="18"/>
                <w:lang w:val="en-GB"/>
              </w:rPr>
              <w:t xml:space="preserve">flood early warning </w:t>
            </w:r>
          </w:p>
          <w:p w14:paraId="5B4D72AE" w14:textId="77777777" w:rsidR="00C2532F" w:rsidRPr="00ED49CA" w:rsidRDefault="00C2532F" w:rsidP="00246C0C">
            <w:pPr>
              <w:pStyle w:val="Default"/>
              <w:ind w:left="720"/>
              <w:rPr>
                <w:sz w:val="18"/>
                <w:szCs w:val="18"/>
              </w:rPr>
            </w:pPr>
            <w:r w:rsidRPr="00ED49CA">
              <w:rPr>
                <w:sz w:val="18"/>
                <w:szCs w:val="18"/>
              </w:rPr>
              <w:t>Baseline: 0</w:t>
            </w:r>
          </w:p>
          <w:p w14:paraId="4535668F" w14:textId="77777777" w:rsidR="00C2532F" w:rsidRPr="00ED49CA" w:rsidRDefault="00C2532F" w:rsidP="00246C0C">
            <w:pPr>
              <w:pStyle w:val="Default"/>
              <w:ind w:left="720"/>
              <w:rPr>
                <w:sz w:val="18"/>
                <w:szCs w:val="18"/>
              </w:rPr>
            </w:pPr>
            <w:r w:rsidRPr="00ED49CA">
              <w:rPr>
                <w:sz w:val="18"/>
                <w:szCs w:val="18"/>
              </w:rPr>
              <w:t xml:space="preserve">Target: 1 </w:t>
            </w:r>
          </w:p>
          <w:p w14:paraId="2CAC64A0" w14:textId="2C7B0E7A" w:rsidR="00C2532F" w:rsidRPr="00ED49CA" w:rsidRDefault="00C2532F" w:rsidP="00246C0C">
            <w:pPr>
              <w:pStyle w:val="Default"/>
              <w:ind w:left="720"/>
              <w:rPr>
                <w:sz w:val="18"/>
                <w:szCs w:val="18"/>
              </w:rPr>
            </w:pPr>
            <w:r w:rsidRPr="00ED49CA">
              <w:rPr>
                <w:sz w:val="18"/>
                <w:szCs w:val="18"/>
              </w:rPr>
              <w:t xml:space="preserve">Source: </w:t>
            </w:r>
            <w:r w:rsidR="00E16A72" w:rsidRPr="00ED49CA">
              <w:rPr>
                <w:sz w:val="18"/>
                <w:szCs w:val="18"/>
              </w:rPr>
              <w:t>community flood early warning systems</w:t>
            </w:r>
            <w:r w:rsidRPr="00ED49CA">
              <w:rPr>
                <w:sz w:val="18"/>
                <w:szCs w:val="18"/>
              </w:rPr>
              <w:t xml:space="preserve">, annual </w:t>
            </w:r>
          </w:p>
          <w:p w14:paraId="6C9D1E72" w14:textId="77777777" w:rsidR="00C2532F" w:rsidRPr="00ED49CA" w:rsidRDefault="00C2532F" w:rsidP="00246C0C">
            <w:pPr>
              <w:pStyle w:val="Default"/>
              <w:rPr>
                <w:sz w:val="18"/>
                <w:szCs w:val="18"/>
                <w:lang w:val="en-GB"/>
              </w:rPr>
            </w:pPr>
          </w:p>
          <w:p w14:paraId="62A5F0D3" w14:textId="5C894092" w:rsidR="00C2532F" w:rsidRPr="00ED49CA" w:rsidRDefault="00C2532F" w:rsidP="00246C0C">
            <w:pPr>
              <w:pStyle w:val="Default"/>
              <w:rPr>
                <w:sz w:val="18"/>
                <w:szCs w:val="18"/>
                <w:lang w:val="en-GB"/>
              </w:rPr>
            </w:pPr>
            <w:r w:rsidRPr="00ED49CA">
              <w:rPr>
                <w:sz w:val="18"/>
                <w:szCs w:val="18"/>
              </w:rPr>
              <w:t>I.3.1b:</w:t>
            </w:r>
            <w:r w:rsidRPr="00ED49CA">
              <w:rPr>
                <w:color w:val="auto"/>
                <w:sz w:val="18"/>
                <w:szCs w:val="18"/>
              </w:rPr>
              <w:t xml:space="preserve"> Number of community</w:t>
            </w:r>
            <w:r w:rsidR="00BF64F1">
              <w:rPr>
                <w:color w:val="auto"/>
                <w:sz w:val="18"/>
                <w:szCs w:val="18"/>
              </w:rPr>
              <w:t>-</w:t>
            </w:r>
            <w:r w:rsidRPr="00ED49CA">
              <w:rPr>
                <w:color w:val="auto"/>
                <w:sz w:val="18"/>
                <w:szCs w:val="18"/>
              </w:rPr>
              <w:t xml:space="preserve">level systems with capacities strengthened for </w:t>
            </w:r>
            <w:r w:rsidRPr="00ED49CA">
              <w:rPr>
                <w:sz w:val="18"/>
                <w:szCs w:val="18"/>
                <w:lang w:val="en-GB"/>
              </w:rPr>
              <w:t xml:space="preserve">flood early warning </w:t>
            </w:r>
          </w:p>
          <w:p w14:paraId="1314C0C5" w14:textId="77777777" w:rsidR="00C2532F" w:rsidRPr="00ED49CA" w:rsidRDefault="00C2532F" w:rsidP="00246C0C">
            <w:pPr>
              <w:pStyle w:val="Default"/>
              <w:ind w:left="720"/>
              <w:rPr>
                <w:sz w:val="18"/>
                <w:szCs w:val="18"/>
              </w:rPr>
            </w:pPr>
            <w:r w:rsidRPr="00ED49CA">
              <w:rPr>
                <w:sz w:val="18"/>
                <w:szCs w:val="18"/>
              </w:rPr>
              <w:t>Baseline: 0</w:t>
            </w:r>
          </w:p>
          <w:p w14:paraId="1E34118C" w14:textId="77777777" w:rsidR="00C2532F" w:rsidRPr="00ED49CA" w:rsidRDefault="00C2532F" w:rsidP="00246C0C">
            <w:pPr>
              <w:pStyle w:val="Default"/>
              <w:ind w:left="720"/>
              <w:rPr>
                <w:sz w:val="18"/>
                <w:szCs w:val="18"/>
              </w:rPr>
            </w:pPr>
            <w:r w:rsidRPr="00ED49CA">
              <w:rPr>
                <w:sz w:val="18"/>
                <w:szCs w:val="18"/>
              </w:rPr>
              <w:t xml:space="preserve">Target: 7 </w:t>
            </w:r>
          </w:p>
          <w:p w14:paraId="4E91E261" w14:textId="77777777" w:rsidR="00C2532F" w:rsidRPr="00ED49CA" w:rsidRDefault="00C2532F" w:rsidP="00246C0C">
            <w:pPr>
              <w:pStyle w:val="Default"/>
              <w:ind w:left="720"/>
              <w:rPr>
                <w:sz w:val="18"/>
                <w:szCs w:val="18"/>
              </w:rPr>
            </w:pPr>
            <w:r w:rsidRPr="00ED49CA">
              <w:rPr>
                <w:sz w:val="18"/>
                <w:szCs w:val="18"/>
              </w:rPr>
              <w:t xml:space="preserve">Source: Community Flood Early Warning Systems, annual </w:t>
            </w:r>
          </w:p>
          <w:p w14:paraId="4DA677C2" w14:textId="77777777" w:rsidR="00C2532F" w:rsidRPr="00ED49CA" w:rsidRDefault="00C2532F" w:rsidP="00246C0C">
            <w:pPr>
              <w:pStyle w:val="Default"/>
              <w:rPr>
                <w:b/>
                <w:bCs/>
                <w:color w:val="auto"/>
                <w:sz w:val="18"/>
                <w:szCs w:val="18"/>
              </w:rPr>
            </w:pPr>
          </w:p>
          <w:p w14:paraId="064D2320" w14:textId="77777777" w:rsidR="00C2532F" w:rsidRPr="00ED49CA" w:rsidRDefault="00C2532F" w:rsidP="00246C0C">
            <w:pPr>
              <w:pStyle w:val="Default"/>
              <w:rPr>
                <w:b/>
                <w:bCs/>
                <w:color w:val="auto"/>
                <w:sz w:val="18"/>
                <w:szCs w:val="18"/>
              </w:rPr>
            </w:pPr>
            <w:r w:rsidRPr="00ED49CA">
              <w:rPr>
                <w:b/>
                <w:bCs/>
                <w:color w:val="auto"/>
                <w:sz w:val="18"/>
                <w:szCs w:val="18"/>
              </w:rPr>
              <w:t>3.2 Governments improve their environment and natural resource management</w:t>
            </w:r>
          </w:p>
          <w:p w14:paraId="58492757" w14:textId="77777777" w:rsidR="00C2532F" w:rsidRPr="00ED49CA" w:rsidRDefault="00C2532F" w:rsidP="00246C0C">
            <w:pPr>
              <w:pStyle w:val="Default"/>
              <w:rPr>
                <w:sz w:val="18"/>
                <w:szCs w:val="18"/>
              </w:rPr>
            </w:pPr>
          </w:p>
          <w:p w14:paraId="09770E99" w14:textId="187F05E5" w:rsidR="00C2532F" w:rsidRPr="00ED49CA" w:rsidRDefault="00C2532F" w:rsidP="00246C0C">
            <w:pPr>
              <w:pStyle w:val="Default"/>
              <w:rPr>
                <w:color w:val="auto"/>
                <w:sz w:val="18"/>
                <w:szCs w:val="18"/>
              </w:rPr>
            </w:pPr>
            <w:r w:rsidRPr="00ED49CA">
              <w:rPr>
                <w:sz w:val="18"/>
                <w:szCs w:val="18"/>
              </w:rPr>
              <w:t>I.3.2a</w:t>
            </w:r>
            <w:r w:rsidRPr="00ED49CA">
              <w:rPr>
                <w:color w:val="auto"/>
                <w:sz w:val="18"/>
                <w:szCs w:val="18"/>
              </w:rPr>
              <w:t xml:space="preserve">: </w:t>
            </w:r>
            <w:r w:rsidR="00ED120E" w:rsidRPr="00ED49CA">
              <w:rPr>
                <w:sz w:val="18"/>
                <w:szCs w:val="18"/>
              </w:rPr>
              <w:t>Percentage of</w:t>
            </w:r>
            <w:r w:rsidRPr="00ED49CA">
              <w:rPr>
                <w:sz w:val="18"/>
                <w:szCs w:val="18"/>
              </w:rPr>
              <w:t xml:space="preserve"> supported innovative, </w:t>
            </w:r>
            <w:r w:rsidR="009127FC" w:rsidRPr="00ED49CA">
              <w:rPr>
                <w:sz w:val="18"/>
                <w:szCs w:val="18"/>
              </w:rPr>
              <w:t>inclusive</w:t>
            </w:r>
            <w:r w:rsidRPr="00ED49CA">
              <w:rPr>
                <w:sz w:val="18"/>
                <w:szCs w:val="18"/>
              </w:rPr>
              <w:t xml:space="preserve"> and scalable initiatives</w:t>
            </w:r>
            <w:r w:rsidR="005A1363" w:rsidRPr="00ED49CA">
              <w:rPr>
                <w:sz w:val="18"/>
                <w:szCs w:val="18"/>
              </w:rPr>
              <w:t xml:space="preserve"> that</w:t>
            </w:r>
            <w:r w:rsidRPr="00ED49CA">
              <w:rPr>
                <w:sz w:val="18"/>
                <w:szCs w:val="18"/>
              </w:rPr>
              <w:t xml:space="preserve"> foster multi</w:t>
            </w:r>
            <w:r w:rsidR="0095600D">
              <w:rPr>
                <w:sz w:val="18"/>
                <w:szCs w:val="18"/>
              </w:rPr>
              <w:t>-</w:t>
            </w:r>
            <w:r w:rsidRPr="00ED49CA">
              <w:rPr>
                <w:sz w:val="18"/>
                <w:szCs w:val="18"/>
              </w:rPr>
              <w:t xml:space="preserve"> stakeholder partnerships at the local level to tackle global environmental </w:t>
            </w:r>
            <w:r w:rsidRPr="00ED49CA">
              <w:rPr>
                <w:sz w:val="18"/>
                <w:szCs w:val="18"/>
              </w:rPr>
              <w:lastRenderedPageBreak/>
              <w:t xml:space="preserve">issues in priority landscapes and seascapes. </w:t>
            </w:r>
          </w:p>
          <w:p w14:paraId="3777BCD4" w14:textId="77777777" w:rsidR="00C2532F" w:rsidRPr="00ED49CA" w:rsidRDefault="00C2532F" w:rsidP="00246C0C">
            <w:pPr>
              <w:pStyle w:val="Default"/>
              <w:ind w:left="720"/>
              <w:rPr>
                <w:sz w:val="18"/>
                <w:szCs w:val="18"/>
              </w:rPr>
            </w:pPr>
            <w:r w:rsidRPr="00ED49CA">
              <w:rPr>
                <w:sz w:val="18"/>
                <w:szCs w:val="18"/>
              </w:rPr>
              <w:t>Baseline: 20%</w:t>
            </w:r>
          </w:p>
          <w:p w14:paraId="0793E22B" w14:textId="5C11E866" w:rsidR="00C2532F" w:rsidRPr="00ED49CA" w:rsidRDefault="00C2532F" w:rsidP="00246C0C">
            <w:pPr>
              <w:pStyle w:val="Default"/>
              <w:ind w:left="720"/>
              <w:rPr>
                <w:sz w:val="18"/>
                <w:szCs w:val="18"/>
              </w:rPr>
            </w:pPr>
            <w:r w:rsidRPr="00ED49CA">
              <w:rPr>
                <w:sz w:val="18"/>
                <w:szCs w:val="18"/>
              </w:rPr>
              <w:t>Target: 70% of grants foster multi</w:t>
            </w:r>
            <w:r w:rsidR="0095600D">
              <w:rPr>
                <w:sz w:val="18"/>
                <w:szCs w:val="18"/>
              </w:rPr>
              <w:t>-</w:t>
            </w:r>
            <w:r w:rsidRPr="00ED49CA">
              <w:rPr>
                <w:sz w:val="18"/>
                <w:szCs w:val="18"/>
              </w:rPr>
              <w:t>stakeholder partnerships</w:t>
            </w:r>
          </w:p>
          <w:p w14:paraId="4F58343B" w14:textId="3CECF7CD" w:rsidR="00C2532F" w:rsidRPr="00ED49CA" w:rsidRDefault="00C2532F" w:rsidP="00246C0C">
            <w:pPr>
              <w:pStyle w:val="Default"/>
              <w:ind w:left="720"/>
              <w:rPr>
                <w:sz w:val="18"/>
                <w:szCs w:val="18"/>
              </w:rPr>
            </w:pPr>
            <w:r w:rsidRPr="00ED49CA">
              <w:rPr>
                <w:sz w:val="18"/>
                <w:szCs w:val="18"/>
              </w:rPr>
              <w:t>Source: GEF</w:t>
            </w:r>
            <w:r w:rsidR="0095600D">
              <w:rPr>
                <w:sz w:val="18"/>
                <w:szCs w:val="18"/>
              </w:rPr>
              <w:t xml:space="preserve"> </w:t>
            </w:r>
            <w:r w:rsidRPr="00ED49CA">
              <w:rPr>
                <w:sz w:val="18"/>
                <w:szCs w:val="18"/>
              </w:rPr>
              <w:t xml:space="preserve">Small Grants Programme, annual </w:t>
            </w:r>
          </w:p>
          <w:p w14:paraId="3369D749" w14:textId="77777777" w:rsidR="000C7146" w:rsidRDefault="000C7146" w:rsidP="00246C0C">
            <w:pPr>
              <w:pStyle w:val="Default"/>
              <w:rPr>
                <w:sz w:val="18"/>
                <w:szCs w:val="18"/>
              </w:rPr>
            </w:pPr>
          </w:p>
          <w:p w14:paraId="6378925B" w14:textId="0A53C96B" w:rsidR="00C2532F" w:rsidRPr="00ED49CA" w:rsidRDefault="00C2532F" w:rsidP="00246C0C">
            <w:pPr>
              <w:pStyle w:val="Default"/>
              <w:rPr>
                <w:color w:val="auto"/>
                <w:sz w:val="18"/>
                <w:szCs w:val="18"/>
              </w:rPr>
            </w:pPr>
            <w:r w:rsidRPr="00ED49CA">
              <w:rPr>
                <w:sz w:val="18"/>
                <w:szCs w:val="18"/>
              </w:rPr>
              <w:t>I.3.2b</w:t>
            </w:r>
            <w:r w:rsidRPr="00ED49CA">
              <w:rPr>
                <w:color w:val="auto"/>
                <w:sz w:val="18"/>
                <w:szCs w:val="18"/>
              </w:rPr>
              <w:t xml:space="preserve">: Number of </w:t>
            </w:r>
            <w:r w:rsidR="00BF64F1">
              <w:rPr>
                <w:color w:val="auto"/>
                <w:sz w:val="18"/>
                <w:szCs w:val="18"/>
              </w:rPr>
              <w:t xml:space="preserve">pieces of </w:t>
            </w:r>
            <w:r w:rsidRPr="00ED49CA">
              <w:rPr>
                <w:color w:val="auto"/>
                <w:sz w:val="18"/>
                <w:szCs w:val="18"/>
              </w:rPr>
              <w:t xml:space="preserve">research </w:t>
            </w:r>
            <w:r w:rsidR="007142F9" w:rsidRPr="00ED49CA">
              <w:rPr>
                <w:color w:val="auto"/>
                <w:sz w:val="18"/>
                <w:szCs w:val="18"/>
              </w:rPr>
              <w:t>completed</w:t>
            </w:r>
            <w:r w:rsidRPr="00ED49CA">
              <w:rPr>
                <w:color w:val="auto"/>
                <w:sz w:val="18"/>
                <w:szCs w:val="18"/>
              </w:rPr>
              <w:t xml:space="preserve"> and policies or legislation supported to </w:t>
            </w:r>
            <w:r w:rsidRPr="00ED49CA">
              <w:rPr>
                <w:rStyle w:val="Heading7Char"/>
                <w:rFonts w:ascii="Times New Roman" w:hAnsi="Times New Roman" w:cs="Times New Roman"/>
                <w:i w:val="0"/>
                <w:iCs w:val="0"/>
                <w:color w:val="auto"/>
                <w:sz w:val="18"/>
                <w:szCs w:val="18"/>
              </w:rPr>
              <w:t>improve pollination and pollinator management through enriched data, public awareness and pollinator-appropriate management.</w:t>
            </w:r>
          </w:p>
          <w:p w14:paraId="239391B0" w14:textId="77777777" w:rsidR="00C2532F" w:rsidRPr="00ED49CA" w:rsidRDefault="00C2532F" w:rsidP="00246C0C">
            <w:pPr>
              <w:pStyle w:val="Default"/>
              <w:ind w:left="720"/>
              <w:rPr>
                <w:sz w:val="18"/>
                <w:szCs w:val="18"/>
              </w:rPr>
            </w:pPr>
            <w:r w:rsidRPr="00ED49CA">
              <w:rPr>
                <w:sz w:val="18"/>
                <w:szCs w:val="18"/>
              </w:rPr>
              <w:t>Baseline: 0</w:t>
            </w:r>
          </w:p>
          <w:p w14:paraId="6F48E49A" w14:textId="77777777" w:rsidR="00C2532F" w:rsidRPr="00ED49CA" w:rsidRDefault="00C2532F" w:rsidP="00246C0C">
            <w:pPr>
              <w:pStyle w:val="Default"/>
              <w:ind w:left="720"/>
              <w:rPr>
                <w:sz w:val="18"/>
                <w:szCs w:val="18"/>
                <w:highlight w:val="yellow"/>
              </w:rPr>
            </w:pPr>
            <w:r w:rsidRPr="00ED49CA">
              <w:rPr>
                <w:sz w:val="18"/>
                <w:szCs w:val="18"/>
              </w:rPr>
              <w:t>Target: 4 research; 2 policies or legislation</w:t>
            </w:r>
          </w:p>
          <w:p w14:paraId="015FB86B" w14:textId="5A89F406" w:rsidR="00C2532F" w:rsidRPr="000C7146" w:rsidRDefault="00C2532F" w:rsidP="000C7146">
            <w:pPr>
              <w:pStyle w:val="Default"/>
              <w:ind w:left="720"/>
              <w:rPr>
                <w:color w:val="auto"/>
                <w:sz w:val="18"/>
                <w:szCs w:val="18"/>
              </w:rPr>
            </w:pPr>
            <w:r w:rsidRPr="00ED49CA">
              <w:rPr>
                <w:sz w:val="18"/>
                <w:szCs w:val="18"/>
              </w:rPr>
              <w:t xml:space="preserve">Source: Biodiversity and Ecosystem Services Network, annual </w:t>
            </w:r>
          </w:p>
        </w:tc>
        <w:tc>
          <w:tcPr>
            <w:tcW w:w="987" w:type="pct"/>
            <w:gridSpan w:val="2"/>
            <w:vMerge w:val="restart"/>
          </w:tcPr>
          <w:p w14:paraId="5032A115" w14:textId="69EB52A1" w:rsidR="00C2532F" w:rsidRPr="00ED49CA" w:rsidRDefault="00C2532F" w:rsidP="00246C0C">
            <w:pPr>
              <w:rPr>
                <w:sz w:val="18"/>
                <w:szCs w:val="18"/>
              </w:rPr>
            </w:pPr>
            <w:r w:rsidRPr="00ED49CA">
              <w:rPr>
                <w:sz w:val="18"/>
                <w:szCs w:val="18"/>
              </w:rPr>
              <w:lastRenderedPageBreak/>
              <w:t xml:space="preserve">Government </w:t>
            </w:r>
            <w:r w:rsidR="00E16A72">
              <w:rPr>
                <w:sz w:val="18"/>
                <w:szCs w:val="18"/>
              </w:rPr>
              <w:t>a</w:t>
            </w:r>
            <w:r w:rsidRPr="00ED49CA">
              <w:rPr>
                <w:sz w:val="18"/>
                <w:szCs w:val="18"/>
              </w:rPr>
              <w:t>gencies</w:t>
            </w:r>
          </w:p>
          <w:p w14:paraId="415A9605" w14:textId="77777777" w:rsidR="00C2532F" w:rsidRPr="00ED49CA" w:rsidRDefault="00C2532F" w:rsidP="008202BB">
            <w:pPr>
              <w:pStyle w:val="ListParagraph"/>
              <w:numPr>
                <w:ilvl w:val="0"/>
                <w:numId w:val="5"/>
              </w:numPr>
              <w:contextualSpacing/>
              <w:rPr>
                <w:sz w:val="18"/>
                <w:szCs w:val="18"/>
              </w:rPr>
            </w:pPr>
            <w:r w:rsidRPr="00ED49CA">
              <w:rPr>
                <w:sz w:val="18"/>
                <w:szCs w:val="18"/>
              </w:rPr>
              <w:t xml:space="preserve">Ministry of National Security Office of Disaster Preparedness and Management </w:t>
            </w:r>
          </w:p>
          <w:p w14:paraId="4B3A18A1" w14:textId="77777777" w:rsidR="00C2532F" w:rsidRPr="00ED49CA" w:rsidRDefault="00C2532F" w:rsidP="008202BB">
            <w:pPr>
              <w:pStyle w:val="Default"/>
              <w:numPr>
                <w:ilvl w:val="0"/>
                <w:numId w:val="5"/>
              </w:numPr>
              <w:rPr>
                <w:sz w:val="18"/>
                <w:szCs w:val="18"/>
              </w:rPr>
            </w:pPr>
            <w:r w:rsidRPr="00ED49CA">
              <w:rPr>
                <w:sz w:val="18"/>
                <w:szCs w:val="18"/>
              </w:rPr>
              <w:t>Ministry of Rural Development and Local Government</w:t>
            </w:r>
          </w:p>
          <w:p w14:paraId="3B230485" w14:textId="0A748F52" w:rsidR="00C2532F" w:rsidRPr="00ED49CA" w:rsidRDefault="00C2532F" w:rsidP="008202BB">
            <w:pPr>
              <w:pStyle w:val="Default"/>
              <w:numPr>
                <w:ilvl w:val="0"/>
                <w:numId w:val="5"/>
              </w:numPr>
              <w:spacing w:line="259" w:lineRule="auto"/>
              <w:rPr>
                <w:rFonts w:eastAsiaTheme="minorEastAsia"/>
                <w:color w:val="000000" w:themeColor="text1"/>
                <w:sz w:val="18"/>
                <w:szCs w:val="18"/>
              </w:rPr>
            </w:pPr>
            <w:r w:rsidRPr="00ED49CA">
              <w:rPr>
                <w:sz w:val="18"/>
                <w:szCs w:val="18"/>
              </w:rPr>
              <w:t>Ministry of Planning and Development</w:t>
            </w:r>
          </w:p>
          <w:p w14:paraId="63E903E3" w14:textId="77777777" w:rsidR="00C2532F" w:rsidRPr="00ED49CA" w:rsidRDefault="00C2532F" w:rsidP="00246C0C">
            <w:pPr>
              <w:pStyle w:val="Default"/>
              <w:rPr>
                <w:sz w:val="18"/>
                <w:szCs w:val="18"/>
              </w:rPr>
            </w:pPr>
          </w:p>
          <w:p w14:paraId="7D46FBD2" w14:textId="0BDFAEED" w:rsidR="00C2532F" w:rsidRPr="00ED49CA" w:rsidRDefault="00C2532F" w:rsidP="00246C0C">
            <w:pPr>
              <w:pStyle w:val="Default"/>
              <w:rPr>
                <w:sz w:val="18"/>
                <w:szCs w:val="18"/>
              </w:rPr>
            </w:pPr>
            <w:r w:rsidRPr="00ED49CA">
              <w:rPr>
                <w:sz w:val="18"/>
                <w:szCs w:val="18"/>
              </w:rPr>
              <w:t xml:space="preserve">Regional and </w:t>
            </w:r>
            <w:r w:rsidR="00E16A72">
              <w:rPr>
                <w:sz w:val="18"/>
                <w:szCs w:val="18"/>
              </w:rPr>
              <w:t>n</w:t>
            </w:r>
            <w:r w:rsidRPr="00ED49CA">
              <w:rPr>
                <w:sz w:val="18"/>
                <w:szCs w:val="18"/>
              </w:rPr>
              <w:t xml:space="preserve">ational </w:t>
            </w:r>
            <w:r w:rsidR="00E16A72">
              <w:rPr>
                <w:sz w:val="18"/>
                <w:szCs w:val="18"/>
              </w:rPr>
              <w:t>o</w:t>
            </w:r>
            <w:r w:rsidRPr="00ED49CA">
              <w:rPr>
                <w:sz w:val="18"/>
                <w:szCs w:val="18"/>
              </w:rPr>
              <w:t>rganizations</w:t>
            </w:r>
          </w:p>
          <w:p w14:paraId="273797C2" w14:textId="77777777" w:rsidR="00C2532F" w:rsidRPr="00ED49CA" w:rsidRDefault="00C2532F" w:rsidP="008202BB">
            <w:pPr>
              <w:pStyle w:val="Default"/>
              <w:numPr>
                <w:ilvl w:val="0"/>
                <w:numId w:val="5"/>
              </w:numPr>
              <w:rPr>
                <w:sz w:val="18"/>
                <w:szCs w:val="18"/>
              </w:rPr>
            </w:pPr>
            <w:r w:rsidRPr="00ED49CA">
              <w:rPr>
                <w:sz w:val="18"/>
                <w:szCs w:val="18"/>
              </w:rPr>
              <w:t>Caribbean Disaster Emergency Management Agency</w:t>
            </w:r>
          </w:p>
          <w:p w14:paraId="1AC5B9AE" w14:textId="77777777" w:rsidR="00C2532F" w:rsidRPr="00ED49CA" w:rsidRDefault="00C2532F" w:rsidP="00246C0C">
            <w:pPr>
              <w:pStyle w:val="Default"/>
              <w:rPr>
                <w:sz w:val="18"/>
                <w:szCs w:val="18"/>
              </w:rPr>
            </w:pPr>
          </w:p>
          <w:p w14:paraId="2E7117A3" w14:textId="1F467C90" w:rsidR="00C2532F" w:rsidRPr="00ED49CA" w:rsidRDefault="00C2532F" w:rsidP="00246C0C">
            <w:pPr>
              <w:pStyle w:val="Default"/>
              <w:rPr>
                <w:sz w:val="18"/>
                <w:szCs w:val="18"/>
              </w:rPr>
            </w:pPr>
            <w:r w:rsidRPr="00ED49CA">
              <w:rPr>
                <w:sz w:val="18"/>
                <w:szCs w:val="18"/>
              </w:rPr>
              <w:t xml:space="preserve">United Nations </w:t>
            </w:r>
            <w:r w:rsidR="00E16A72">
              <w:rPr>
                <w:sz w:val="18"/>
                <w:szCs w:val="18"/>
              </w:rPr>
              <w:t>a</w:t>
            </w:r>
            <w:r w:rsidRPr="00ED49CA">
              <w:rPr>
                <w:sz w:val="18"/>
                <w:szCs w:val="18"/>
              </w:rPr>
              <w:t>gencies</w:t>
            </w:r>
          </w:p>
          <w:p w14:paraId="43A4905F" w14:textId="77777777" w:rsidR="00C2532F" w:rsidRPr="00ED49CA" w:rsidRDefault="00C2532F" w:rsidP="008202BB">
            <w:pPr>
              <w:pStyle w:val="Default"/>
              <w:numPr>
                <w:ilvl w:val="0"/>
                <w:numId w:val="5"/>
              </w:numPr>
              <w:rPr>
                <w:sz w:val="18"/>
                <w:szCs w:val="18"/>
              </w:rPr>
            </w:pPr>
            <w:r w:rsidRPr="00ED49CA">
              <w:rPr>
                <w:sz w:val="18"/>
                <w:szCs w:val="18"/>
              </w:rPr>
              <w:t>United Nations Office for Disaster Risk Reduction</w:t>
            </w:r>
          </w:p>
          <w:p w14:paraId="1B436348" w14:textId="77777777" w:rsidR="00C2532F" w:rsidRPr="00ED49CA" w:rsidRDefault="00C2532F" w:rsidP="008202BB">
            <w:pPr>
              <w:pStyle w:val="Default"/>
              <w:numPr>
                <w:ilvl w:val="0"/>
                <w:numId w:val="5"/>
              </w:numPr>
              <w:rPr>
                <w:sz w:val="18"/>
                <w:szCs w:val="18"/>
              </w:rPr>
            </w:pPr>
            <w:r w:rsidRPr="00ED49CA">
              <w:rPr>
                <w:sz w:val="18"/>
                <w:szCs w:val="18"/>
              </w:rPr>
              <w:t>United Nations Environment Programme</w:t>
            </w:r>
          </w:p>
          <w:p w14:paraId="034481AC" w14:textId="77777777" w:rsidR="00C2532F" w:rsidRPr="00ED49CA" w:rsidRDefault="00C2532F" w:rsidP="00246C0C">
            <w:pPr>
              <w:pStyle w:val="Default"/>
              <w:rPr>
                <w:sz w:val="18"/>
                <w:szCs w:val="18"/>
              </w:rPr>
            </w:pPr>
          </w:p>
          <w:p w14:paraId="762F6605" w14:textId="6E255835" w:rsidR="00C2532F" w:rsidRPr="00ED49CA" w:rsidRDefault="00C2532F" w:rsidP="00246C0C">
            <w:pPr>
              <w:pStyle w:val="Default"/>
              <w:rPr>
                <w:sz w:val="18"/>
                <w:szCs w:val="18"/>
              </w:rPr>
            </w:pPr>
            <w:r w:rsidRPr="00ED49CA">
              <w:rPr>
                <w:sz w:val="18"/>
                <w:szCs w:val="18"/>
              </w:rPr>
              <w:t xml:space="preserve">Development </w:t>
            </w:r>
            <w:r w:rsidR="00E16A72">
              <w:rPr>
                <w:sz w:val="18"/>
                <w:szCs w:val="18"/>
              </w:rPr>
              <w:t>p</w:t>
            </w:r>
            <w:r w:rsidRPr="00ED49CA">
              <w:rPr>
                <w:sz w:val="18"/>
                <w:szCs w:val="18"/>
              </w:rPr>
              <w:t>artner</w:t>
            </w:r>
          </w:p>
          <w:p w14:paraId="1369B30D" w14:textId="29B5D66D" w:rsidR="00C2532F" w:rsidRPr="00ED49CA" w:rsidRDefault="00C2532F" w:rsidP="008202BB">
            <w:pPr>
              <w:pStyle w:val="Default"/>
              <w:numPr>
                <w:ilvl w:val="0"/>
                <w:numId w:val="8"/>
              </w:numPr>
              <w:rPr>
                <w:sz w:val="18"/>
                <w:szCs w:val="18"/>
              </w:rPr>
            </w:pPr>
            <w:r w:rsidRPr="00ED49CA">
              <w:rPr>
                <w:sz w:val="18"/>
                <w:szCs w:val="18"/>
              </w:rPr>
              <w:t>GEF</w:t>
            </w:r>
            <w:r w:rsidR="00E16A72">
              <w:rPr>
                <w:sz w:val="18"/>
                <w:szCs w:val="18"/>
              </w:rPr>
              <w:t xml:space="preserve"> Small Grants Programme</w:t>
            </w:r>
          </w:p>
          <w:p w14:paraId="183CA246" w14:textId="77777777" w:rsidR="00C2532F" w:rsidRPr="00ED49CA" w:rsidRDefault="00C2532F" w:rsidP="005B613A">
            <w:pPr>
              <w:pStyle w:val="Default"/>
              <w:spacing w:line="259" w:lineRule="auto"/>
              <w:rPr>
                <w:color w:val="000000" w:themeColor="text1"/>
                <w:sz w:val="18"/>
                <w:szCs w:val="18"/>
              </w:rPr>
            </w:pPr>
          </w:p>
          <w:p w14:paraId="457554D9" w14:textId="70750A60" w:rsidR="00511F3A" w:rsidRPr="00ED49CA" w:rsidRDefault="00511F3A" w:rsidP="005B613A">
            <w:pPr>
              <w:pStyle w:val="Default"/>
              <w:spacing w:line="259" w:lineRule="auto"/>
              <w:rPr>
                <w:color w:val="000000" w:themeColor="text1"/>
                <w:sz w:val="18"/>
                <w:szCs w:val="18"/>
              </w:rPr>
            </w:pPr>
            <w:r w:rsidRPr="00ED49CA">
              <w:rPr>
                <w:color w:val="000000" w:themeColor="text1"/>
                <w:sz w:val="18"/>
                <w:szCs w:val="18"/>
              </w:rPr>
              <w:t xml:space="preserve">International </w:t>
            </w:r>
            <w:r w:rsidR="00E16A72">
              <w:rPr>
                <w:color w:val="000000" w:themeColor="text1"/>
                <w:sz w:val="18"/>
                <w:szCs w:val="18"/>
              </w:rPr>
              <w:t>o</w:t>
            </w:r>
            <w:r w:rsidRPr="00ED49CA">
              <w:rPr>
                <w:color w:val="000000" w:themeColor="text1"/>
                <w:sz w:val="18"/>
                <w:szCs w:val="18"/>
              </w:rPr>
              <w:t>rgani</w:t>
            </w:r>
            <w:r w:rsidR="00E16A72">
              <w:rPr>
                <w:color w:val="000000" w:themeColor="text1"/>
                <w:sz w:val="18"/>
                <w:szCs w:val="18"/>
              </w:rPr>
              <w:t>z</w:t>
            </w:r>
            <w:r w:rsidRPr="00ED49CA">
              <w:rPr>
                <w:color w:val="000000" w:themeColor="text1"/>
                <w:sz w:val="18"/>
                <w:szCs w:val="18"/>
              </w:rPr>
              <w:t>ation</w:t>
            </w:r>
            <w:r w:rsidR="00E16A72">
              <w:rPr>
                <w:color w:val="000000" w:themeColor="text1"/>
                <w:sz w:val="18"/>
                <w:szCs w:val="18"/>
              </w:rPr>
              <w:t>s</w:t>
            </w:r>
          </w:p>
          <w:p w14:paraId="2D232A62" w14:textId="03E7CA56" w:rsidR="00511F3A" w:rsidRPr="00ED49CA" w:rsidRDefault="00511F3A" w:rsidP="008202BB">
            <w:pPr>
              <w:pStyle w:val="Default"/>
              <w:numPr>
                <w:ilvl w:val="0"/>
                <w:numId w:val="17"/>
              </w:numPr>
              <w:spacing w:line="259" w:lineRule="auto"/>
              <w:rPr>
                <w:color w:val="000000" w:themeColor="text1"/>
                <w:sz w:val="18"/>
                <w:szCs w:val="18"/>
              </w:rPr>
            </w:pPr>
            <w:r w:rsidRPr="00ED49CA">
              <w:rPr>
                <w:color w:val="000000" w:themeColor="text1"/>
                <w:sz w:val="18"/>
                <w:szCs w:val="18"/>
              </w:rPr>
              <w:t>International Federation of Red Cross</w:t>
            </w:r>
            <w:r w:rsidR="00FB4F3D">
              <w:rPr>
                <w:color w:val="000000" w:themeColor="text1"/>
                <w:sz w:val="18"/>
                <w:szCs w:val="18"/>
              </w:rPr>
              <w:t xml:space="preserve"> </w:t>
            </w:r>
            <w:r w:rsidR="00FB4F3D" w:rsidRPr="00FB4F3D">
              <w:rPr>
                <w:color w:val="000000" w:themeColor="text1"/>
                <w:sz w:val="18"/>
                <w:szCs w:val="18"/>
              </w:rPr>
              <w:t>and Red Crescent Societies</w:t>
            </w:r>
          </w:p>
        </w:tc>
        <w:tc>
          <w:tcPr>
            <w:tcW w:w="674" w:type="pct"/>
            <w:gridSpan w:val="2"/>
            <w:tcMar>
              <w:top w:w="15" w:type="dxa"/>
              <w:left w:w="108" w:type="dxa"/>
              <w:bottom w:w="0" w:type="dxa"/>
              <w:right w:w="108" w:type="dxa"/>
            </w:tcMar>
          </w:tcPr>
          <w:p w14:paraId="391DC4D9" w14:textId="3F04D089" w:rsidR="00C2532F" w:rsidRPr="00ED49CA" w:rsidRDefault="00C2532F" w:rsidP="00246C0C">
            <w:pPr>
              <w:rPr>
                <w:b/>
                <w:color w:val="000000"/>
                <w:sz w:val="18"/>
                <w:szCs w:val="18"/>
              </w:rPr>
            </w:pPr>
            <w:r w:rsidRPr="00ED49CA">
              <w:rPr>
                <w:b/>
                <w:color w:val="000000"/>
                <w:sz w:val="18"/>
                <w:szCs w:val="18"/>
              </w:rPr>
              <w:t xml:space="preserve">Regular </w:t>
            </w:r>
            <w:r w:rsidR="00BF64F1">
              <w:rPr>
                <w:b/>
                <w:color w:val="000000"/>
                <w:sz w:val="18"/>
                <w:szCs w:val="18"/>
              </w:rPr>
              <w:t>$</w:t>
            </w:r>
            <w:r w:rsidR="005F5A0C" w:rsidRPr="00ED49CA">
              <w:rPr>
                <w:b/>
                <w:color w:val="000000"/>
                <w:sz w:val="18"/>
                <w:szCs w:val="18"/>
              </w:rPr>
              <w:t>137,000</w:t>
            </w:r>
          </w:p>
        </w:tc>
      </w:tr>
      <w:tr w:rsidR="00C2532F" w:rsidRPr="00ED49CA" w14:paraId="289399C4" w14:textId="77777777" w:rsidTr="000C7146">
        <w:trPr>
          <w:gridAfter w:val="1"/>
          <w:wAfter w:w="17" w:type="pct"/>
          <w:trHeight w:val="461"/>
        </w:trPr>
        <w:tc>
          <w:tcPr>
            <w:tcW w:w="1084" w:type="pct"/>
            <w:vMerge/>
            <w:tcMar>
              <w:top w:w="72" w:type="dxa"/>
              <w:left w:w="144" w:type="dxa"/>
              <w:bottom w:w="72" w:type="dxa"/>
              <w:right w:w="144" w:type="dxa"/>
            </w:tcMar>
          </w:tcPr>
          <w:p w14:paraId="43864F38" w14:textId="77777777" w:rsidR="00C2532F" w:rsidRPr="00ED49CA" w:rsidRDefault="00C2532F" w:rsidP="00246C0C">
            <w:pPr>
              <w:rPr>
                <w:color w:val="000000"/>
                <w:sz w:val="18"/>
                <w:szCs w:val="18"/>
                <w:lang w:val="en-GB"/>
              </w:rPr>
            </w:pPr>
          </w:p>
        </w:tc>
        <w:tc>
          <w:tcPr>
            <w:tcW w:w="1152" w:type="pct"/>
            <w:vMerge/>
          </w:tcPr>
          <w:p w14:paraId="1299EAF8" w14:textId="77777777" w:rsidR="00C2532F" w:rsidRPr="00ED49CA" w:rsidRDefault="00C2532F" w:rsidP="00246C0C">
            <w:pPr>
              <w:rPr>
                <w:color w:val="000000"/>
                <w:sz w:val="18"/>
                <w:szCs w:val="18"/>
                <w:lang w:val="en-GB"/>
              </w:rPr>
            </w:pPr>
          </w:p>
        </w:tc>
        <w:tc>
          <w:tcPr>
            <w:tcW w:w="1086" w:type="pct"/>
            <w:gridSpan w:val="2"/>
            <w:vMerge/>
            <w:tcMar>
              <w:top w:w="72" w:type="dxa"/>
              <w:left w:w="144" w:type="dxa"/>
              <w:bottom w:w="72" w:type="dxa"/>
              <w:right w:w="144" w:type="dxa"/>
            </w:tcMar>
          </w:tcPr>
          <w:p w14:paraId="35D7D47B" w14:textId="77777777" w:rsidR="00C2532F" w:rsidRPr="00ED49CA" w:rsidRDefault="00C2532F" w:rsidP="00246C0C">
            <w:pPr>
              <w:rPr>
                <w:color w:val="000000"/>
                <w:sz w:val="18"/>
                <w:szCs w:val="18"/>
                <w:lang w:val="en-GB"/>
              </w:rPr>
            </w:pPr>
          </w:p>
        </w:tc>
        <w:tc>
          <w:tcPr>
            <w:tcW w:w="987" w:type="pct"/>
            <w:gridSpan w:val="2"/>
            <w:vMerge/>
          </w:tcPr>
          <w:p w14:paraId="33FF48DA" w14:textId="77777777" w:rsidR="00C2532F" w:rsidRPr="00ED49CA" w:rsidRDefault="00C2532F" w:rsidP="00246C0C">
            <w:pPr>
              <w:rPr>
                <w:color w:val="000000"/>
                <w:sz w:val="18"/>
                <w:szCs w:val="18"/>
                <w:lang w:val="en-GB"/>
              </w:rPr>
            </w:pPr>
          </w:p>
        </w:tc>
        <w:tc>
          <w:tcPr>
            <w:tcW w:w="674" w:type="pct"/>
            <w:gridSpan w:val="2"/>
            <w:tcMar>
              <w:top w:w="15" w:type="dxa"/>
              <w:left w:w="108" w:type="dxa"/>
              <w:bottom w:w="0" w:type="dxa"/>
              <w:right w:w="108" w:type="dxa"/>
            </w:tcMar>
          </w:tcPr>
          <w:p w14:paraId="639AA8B0" w14:textId="23EC4932" w:rsidR="00C2532F" w:rsidRPr="00ED49CA" w:rsidRDefault="00C2532F" w:rsidP="00246C0C">
            <w:pPr>
              <w:rPr>
                <w:b/>
                <w:color w:val="000000"/>
                <w:sz w:val="18"/>
                <w:szCs w:val="18"/>
              </w:rPr>
            </w:pPr>
            <w:r w:rsidRPr="00ED49CA">
              <w:rPr>
                <w:b/>
                <w:color w:val="000000"/>
                <w:sz w:val="18"/>
                <w:szCs w:val="18"/>
              </w:rPr>
              <w:t>Other $</w:t>
            </w:r>
            <w:r w:rsidR="00D2061E" w:rsidRPr="00ED49CA">
              <w:rPr>
                <w:b/>
                <w:color w:val="000000"/>
                <w:sz w:val="18"/>
                <w:szCs w:val="18"/>
              </w:rPr>
              <w:t>3</w:t>
            </w:r>
            <w:r w:rsidRPr="00ED49CA">
              <w:rPr>
                <w:b/>
                <w:color w:val="000000"/>
                <w:sz w:val="18"/>
                <w:szCs w:val="18"/>
              </w:rPr>
              <w:t>,</w:t>
            </w:r>
            <w:r w:rsidR="00D2061E" w:rsidRPr="00ED49CA">
              <w:rPr>
                <w:b/>
                <w:color w:val="000000"/>
                <w:sz w:val="18"/>
                <w:szCs w:val="18"/>
              </w:rPr>
              <w:t>7</w:t>
            </w:r>
            <w:r w:rsidRPr="00ED49CA">
              <w:rPr>
                <w:b/>
                <w:color w:val="000000"/>
                <w:sz w:val="18"/>
                <w:szCs w:val="18"/>
              </w:rPr>
              <w:t>40,000</w:t>
            </w:r>
          </w:p>
          <w:p w14:paraId="2A6966A5" w14:textId="77777777" w:rsidR="00C2532F" w:rsidRPr="00ED49CA" w:rsidRDefault="00C2532F" w:rsidP="000C7146">
            <w:pPr>
              <w:rPr>
                <w:b/>
                <w:color w:val="000000"/>
                <w:sz w:val="18"/>
                <w:szCs w:val="18"/>
              </w:rPr>
            </w:pPr>
          </w:p>
        </w:tc>
      </w:tr>
      <w:tr w:rsidR="00C2532F" w:rsidRPr="0013165A" w14:paraId="4E661ECF" w14:textId="77777777" w:rsidTr="000C7146">
        <w:trPr>
          <w:trHeight w:val="25"/>
        </w:trPr>
        <w:tc>
          <w:tcPr>
            <w:tcW w:w="5000" w:type="pct"/>
            <w:gridSpan w:val="9"/>
            <w:shd w:val="clear" w:color="auto" w:fill="DBE5F1" w:themeFill="accent1" w:themeFillTint="33"/>
            <w:tcMar>
              <w:top w:w="72" w:type="dxa"/>
              <w:left w:w="144" w:type="dxa"/>
              <w:bottom w:w="72" w:type="dxa"/>
              <w:right w:w="144" w:type="dxa"/>
            </w:tcMar>
          </w:tcPr>
          <w:p w14:paraId="34F8F89B" w14:textId="39AC2009" w:rsidR="00C2532F" w:rsidRPr="000C7146" w:rsidRDefault="00C2532F" w:rsidP="00246C0C">
            <w:pPr>
              <w:rPr>
                <w:bCs/>
                <w:color w:val="000000"/>
                <w:sz w:val="18"/>
                <w:szCs w:val="18"/>
              </w:rPr>
            </w:pPr>
            <w:r w:rsidRPr="000C7146">
              <w:rPr>
                <w:b/>
                <w:color w:val="000000"/>
                <w:sz w:val="18"/>
                <w:szCs w:val="18"/>
                <w:lang w:val="en-GB"/>
              </w:rPr>
              <w:t xml:space="preserve">NATIONAL PRIORITY OR GOAL: </w:t>
            </w:r>
            <w:r w:rsidR="00242D0C" w:rsidRPr="000C7146">
              <w:rPr>
                <w:bCs/>
                <w:color w:val="000000"/>
                <w:sz w:val="18"/>
                <w:szCs w:val="18"/>
                <w:lang w:val="en-GB"/>
              </w:rPr>
              <w:t>Peace, Safety, Justice and Rule of Law;</w:t>
            </w:r>
            <w:r w:rsidR="00242D0C" w:rsidRPr="000C7146">
              <w:rPr>
                <w:b/>
                <w:color w:val="000000"/>
                <w:sz w:val="18"/>
                <w:szCs w:val="18"/>
                <w:lang w:val="en-GB"/>
              </w:rPr>
              <w:t xml:space="preserve"> </w:t>
            </w:r>
            <w:r w:rsidRPr="000C7146">
              <w:rPr>
                <w:bCs/>
                <w:color w:val="000000"/>
                <w:sz w:val="18"/>
                <w:szCs w:val="18"/>
                <w:lang w:val="en-GB"/>
              </w:rPr>
              <w:t xml:space="preserve">Sustainable Development Goals 16, 5 </w:t>
            </w:r>
          </w:p>
        </w:tc>
      </w:tr>
      <w:tr w:rsidR="00C2532F" w:rsidRPr="0013165A" w14:paraId="5409A42C" w14:textId="77777777" w:rsidTr="000C7146">
        <w:trPr>
          <w:trHeight w:val="124"/>
        </w:trPr>
        <w:tc>
          <w:tcPr>
            <w:tcW w:w="5000" w:type="pct"/>
            <w:gridSpan w:val="9"/>
            <w:shd w:val="clear" w:color="auto" w:fill="DBE5F1" w:themeFill="accent1" w:themeFillTint="33"/>
            <w:tcMar>
              <w:top w:w="72" w:type="dxa"/>
              <w:left w:w="144" w:type="dxa"/>
              <w:bottom w:w="72" w:type="dxa"/>
              <w:right w:w="144" w:type="dxa"/>
            </w:tcMar>
          </w:tcPr>
          <w:p w14:paraId="3EB8D67F" w14:textId="6849481F" w:rsidR="00C2532F" w:rsidRPr="000C7146" w:rsidRDefault="00C2532F" w:rsidP="00246C0C">
            <w:pPr>
              <w:rPr>
                <w:color w:val="000000"/>
                <w:sz w:val="18"/>
                <w:szCs w:val="18"/>
              </w:rPr>
            </w:pPr>
            <w:r w:rsidRPr="000C7146">
              <w:rPr>
                <w:b/>
                <w:color w:val="000000"/>
                <w:sz w:val="18"/>
                <w:szCs w:val="18"/>
                <w:lang w:val="en-GB"/>
              </w:rPr>
              <w:t>COOPERATION FRAMEWORK (OR EQUIVALENT) OUTCOME INVOLVING UNDP 4:</w:t>
            </w:r>
            <w:r w:rsidRPr="000C7146">
              <w:rPr>
                <w:b/>
                <w:bCs/>
                <w:sz w:val="18"/>
                <w:szCs w:val="18"/>
              </w:rPr>
              <w:t xml:space="preserve"> </w:t>
            </w:r>
            <w:r w:rsidRPr="000C7146">
              <w:rPr>
                <w:sz w:val="18"/>
                <w:szCs w:val="18"/>
              </w:rPr>
              <w:t>Outcome 7: Regional and national laws, policies, systems and institutions improve access to justice and promote peace, social cohesion and security</w:t>
            </w:r>
          </w:p>
        </w:tc>
      </w:tr>
      <w:tr w:rsidR="00C2532F" w:rsidRPr="0013165A" w14:paraId="496BE40A" w14:textId="77777777" w:rsidTr="000C7146">
        <w:trPr>
          <w:trHeight w:val="124"/>
        </w:trPr>
        <w:tc>
          <w:tcPr>
            <w:tcW w:w="5000" w:type="pct"/>
            <w:gridSpan w:val="9"/>
            <w:shd w:val="clear" w:color="auto" w:fill="DBE5F1" w:themeFill="accent1" w:themeFillTint="33"/>
            <w:tcMar>
              <w:top w:w="72" w:type="dxa"/>
              <w:left w:w="144" w:type="dxa"/>
              <w:bottom w:w="72" w:type="dxa"/>
              <w:right w:w="144" w:type="dxa"/>
            </w:tcMar>
          </w:tcPr>
          <w:p w14:paraId="10EC0441" w14:textId="77777777" w:rsidR="00C2532F" w:rsidRPr="000C7146" w:rsidRDefault="00C2532F" w:rsidP="00246C0C">
            <w:pPr>
              <w:rPr>
                <w:b/>
                <w:color w:val="000000"/>
                <w:sz w:val="18"/>
                <w:szCs w:val="18"/>
                <w:lang w:val="en-GB"/>
              </w:rPr>
            </w:pPr>
            <w:r w:rsidRPr="000C7146">
              <w:rPr>
                <w:b/>
                <w:color w:val="000000"/>
                <w:sz w:val="18"/>
                <w:szCs w:val="18"/>
                <w:lang w:val="en-GB"/>
              </w:rPr>
              <w:t xml:space="preserve">RELATED STRATEGIC PLAN OUTCOME: </w:t>
            </w:r>
            <w:r w:rsidRPr="000C7146">
              <w:rPr>
                <w:bCs/>
                <w:color w:val="000000"/>
                <w:sz w:val="18"/>
                <w:szCs w:val="18"/>
                <w:lang w:val="en-GB"/>
              </w:rPr>
              <w:t>Outcome 1 – Advance poverty eradication in all its forms and dimensions</w:t>
            </w:r>
          </w:p>
        </w:tc>
      </w:tr>
      <w:tr w:rsidR="00C2532F" w:rsidRPr="0013165A" w14:paraId="20E66DCC" w14:textId="77777777" w:rsidTr="000C7146">
        <w:trPr>
          <w:trHeight w:val="133"/>
        </w:trPr>
        <w:tc>
          <w:tcPr>
            <w:tcW w:w="1084" w:type="pct"/>
            <w:vMerge w:val="restart"/>
            <w:tcMar>
              <w:top w:w="72" w:type="dxa"/>
              <w:left w:w="144" w:type="dxa"/>
              <w:bottom w:w="72" w:type="dxa"/>
              <w:right w:w="144" w:type="dxa"/>
            </w:tcMar>
          </w:tcPr>
          <w:p w14:paraId="421FB8A2" w14:textId="080412C2" w:rsidR="00A13AD2" w:rsidRPr="000C7146" w:rsidRDefault="00581446" w:rsidP="00CF2672">
            <w:pPr>
              <w:rPr>
                <w:sz w:val="18"/>
                <w:szCs w:val="18"/>
              </w:rPr>
            </w:pPr>
            <w:r w:rsidRPr="000C7146">
              <w:rPr>
                <w:sz w:val="18"/>
                <w:szCs w:val="18"/>
              </w:rPr>
              <w:t>IRRF.</w:t>
            </w:r>
            <w:r w:rsidR="00A13AD2" w:rsidRPr="000C7146">
              <w:rPr>
                <w:sz w:val="18"/>
                <w:szCs w:val="18"/>
              </w:rPr>
              <w:t xml:space="preserve"> 6.3.3 Number of entities with strengthened capacities to implement legislation, policies, action plans and initiatives to prevent </w:t>
            </w:r>
            <w:r w:rsidR="0095600D">
              <w:rPr>
                <w:sz w:val="18"/>
                <w:szCs w:val="18"/>
              </w:rPr>
              <w:t>gender-based violence</w:t>
            </w:r>
            <w:r w:rsidR="0095600D" w:rsidRPr="000C7146">
              <w:rPr>
                <w:sz w:val="18"/>
                <w:szCs w:val="18"/>
              </w:rPr>
              <w:t xml:space="preserve"> </w:t>
            </w:r>
            <w:r w:rsidR="00A16A82" w:rsidRPr="000C7146">
              <w:rPr>
                <w:sz w:val="18"/>
                <w:szCs w:val="18"/>
              </w:rPr>
              <w:t>(</w:t>
            </w:r>
            <w:r w:rsidR="0095600D">
              <w:rPr>
                <w:sz w:val="18"/>
                <w:szCs w:val="18"/>
              </w:rPr>
              <w:t>n</w:t>
            </w:r>
            <w:r w:rsidR="0095600D" w:rsidRPr="000C7146">
              <w:rPr>
                <w:sz w:val="18"/>
                <w:szCs w:val="18"/>
              </w:rPr>
              <w:t xml:space="preserve">ational </w:t>
            </w:r>
            <w:r w:rsidR="00A13AD2" w:rsidRPr="000C7146">
              <w:rPr>
                <w:sz w:val="18"/>
                <w:szCs w:val="18"/>
              </w:rPr>
              <w:t>entities</w:t>
            </w:r>
            <w:r w:rsidR="00A16A82" w:rsidRPr="000C7146">
              <w:rPr>
                <w:sz w:val="18"/>
                <w:szCs w:val="18"/>
              </w:rPr>
              <w:t xml:space="preserve">, </w:t>
            </w:r>
            <w:r w:rsidR="0095600D">
              <w:rPr>
                <w:sz w:val="18"/>
                <w:szCs w:val="18"/>
              </w:rPr>
              <w:t>s</w:t>
            </w:r>
            <w:r w:rsidR="00A13AD2" w:rsidRPr="000C7146">
              <w:rPr>
                <w:sz w:val="18"/>
                <w:szCs w:val="18"/>
              </w:rPr>
              <w:t>ubnational entities</w:t>
            </w:r>
            <w:r w:rsidR="00A16A82" w:rsidRPr="000C7146">
              <w:rPr>
                <w:sz w:val="18"/>
                <w:szCs w:val="18"/>
              </w:rPr>
              <w:t xml:space="preserve">, </w:t>
            </w:r>
            <w:r w:rsidR="00A13AD2" w:rsidRPr="000C7146">
              <w:rPr>
                <w:sz w:val="18"/>
                <w:szCs w:val="18"/>
              </w:rPr>
              <w:t>CSOs</w:t>
            </w:r>
            <w:r w:rsidR="00A16A82" w:rsidRPr="000C7146">
              <w:rPr>
                <w:sz w:val="18"/>
                <w:szCs w:val="18"/>
              </w:rPr>
              <w:t xml:space="preserve">, </w:t>
            </w:r>
            <w:r w:rsidR="0095600D">
              <w:rPr>
                <w:sz w:val="18"/>
                <w:szCs w:val="18"/>
              </w:rPr>
              <w:t>the p</w:t>
            </w:r>
            <w:r w:rsidR="00A13AD2" w:rsidRPr="000C7146">
              <w:rPr>
                <w:sz w:val="18"/>
                <w:szCs w:val="18"/>
              </w:rPr>
              <w:t>rivate sector</w:t>
            </w:r>
            <w:r w:rsidR="00A16A82" w:rsidRPr="000C7146">
              <w:rPr>
                <w:sz w:val="18"/>
                <w:szCs w:val="18"/>
              </w:rPr>
              <w:t>)</w:t>
            </w:r>
          </w:p>
          <w:p w14:paraId="7D2B38B8" w14:textId="25CB685E" w:rsidR="0031300C" w:rsidRPr="000C7146" w:rsidRDefault="0031300C" w:rsidP="0031300C">
            <w:pPr>
              <w:rPr>
                <w:sz w:val="18"/>
                <w:szCs w:val="18"/>
              </w:rPr>
            </w:pPr>
            <w:r w:rsidRPr="000C7146">
              <w:rPr>
                <w:sz w:val="18"/>
                <w:szCs w:val="18"/>
              </w:rPr>
              <w:t xml:space="preserve">Baseline: </w:t>
            </w:r>
            <w:r w:rsidR="009D1654" w:rsidRPr="000C7146">
              <w:rPr>
                <w:sz w:val="18"/>
                <w:szCs w:val="18"/>
              </w:rPr>
              <w:t xml:space="preserve">Trinidad and Tobago </w:t>
            </w:r>
            <w:r w:rsidR="002A06B4" w:rsidRPr="000C7146">
              <w:rPr>
                <w:sz w:val="18"/>
                <w:szCs w:val="18"/>
              </w:rPr>
              <w:t>3</w:t>
            </w:r>
          </w:p>
          <w:p w14:paraId="7E2BD5B0" w14:textId="4DEC2A05" w:rsidR="0031300C" w:rsidRPr="000C7146" w:rsidRDefault="0031300C" w:rsidP="0031300C">
            <w:pPr>
              <w:rPr>
                <w:sz w:val="18"/>
                <w:szCs w:val="18"/>
              </w:rPr>
            </w:pPr>
            <w:r w:rsidRPr="000C7146">
              <w:rPr>
                <w:sz w:val="18"/>
                <w:szCs w:val="18"/>
              </w:rPr>
              <w:t xml:space="preserve">Target: </w:t>
            </w:r>
            <w:r w:rsidR="002A06B4" w:rsidRPr="000C7146">
              <w:rPr>
                <w:sz w:val="18"/>
                <w:szCs w:val="18"/>
              </w:rPr>
              <w:t>5</w:t>
            </w:r>
          </w:p>
          <w:p w14:paraId="6F33B4EB" w14:textId="77777777" w:rsidR="00C2532F" w:rsidRPr="000C7146" w:rsidRDefault="00C2532F" w:rsidP="00FD7746">
            <w:pPr>
              <w:rPr>
                <w:color w:val="000000"/>
                <w:sz w:val="18"/>
                <w:szCs w:val="18"/>
                <w:lang w:val="en-GB"/>
              </w:rPr>
            </w:pPr>
          </w:p>
          <w:p w14:paraId="27390EFA" w14:textId="6BFCA772" w:rsidR="00141D5E" w:rsidRPr="000C7146" w:rsidRDefault="00141D5E" w:rsidP="002C35CD">
            <w:pPr>
              <w:rPr>
                <w:sz w:val="18"/>
                <w:szCs w:val="18"/>
              </w:rPr>
            </w:pPr>
            <w:r w:rsidRPr="000C7146">
              <w:rPr>
                <w:sz w:val="18"/>
                <w:szCs w:val="18"/>
              </w:rPr>
              <w:t>IRRF. 2.2.3 Number and proportion</w:t>
            </w:r>
            <w:r w:rsidRPr="000C7146" w:rsidDel="007B1DAC">
              <w:rPr>
                <w:sz w:val="18"/>
                <w:szCs w:val="18"/>
              </w:rPr>
              <w:t xml:space="preserve"> of people supported</w:t>
            </w:r>
            <w:r w:rsidRPr="000C7146">
              <w:rPr>
                <w:sz w:val="18"/>
                <w:szCs w:val="18"/>
              </w:rPr>
              <w:t>, who have access to justice (</w:t>
            </w:r>
            <w:r w:rsidR="0095600D">
              <w:rPr>
                <w:sz w:val="18"/>
                <w:szCs w:val="18"/>
              </w:rPr>
              <w:t>g</w:t>
            </w:r>
            <w:r w:rsidRPr="000C7146">
              <w:rPr>
                <w:sz w:val="18"/>
                <w:szCs w:val="18"/>
              </w:rPr>
              <w:t xml:space="preserve">ender, </w:t>
            </w:r>
            <w:r w:rsidR="0095600D">
              <w:rPr>
                <w:sz w:val="18"/>
                <w:szCs w:val="18"/>
              </w:rPr>
              <w:t>y</w:t>
            </w:r>
            <w:r w:rsidRPr="000C7146">
              <w:rPr>
                <w:sz w:val="18"/>
                <w:szCs w:val="18"/>
              </w:rPr>
              <w:t xml:space="preserve">outh, </w:t>
            </w:r>
            <w:r w:rsidR="0095600D">
              <w:rPr>
                <w:sz w:val="18"/>
                <w:szCs w:val="18"/>
              </w:rPr>
              <w:t>the p</w:t>
            </w:r>
            <w:r w:rsidRPr="000C7146">
              <w:rPr>
                <w:sz w:val="18"/>
                <w:szCs w:val="18"/>
              </w:rPr>
              <w:t xml:space="preserve">oor (income measure), </w:t>
            </w:r>
            <w:r w:rsidR="0095600D">
              <w:rPr>
                <w:sz w:val="18"/>
                <w:szCs w:val="18"/>
              </w:rPr>
              <w:t>p</w:t>
            </w:r>
            <w:r w:rsidRPr="000C7146">
              <w:rPr>
                <w:sz w:val="18"/>
                <w:szCs w:val="18"/>
              </w:rPr>
              <w:t xml:space="preserve">ersons with </w:t>
            </w:r>
            <w:r w:rsidRPr="000C7146">
              <w:rPr>
                <w:sz w:val="18"/>
                <w:szCs w:val="18"/>
              </w:rPr>
              <w:lastRenderedPageBreak/>
              <w:t xml:space="preserve">disabilities, </w:t>
            </w:r>
            <w:r w:rsidR="0095600D">
              <w:rPr>
                <w:sz w:val="18"/>
                <w:szCs w:val="18"/>
              </w:rPr>
              <w:t>d</w:t>
            </w:r>
            <w:r w:rsidRPr="000C7146">
              <w:rPr>
                <w:sz w:val="18"/>
                <w:szCs w:val="18"/>
              </w:rPr>
              <w:t xml:space="preserve">isplaced populations, </w:t>
            </w:r>
            <w:r w:rsidR="0095600D">
              <w:rPr>
                <w:sz w:val="18"/>
                <w:szCs w:val="18"/>
              </w:rPr>
              <w:t>e</w:t>
            </w:r>
            <w:r w:rsidRPr="000C7146">
              <w:rPr>
                <w:sz w:val="18"/>
                <w:szCs w:val="18"/>
              </w:rPr>
              <w:t>thnic minorities)</w:t>
            </w:r>
          </w:p>
          <w:p w14:paraId="1D0995FF" w14:textId="522D02E6" w:rsidR="00C168BA" w:rsidRPr="000C7146" w:rsidRDefault="00C168BA" w:rsidP="00C168BA">
            <w:pPr>
              <w:rPr>
                <w:sz w:val="18"/>
                <w:szCs w:val="18"/>
              </w:rPr>
            </w:pPr>
            <w:r w:rsidRPr="000C7146">
              <w:rPr>
                <w:sz w:val="18"/>
                <w:szCs w:val="18"/>
              </w:rPr>
              <w:t>Baseline:</w:t>
            </w:r>
            <w:r w:rsidR="00D6106C" w:rsidRPr="000C7146">
              <w:rPr>
                <w:sz w:val="18"/>
                <w:szCs w:val="18"/>
              </w:rPr>
              <w:t xml:space="preserve"> </w:t>
            </w:r>
            <w:r w:rsidR="004F5B33" w:rsidRPr="000C7146">
              <w:rPr>
                <w:sz w:val="18"/>
                <w:szCs w:val="18"/>
              </w:rPr>
              <w:t xml:space="preserve">827 matters for 2019/2020 </w:t>
            </w:r>
            <w:r w:rsidR="00D6106C" w:rsidRPr="000C7146">
              <w:rPr>
                <w:sz w:val="18"/>
                <w:szCs w:val="18"/>
              </w:rPr>
              <w:t>(</w:t>
            </w:r>
            <w:r w:rsidR="00CC627D" w:rsidRPr="000C7146">
              <w:rPr>
                <w:sz w:val="18"/>
                <w:szCs w:val="18"/>
              </w:rPr>
              <w:t xml:space="preserve">for </w:t>
            </w:r>
            <w:r w:rsidR="006D7CF2" w:rsidRPr="000C7146">
              <w:rPr>
                <w:rFonts w:eastAsia="Segoe UI"/>
                <w:sz w:val="18"/>
                <w:szCs w:val="18"/>
              </w:rPr>
              <w:t>Trinidad and Tobago</w:t>
            </w:r>
            <w:r w:rsidR="006D7CF2" w:rsidRPr="000C7146" w:rsidDel="006D7CF2">
              <w:rPr>
                <w:sz w:val="18"/>
                <w:szCs w:val="18"/>
              </w:rPr>
              <w:t xml:space="preserve"> </w:t>
            </w:r>
            <w:r w:rsidR="00D6106C" w:rsidRPr="000C7146">
              <w:rPr>
                <w:sz w:val="18"/>
                <w:szCs w:val="18"/>
              </w:rPr>
              <w:t>)</w:t>
            </w:r>
            <w:r w:rsidR="008915A6" w:rsidRPr="000C7146">
              <w:rPr>
                <w:rStyle w:val="FootnoteReference"/>
                <w:sz w:val="18"/>
                <w:szCs w:val="18"/>
              </w:rPr>
              <w:footnoteReference w:id="7"/>
            </w:r>
          </w:p>
          <w:p w14:paraId="51C90321" w14:textId="04CA7756" w:rsidR="00141D5E" w:rsidRPr="000C7146" w:rsidRDefault="00C168BA" w:rsidP="00FD7746">
            <w:pPr>
              <w:rPr>
                <w:color w:val="000000"/>
                <w:sz w:val="18"/>
                <w:szCs w:val="18"/>
                <w:lang w:val="en-GB"/>
              </w:rPr>
            </w:pPr>
            <w:r w:rsidRPr="000C7146">
              <w:rPr>
                <w:sz w:val="18"/>
                <w:szCs w:val="18"/>
              </w:rPr>
              <w:t xml:space="preserve">Target: </w:t>
            </w:r>
            <w:r w:rsidR="004F5B33" w:rsidRPr="000C7146">
              <w:rPr>
                <w:sz w:val="18"/>
                <w:szCs w:val="18"/>
              </w:rPr>
              <w:t>1</w:t>
            </w:r>
            <w:r w:rsidR="0079114E" w:rsidRPr="000C7146">
              <w:rPr>
                <w:sz w:val="18"/>
                <w:szCs w:val="18"/>
              </w:rPr>
              <w:t>,</w:t>
            </w:r>
            <w:r w:rsidR="004F5B33" w:rsidRPr="000C7146">
              <w:rPr>
                <w:sz w:val="18"/>
                <w:szCs w:val="18"/>
              </w:rPr>
              <w:t>000 matters and disaggregated (</w:t>
            </w:r>
            <w:r w:rsidR="00CC627D" w:rsidRPr="000C7146">
              <w:rPr>
                <w:sz w:val="18"/>
                <w:szCs w:val="18"/>
              </w:rPr>
              <w:t xml:space="preserve">for </w:t>
            </w:r>
            <w:r w:rsidR="006D7CF2" w:rsidRPr="000C7146">
              <w:rPr>
                <w:rFonts w:eastAsia="Segoe UI"/>
                <w:sz w:val="18"/>
                <w:szCs w:val="18"/>
              </w:rPr>
              <w:t>Trinidad and Tobago</w:t>
            </w:r>
            <w:r w:rsidR="006D7CF2" w:rsidRPr="000C7146" w:rsidDel="006D7CF2">
              <w:rPr>
                <w:sz w:val="18"/>
                <w:szCs w:val="18"/>
              </w:rPr>
              <w:t xml:space="preserve"> </w:t>
            </w:r>
            <w:r w:rsidR="00CC627D" w:rsidRPr="000C7146">
              <w:rPr>
                <w:sz w:val="18"/>
                <w:szCs w:val="18"/>
              </w:rPr>
              <w:t>)</w:t>
            </w:r>
          </w:p>
        </w:tc>
        <w:tc>
          <w:tcPr>
            <w:tcW w:w="1165" w:type="pct"/>
            <w:gridSpan w:val="2"/>
            <w:vMerge w:val="restart"/>
          </w:tcPr>
          <w:p w14:paraId="2789ED3F" w14:textId="56B0A245" w:rsidR="00C2532F" w:rsidRPr="000C7146" w:rsidRDefault="0095600D" w:rsidP="008202BB">
            <w:pPr>
              <w:pStyle w:val="ListParagraph"/>
              <w:numPr>
                <w:ilvl w:val="0"/>
                <w:numId w:val="9"/>
              </w:numPr>
              <w:ind w:left="360"/>
              <w:rPr>
                <w:bCs/>
                <w:color w:val="000000"/>
                <w:sz w:val="18"/>
                <w:szCs w:val="18"/>
                <w:lang w:val="en-GB"/>
              </w:rPr>
            </w:pPr>
            <w:r>
              <w:rPr>
                <w:bCs/>
                <w:color w:val="000000"/>
                <w:sz w:val="18"/>
                <w:szCs w:val="18"/>
                <w:lang w:val="en-GB"/>
              </w:rPr>
              <w:lastRenderedPageBreak/>
              <w:t>Office of the Prime Minister</w:t>
            </w:r>
            <w:r w:rsidR="00C2532F" w:rsidRPr="000C7146">
              <w:rPr>
                <w:bCs/>
                <w:color w:val="000000"/>
                <w:sz w:val="18"/>
                <w:szCs w:val="18"/>
                <w:lang w:val="en-GB"/>
              </w:rPr>
              <w:t>, Gender and Child Affairs Division, Central Registry on Domestic Violence Data Report, annual</w:t>
            </w:r>
          </w:p>
          <w:p w14:paraId="715F3EB5" w14:textId="514E1399" w:rsidR="00C2532F" w:rsidRPr="000C7146" w:rsidRDefault="00C2532F" w:rsidP="008202BB">
            <w:pPr>
              <w:pStyle w:val="ListParagraph"/>
              <w:numPr>
                <w:ilvl w:val="0"/>
                <w:numId w:val="9"/>
              </w:numPr>
              <w:ind w:left="360"/>
              <w:rPr>
                <w:bCs/>
                <w:color w:val="000000"/>
                <w:sz w:val="18"/>
                <w:szCs w:val="18"/>
                <w:lang w:val="en-GB"/>
              </w:rPr>
            </w:pPr>
            <w:r w:rsidRPr="000C7146">
              <w:rPr>
                <w:bCs/>
                <w:color w:val="000000"/>
                <w:sz w:val="18"/>
                <w:szCs w:val="18"/>
                <w:lang w:val="en-GB"/>
              </w:rPr>
              <w:t>Trinidad and Tobago Police Service, (</w:t>
            </w:r>
            <w:r w:rsidR="0095600D">
              <w:rPr>
                <w:bCs/>
                <w:color w:val="000000"/>
                <w:sz w:val="18"/>
                <w:szCs w:val="18"/>
                <w:lang w:val="en-GB"/>
              </w:rPr>
              <w:t>Crime and Problem Analysis Branch</w:t>
            </w:r>
            <w:r w:rsidRPr="000C7146">
              <w:rPr>
                <w:bCs/>
                <w:color w:val="000000"/>
                <w:sz w:val="18"/>
                <w:szCs w:val="18"/>
                <w:lang w:val="en-GB"/>
              </w:rPr>
              <w:t>), annually</w:t>
            </w:r>
          </w:p>
          <w:p w14:paraId="30189E18" w14:textId="496F0F35" w:rsidR="00C2532F" w:rsidRPr="000C7146" w:rsidRDefault="00C2532F" w:rsidP="008202BB">
            <w:pPr>
              <w:pStyle w:val="ListParagraph"/>
              <w:numPr>
                <w:ilvl w:val="0"/>
                <w:numId w:val="9"/>
              </w:numPr>
              <w:ind w:left="360"/>
              <w:rPr>
                <w:bCs/>
                <w:color w:val="000000"/>
                <w:sz w:val="18"/>
                <w:szCs w:val="18"/>
                <w:lang w:val="en-GB"/>
              </w:rPr>
            </w:pPr>
            <w:r w:rsidRPr="000C7146">
              <w:rPr>
                <w:bCs/>
                <w:color w:val="000000"/>
                <w:sz w:val="18"/>
                <w:szCs w:val="18"/>
                <w:shd w:val="clear" w:color="auto" w:fill="FFFFFF" w:themeFill="background1"/>
                <w:lang w:val="en-GB"/>
              </w:rPr>
              <w:t xml:space="preserve">Judiciary (Family Court and Juvenile </w:t>
            </w:r>
            <w:r w:rsidR="00675B93">
              <w:rPr>
                <w:bCs/>
                <w:color w:val="000000"/>
                <w:sz w:val="18"/>
                <w:szCs w:val="18"/>
                <w:shd w:val="clear" w:color="auto" w:fill="FFFFFF" w:themeFill="background1"/>
                <w:lang w:val="en-GB"/>
              </w:rPr>
              <w:t>C</w:t>
            </w:r>
            <w:r w:rsidRPr="000C7146">
              <w:rPr>
                <w:bCs/>
                <w:color w:val="000000"/>
                <w:sz w:val="18"/>
                <w:szCs w:val="18"/>
                <w:shd w:val="clear" w:color="auto" w:fill="FFFFFF" w:themeFill="background1"/>
                <w:lang w:val="en-GB"/>
              </w:rPr>
              <w:t>ourt) records, annual</w:t>
            </w:r>
          </w:p>
          <w:p w14:paraId="6DF5A820" w14:textId="5694F843" w:rsidR="0033052E" w:rsidRPr="000C7146" w:rsidRDefault="001B197C" w:rsidP="008202BB">
            <w:pPr>
              <w:pStyle w:val="ListParagraph"/>
              <w:numPr>
                <w:ilvl w:val="0"/>
                <w:numId w:val="9"/>
              </w:numPr>
              <w:ind w:left="360"/>
              <w:rPr>
                <w:bCs/>
                <w:color w:val="000000"/>
                <w:sz w:val="18"/>
                <w:szCs w:val="18"/>
                <w:lang w:val="en-GB"/>
              </w:rPr>
            </w:pPr>
            <w:r w:rsidRPr="000C7146">
              <w:rPr>
                <w:bCs/>
                <w:color w:val="000000"/>
                <w:sz w:val="18"/>
                <w:szCs w:val="18"/>
                <w:shd w:val="clear" w:color="auto" w:fill="FFFFFF" w:themeFill="background1"/>
                <w:lang w:val="en-GB"/>
              </w:rPr>
              <w:t xml:space="preserve">Ministry of </w:t>
            </w:r>
            <w:r w:rsidR="0033052E" w:rsidRPr="000C7146">
              <w:rPr>
                <w:bCs/>
                <w:color w:val="000000"/>
                <w:sz w:val="18"/>
                <w:szCs w:val="18"/>
                <w:shd w:val="clear" w:color="auto" w:fill="FFFFFF" w:themeFill="background1"/>
                <w:lang w:val="en-GB"/>
              </w:rPr>
              <w:t>the Attorney General</w:t>
            </w:r>
            <w:r w:rsidR="00D2138D" w:rsidRPr="000C7146">
              <w:rPr>
                <w:bCs/>
                <w:color w:val="000000"/>
                <w:sz w:val="18"/>
                <w:szCs w:val="18"/>
                <w:shd w:val="clear" w:color="auto" w:fill="FFFFFF" w:themeFill="background1"/>
                <w:lang w:val="en-GB"/>
              </w:rPr>
              <w:t xml:space="preserve"> and Legal Aff</w:t>
            </w:r>
            <w:r w:rsidRPr="000C7146">
              <w:rPr>
                <w:bCs/>
                <w:color w:val="000000"/>
                <w:sz w:val="18"/>
                <w:szCs w:val="18"/>
                <w:shd w:val="clear" w:color="auto" w:fill="FFFFFF" w:themeFill="background1"/>
                <w:lang w:val="en-GB"/>
              </w:rPr>
              <w:t>air</w:t>
            </w:r>
            <w:r w:rsidR="00D2138D" w:rsidRPr="000C7146">
              <w:rPr>
                <w:bCs/>
                <w:color w:val="000000"/>
                <w:sz w:val="18"/>
                <w:szCs w:val="18"/>
                <w:shd w:val="clear" w:color="auto" w:fill="FFFFFF" w:themeFill="background1"/>
                <w:lang w:val="en-GB"/>
              </w:rPr>
              <w:t>s</w:t>
            </w:r>
          </w:p>
        </w:tc>
        <w:tc>
          <w:tcPr>
            <w:tcW w:w="1080" w:type="pct"/>
            <w:gridSpan w:val="2"/>
            <w:vMerge w:val="restart"/>
            <w:tcMar>
              <w:top w:w="72" w:type="dxa"/>
              <w:left w:w="144" w:type="dxa"/>
              <w:bottom w:w="72" w:type="dxa"/>
              <w:right w:w="144" w:type="dxa"/>
            </w:tcMar>
          </w:tcPr>
          <w:p w14:paraId="043FD5EE" w14:textId="795024E8" w:rsidR="00C2532F" w:rsidRPr="000C7146" w:rsidRDefault="00C2532F" w:rsidP="00246C0C">
            <w:pPr>
              <w:pStyle w:val="Default"/>
              <w:rPr>
                <w:b/>
                <w:bCs/>
                <w:sz w:val="18"/>
                <w:szCs w:val="18"/>
              </w:rPr>
            </w:pPr>
            <w:r w:rsidRPr="000C7146">
              <w:rPr>
                <w:b/>
                <w:bCs/>
                <w:color w:val="auto"/>
                <w:sz w:val="18"/>
                <w:szCs w:val="18"/>
              </w:rPr>
              <w:t>4.1 State and non-</w:t>
            </w:r>
            <w:r w:rsidR="006A78A7">
              <w:rPr>
                <w:b/>
                <w:bCs/>
                <w:color w:val="auto"/>
                <w:sz w:val="18"/>
                <w:szCs w:val="18"/>
              </w:rPr>
              <w:t>S</w:t>
            </w:r>
            <w:r w:rsidRPr="000C7146">
              <w:rPr>
                <w:b/>
                <w:bCs/>
                <w:color w:val="auto"/>
                <w:sz w:val="18"/>
                <w:szCs w:val="18"/>
              </w:rPr>
              <w:t xml:space="preserve">tate actors improve their support of the prevention of and response to </w:t>
            </w:r>
            <w:r w:rsidR="006A78A7">
              <w:rPr>
                <w:b/>
                <w:bCs/>
                <w:color w:val="auto"/>
                <w:sz w:val="18"/>
                <w:szCs w:val="18"/>
              </w:rPr>
              <w:t>g</w:t>
            </w:r>
            <w:r w:rsidRPr="000C7146">
              <w:rPr>
                <w:b/>
                <w:bCs/>
                <w:sz w:val="18"/>
                <w:szCs w:val="18"/>
              </w:rPr>
              <w:t>ender</w:t>
            </w:r>
            <w:r w:rsidR="006A78A7">
              <w:rPr>
                <w:b/>
                <w:bCs/>
                <w:sz w:val="18"/>
                <w:szCs w:val="18"/>
              </w:rPr>
              <w:t>-b</w:t>
            </w:r>
            <w:r w:rsidRPr="000C7146">
              <w:rPr>
                <w:b/>
                <w:bCs/>
                <w:sz w:val="18"/>
                <w:szCs w:val="18"/>
              </w:rPr>
              <w:t xml:space="preserve">ased </w:t>
            </w:r>
            <w:r w:rsidR="006A78A7">
              <w:rPr>
                <w:b/>
                <w:bCs/>
                <w:sz w:val="18"/>
                <w:szCs w:val="18"/>
              </w:rPr>
              <w:t>v</w:t>
            </w:r>
            <w:r w:rsidRPr="000C7146">
              <w:rPr>
                <w:b/>
                <w:bCs/>
                <w:sz w:val="18"/>
                <w:szCs w:val="18"/>
              </w:rPr>
              <w:t>iolence</w:t>
            </w:r>
          </w:p>
          <w:p w14:paraId="1FFEBA25" w14:textId="77777777" w:rsidR="00C2532F" w:rsidRPr="000C7146" w:rsidRDefault="00C2532F" w:rsidP="00246C0C">
            <w:pPr>
              <w:pStyle w:val="Default"/>
              <w:rPr>
                <w:b/>
                <w:bCs/>
                <w:color w:val="auto"/>
                <w:sz w:val="18"/>
                <w:szCs w:val="18"/>
              </w:rPr>
            </w:pPr>
          </w:p>
          <w:p w14:paraId="0A37D724" w14:textId="39D4C542" w:rsidR="00C2532F" w:rsidRPr="000C7146" w:rsidRDefault="00C2532F" w:rsidP="00246C0C">
            <w:pPr>
              <w:pStyle w:val="Default"/>
              <w:rPr>
                <w:color w:val="auto"/>
                <w:sz w:val="18"/>
                <w:szCs w:val="18"/>
              </w:rPr>
            </w:pPr>
            <w:r w:rsidRPr="000C7146">
              <w:rPr>
                <w:sz w:val="18"/>
                <w:szCs w:val="18"/>
              </w:rPr>
              <w:t>I.4.1a</w:t>
            </w:r>
            <w:r w:rsidRPr="000C7146">
              <w:rPr>
                <w:color w:val="auto"/>
                <w:sz w:val="18"/>
                <w:szCs w:val="18"/>
              </w:rPr>
              <w:t xml:space="preserve">: Number of </w:t>
            </w:r>
            <w:r w:rsidR="006A78A7">
              <w:rPr>
                <w:color w:val="auto"/>
                <w:sz w:val="18"/>
                <w:szCs w:val="18"/>
              </w:rPr>
              <w:t>S</w:t>
            </w:r>
            <w:r w:rsidRPr="000C7146">
              <w:rPr>
                <w:color w:val="auto"/>
                <w:sz w:val="18"/>
                <w:szCs w:val="18"/>
              </w:rPr>
              <w:t>tate and non-</w:t>
            </w:r>
            <w:r w:rsidR="006A78A7">
              <w:rPr>
                <w:color w:val="auto"/>
                <w:sz w:val="18"/>
                <w:szCs w:val="18"/>
              </w:rPr>
              <w:t>S</w:t>
            </w:r>
            <w:r w:rsidRPr="000C7146">
              <w:rPr>
                <w:color w:val="auto"/>
                <w:sz w:val="18"/>
                <w:szCs w:val="18"/>
              </w:rPr>
              <w:t xml:space="preserve">tate actors whose capabilities were enhanced to formulate and deliver effective services and prevention approaches for </w:t>
            </w:r>
            <w:r w:rsidR="006A78A7">
              <w:rPr>
                <w:color w:val="auto"/>
                <w:sz w:val="18"/>
                <w:szCs w:val="18"/>
              </w:rPr>
              <w:t>gender-based violence</w:t>
            </w:r>
            <w:r w:rsidRPr="000C7146">
              <w:rPr>
                <w:color w:val="auto"/>
                <w:sz w:val="18"/>
                <w:szCs w:val="18"/>
              </w:rPr>
              <w:t>.</w:t>
            </w:r>
          </w:p>
          <w:p w14:paraId="1B452E50" w14:textId="672D5B4A" w:rsidR="00C2532F" w:rsidRPr="000C7146" w:rsidRDefault="00C2532F" w:rsidP="00246C0C">
            <w:pPr>
              <w:pStyle w:val="Default"/>
              <w:ind w:left="720"/>
              <w:rPr>
                <w:sz w:val="18"/>
                <w:szCs w:val="18"/>
              </w:rPr>
            </w:pPr>
            <w:r w:rsidRPr="000C7146">
              <w:rPr>
                <w:sz w:val="18"/>
                <w:szCs w:val="18"/>
              </w:rPr>
              <w:t xml:space="preserve">Baseline: </w:t>
            </w:r>
            <w:r w:rsidR="001C5C79" w:rsidRPr="000C7146">
              <w:rPr>
                <w:sz w:val="18"/>
                <w:szCs w:val="18"/>
              </w:rPr>
              <w:t>2</w:t>
            </w:r>
          </w:p>
          <w:p w14:paraId="480E694F" w14:textId="32A054A9" w:rsidR="00C2532F" w:rsidRPr="000C7146" w:rsidRDefault="00C2532F" w:rsidP="00246C0C">
            <w:pPr>
              <w:pStyle w:val="Default"/>
              <w:ind w:left="720"/>
              <w:rPr>
                <w:sz w:val="18"/>
                <w:szCs w:val="18"/>
              </w:rPr>
            </w:pPr>
            <w:r w:rsidRPr="000C7146">
              <w:rPr>
                <w:sz w:val="18"/>
                <w:szCs w:val="18"/>
              </w:rPr>
              <w:t xml:space="preserve">Target: 7 civil society organizations; 2 </w:t>
            </w:r>
            <w:r w:rsidR="004637A9">
              <w:rPr>
                <w:sz w:val="18"/>
                <w:szCs w:val="18"/>
              </w:rPr>
              <w:t>S</w:t>
            </w:r>
            <w:r w:rsidRPr="000C7146">
              <w:rPr>
                <w:sz w:val="18"/>
                <w:szCs w:val="18"/>
              </w:rPr>
              <w:t xml:space="preserve">tate actors </w:t>
            </w:r>
          </w:p>
          <w:p w14:paraId="6BEAE904" w14:textId="77777777" w:rsidR="00C2532F" w:rsidRPr="000C7146" w:rsidRDefault="00C2532F" w:rsidP="00246C0C">
            <w:pPr>
              <w:pStyle w:val="Default"/>
              <w:ind w:left="720"/>
              <w:rPr>
                <w:sz w:val="18"/>
                <w:szCs w:val="18"/>
              </w:rPr>
            </w:pPr>
            <w:r w:rsidRPr="000C7146">
              <w:rPr>
                <w:sz w:val="18"/>
                <w:szCs w:val="18"/>
              </w:rPr>
              <w:lastRenderedPageBreak/>
              <w:t>Source: Spotlight Initiative, annual</w:t>
            </w:r>
          </w:p>
          <w:p w14:paraId="2DFA3F2E" w14:textId="77777777" w:rsidR="00C2532F" w:rsidRPr="000C7146" w:rsidRDefault="00C2532F" w:rsidP="00246C0C">
            <w:pPr>
              <w:pStyle w:val="Default"/>
              <w:rPr>
                <w:color w:val="auto"/>
                <w:sz w:val="18"/>
                <w:szCs w:val="18"/>
              </w:rPr>
            </w:pPr>
          </w:p>
          <w:p w14:paraId="5E6A0E06" w14:textId="7814D9B4" w:rsidR="00C2532F" w:rsidRPr="000C7146" w:rsidRDefault="00C2532F" w:rsidP="00246C0C">
            <w:pPr>
              <w:pStyle w:val="Default"/>
              <w:rPr>
                <w:sz w:val="18"/>
                <w:szCs w:val="18"/>
              </w:rPr>
            </w:pPr>
            <w:r w:rsidRPr="000C7146">
              <w:rPr>
                <w:sz w:val="18"/>
                <w:szCs w:val="18"/>
              </w:rPr>
              <w:t>I.4.1</w:t>
            </w:r>
            <w:r w:rsidR="00730DC2" w:rsidRPr="000C7146">
              <w:rPr>
                <w:sz w:val="18"/>
                <w:szCs w:val="18"/>
              </w:rPr>
              <w:t>b</w:t>
            </w:r>
            <w:r w:rsidRPr="000C7146">
              <w:rPr>
                <w:sz w:val="18"/>
                <w:szCs w:val="18"/>
              </w:rPr>
              <w:t xml:space="preserve">: Number of communications or outreach activities conducted on </w:t>
            </w:r>
            <w:r w:rsidR="00EA4566">
              <w:rPr>
                <w:sz w:val="18"/>
                <w:szCs w:val="18"/>
              </w:rPr>
              <w:t>gender-based violence</w:t>
            </w:r>
            <w:r w:rsidR="00EA4566" w:rsidRPr="000C7146">
              <w:rPr>
                <w:sz w:val="18"/>
                <w:szCs w:val="18"/>
              </w:rPr>
              <w:t xml:space="preserve"> </w:t>
            </w:r>
            <w:r w:rsidRPr="000C7146">
              <w:rPr>
                <w:sz w:val="18"/>
                <w:szCs w:val="18"/>
              </w:rPr>
              <w:t xml:space="preserve">at the community level. </w:t>
            </w:r>
          </w:p>
          <w:p w14:paraId="25A8F291" w14:textId="77777777" w:rsidR="00C2532F" w:rsidRPr="000C7146" w:rsidRDefault="00C2532F" w:rsidP="00246C0C">
            <w:pPr>
              <w:pStyle w:val="Default"/>
              <w:ind w:left="720"/>
              <w:rPr>
                <w:sz w:val="18"/>
                <w:szCs w:val="18"/>
              </w:rPr>
            </w:pPr>
            <w:r w:rsidRPr="000C7146">
              <w:rPr>
                <w:sz w:val="18"/>
                <w:szCs w:val="18"/>
              </w:rPr>
              <w:t>Baseline: 0</w:t>
            </w:r>
          </w:p>
          <w:p w14:paraId="5D6E7E37" w14:textId="77777777" w:rsidR="00C2532F" w:rsidRPr="000C7146" w:rsidRDefault="00C2532F" w:rsidP="00246C0C">
            <w:pPr>
              <w:pStyle w:val="Default"/>
              <w:ind w:left="720"/>
              <w:rPr>
                <w:sz w:val="18"/>
                <w:szCs w:val="18"/>
              </w:rPr>
            </w:pPr>
            <w:r w:rsidRPr="000C7146">
              <w:rPr>
                <w:sz w:val="18"/>
                <w:szCs w:val="18"/>
              </w:rPr>
              <w:t>Target: 7</w:t>
            </w:r>
          </w:p>
          <w:p w14:paraId="72ECE024" w14:textId="77777777" w:rsidR="00C2532F" w:rsidRPr="000C7146" w:rsidRDefault="00C2532F" w:rsidP="00246C0C">
            <w:pPr>
              <w:pStyle w:val="Default"/>
              <w:ind w:left="720"/>
              <w:rPr>
                <w:sz w:val="18"/>
                <w:szCs w:val="18"/>
              </w:rPr>
            </w:pPr>
            <w:r w:rsidRPr="000C7146">
              <w:rPr>
                <w:sz w:val="18"/>
                <w:szCs w:val="18"/>
              </w:rPr>
              <w:t>Data Source: Implementing CSO reports, annual</w:t>
            </w:r>
          </w:p>
          <w:p w14:paraId="045FAEF5" w14:textId="77777777" w:rsidR="00C2532F" w:rsidRPr="000C7146" w:rsidRDefault="00C2532F" w:rsidP="00246C0C">
            <w:pPr>
              <w:pStyle w:val="Default"/>
              <w:rPr>
                <w:b/>
                <w:bCs/>
                <w:color w:val="auto"/>
                <w:sz w:val="18"/>
                <w:szCs w:val="18"/>
              </w:rPr>
            </w:pPr>
          </w:p>
          <w:p w14:paraId="65C79371" w14:textId="77777777" w:rsidR="00C2532F" w:rsidRPr="000C7146" w:rsidRDefault="00C2532F" w:rsidP="008202BB">
            <w:pPr>
              <w:pStyle w:val="Default"/>
              <w:numPr>
                <w:ilvl w:val="1"/>
                <w:numId w:val="2"/>
              </w:numPr>
              <w:rPr>
                <w:b/>
                <w:bCs/>
                <w:sz w:val="18"/>
                <w:szCs w:val="18"/>
              </w:rPr>
            </w:pPr>
            <w:r w:rsidRPr="000C7146">
              <w:rPr>
                <w:b/>
                <w:bCs/>
                <w:sz w:val="18"/>
                <w:szCs w:val="18"/>
              </w:rPr>
              <w:t xml:space="preserve">Police, prosecutors and courts improve access to justice by more effectively and efficiently managing criminal cases. </w:t>
            </w:r>
          </w:p>
          <w:p w14:paraId="347036DC" w14:textId="77777777" w:rsidR="00C2532F" w:rsidRPr="000C7146" w:rsidRDefault="00C2532F" w:rsidP="00246C0C">
            <w:pPr>
              <w:pStyle w:val="Default"/>
              <w:rPr>
                <w:sz w:val="18"/>
                <w:szCs w:val="18"/>
              </w:rPr>
            </w:pPr>
          </w:p>
          <w:p w14:paraId="4FF56379" w14:textId="3FF49EAD" w:rsidR="00C2532F" w:rsidRPr="000C7146" w:rsidRDefault="00C2532F" w:rsidP="00246C0C">
            <w:pPr>
              <w:pStyle w:val="Default"/>
              <w:rPr>
                <w:sz w:val="18"/>
                <w:szCs w:val="18"/>
              </w:rPr>
            </w:pPr>
            <w:r w:rsidRPr="000C7146">
              <w:rPr>
                <w:sz w:val="18"/>
                <w:szCs w:val="18"/>
              </w:rPr>
              <w:t xml:space="preserve">I.4.2a: Level of progress towards </w:t>
            </w:r>
            <w:r w:rsidR="00B7678C">
              <w:rPr>
                <w:sz w:val="18"/>
                <w:szCs w:val="18"/>
              </w:rPr>
              <w:t xml:space="preserve">the </w:t>
            </w:r>
            <w:r w:rsidRPr="000C7146">
              <w:rPr>
                <w:sz w:val="18"/>
                <w:szCs w:val="18"/>
              </w:rPr>
              <w:t>improved capacity of police, prosecutors and courts.</w:t>
            </w:r>
          </w:p>
          <w:p w14:paraId="13F5F2B9" w14:textId="77777777" w:rsidR="00C2532F" w:rsidRPr="000C7146" w:rsidRDefault="00C2532F" w:rsidP="00246C0C">
            <w:pPr>
              <w:pStyle w:val="Default"/>
              <w:ind w:left="720"/>
              <w:rPr>
                <w:sz w:val="18"/>
                <w:szCs w:val="18"/>
              </w:rPr>
            </w:pPr>
            <w:r w:rsidRPr="000C7146">
              <w:rPr>
                <w:sz w:val="18"/>
                <w:szCs w:val="18"/>
              </w:rPr>
              <w:t>Baseline: beginning</w:t>
            </w:r>
          </w:p>
          <w:p w14:paraId="5D6D6DE9" w14:textId="77777777" w:rsidR="00C2532F" w:rsidRPr="000C7146" w:rsidRDefault="00C2532F" w:rsidP="00246C0C">
            <w:pPr>
              <w:pStyle w:val="Default"/>
              <w:ind w:left="720"/>
              <w:rPr>
                <w:sz w:val="18"/>
                <w:szCs w:val="18"/>
              </w:rPr>
            </w:pPr>
            <w:r w:rsidRPr="000C7146">
              <w:rPr>
                <w:sz w:val="18"/>
                <w:szCs w:val="18"/>
              </w:rPr>
              <w:t>Target: halfway</w:t>
            </w:r>
          </w:p>
          <w:p w14:paraId="4A1E6128" w14:textId="77777777" w:rsidR="00C2532F" w:rsidRPr="000C7146" w:rsidRDefault="00C2532F" w:rsidP="00246C0C">
            <w:pPr>
              <w:pStyle w:val="Default"/>
              <w:ind w:left="720"/>
              <w:rPr>
                <w:sz w:val="18"/>
                <w:szCs w:val="18"/>
              </w:rPr>
            </w:pPr>
            <w:r w:rsidRPr="000C7146">
              <w:rPr>
                <w:sz w:val="18"/>
                <w:szCs w:val="18"/>
              </w:rPr>
              <w:t>Source: National Courts, annual</w:t>
            </w:r>
          </w:p>
          <w:p w14:paraId="0A820963" w14:textId="77777777" w:rsidR="00C2532F" w:rsidRPr="000C7146" w:rsidRDefault="00C2532F" w:rsidP="00246C0C">
            <w:pPr>
              <w:pStyle w:val="Default"/>
              <w:rPr>
                <w:sz w:val="18"/>
                <w:szCs w:val="18"/>
              </w:rPr>
            </w:pPr>
          </w:p>
          <w:p w14:paraId="39AEC3E0" w14:textId="77777777" w:rsidR="00C2532F" w:rsidRPr="000C7146" w:rsidRDefault="00C2532F" w:rsidP="00246C0C">
            <w:pPr>
              <w:pStyle w:val="Default"/>
              <w:rPr>
                <w:sz w:val="18"/>
                <w:szCs w:val="18"/>
              </w:rPr>
            </w:pPr>
            <w:r w:rsidRPr="000C7146">
              <w:rPr>
                <w:sz w:val="18"/>
                <w:szCs w:val="18"/>
              </w:rPr>
              <w:t xml:space="preserve">I.4.2b: Number of forensic pathologists in the Trinidad and Tobago Forensic Science Centre to expand the country’s capacity to conduct forensic examinations on a timely basis. </w:t>
            </w:r>
          </w:p>
          <w:p w14:paraId="009D48F6" w14:textId="77777777" w:rsidR="00C2532F" w:rsidRPr="000C7146" w:rsidRDefault="00C2532F" w:rsidP="00246C0C">
            <w:pPr>
              <w:pStyle w:val="Default"/>
              <w:ind w:left="720"/>
              <w:rPr>
                <w:sz w:val="18"/>
                <w:szCs w:val="18"/>
              </w:rPr>
            </w:pPr>
            <w:r w:rsidRPr="000C7146">
              <w:rPr>
                <w:sz w:val="18"/>
                <w:szCs w:val="18"/>
              </w:rPr>
              <w:t>Baseline: 0</w:t>
            </w:r>
          </w:p>
          <w:p w14:paraId="2D04BE04" w14:textId="77777777" w:rsidR="00C2532F" w:rsidRPr="000C7146" w:rsidRDefault="00C2532F" w:rsidP="00246C0C">
            <w:pPr>
              <w:pStyle w:val="Default"/>
              <w:ind w:left="720"/>
              <w:rPr>
                <w:sz w:val="18"/>
                <w:szCs w:val="18"/>
              </w:rPr>
            </w:pPr>
            <w:r w:rsidRPr="000C7146">
              <w:rPr>
                <w:sz w:val="18"/>
                <w:szCs w:val="18"/>
              </w:rPr>
              <w:t>Target: 3</w:t>
            </w:r>
          </w:p>
          <w:p w14:paraId="29FA5F38" w14:textId="77777777" w:rsidR="00C2532F" w:rsidRPr="000C7146" w:rsidRDefault="00C2532F" w:rsidP="00246C0C">
            <w:pPr>
              <w:pStyle w:val="Default"/>
              <w:ind w:left="720"/>
              <w:rPr>
                <w:sz w:val="18"/>
                <w:szCs w:val="18"/>
              </w:rPr>
            </w:pPr>
            <w:r w:rsidRPr="000C7146">
              <w:rPr>
                <w:sz w:val="18"/>
                <w:szCs w:val="18"/>
              </w:rPr>
              <w:t>Source: UNDP, annual</w:t>
            </w:r>
          </w:p>
          <w:p w14:paraId="0523BC6E" w14:textId="77777777" w:rsidR="00C2532F" w:rsidRPr="000C7146" w:rsidRDefault="00C2532F" w:rsidP="00246C0C">
            <w:pPr>
              <w:pStyle w:val="Default"/>
              <w:rPr>
                <w:b/>
                <w:bCs/>
                <w:sz w:val="18"/>
                <w:szCs w:val="18"/>
              </w:rPr>
            </w:pPr>
          </w:p>
          <w:p w14:paraId="470071F5" w14:textId="4E80E431" w:rsidR="00C2532F" w:rsidRPr="000C7146" w:rsidRDefault="00C2532F" w:rsidP="00246C0C">
            <w:pPr>
              <w:pStyle w:val="Default"/>
              <w:rPr>
                <w:b/>
                <w:bCs/>
                <w:color w:val="auto"/>
                <w:sz w:val="18"/>
                <w:szCs w:val="18"/>
              </w:rPr>
            </w:pPr>
            <w:r w:rsidRPr="000C7146">
              <w:rPr>
                <w:b/>
                <w:bCs/>
                <w:sz w:val="18"/>
                <w:szCs w:val="18"/>
              </w:rPr>
              <w:t xml:space="preserve">4.3 Rule of </w:t>
            </w:r>
            <w:r w:rsidR="00EA4566" w:rsidRPr="000C7146">
              <w:rPr>
                <w:b/>
                <w:bCs/>
                <w:sz w:val="18"/>
                <w:szCs w:val="18"/>
              </w:rPr>
              <w:t xml:space="preserve">law institutions supported to strengthen citizen security </w:t>
            </w:r>
          </w:p>
          <w:p w14:paraId="7720A9B7" w14:textId="77777777" w:rsidR="00C2532F" w:rsidRPr="000C7146" w:rsidRDefault="00C2532F" w:rsidP="00246C0C">
            <w:pPr>
              <w:pStyle w:val="Default"/>
              <w:rPr>
                <w:b/>
                <w:bCs/>
                <w:color w:val="auto"/>
                <w:sz w:val="18"/>
                <w:szCs w:val="18"/>
              </w:rPr>
            </w:pPr>
          </w:p>
          <w:p w14:paraId="3B1BD49B" w14:textId="44A746B6" w:rsidR="00C2532F" w:rsidRPr="000C7146" w:rsidRDefault="00C2532F" w:rsidP="00246C0C">
            <w:pPr>
              <w:rPr>
                <w:color w:val="000000"/>
                <w:sz w:val="18"/>
                <w:szCs w:val="18"/>
              </w:rPr>
            </w:pPr>
            <w:r w:rsidRPr="000C7146">
              <w:rPr>
                <w:sz w:val="18"/>
                <w:szCs w:val="18"/>
              </w:rPr>
              <w:lastRenderedPageBreak/>
              <w:t>I.4.3a</w:t>
            </w:r>
            <w:r w:rsidRPr="000C7146">
              <w:rPr>
                <w:color w:val="000000"/>
                <w:sz w:val="18"/>
                <w:szCs w:val="18"/>
              </w:rPr>
              <w:t xml:space="preserve">: </w:t>
            </w:r>
            <w:r w:rsidR="009C49C3" w:rsidRPr="000C7146">
              <w:rPr>
                <w:color w:val="000000"/>
                <w:sz w:val="18"/>
                <w:szCs w:val="18"/>
              </w:rPr>
              <w:t xml:space="preserve">Percentage </w:t>
            </w:r>
            <w:r w:rsidRPr="000C7146">
              <w:rPr>
                <w:color w:val="000000"/>
                <w:sz w:val="18"/>
                <w:szCs w:val="18"/>
              </w:rPr>
              <w:t xml:space="preserve">of at-risk youth in prison who participated in </w:t>
            </w:r>
            <w:r w:rsidR="002C55DE" w:rsidRPr="000C7146">
              <w:rPr>
                <w:color w:val="000000"/>
                <w:sz w:val="18"/>
                <w:szCs w:val="18"/>
              </w:rPr>
              <w:t xml:space="preserve">sustainable </w:t>
            </w:r>
            <w:r w:rsidRPr="000C7146">
              <w:rPr>
                <w:color w:val="000000"/>
                <w:sz w:val="18"/>
                <w:szCs w:val="18"/>
              </w:rPr>
              <w:t xml:space="preserve">capacity development activities intended to support youth to make targeted, purposeful decisions to </w:t>
            </w:r>
            <w:r w:rsidR="00553EE0">
              <w:rPr>
                <w:color w:val="000000"/>
                <w:sz w:val="18"/>
                <w:szCs w:val="18"/>
              </w:rPr>
              <w:t xml:space="preserve">contribute </w:t>
            </w:r>
            <w:r w:rsidR="00C56D7A">
              <w:rPr>
                <w:color w:val="000000"/>
                <w:sz w:val="18"/>
                <w:szCs w:val="18"/>
              </w:rPr>
              <w:t>meaningfull</w:t>
            </w:r>
            <w:r w:rsidR="00C56D7A" w:rsidRPr="000C7146">
              <w:rPr>
                <w:color w:val="000000"/>
                <w:sz w:val="18"/>
                <w:szCs w:val="18"/>
              </w:rPr>
              <w:t>y</w:t>
            </w:r>
            <w:r w:rsidR="00C56D7A">
              <w:rPr>
                <w:color w:val="000000"/>
                <w:sz w:val="18"/>
                <w:szCs w:val="18"/>
              </w:rPr>
              <w:t xml:space="preserve"> </w:t>
            </w:r>
            <w:r w:rsidR="00553EE0">
              <w:rPr>
                <w:color w:val="000000"/>
                <w:sz w:val="18"/>
                <w:szCs w:val="18"/>
              </w:rPr>
              <w:t>to society</w:t>
            </w:r>
            <w:r w:rsidRPr="000C7146">
              <w:rPr>
                <w:color w:val="000000"/>
                <w:sz w:val="18"/>
                <w:szCs w:val="18"/>
              </w:rPr>
              <w:t xml:space="preserve">. Data disaggregated by gender. </w:t>
            </w:r>
          </w:p>
          <w:p w14:paraId="35B8135A" w14:textId="6811C22A" w:rsidR="00C2532F" w:rsidRPr="000C7146" w:rsidRDefault="00C2532F" w:rsidP="00246C0C">
            <w:pPr>
              <w:pStyle w:val="Default"/>
              <w:ind w:left="720"/>
              <w:rPr>
                <w:sz w:val="18"/>
                <w:szCs w:val="18"/>
              </w:rPr>
            </w:pPr>
            <w:r w:rsidRPr="000C7146">
              <w:rPr>
                <w:sz w:val="18"/>
                <w:szCs w:val="18"/>
              </w:rPr>
              <w:t xml:space="preserve">Baseline: </w:t>
            </w:r>
            <w:r w:rsidR="00AF4EC4" w:rsidRPr="000C7146">
              <w:rPr>
                <w:sz w:val="18"/>
                <w:szCs w:val="18"/>
              </w:rPr>
              <w:t>1</w:t>
            </w:r>
            <w:r w:rsidR="002C55DE" w:rsidRPr="000C7146">
              <w:rPr>
                <w:sz w:val="18"/>
                <w:szCs w:val="18"/>
              </w:rPr>
              <w:t>0</w:t>
            </w:r>
            <w:r w:rsidR="00AF4EC4" w:rsidRPr="000C7146">
              <w:rPr>
                <w:sz w:val="18"/>
                <w:szCs w:val="18"/>
              </w:rPr>
              <w:t>%</w:t>
            </w:r>
          </w:p>
          <w:p w14:paraId="71CB43C0" w14:textId="6C45FF71" w:rsidR="00C2532F" w:rsidRPr="000C7146" w:rsidRDefault="00C2532F" w:rsidP="00246C0C">
            <w:pPr>
              <w:pStyle w:val="Default"/>
              <w:ind w:left="720"/>
              <w:rPr>
                <w:sz w:val="18"/>
                <w:szCs w:val="18"/>
              </w:rPr>
            </w:pPr>
            <w:r w:rsidRPr="000C7146">
              <w:rPr>
                <w:sz w:val="18"/>
                <w:szCs w:val="18"/>
              </w:rPr>
              <w:t xml:space="preserve">Target: </w:t>
            </w:r>
            <w:r w:rsidR="00AF4EC4" w:rsidRPr="000C7146">
              <w:rPr>
                <w:sz w:val="18"/>
                <w:szCs w:val="18"/>
              </w:rPr>
              <w:t>5</w:t>
            </w:r>
            <w:r w:rsidR="002C55DE" w:rsidRPr="000C7146">
              <w:rPr>
                <w:sz w:val="18"/>
                <w:szCs w:val="18"/>
              </w:rPr>
              <w:t>0</w:t>
            </w:r>
            <w:r w:rsidRPr="000C7146">
              <w:rPr>
                <w:sz w:val="18"/>
                <w:szCs w:val="18"/>
              </w:rPr>
              <w:t xml:space="preserve">% </w:t>
            </w:r>
            <w:r w:rsidR="002C55DE" w:rsidRPr="000C7146">
              <w:rPr>
                <w:sz w:val="18"/>
                <w:szCs w:val="18"/>
              </w:rPr>
              <w:t xml:space="preserve">boys and </w:t>
            </w:r>
            <w:r w:rsidR="00AF4EC4" w:rsidRPr="000C7146">
              <w:rPr>
                <w:sz w:val="18"/>
                <w:szCs w:val="18"/>
              </w:rPr>
              <w:t>5</w:t>
            </w:r>
            <w:r w:rsidR="002C55DE" w:rsidRPr="000C7146">
              <w:rPr>
                <w:sz w:val="18"/>
                <w:szCs w:val="18"/>
              </w:rPr>
              <w:t xml:space="preserve">0% girls at </w:t>
            </w:r>
            <w:r w:rsidRPr="000C7146">
              <w:rPr>
                <w:sz w:val="18"/>
                <w:szCs w:val="18"/>
              </w:rPr>
              <w:t xml:space="preserve">Youth Transformation and Rehabilitation Centre </w:t>
            </w:r>
          </w:p>
          <w:p w14:paraId="1DF317B6" w14:textId="77777777" w:rsidR="00C2532F" w:rsidRPr="000C7146" w:rsidRDefault="00C2532F" w:rsidP="00246C0C">
            <w:pPr>
              <w:pStyle w:val="Default"/>
              <w:ind w:left="720"/>
              <w:rPr>
                <w:sz w:val="18"/>
                <w:szCs w:val="18"/>
              </w:rPr>
            </w:pPr>
            <w:r w:rsidRPr="000C7146">
              <w:rPr>
                <w:sz w:val="18"/>
                <w:szCs w:val="18"/>
              </w:rPr>
              <w:t>Source: Prisons, annual</w:t>
            </w:r>
          </w:p>
          <w:p w14:paraId="11E15771" w14:textId="77777777" w:rsidR="00C2532F" w:rsidRPr="000C7146" w:rsidRDefault="00C2532F" w:rsidP="00246C0C">
            <w:pPr>
              <w:pStyle w:val="Default"/>
              <w:rPr>
                <w:b/>
                <w:bCs/>
                <w:color w:val="auto"/>
                <w:sz w:val="18"/>
                <w:szCs w:val="18"/>
              </w:rPr>
            </w:pPr>
          </w:p>
          <w:p w14:paraId="0CE457FB" w14:textId="52F0D111" w:rsidR="00C2532F" w:rsidRPr="000C7146" w:rsidRDefault="00C2532F" w:rsidP="00246C0C">
            <w:pPr>
              <w:rPr>
                <w:sz w:val="18"/>
                <w:szCs w:val="18"/>
              </w:rPr>
            </w:pPr>
            <w:r w:rsidRPr="000C7146">
              <w:rPr>
                <w:sz w:val="18"/>
                <w:szCs w:val="18"/>
              </w:rPr>
              <w:t xml:space="preserve">I.4.3b: </w:t>
            </w:r>
            <w:r w:rsidR="003A470C" w:rsidRPr="000C7146">
              <w:rPr>
                <w:sz w:val="18"/>
                <w:szCs w:val="18"/>
              </w:rPr>
              <w:t xml:space="preserve">Percentage </w:t>
            </w:r>
            <w:r w:rsidRPr="000C7146">
              <w:rPr>
                <w:sz w:val="18"/>
                <w:szCs w:val="18"/>
              </w:rPr>
              <w:t xml:space="preserve">of prison staff trained in best management practices and/or restorative justice. </w:t>
            </w:r>
            <w:r w:rsidRPr="000C7146">
              <w:rPr>
                <w:color w:val="000000"/>
                <w:sz w:val="18"/>
                <w:szCs w:val="18"/>
              </w:rPr>
              <w:t>Data disaggregated by gender.</w:t>
            </w:r>
          </w:p>
          <w:p w14:paraId="2F0FE810" w14:textId="38100585" w:rsidR="00C2532F" w:rsidRPr="000C7146" w:rsidRDefault="00C2532F" w:rsidP="00246C0C">
            <w:pPr>
              <w:pStyle w:val="Default"/>
              <w:ind w:left="720"/>
              <w:rPr>
                <w:sz w:val="18"/>
                <w:szCs w:val="18"/>
              </w:rPr>
            </w:pPr>
            <w:r w:rsidRPr="000C7146">
              <w:rPr>
                <w:sz w:val="18"/>
                <w:szCs w:val="18"/>
              </w:rPr>
              <w:t xml:space="preserve">Baseline: </w:t>
            </w:r>
            <w:r w:rsidR="00AF4EC4" w:rsidRPr="000C7146">
              <w:rPr>
                <w:sz w:val="18"/>
                <w:szCs w:val="18"/>
              </w:rPr>
              <w:t>10</w:t>
            </w:r>
          </w:p>
          <w:p w14:paraId="10468A47" w14:textId="77777777" w:rsidR="00C2532F" w:rsidRPr="000C7146" w:rsidRDefault="00C2532F" w:rsidP="00246C0C">
            <w:pPr>
              <w:pStyle w:val="Default"/>
              <w:ind w:left="720"/>
              <w:rPr>
                <w:sz w:val="18"/>
                <w:szCs w:val="18"/>
              </w:rPr>
            </w:pPr>
            <w:r w:rsidRPr="000C7146">
              <w:rPr>
                <w:sz w:val="18"/>
                <w:szCs w:val="18"/>
              </w:rPr>
              <w:t>Target: 70% (total and by gender)</w:t>
            </w:r>
          </w:p>
          <w:p w14:paraId="5121E262" w14:textId="77777777" w:rsidR="00C2532F" w:rsidRPr="000C7146" w:rsidRDefault="00C2532F" w:rsidP="00246C0C">
            <w:pPr>
              <w:pStyle w:val="Default"/>
              <w:ind w:left="720"/>
              <w:rPr>
                <w:sz w:val="18"/>
                <w:szCs w:val="18"/>
              </w:rPr>
            </w:pPr>
            <w:r w:rsidRPr="000C7146">
              <w:rPr>
                <w:sz w:val="18"/>
                <w:szCs w:val="18"/>
              </w:rPr>
              <w:t>Source, frequency: Ministry of National Security, annual</w:t>
            </w:r>
          </w:p>
          <w:p w14:paraId="639EEA5F" w14:textId="77777777" w:rsidR="0009687E" w:rsidRPr="000C7146" w:rsidRDefault="0009687E" w:rsidP="0009687E">
            <w:pPr>
              <w:pStyle w:val="Default"/>
              <w:rPr>
                <w:b/>
                <w:bCs/>
                <w:color w:val="auto"/>
                <w:sz w:val="18"/>
                <w:szCs w:val="18"/>
              </w:rPr>
            </w:pPr>
          </w:p>
          <w:p w14:paraId="22CD8B39" w14:textId="54657D7F" w:rsidR="0009687E" w:rsidRPr="000C7146" w:rsidRDefault="0009687E" w:rsidP="0009687E">
            <w:pPr>
              <w:pStyle w:val="Default"/>
              <w:rPr>
                <w:b/>
                <w:bCs/>
                <w:color w:val="auto"/>
                <w:sz w:val="18"/>
                <w:szCs w:val="18"/>
              </w:rPr>
            </w:pPr>
            <w:r w:rsidRPr="000C7146">
              <w:rPr>
                <w:b/>
                <w:bCs/>
                <w:color w:val="auto"/>
                <w:sz w:val="18"/>
                <w:szCs w:val="18"/>
              </w:rPr>
              <w:t>4.4. Youth well</w:t>
            </w:r>
            <w:r w:rsidR="004637A9">
              <w:rPr>
                <w:b/>
                <w:bCs/>
                <w:color w:val="auto"/>
                <w:sz w:val="18"/>
                <w:szCs w:val="18"/>
              </w:rPr>
              <w:t>-being</w:t>
            </w:r>
            <w:r w:rsidRPr="000C7146">
              <w:rPr>
                <w:b/>
                <w:bCs/>
                <w:color w:val="auto"/>
                <w:sz w:val="18"/>
                <w:szCs w:val="18"/>
              </w:rPr>
              <w:t xml:space="preserve"> and opportunities are enhanced</w:t>
            </w:r>
          </w:p>
          <w:p w14:paraId="4262D130" w14:textId="77777777" w:rsidR="0009687E" w:rsidRPr="000C7146" w:rsidRDefault="0009687E" w:rsidP="0009687E">
            <w:pPr>
              <w:pStyle w:val="Default"/>
              <w:rPr>
                <w:b/>
                <w:bCs/>
                <w:sz w:val="18"/>
                <w:szCs w:val="18"/>
              </w:rPr>
            </w:pPr>
          </w:p>
          <w:p w14:paraId="64000337" w14:textId="41C54DD4" w:rsidR="0009687E" w:rsidRPr="000C7146" w:rsidRDefault="0009687E" w:rsidP="0009687E">
            <w:pPr>
              <w:pStyle w:val="Default"/>
              <w:rPr>
                <w:sz w:val="18"/>
                <w:szCs w:val="18"/>
              </w:rPr>
            </w:pPr>
            <w:r w:rsidRPr="000C7146">
              <w:rPr>
                <w:sz w:val="18"/>
                <w:szCs w:val="18"/>
              </w:rPr>
              <w:t>I.4.4: Number of practitioners in capacity</w:t>
            </w:r>
            <w:r w:rsidR="00EA4566">
              <w:rPr>
                <w:sz w:val="18"/>
                <w:szCs w:val="18"/>
              </w:rPr>
              <w:t>-</w:t>
            </w:r>
            <w:r w:rsidRPr="000C7146">
              <w:rPr>
                <w:sz w:val="18"/>
                <w:szCs w:val="18"/>
              </w:rPr>
              <w:t>building activities, disaggregated by gender and other marginalized groups.</w:t>
            </w:r>
          </w:p>
          <w:p w14:paraId="6F883A95" w14:textId="59B08E97" w:rsidR="0009687E" w:rsidRPr="000C7146" w:rsidRDefault="0009687E" w:rsidP="0009687E">
            <w:pPr>
              <w:pStyle w:val="Default"/>
              <w:ind w:left="720"/>
              <w:rPr>
                <w:sz w:val="18"/>
                <w:szCs w:val="18"/>
              </w:rPr>
            </w:pPr>
            <w:r w:rsidRPr="000C7146">
              <w:rPr>
                <w:sz w:val="18"/>
                <w:szCs w:val="18"/>
              </w:rPr>
              <w:t xml:space="preserve">Baseline: </w:t>
            </w:r>
            <w:r w:rsidR="001C5C79" w:rsidRPr="000C7146">
              <w:rPr>
                <w:sz w:val="18"/>
                <w:szCs w:val="18"/>
              </w:rPr>
              <w:t>10</w:t>
            </w:r>
          </w:p>
          <w:p w14:paraId="583C4BA8" w14:textId="729F02B2" w:rsidR="0009687E" w:rsidRPr="000C7146" w:rsidRDefault="0009687E" w:rsidP="0009687E">
            <w:pPr>
              <w:pStyle w:val="Default"/>
              <w:ind w:left="720"/>
              <w:rPr>
                <w:sz w:val="18"/>
                <w:szCs w:val="18"/>
              </w:rPr>
            </w:pPr>
            <w:r w:rsidRPr="000C7146">
              <w:rPr>
                <w:sz w:val="18"/>
                <w:szCs w:val="18"/>
              </w:rPr>
              <w:t xml:space="preserve">Target: </w:t>
            </w:r>
            <w:r w:rsidR="001C5C79" w:rsidRPr="000C7146">
              <w:rPr>
                <w:sz w:val="18"/>
                <w:szCs w:val="18"/>
              </w:rPr>
              <w:t>30</w:t>
            </w:r>
          </w:p>
          <w:p w14:paraId="7D337ECF" w14:textId="6005B880" w:rsidR="00A655DF" w:rsidRPr="000C7146" w:rsidRDefault="0009687E" w:rsidP="002B2CAE">
            <w:pPr>
              <w:pStyle w:val="Default"/>
              <w:ind w:left="720"/>
              <w:rPr>
                <w:sz w:val="18"/>
                <w:szCs w:val="18"/>
              </w:rPr>
            </w:pPr>
            <w:r w:rsidRPr="000C7146">
              <w:rPr>
                <w:sz w:val="18"/>
                <w:szCs w:val="18"/>
              </w:rPr>
              <w:t xml:space="preserve">Source: Prison Authority, </w:t>
            </w:r>
            <w:r w:rsidR="00C56D7A">
              <w:rPr>
                <w:sz w:val="18"/>
                <w:szCs w:val="18"/>
              </w:rPr>
              <w:t>p</w:t>
            </w:r>
            <w:r w:rsidRPr="000C7146">
              <w:rPr>
                <w:sz w:val="18"/>
                <w:szCs w:val="18"/>
              </w:rPr>
              <w:t>olice</w:t>
            </w:r>
            <w:r w:rsidR="00830AC3">
              <w:rPr>
                <w:sz w:val="18"/>
                <w:szCs w:val="18"/>
              </w:rPr>
              <w:t>,</w:t>
            </w:r>
            <w:r w:rsidRPr="000C7146">
              <w:rPr>
                <w:sz w:val="18"/>
                <w:szCs w:val="18"/>
              </w:rPr>
              <w:t xml:space="preserve"> Ministry of Youth Development and National Service</w:t>
            </w:r>
            <w:r w:rsidR="001C5C79" w:rsidRPr="000C7146">
              <w:rPr>
                <w:sz w:val="18"/>
                <w:szCs w:val="18"/>
              </w:rPr>
              <w:t>, annual</w:t>
            </w:r>
          </w:p>
        </w:tc>
        <w:tc>
          <w:tcPr>
            <w:tcW w:w="980" w:type="pct"/>
            <w:vMerge w:val="restart"/>
          </w:tcPr>
          <w:p w14:paraId="3B94D42B" w14:textId="27E28AF0" w:rsidR="00C2532F" w:rsidRPr="000C7146" w:rsidRDefault="00C2532F" w:rsidP="00246C0C">
            <w:pPr>
              <w:rPr>
                <w:sz w:val="18"/>
                <w:szCs w:val="18"/>
              </w:rPr>
            </w:pPr>
            <w:r w:rsidRPr="000C7146">
              <w:rPr>
                <w:sz w:val="18"/>
                <w:szCs w:val="18"/>
              </w:rPr>
              <w:lastRenderedPageBreak/>
              <w:t xml:space="preserve">Government </w:t>
            </w:r>
            <w:r w:rsidR="006A78A7">
              <w:rPr>
                <w:sz w:val="18"/>
                <w:szCs w:val="18"/>
              </w:rPr>
              <w:t>a</w:t>
            </w:r>
            <w:r w:rsidRPr="000C7146">
              <w:rPr>
                <w:sz w:val="18"/>
                <w:szCs w:val="18"/>
              </w:rPr>
              <w:t>gencies</w:t>
            </w:r>
          </w:p>
          <w:p w14:paraId="579C50F5" w14:textId="4826B774" w:rsidR="00C2532F" w:rsidRPr="000C7146" w:rsidRDefault="00C2532F" w:rsidP="008202BB">
            <w:pPr>
              <w:pStyle w:val="ListParagraph"/>
              <w:numPr>
                <w:ilvl w:val="0"/>
                <w:numId w:val="6"/>
              </w:numPr>
              <w:contextualSpacing/>
              <w:rPr>
                <w:sz w:val="18"/>
                <w:szCs w:val="18"/>
              </w:rPr>
            </w:pPr>
            <w:r w:rsidRPr="000C7146">
              <w:rPr>
                <w:sz w:val="18"/>
                <w:szCs w:val="18"/>
              </w:rPr>
              <w:t xml:space="preserve">Office of </w:t>
            </w:r>
            <w:r w:rsidR="006A78A7">
              <w:rPr>
                <w:sz w:val="18"/>
                <w:szCs w:val="18"/>
              </w:rPr>
              <w:t xml:space="preserve">the </w:t>
            </w:r>
            <w:r w:rsidRPr="000C7146">
              <w:rPr>
                <w:sz w:val="18"/>
                <w:szCs w:val="18"/>
              </w:rPr>
              <w:t>Prime Minister Gender and Child Affairs</w:t>
            </w:r>
          </w:p>
          <w:p w14:paraId="22DAB0F4" w14:textId="77777777" w:rsidR="00C2532F" w:rsidRPr="000C7146" w:rsidRDefault="00C2532F" w:rsidP="008202BB">
            <w:pPr>
              <w:pStyle w:val="ListParagraph"/>
              <w:numPr>
                <w:ilvl w:val="0"/>
                <w:numId w:val="6"/>
              </w:numPr>
              <w:contextualSpacing/>
              <w:rPr>
                <w:sz w:val="18"/>
                <w:szCs w:val="18"/>
              </w:rPr>
            </w:pPr>
            <w:r w:rsidRPr="000C7146">
              <w:rPr>
                <w:sz w:val="18"/>
                <w:szCs w:val="18"/>
              </w:rPr>
              <w:t>Ministry of National Security</w:t>
            </w:r>
          </w:p>
          <w:p w14:paraId="3AC35456" w14:textId="77777777" w:rsidR="00C2532F" w:rsidRPr="000C7146" w:rsidRDefault="00C2532F" w:rsidP="008202BB">
            <w:pPr>
              <w:pStyle w:val="ListParagraph"/>
              <w:numPr>
                <w:ilvl w:val="0"/>
                <w:numId w:val="6"/>
              </w:numPr>
              <w:contextualSpacing/>
              <w:rPr>
                <w:sz w:val="18"/>
                <w:szCs w:val="18"/>
              </w:rPr>
            </w:pPr>
            <w:r w:rsidRPr="000C7146">
              <w:rPr>
                <w:sz w:val="18"/>
                <w:szCs w:val="18"/>
              </w:rPr>
              <w:t xml:space="preserve">Trinidad and Tobago Police Service </w:t>
            </w:r>
          </w:p>
          <w:p w14:paraId="72873CF5" w14:textId="77777777" w:rsidR="00C2532F" w:rsidRPr="000C7146" w:rsidRDefault="00C2532F" w:rsidP="008202BB">
            <w:pPr>
              <w:pStyle w:val="ListParagraph"/>
              <w:numPr>
                <w:ilvl w:val="0"/>
                <w:numId w:val="6"/>
              </w:numPr>
              <w:contextualSpacing/>
              <w:rPr>
                <w:sz w:val="18"/>
                <w:szCs w:val="18"/>
              </w:rPr>
            </w:pPr>
            <w:r w:rsidRPr="000C7146">
              <w:rPr>
                <w:sz w:val="18"/>
                <w:szCs w:val="18"/>
              </w:rPr>
              <w:t>The Judiciary</w:t>
            </w:r>
          </w:p>
          <w:p w14:paraId="493A7B6A" w14:textId="11E2F872" w:rsidR="00C2532F" w:rsidRPr="000C7146" w:rsidRDefault="001B197C" w:rsidP="008202BB">
            <w:pPr>
              <w:pStyle w:val="ListParagraph"/>
              <w:numPr>
                <w:ilvl w:val="0"/>
                <w:numId w:val="6"/>
              </w:numPr>
              <w:contextualSpacing/>
              <w:rPr>
                <w:sz w:val="18"/>
                <w:szCs w:val="18"/>
              </w:rPr>
            </w:pPr>
            <w:r w:rsidRPr="000C7146">
              <w:rPr>
                <w:sz w:val="18"/>
                <w:szCs w:val="18"/>
              </w:rPr>
              <w:t xml:space="preserve">Ministry </w:t>
            </w:r>
            <w:r w:rsidR="00C2532F" w:rsidRPr="000C7146">
              <w:rPr>
                <w:sz w:val="18"/>
                <w:szCs w:val="18"/>
              </w:rPr>
              <w:t>of the Attorney General</w:t>
            </w:r>
            <w:r w:rsidR="00146BFB" w:rsidRPr="000C7146">
              <w:rPr>
                <w:sz w:val="18"/>
                <w:szCs w:val="18"/>
              </w:rPr>
              <w:t xml:space="preserve"> and Legal Affairs</w:t>
            </w:r>
          </w:p>
          <w:p w14:paraId="28968DBB" w14:textId="77777777" w:rsidR="00C2532F" w:rsidRPr="000C7146" w:rsidRDefault="00C2532F" w:rsidP="008202BB">
            <w:pPr>
              <w:pStyle w:val="ListParagraph"/>
              <w:numPr>
                <w:ilvl w:val="0"/>
                <w:numId w:val="6"/>
              </w:numPr>
              <w:contextualSpacing/>
              <w:rPr>
                <w:sz w:val="18"/>
                <w:szCs w:val="18"/>
              </w:rPr>
            </w:pPr>
            <w:r w:rsidRPr="000C7146">
              <w:rPr>
                <w:sz w:val="18"/>
                <w:szCs w:val="18"/>
              </w:rPr>
              <w:t>National and regional courts</w:t>
            </w:r>
          </w:p>
          <w:p w14:paraId="32C80870" w14:textId="77777777" w:rsidR="00C2532F" w:rsidRPr="000C7146" w:rsidRDefault="00C2532F" w:rsidP="008202BB">
            <w:pPr>
              <w:pStyle w:val="ListParagraph"/>
              <w:numPr>
                <w:ilvl w:val="0"/>
                <w:numId w:val="6"/>
              </w:numPr>
              <w:contextualSpacing/>
              <w:rPr>
                <w:sz w:val="18"/>
                <w:szCs w:val="18"/>
              </w:rPr>
            </w:pPr>
            <w:r w:rsidRPr="000C7146">
              <w:rPr>
                <w:sz w:val="18"/>
                <w:szCs w:val="18"/>
              </w:rPr>
              <w:t>Prisons</w:t>
            </w:r>
          </w:p>
          <w:p w14:paraId="3EF891CC" w14:textId="77777777" w:rsidR="00C2532F" w:rsidRPr="000C7146" w:rsidRDefault="00C2532F" w:rsidP="00246C0C">
            <w:pPr>
              <w:rPr>
                <w:sz w:val="18"/>
                <w:szCs w:val="18"/>
              </w:rPr>
            </w:pPr>
          </w:p>
          <w:p w14:paraId="60FE022B" w14:textId="35D553D7" w:rsidR="00C2532F" w:rsidRPr="000C7146" w:rsidRDefault="00C2532F" w:rsidP="00246C0C">
            <w:pPr>
              <w:rPr>
                <w:sz w:val="18"/>
                <w:szCs w:val="18"/>
              </w:rPr>
            </w:pPr>
            <w:r w:rsidRPr="000C7146">
              <w:rPr>
                <w:sz w:val="18"/>
                <w:szCs w:val="18"/>
              </w:rPr>
              <w:t xml:space="preserve">Global and </w:t>
            </w:r>
            <w:r w:rsidR="006A78A7" w:rsidRPr="000C7146">
              <w:rPr>
                <w:sz w:val="18"/>
                <w:szCs w:val="18"/>
              </w:rPr>
              <w:t>bilateral o</w:t>
            </w:r>
            <w:r w:rsidRPr="000C7146">
              <w:rPr>
                <w:sz w:val="18"/>
                <w:szCs w:val="18"/>
              </w:rPr>
              <w:t>rganizations</w:t>
            </w:r>
          </w:p>
          <w:p w14:paraId="0BA61B45" w14:textId="77777777" w:rsidR="00C2532F" w:rsidRPr="000C7146" w:rsidRDefault="00C2532F" w:rsidP="008202BB">
            <w:pPr>
              <w:pStyle w:val="ListParagraph"/>
              <w:numPr>
                <w:ilvl w:val="0"/>
                <w:numId w:val="6"/>
              </w:numPr>
              <w:contextualSpacing/>
              <w:rPr>
                <w:sz w:val="18"/>
                <w:szCs w:val="18"/>
              </w:rPr>
            </w:pPr>
            <w:r w:rsidRPr="000C7146">
              <w:rPr>
                <w:sz w:val="18"/>
                <w:szCs w:val="18"/>
              </w:rPr>
              <w:t>European Union</w:t>
            </w:r>
          </w:p>
          <w:p w14:paraId="7E70CBE7" w14:textId="0B859726" w:rsidR="00C2532F" w:rsidRPr="000C7146" w:rsidRDefault="00C2532F" w:rsidP="008202BB">
            <w:pPr>
              <w:pStyle w:val="ListParagraph"/>
              <w:numPr>
                <w:ilvl w:val="0"/>
                <w:numId w:val="6"/>
              </w:numPr>
              <w:contextualSpacing/>
              <w:rPr>
                <w:sz w:val="18"/>
                <w:szCs w:val="18"/>
              </w:rPr>
            </w:pPr>
            <w:r w:rsidRPr="000C7146">
              <w:rPr>
                <w:sz w:val="18"/>
                <w:szCs w:val="18"/>
              </w:rPr>
              <w:lastRenderedPageBreak/>
              <w:t xml:space="preserve">United States </w:t>
            </w:r>
            <w:r w:rsidR="00C56D7A">
              <w:rPr>
                <w:sz w:val="18"/>
                <w:szCs w:val="18"/>
              </w:rPr>
              <w:t>Embassy</w:t>
            </w:r>
          </w:p>
          <w:p w14:paraId="0CB0B1EA" w14:textId="61D568D2" w:rsidR="00C2532F" w:rsidRPr="000C7146" w:rsidRDefault="00C2532F" w:rsidP="008202BB">
            <w:pPr>
              <w:pStyle w:val="ListParagraph"/>
              <w:numPr>
                <w:ilvl w:val="0"/>
                <w:numId w:val="6"/>
              </w:numPr>
              <w:contextualSpacing/>
              <w:rPr>
                <w:sz w:val="18"/>
                <w:szCs w:val="18"/>
              </w:rPr>
            </w:pPr>
            <w:r w:rsidRPr="000C7146">
              <w:rPr>
                <w:sz w:val="18"/>
                <w:szCs w:val="18"/>
              </w:rPr>
              <w:t>United Kingdom</w:t>
            </w:r>
            <w:r w:rsidR="00830AC3">
              <w:rPr>
                <w:sz w:val="18"/>
                <w:szCs w:val="18"/>
              </w:rPr>
              <w:t xml:space="preserve"> High Commission </w:t>
            </w:r>
          </w:p>
          <w:p w14:paraId="0A83B906" w14:textId="77777777" w:rsidR="00C2532F" w:rsidRPr="000C7146" w:rsidRDefault="00C2532F" w:rsidP="00246C0C">
            <w:pPr>
              <w:rPr>
                <w:sz w:val="18"/>
                <w:szCs w:val="18"/>
              </w:rPr>
            </w:pPr>
          </w:p>
          <w:p w14:paraId="7A5DDDCA" w14:textId="38F8EA7C" w:rsidR="00C2532F" w:rsidRPr="000C7146" w:rsidRDefault="00C2532F" w:rsidP="00246C0C">
            <w:pPr>
              <w:rPr>
                <w:sz w:val="18"/>
                <w:szCs w:val="18"/>
              </w:rPr>
            </w:pPr>
            <w:r w:rsidRPr="000C7146">
              <w:rPr>
                <w:sz w:val="18"/>
                <w:szCs w:val="18"/>
              </w:rPr>
              <w:t xml:space="preserve">United Nations </w:t>
            </w:r>
            <w:r w:rsidR="00EA4566">
              <w:rPr>
                <w:sz w:val="18"/>
                <w:szCs w:val="18"/>
              </w:rPr>
              <w:t>a</w:t>
            </w:r>
            <w:r w:rsidRPr="000C7146">
              <w:rPr>
                <w:sz w:val="18"/>
                <w:szCs w:val="18"/>
              </w:rPr>
              <w:t>gencies</w:t>
            </w:r>
          </w:p>
          <w:p w14:paraId="7E127A93" w14:textId="77777777" w:rsidR="00C2532F" w:rsidRPr="000C7146" w:rsidRDefault="00C2532F" w:rsidP="008202BB">
            <w:pPr>
              <w:pStyle w:val="ListParagraph"/>
              <w:numPr>
                <w:ilvl w:val="0"/>
                <w:numId w:val="7"/>
              </w:numPr>
              <w:contextualSpacing/>
              <w:rPr>
                <w:sz w:val="18"/>
                <w:szCs w:val="18"/>
              </w:rPr>
            </w:pPr>
            <w:r w:rsidRPr="000C7146">
              <w:rPr>
                <w:sz w:val="18"/>
                <w:szCs w:val="18"/>
              </w:rPr>
              <w:t>United Nations Regional Centre for Peace, Disarmament and Development in Latin America and the Caribbean</w:t>
            </w:r>
          </w:p>
          <w:p w14:paraId="68FC6E42" w14:textId="3E750F03" w:rsidR="00C2532F" w:rsidRPr="000C7146" w:rsidRDefault="00C2532F" w:rsidP="008202BB">
            <w:pPr>
              <w:pStyle w:val="ListParagraph"/>
              <w:numPr>
                <w:ilvl w:val="0"/>
                <w:numId w:val="7"/>
              </w:numPr>
              <w:contextualSpacing/>
              <w:rPr>
                <w:sz w:val="18"/>
                <w:szCs w:val="18"/>
              </w:rPr>
            </w:pPr>
            <w:r w:rsidRPr="000C7146">
              <w:rPr>
                <w:sz w:val="18"/>
                <w:szCs w:val="18"/>
              </w:rPr>
              <w:t>UN-Women</w:t>
            </w:r>
          </w:p>
          <w:p w14:paraId="1D9A6DE9" w14:textId="26864B27" w:rsidR="00C2532F" w:rsidRPr="000C7146" w:rsidRDefault="008415F6" w:rsidP="00DD58C3">
            <w:pPr>
              <w:pStyle w:val="ListParagraph"/>
              <w:numPr>
                <w:ilvl w:val="0"/>
                <w:numId w:val="7"/>
              </w:numPr>
              <w:contextualSpacing/>
              <w:rPr>
                <w:sz w:val="18"/>
                <w:szCs w:val="18"/>
              </w:rPr>
            </w:pPr>
            <w:r w:rsidRPr="000C7146">
              <w:rPr>
                <w:sz w:val="18"/>
                <w:szCs w:val="18"/>
              </w:rPr>
              <w:t>UN</w:t>
            </w:r>
            <w:r w:rsidR="00821038" w:rsidRPr="000C7146">
              <w:rPr>
                <w:sz w:val="18"/>
                <w:szCs w:val="18"/>
              </w:rPr>
              <w:t>FPA</w:t>
            </w:r>
          </w:p>
        </w:tc>
        <w:tc>
          <w:tcPr>
            <w:tcW w:w="691" w:type="pct"/>
            <w:gridSpan w:val="3"/>
            <w:tcMar>
              <w:top w:w="15" w:type="dxa"/>
              <w:left w:w="108" w:type="dxa"/>
              <w:bottom w:w="0" w:type="dxa"/>
              <w:right w:w="108" w:type="dxa"/>
            </w:tcMar>
          </w:tcPr>
          <w:p w14:paraId="48773985" w14:textId="7ACCC0B3" w:rsidR="00C2532F" w:rsidRPr="000C7146" w:rsidRDefault="00C2532F" w:rsidP="00246C0C">
            <w:pPr>
              <w:rPr>
                <w:b/>
                <w:color w:val="000000"/>
                <w:sz w:val="18"/>
                <w:szCs w:val="18"/>
              </w:rPr>
            </w:pPr>
            <w:r w:rsidRPr="000C7146">
              <w:rPr>
                <w:b/>
                <w:color w:val="000000"/>
                <w:sz w:val="18"/>
                <w:szCs w:val="18"/>
              </w:rPr>
              <w:lastRenderedPageBreak/>
              <w:t xml:space="preserve">Regular </w:t>
            </w:r>
            <w:r w:rsidR="00EA4566">
              <w:rPr>
                <w:b/>
                <w:color w:val="000000"/>
                <w:sz w:val="18"/>
                <w:szCs w:val="18"/>
              </w:rPr>
              <w:t>$</w:t>
            </w:r>
            <w:r w:rsidR="005F5A0C" w:rsidRPr="000C7146">
              <w:rPr>
                <w:b/>
                <w:color w:val="000000"/>
                <w:sz w:val="18"/>
                <w:szCs w:val="18"/>
              </w:rPr>
              <w:t>138,000</w:t>
            </w:r>
          </w:p>
        </w:tc>
      </w:tr>
      <w:tr w:rsidR="00C2532F" w:rsidRPr="0013165A" w14:paraId="26AE41B0" w14:textId="77777777" w:rsidTr="000C7146">
        <w:trPr>
          <w:trHeight w:val="461"/>
        </w:trPr>
        <w:tc>
          <w:tcPr>
            <w:tcW w:w="1084" w:type="pct"/>
            <w:vMerge/>
            <w:tcMar>
              <w:top w:w="72" w:type="dxa"/>
              <w:left w:w="144" w:type="dxa"/>
              <w:bottom w:w="72" w:type="dxa"/>
              <w:right w:w="144" w:type="dxa"/>
            </w:tcMar>
          </w:tcPr>
          <w:p w14:paraId="430EF3B7" w14:textId="77777777" w:rsidR="00C2532F" w:rsidRPr="000C7146" w:rsidRDefault="00C2532F" w:rsidP="00246C0C">
            <w:pPr>
              <w:rPr>
                <w:color w:val="000000"/>
                <w:sz w:val="18"/>
                <w:szCs w:val="18"/>
                <w:lang w:val="en-GB"/>
              </w:rPr>
            </w:pPr>
          </w:p>
        </w:tc>
        <w:tc>
          <w:tcPr>
            <w:tcW w:w="1165" w:type="pct"/>
            <w:gridSpan w:val="2"/>
            <w:vMerge/>
          </w:tcPr>
          <w:p w14:paraId="2FA88DB2" w14:textId="77777777" w:rsidR="00C2532F" w:rsidRPr="000C7146" w:rsidRDefault="00C2532F" w:rsidP="00246C0C">
            <w:pPr>
              <w:rPr>
                <w:color w:val="000000"/>
                <w:sz w:val="18"/>
                <w:szCs w:val="18"/>
                <w:lang w:val="en-GB"/>
              </w:rPr>
            </w:pPr>
          </w:p>
        </w:tc>
        <w:tc>
          <w:tcPr>
            <w:tcW w:w="1080" w:type="pct"/>
            <w:gridSpan w:val="2"/>
            <w:vMerge/>
            <w:tcMar>
              <w:top w:w="72" w:type="dxa"/>
              <w:left w:w="144" w:type="dxa"/>
              <w:bottom w:w="72" w:type="dxa"/>
              <w:right w:w="144" w:type="dxa"/>
            </w:tcMar>
          </w:tcPr>
          <w:p w14:paraId="7050B3D0" w14:textId="77777777" w:rsidR="00C2532F" w:rsidRPr="000C7146" w:rsidRDefault="00C2532F" w:rsidP="00246C0C">
            <w:pPr>
              <w:rPr>
                <w:color w:val="000000"/>
                <w:sz w:val="18"/>
                <w:szCs w:val="18"/>
                <w:lang w:val="en-GB"/>
              </w:rPr>
            </w:pPr>
          </w:p>
        </w:tc>
        <w:tc>
          <w:tcPr>
            <w:tcW w:w="980" w:type="pct"/>
            <w:vMerge/>
          </w:tcPr>
          <w:p w14:paraId="630F1DB5" w14:textId="77777777" w:rsidR="00C2532F" w:rsidRPr="000C7146" w:rsidRDefault="00C2532F" w:rsidP="00246C0C">
            <w:pPr>
              <w:rPr>
                <w:color w:val="000000"/>
                <w:sz w:val="18"/>
                <w:szCs w:val="18"/>
                <w:lang w:val="en-GB"/>
              </w:rPr>
            </w:pPr>
          </w:p>
        </w:tc>
        <w:tc>
          <w:tcPr>
            <w:tcW w:w="691" w:type="pct"/>
            <w:gridSpan w:val="3"/>
            <w:tcMar>
              <w:top w:w="15" w:type="dxa"/>
              <w:left w:w="108" w:type="dxa"/>
              <w:bottom w:w="0" w:type="dxa"/>
              <w:right w:w="108" w:type="dxa"/>
            </w:tcMar>
          </w:tcPr>
          <w:p w14:paraId="15F3025C" w14:textId="3A54407F" w:rsidR="000C7146" w:rsidRPr="000C7146" w:rsidRDefault="00C2532F" w:rsidP="000C7146">
            <w:pPr>
              <w:rPr>
                <w:b/>
                <w:color w:val="000000"/>
                <w:sz w:val="18"/>
                <w:szCs w:val="18"/>
              </w:rPr>
            </w:pPr>
            <w:r w:rsidRPr="000C7146">
              <w:rPr>
                <w:b/>
                <w:color w:val="000000"/>
                <w:sz w:val="18"/>
                <w:szCs w:val="18"/>
              </w:rPr>
              <w:t>Other $1,950,000</w:t>
            </w:r>
          </w:p>
        </w:tc>
      </w:tr>
    </w:tbl>
    <w:p w14:paraId="061AD49C" w14:textId="77777777" w:rsidR="00C2532F" w:rsidRPr="0013165A" w:rsidRDefault="00C2532F" w:rsidP="00C2532F"/>
    <w:p w14:paraId="551B3307" w14:textId="6567DA75" w:rsidR="00B8310D" w:rsidRPr="0013165A" w:rsidRDefault="00073198" w:rsidP="00073198">
      <w:pPr>
        <w:pStyle w:val="Heading4"/>
        <w:spacing w:after="120"/>
        <w:jc w:val="center"/>
      </w:pPr>
      <w:r>
        <w:rPr>
          <w:noProof/>
        </w:rPr>
        <w:drawing>
          <wp:inline distT="0" distB="0" distL="0" distR="0" wp14:anchorId="0C79A809" wp14:editId="655ABF40">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bookmarkEnd w:id="0"/>
    </w:p>
    <w:sectPr w:rsidR="00B8310D" w:rsidRPr="0013165A" w:rsidSect="00F64600">
      <w:headerReference w:type="even" r:id="rId20"/>
      <w:headerReference w:type="default" r:id="rId21"/>
      <w:footerReference w:type="even" r:id="rId22"/>
      <w:foot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6E97" w14:textId="77777777" w:rsidR="00255CBB" w:rsidRDefault="00255CBB" w:rsidP="00441061">
      <w:r>
        <w:separator/>
      </w:r>
    </w:p>
  </w:endnote>
  <w:endnote w:type="continuationSeparator" w:id="0">
    <w:p w14:paraId="390F590E" w14:textId="77777777" w:rsidR="00255CBB" w:rsidRDefault="00255CBB" w:rsidP="00441061">
      <w:r>
        <w:continuationSeparator/>
      </w:r>
    </w:p>
  </w:endnote>
  <w:endnote w:type="continuationNotice" w:id="1">
    <w:p w14:paraId="31DBAECB" w14:textId="77777777" w:rsidR="00255CBB" w:rsidRDefault="0025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11605"/>
      <w:docPartObj>
        <w:docPartGallery w:val="Page Numbers (Bottom of Page)"/>
        <w:docPartUnique/>
      </w:docPartObj>
    </w:sdtPr>
    <w:sdtEndPr>
      <w:rPr>
        <w:b/>
        <w:bCs/>
        <w:noProof/>
        <w:sz w:val="17"/>
        <w:szCs w:val="17"/>
      </w:rPr>
    </w:sdtEndPr>
    <w:sdtContent>
      <w:p w14:paraId="1B25A1F6" w14:textId="1B2AE0CF" w:rsidR="000870C1" w:rsidRPr="00C55D12" w:rsidRDefault="000870C1" w:rsidP="00C55D12">
        <w:pPr>
          <w:pStyle w:val="Footer"/>
          <w:ind w:firstLine="900"/>
          <w:rPr>
            <w:b/>
            <w:bCs/>
            <w:sz w:val="17"/>
            <w:szCs w:val="17"/>
          </w:rPr>
        </w:pPr>
        <w:r w:rsidRPr="00C55D12">
          <w:rPr>
            <w:b/>
            <w:bCs/>
            <w:sz w:val="17"/>
            <w:szCs w:val="17"/>
          </w:rPr>
          <w:fldChar w:fldCharType="begin"/>
        </w:r>
        <w:r w:rsidRPr="00C55D12">
          <w:rPr>
            <w:b/>
            <w:bCs/>
            <w:sz w:val="17"/>
            <w:szCs w:val="17"/>
          </w:rPr>
          <w:instrText xml:space="preserve"> PAGE   \* MERGEFORMAT </w:instrText>
        </w:r>
        <w:r w:rsidRPr="00C55D12">
          <w:rPr>
            <w:b/>
            <w:bCs/>
            <w:sz w:val="17"/>
            <w:szCs w:val="17"/>
          </w:rPr>
          <w:fldChar w:fldCharType="separate"/>
        </w:r>
        <w:r w:rsidRPr="00C55D12">
          <w:rPr>
            <w:b/>
            <w:bCs/>
            <w:noProof/>
            <w:sz w:val="17"/>
            <w:szCs w:val="17"/>
          </w:rPr>
          <w:t>2</w:t>
        </w:r>
        <w:r w:rsidRPr="00C55D12">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508197"/>
      <w:docPartObj>
        <w:docPartGallery w:val="Page Numbers (Bottom of Page)"/>
        <w:docPartUnique/>
      </w:docPartObj>
    </w:sdtPr>
    <w:sdtEndPr>
      <w:rPr>
        <w:b/>
        <w:bCs/>
        <w:noProof/>
        <w:sz w:val="17"/>
        <w:szCs w:val="17"/>
      </w:rPr>
    </w:sdtEndPr>
    <w:sdtContent>
      <w:p w14:paraId="1166AD14" w14:textId="60BF3431" w:rsidR="000870C1" w:rsidRPr="00C55D12" w:rsidRDefault="000870C1" w:rsidP="00C55D12">
        <w:pPr>
          <w:pStyle w:val="Footer"/>
          <w:ind w:right="630"/>
          <w:jc w:val="right"/>
          <w:rPr>
            <w:b/>
            <w:bCs/>
            <w:sz w:val="17"/>
            <w:szCs w:val="17"/>
          </w:rPr>
        </w:pPr>
        <w:r w:rsidRPr="00C55D12">
          <w:rPr>
            <w:b/>
            <w:bCs/>
            <w:sz w:val="17"/>
            <w:szCs w:val="17"/>
          </w:rPr>
          <w:fldChar w:fldCharType="begin"/>
        </w:r>
        <w:r w:rsidRPr="00C55D12">
          <w:rPr>
            <w:b/>
            <w:bCs/>
            <w:sz w:val="17"/>
            <w:szCs w:val="17"/>
          </w:rPr>
          <w:instrText xml:space="preserve"> PAGE   \* MERGEFORMAT </w:instrText>
        </w:r>
        <w:r w:rsidRPr="00C55D12">
          <w:rPr>
            <w:b/>
            <w:bCs/>
            <w:sz w:val="17"/>
            <w:szCs w:val="17"/>
          </w:rPr>
          <w:fldChar w:fldCharType="separate"/>
        </w:r>
        <w:r w:rsidRPr="00C55D12">
          <w:rPr>
            <w:b/>
            <w:bCs/>
            <w:noProof/>
            <w:sz w:val="17"/>
            <w:szCs w:val="17"/>
          </w:rPr>
          <w:t>2</w:t>
        </w:r>
        <w:r w:rsidRPr="00C55D12">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471264"/>
      <w:docPartObj>
        <w:docPartGallery w:val="Page Numbers (Bottom of Page)"/>
        <w:docPartUnique/>
      </w:docPartObj>
    </w:sdtPr>
    <w:sdtEndPr>
      <w:rPr>
        <w:b/>
        <w:bCs/>
        <w:noProof/>
        <w:sz w:val="17"/>
        <w:szCs w:val="17"/>
      </w:rPr>
    </w:sdtEndPr>
    <w:sdtContent>
      <w:p w14:paraId="78C25E0A" w14:textId="77777777" w:rsidR="000870C1" w:rsidRPr="00C55D12" w:rsidRDefault="000870C1" w:rsidP="00C55D12">
        <w:pPr>
          <w:pStyle w:val="Footer"/>
          <w:ind w:firstLine="90"/>
          <w:rPr>
            <w:b/>
            <w:bCs/>
            <w:sz w:val="17"/>
            <w:szCs w:val="17"/>
          </w:rPr>
        </w:pPr>
        <w:r w:rsidRPr="00C55D12">
          <w:rPr>
            <w:b/>
            <w:bCs/>
            <w:sz w:val="17"/>
            <w:szCs w:val="17"/>
          </w:rPr>
          <w:fldChar w:fldCharType="begin"/>
        </w:r>
        <w:r w:rsidRPr="00C55D12">
          <w:rPr>
            <w:b/>
            <w:bCs/>
            <w:sz w:val="17"/>
            <w:szCs w:val="17"/>
          </w:rPr>
          <w:instrText xml:space="preserve"> PAGE   \* MERGEFORMAT </w:instrText>
        </w:r>
        <w:r w:rsidRPr="00C55D12">
          <w:rPr>
            <w:b/>
            <w:bCs/>
            <w:sz w:val="17"/>
            <w:szCs w:val="17"/>
          </w:rPr>
          <w:fldChar w:fldCharType="separate"/>
        </w:r>
        <w:r w:rsidRPr="00C55D12">
          <w:rPr>
            <w:b/>
            <w:bCs/>
            <w:noProof/>
            <w:sz w:val="17"/>
            <w:szCs w:val="17"/>
          </w:rPr>
          <w:t>2</w:t>
        </w:r>
        <w:r w:rsidRPr="00C55D12">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64514"/>
      <w:docPartObj>
        <w:docPartGallery w:val="Page Numbers (Bottom of Page)"/>
        <w:docPartUnique/>
      </w:docPartObj>
    </w:sdtPr>
    <w:sdtEndPr>
      <w:rPr>
        <w:b/>
        <w:bCs/>
        <w:noProof/>
        <w:sz w:val="17"/>
        <w:szCs w:val="17"/>
      </w:rPr>
    </w:sdtEndPr>
    <w:sdtContent>
      <w:p w14:paraId="49FD15AC" w14:textId="77777777" w:rsidR="000870C1" w:rsidRPr="00C55D12" w:rsidRDefault="000870C1" w:rsidP="00C55D12">
        <w:pPr>
          <w:pStyle w:val="Footer"/>
          <w:ind w:right="36"/>
          <w:jc w:val="right"/>
          <w:rPr>
            <w:b/>
            <w:bCs/>
            <w:sz w:val="17"/>
            <w:szCs w:val="17"/>
          </w:rPr>
        </w:pPr>
        <w:r w:rsidRPr="00C55D12">
          <w:rPr>
            <w:b/>
            <w:bCs/>
            <w:sz w:val="17"/>
            <w:szCs w:val="17"/>
          </w:rPr>
          <w:fldChar w:fldCharType="begin"/>
        </w:r>
        <w:r w:rsidRPr="00C55D12">
          <w:rPr>
            <w:b/>
            <w:bCs/>
            <w:sz w:val="17"/>
            <w:szCs w:val="17"/>
          </w:rPr>
          <w:instrText xml:space="preserve"> PAGE   \* MERGEFORMAT </w:instrText>
        </w:r>
        <w:r w:rsidRPr="00C55D12">
          <w:rPr>
            <w:b/>
            <w:bCs/>
            <w:sz w:val="17"/>
            <w:szCs w:val="17"/>
          </w:rPr>
          <w:fldChar w:fldCharType="separate"/>
        </w:r>
        <w:r w:rsidRPr="00C55D12">
          <w:rPr>
            <w:b/>
            <w:bCs/>
            <w:noProof/>
            <w:sz w:val="17"/>
            <w:szCs w:val="17"/>
          </w:rPr>
          <w:t>2</w:t>
        </w:r>
        <w:r w:rsidRPr="00C55D12">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9234" w14:textId="77777777" w:rsidR="00255CBB" w:rsidRDefault="00255CBB" w:rsidP="00441061">
      <w:r>
        <w:separator/>
      </w:r>
    </w:p>
  </w:footnote>
  <w:footnote w:type="continuationSeparator" w:id="0">
    <w:p w14:paraId="1ACC3824" w14:textId="77777777" w:rsidR="00255CBB" w:rsidRDefault="00255CBB" w:rsidP="00441061">
      <w:r>
        <w:continuationSeparator/>
      </w:r>
    </w:p>
  </w:footnote>
  <w:footnote w:type="continuationNotice" w:id="1">
    <w:p w14:paraId="38DABEEA" w14:textId="77777777" w:rsidR="00255CBB" w:rsidRDefault="00255CBB"/>
  </w:footnote>
  <w:footnote w:id="2">
    <w:p w14:paraId="07FAA08D" w14:textId="5596FD4A" w:rsidR="000870C1" w:rsidRPr="008053D8" w:rsidRDefault="000870C1" w:rsidP="008053D8">
      <w:pPr>
        <w:pBdr>
          <w:top w:val="nil"/>
          <w:left w:val="nil"/>
          <w:bottom w:val="nil"/>
          <w:right w:val="nil"/>
          <w:between w:val="nil"/>
        </w:pBdr>
        <w:rPr>
          <w:rFonts w:eastAsia="Calibri"/>
          <w:color w:val="000000"/>
          <w:sz w:val="18"/>
          <w:szCs w:val="18"/>
        </w:rPr>
      </w:pPr>
      <w:r w:rsidRPr="002E49EA">
        <w:rPr>
          <w:rStyle w:val="FootnoteReference"/>
          <w:sz w:val="18"/>
          <w:szCs w:val="18"/>
        </w:rPr>
        <w:footnoteRef/>
      </w:r>
      <w:r w:rsidRPr="002E49EA">
        <w:rPr>
          <w:sz w:val="18"/>
          <w:szCs w:val="18"/>
        </w:rPr>
        <w:t xml:space="preserve"> </w:t>
      </w:r>
      <w:r w:rsidRPr="002E49EA">
        <w:rPr>
          <w:rFonts w:eastAsia="Calibri"/>
          <w:color w:val="000000"/>
          <w:sz w:val="18"/>
          <w:szCs w:val="18"/>
        </w:rPr>
        <w:t xml:space="preserve">The </w:t>
      </w:r>
      <w:r>
        <w:rPr>
          <w:rFonts w:eastAsia="Calibri"/>
          <w:color w:val="000000"/>
          <w:sz w:val="18"/>
          <w:szCs w:val="18"/>
        </w:rPr>
        <w:t>survey</w:t>
      </w:r>
      <w:r w:rsidRPr="002E49EA">
        <w:rPr>
          <w:rFonts w:eastAsia="Calibri"/>
          <w:color w:val="000000"/>
          <w:sz w:val="18"/>
          <w:szCs w:val="18"/>
        </w:rPr>
        <w:t xml:space="preserve"> was prepared due to the absence of a completed </w:t>
      </w:r>
      <w:r>
        <w:rPr>
          <w:rFonts w:eastAsia="Calibri"/>
          <w:color w:val="000000"/>
          <w:sz w:val="18"/>
          <w:szCs w:val="18"/>
        </w:rPr>
        <w:t>i</w:t>
      </w:r>
      <w:r w:rsidRPr="002E49EA">
        <w:rPr>
          <w:rFonts w:eastAsia="Calibri"/>
          <w:color w:val="000000"/>
          <w:sz w:val="18"/>
          <w:szCs w:val="18"/>
        </w:rPr>
        <w:t xml:space="preserve">ndependent </w:t>
      </w:r>
      <w:r>
        <w:rPr>
          <w:rFonts w:eastAsia="Calibri"/>
          <w:color w:val="000000"/>
          <w:sz w:val="18"/>
          <w:szCs w:val="18"/>
        </w:rPr>
        <w:t>c</w:t>
      </w:r>
      <w:r w:rsidRPr="002E49EA">
        <w:rPr>
          <w:rFonts w:eastAsia="Calibri"/>
          <w:color w:val="000000"/>
          <w:sz w:val="18"/>
          <w:szCs w:val="18"/>
        </w:rPr>
        <w:t xml:space="preserve">ountry </w:t>
      </w:r>
      <w:r>
        <w:rPr>
          <w:rFonts w:eastAsia="Calibri"/>
          <w:color w:val="000000"/>
          <w:sz w:val="18"/>
          <w:szCs w:val="18"/>
        </w:rPr>
        <w:t>p</w:t>
      </w:r>
      <w:r w:rsidRPr="002E49EA">
        <w:rPr>
          <w:rFonts w:eastAsia="Calibri"/>
          <w:color w:val="000000"/>
          <w:sz w:val="18"/>
          <w:szCs w:val="18"/>
        </w:rPr>
        <w:t xml:space="preserve">rogramme </w:t>
      </w:r>
      <w:r>
        <w:rPr>
          <w:rFonts w:eastAsia="Calibri"/>
          <w:color w:val="000000"/>
          <w:sz w:val="18"/>
          <w:szCs w:val="18"/>
        </w:rPr>
        <w:t>e</w:t>
      </w:r>
      <w:r w:rsidRPr="002E49EA">
        <w:rPr>
          <w:rFonts w:eastAsia="Calibri"/>
          <w:color w:val="000000"/>
          <w:sz w:val="18"/>
          <w:szCs w:val="18"/>
        </w:rPr>
        <w:t>valuation for the cycle.</w:t>
      </w:r>
    </w:p>
  </w:footnote>
  <w:footnote w:id="3">
    <w:p w14:paraId="02FE5654" w14:textId="13D882B4" w:rsidR="000870C1" w:rsidRPr="00C54299" w:rsidRDefault="000870C1">
      <w:pPr>
        <w:pStyle w:val="FootnoteText"/>
        <w:rPr>
          <w:rFonts w:ascii="Times New Roman" w:eastAsia="Calibri" w:hAnsi="Times New Roman"/>
          <w:color w:val="000000"/>
          <w:sz w:val="18"/>
          <w:szCs w:val="18"/>
        </w:rPr>
      </w:pPr>
      <w:r w:rsidRPr="000F3870">
        <w:rPr>
          <w:rStyle w:val="FootnoteReference"/>
          <w:rFonts w:ascii="Times New Roman" w:hAnsi="Times New Roman"/>
          <w:sz w:val="14"/>
          <w:szCs w:val="14"/>
        </w:rPr>
        <w:footnoteRef/>
      </w:r>
      <w:r w:rsidRPr="000F3870">
        <w:rPr>
          <w:rFonts w:ascii="Times New Roman" w:hAnsi="Times New Roman"/>
          <w:sz w:val="14"/>
          <w:szCs w:val="14"/>
        </w:rPr>
        <w:t xml:space="preserve"> </w:t>
      </w:r>
      <w:r w:rsidRPr="000F3870">
        <w:rPr>
          <w:rFonts w:ascii="Times New Roman" w:eastAsia="Calibri" w:hAnsi="Times New Roman"/>
          <w:color w:val="000000"/>
          <w:sz w:val="14"/>
          <w:szCs w:val="14"/>
        </w:rPr>
        <w:t>All references are Trinidad and Tobago unless otherwise indicated</w:t>
      </w:r>
      <w:r w:rsidRPr="00C54299">
        <w:rPr>
          <w:rFonts w:ascii="Times New Roman" w:eastAsia="Calibri" w:hAnsi="Times New Roman"/>
          <w:color w:val="000000"/>
          <w:sz w:val="18"/>
          <w:szCs w:val="18"/>
        </w:rPr>
        <w:t>.</w:t>
      </w:r>
    </w:p>
  </w:footnote>
  <w:footnote w:id="4">
    <w:p w14:paraId="173BE31F" w14:textId="6DDEEE5F" w:rsidR="00693BEF" w:rsidRPr="00693BEF" w:rsidRDefault="00693BEF">
      <w:pPr>
        <w:pStyle w:val="FootnoteText"/>
        <w:rPr>
          <w:rFonts w:ascii="Times New Roman" w:hAnsi="Times New Roman"/>
          <w:sz w:val="14"/>
          <w:szCs w:val="14"/>
        </w:rPr>
      </w:pPr>
      <w:r w:rsidRPr="00693BEF">
        <w:rPr>
          <w:rStyle w:val="FootnoteReference"/>
          <w:rFonts w:ascii="Times New Roman" w:hAnsi="Times New Roman"/>
          <w:sz w:val="14"/>
          <w:szCs w:val="14"/>
        </w:rPr>
        <w:footnoteRef/>
      </w:r>
      <w:r w:rsidRPr="00693BEF">
        <w:rPr>
          <w:rFonts w:ascii="Times New Roman" w:hAnsi="Times New Roman"/>
          <w:sz w:val="14"/>
          <w:szCs w:val="14"/>
        </w:rPr>
        <w:t xml:space="preserve"> UNDP integrated results and resources framework.</w:t>
      </w:r>
    </w:p>
  </w:footnote>
  <w:footnote w:id="5">
    <w:p w14:paraId="2336B6E5" w14:textId="47832F1C" w:rsidR="000870C1" w:rsidRDefault="000870C1">
      <w:pPr>
        <w:pStyle w:val="FootnoteText"/>
      </w:pPr>
      <w:r>
        <w:rPr>
          <w:rStyle w:val="FootnoteReference"/>
        </w:rPr>
        <w:footnoteRef/>
      </w:r>
      <w:r>
        <w:t xml:space="preserve"> </w:t>
      </w:r>
      <w:r w:rsidRPr="00853520">
        <w:rPr>
          <w:rFonts w:ascii="Times New Roman" w:eastAsia="Calibri" w:hAnsi="Times New Roman"/>
          <w:color w:val="000000"/>
          <w:sz w:val="18"/>
          <w:szCs w:val="18"/>
        </w:rPr>
        <w:t>Senior Citizens Grant, Disability Assistance Grant, Public Assistance Grant, Food Support Programme, National Insurance Grants</w:t>
      </w:r>
    </w:p>
  </w:footnote>
  <w:footnote w:id="6">
    <w:p w14:paraId="7EEDC3BA" w14:textId="4A894D5F" w:rsidR="000870C1" w:rsidRDefault="000870C1">
      <w:pPr>
        <w:pStyle w:val="FootnoteText"/>
      </w:pPr>
      <w:r>
        <w:rPr>
          <w:rStyle w:val="FootnoteReference"/>
        </w:rPr>
        <w:footnoteRef/>
      </w:r>
      <w:r>
        <w:t xml:space="preserve"> </w:t>
      </w:r>
      <w:r w:rsidRPr="006D688F">
        <w:rPr>
          <w:rFonts w:ascii="Times New Roman" w:eastAsia="Calibri" w:hAnsi="Times New Roman"/>
          <w:color w:val="000000"/>
          <w:sz w:val="18"/>
          <w:szCs w:val="18"/>
        </w:rPr>
        <w:t>Disaggregated data not available</w:t>
      </w:r>
      <w:r>
        <w:rPr>
          <w:rFonts w:ascii="Times New Roman" w:eastAsia="Calibri" w:hAnsi="Times New Roman"/>
          <w:color w:val="000000"/>
          <w:sz w:val="18"/>
          <w:szCs w:val="18"/>
        </w:rPr>
        <w:t>.</w:t>
      </w:r>
    </w:p>
  </w:footnote>
  <w:footnote w:id="7">
    <w:p w14:paraId="54028418" w14:textId="2EC01BCB" w:rsidR="000870C1" w:rsidRDefault="000870C1">
      <w:pPr>
        <w:pStyle w:val="FootnoteText"/>
      </w:pPr>
      <w:r>
        <w:rPr>
          <w:rStyle w:val="FootnoteReference"/>
        </w:rPr>
        <w:footnoteRef/>
      </w:r>
      <w:r>
        <w:t xml:space="preserve"> </w:t>
      </w:r>
      <w:r w:rsidRPr="006D688F">
        <w:rPr>
          <w:rFonts w:ascii="Times New Roman" w:eastAsia="Calibri" w:hAnsi="Times New Roman"/>
          <w:color w:val="000000"/>
          <w:sz w:val="18"/>
          <w:szCs w:val="18"/>
        </w:rPr>
        <w:t>Disaggregated data not available</w:t>
      </w:r>
      <w:r>
        <w:rPr>
          <w:rFonts w:ascii="Times New Roman" w:eastAsia="Calibri" w:hAnsi="Times New Roman"/>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0870C1" w:rsidRPr="00657A41" w14:paraId="7E9BF382" w14:textId="77777777" w:rsidTr="000870C1">
      <w:trPr>
        <w:trHeight w:hRule="exact" w:val="864"/>
      </w:trPr>
      <w:tc>
        <w:tcPr>
          <w:tcW w:w="4748" w:type="dxa"/>
          <w:shd w:val="clear" w:color="auto" w:fill="auto"/>
          <w:vAlign w:val="bottom"/>
        </w:tcPr>
        <w:p w14:paraId="554E64FD" w14:textId="238DD10D" w:rsidR="000870C1" w:rsidRPr="00657A41" w:rsidRDefault="000870C1" w:rsidP="00C55D12">
          <w:pPr>
            <w:tabs>
              <w:tab w:val="center" w:pos="4320"/>
              <w:tab w:val="right" w:pos="8640"/>
            </w:tabs>
            <w:spacing w:after="80"/>
            <w:rPr>
              <w:b/>
              <w:noProof/>
              <w:sz w:val="17"/>
            </w:rPr>
          </w:pPr>
          <w:bookmarkStart w:id="3" w:name="_Hlk72161445"/>
          <w:r w:rsidRPr="00657A41">
            <w:rPr>
              <w:b/>
              <w:noProof/>
              <w:sz w:val="17"/>
            </w:rPr>
            <w:t>DP/DCP/</w:t>
          </w:r>
          <w:r>
            <w:rPr>
              <w:b/>
              <w:noProof/>
              <w:sz w:val="17"/>
            </w:rPr>
            <w:t>TTO</w:t>
          </w:r>
          <w:r w:rsidRPr="00657A41">
            <w:rPr>
              <w:b/>
              <w:noProof/>
              <w:sz w:val="17"/>
            </w:rPr>
            <w:t>/4</w:t>
          </w:r>
        </w:p>
      </w:tc>
      <w:tc>
        <w:tcPr>
          <w:tcW w:w="4522" w:type="dxa"/>
          <w:shd w:val="clear" w:color="auto" w:fill="auto"/>
          <w:vAlign w:val="bottom"/>
        </w:tcPr>
        <w:p w14:paraId="3B8529A8" w14:textId="77777777" w:rsidR="000870C1" w:rsidRPr="00657A41" w:rsidRDefault="000870C1" w:rsidP="00C55D12">
          <w:pPr>
            <w:tabs>
              <w:tab w:val="center" w:pos="4320"/>
              <w:tab w:val="right" w:pos="8640"/>
            </w:tabs>
            <w:jc w:val="right"/>
            <w:rPr>
              <w:b/>
              <w:noProof/>
              <w:sz w:val="17"/>
            </w:rPr>
          </w:pPr>
        </w:p>
      </w:tc>
    </w:tr>
    <w:bookmarkEnd w:id="3"/>
  </w:tbl>
  <w:p w14:paraId="5AFA6C61" w14:textId="77777777" w:rsidR="000870C1" w:rsidRPr="00C55D12" w:rsidRDefault="000870C1">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0870C1" w:rsidRPr="00617935" w14:paraId="45C59969" w14:textId="77777777" w:rsidTr="000870C1">
      <w:trPr>
        <w:trHeight w:hRule="exact" w:val="864"/>
      </w:trPr>
      <w:tc>
        <w:tcPr>
          <w:tcW w:w="4838" w:type="dxa"/>
          <w:shd w:val="clear" w:color="auto" w:fill="auto"/>
          <w:vAlign w:val="bottom"/>
        </w:tcPr>
        <w:p w14:paraId="0D10BAE2" w14:textId="77777777" w:rsidR="000870C1" w:rsidRPr="00617935" w:rsidRDefault="000870C1" w:rsidP="00C55D12">
          <w:pPr>
            <w:tabs>
              <w:tab w:val="center" w:pos="4320"/>
              <w:tab w:val="right" w:pos="8640"/>
            </w:tabs>
            <w:spacing w:after="80"/>
            <w:rPr>
              <w:b/>
              <w:noProof/>
              <w:sz w:val="17"/>
            </w:rPr>
          </w:pPr>
        </w:p>
      </w:tc>
      <w:tc>
        <w:tcPr>
          <w:tcW w:w="4782" w:type="dxa"/>
          <w:shd w:val="clear" w:color="auto" w:fill="auto"/>
          <w:vAlign w:val="bottom"/>
        </w:tcPr>
        <w:p w14:paraId="55DE21DA" w14:textId="72523501" w:rsidR="000870C1" w:rsidRPr="00617935" w:rsidRDefault="000870C1" w:rsidP="00C55D12">
          <w:pPr>
            <w:tabs>
              <w:tab w:val="center" w:pos="4320"/>
              <w:tab w:val="right" w:pos="8640"/>
            </w:tabs>
            <w:jc w:val="right"/>
            <w:rPr>
              <w:b/>
              <w:noProof/>
              <w:sz w:val="17"/>
            </w:rPr>
          </w:pPr>
          <w:r w:rsidRPr="00617935">
            <w:rPr>
              <w:b/>
              <w:noProof/>
              <w:sz w:val="17"/>
            </w:rPr>
            <w:t>DP/DCP/</w:t>
          </w:r>
          <w:r>
            <w:rPr>
              <w:b/>
              <w:noProof/>
              <w:sz w:val="17"/>
            </w:rPr>
            <w:t>TTO</w:t>
          </w:r>
          <w:r w:rsidRPr="00617935">
            <w:rPr>
              <w:b/>
              <w:noProof/>
              <w:sz w:val="17"/>
            </w:rPr>
            <w:t>/4</w:t>
          </w:r>
        </w:p>
      </w:tc>
    </w:tr>
  </w:tbl>
  <w:p w14:paraId="6A8DE2BC" w14:textId="77777777" w:rsidR="000870C1" w:rsidRPr="00C55D12" w:rsidRDefault="000870C1">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870C1" w:rsidRPr="00657A41" w14:paraId="0927132C" w14:textId="77777777" w:rsidTr="000870C1">
      <w:trPr>
        <w:trHeight w:hRule="exact" w:val="864"/>
      </w:trPr>
      <w:tc>
        <w:tcPr>
          <w:tcW w:w="1267" w:type="dxa"/>
          <w:tcBorders>
            <w:bottom w:val="single" w:sz="4" w:space="0" w:color="auto"/>
          </w:tcBorders>
          <w:shd w:val="clear" w:color="auto" w:fill="auto"/>
          <w:vAlign w:val="bottom"/>
        </w:tcPr>
        <w:p w14:paraId="24EDC3DC" w14:textId="77777777" w:rsidR="000870C1" w:rsidRPr="00657A41" w:rsidRDefault="000870C1" w:rsidP="00C55D12">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07F8C96" w14:textId="77777777" w:rsidR="000870C1" w:rsidRPr="00657A41" w:rsidRDefault="000870C1" w:rsidP="00C55D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48414323" w14:textId="77777777" w:rsidR="000870C1" w:rsidRPr="00657A41" w:rsidRDefault="000870C1" w:rsidP="00C55D12">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AB97E18" w14:textId="6CC9B25B" w:rsidR="000870C1" w:rsidRPr="00657A41" w:rsidRDefault="000870C1" w:rsidP="00C55D12">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TTO</w:t>
          </w:r>
          <w:r w:rsidRPr="00657A41">
            <w:rPr>
              <w:spacing w:val="4"/>
              <w:w w:val="103"/>
              <w:kern w:val="14"/>
              <w:position w:val="-4"/>
            </w:rPr>
            <w:t>/4</w:t>
          </w:r>
        </w:p>
      </w:tc>
    </w:tr>
    <w:tr w:rsidR="000870C1" w:rsidRPr="00657A41" w14:paraId="115B6BB4" w14:textId="77777777" w:rsidTr="000870C1">
      <w:trPr>
        <w:gridAfter w:val="1"/>
        <w:wAfter w:w="28" w:type="dxa"/>
        <w:trHeight w:hRule="exact" w:val="2880"/>
      </w:trPr>
      <w:tc>
        <w:tcPr>
          <w:tcW w:w="1267" w:type="dxa"/>
          <w:tcBorders>
            <w:top w:val="single" w:sz="4" w:space="0" w:color="auto"/>
            <w:bottom w:val="single" w:sz="12" w:space="0" w:color="auto"/>
          </w:tcBorders>
          <w:shd w:val="clear" w:color="auto" w:fill="auto"/>
        </w:tcPr>
        <w:p w14:paraId="3B173828" w14:textId="77777777" w:rsidR="000870C1" w:rsidRPr="00657A41" w:rsidRDefault="000870C1" w:rsidP="00C55D12">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7B3FA484" wp14:editId="53974AC5">
                <wp:extent cx="702945" cy="592455"/>
                <wp:effectExtent l="0" t="0" r="1905" b="0"/>
                <wp:docPr id="11" name="Picture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4D220B7" w14:textId="77777777" w:rsidR="000870C1" w:rsidRPr="00657A41" w:rsidRDefault="000870C1" w:rsidP="00C55D12">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C3DB937" w14:textId="77777777" w:rsidR="000870C1" w:rsidRPr="00657A41" w:rsidRDefault="000870C1" w:rsidP="00C55D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36F73751" w14:textId="77777777" w:rsidR="000870C1" w:rsidRPr="00657A41" w:rsidRDefault="000870C1" w:rsidP="00C55D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4511EB14" w14:textId="77777777" w:rsidR="000870C1" w:rsidRPr="00657A41" w:rsidRDefault="000870C1" w:rsidP="00C55D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5B743123" w14:textId="77777777" w:rsidR="000870C1" w:rsidRPr="00657A41" w:rsidRDefault="000870C1" w:rsidP="00C55D12">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38DE183" w14:textId="77777777" w:rsidR="000870C1" w:rsidRPr="00657A41" w:rsidRDefault="000870C1" w:rsidP="00C55D12">
          <w:pPr>
            <w:suppressAutoHyphens/>
            <w:spacing w:before="240" w:line="240" w:lineRule="exact"/>
            <w:rPr>
              <w:spacing w:val="4"/>
              <w:w w:val="103"/>
              <w:kern w:val="14"/>
            </w:rPr>
          </w:pPr>
          <w:r w:rsidRPr="00657A41">
            <w:rPr>
              <w:spacing w:val="4"/>
              <w:w w:val="103"/>
              <w:kern w:val="14"/>
            </w:rPr>
            <w:t>Distr.: General</w:t>
          </w:r>
        </w:p>
        <w:p w14:paraId="4511113E" w14:textId="4B28E569" w:rsidR="000870C1" w:rsidRPr="00657A41" w:rsidRDefault="001F7AF3" w:rsidP="00C55D12">
          <w:pPr>
            <w:suppressAutoHyphens/>
            <w:spacing w:line="240" w:lineRule="exact"/>
            <w:rPr>
              <w:spacing w:val="4"/>
              <w:w w:val="103"/>
              <w:kern w:val="14"/>
            </w:rPr>
          </w:pPr>
          <w:r>
            <w:rPr>
              <w:spacing w:val="4"/>
              <w:w w:val="103"/>
              <w:kern w:val="14"/>
            </w:rPr>
            <w:t xml:space="preserve">8 November </w:t>
          </w:r>
          <w:r w:rsidR="000870C1" w:rsidRPr="00657A41">
            <w:rPr>
              <w:spacing w:val="4"/>
              <w:w w:val="103"/>
              <w:kern w:val="14"/>
            </w:rPr>
            <w:t>2021</w:t>
          </w:r>
        </w:p>
        <w:p w14:paraId="3ACF4945" w14:textId="77777777" w:rsidR="000870C1" w:rsidRPr="00657A41" w:rsidRDefault="000870C1" w:rsidP="00C55D12">
          <w:pPr>
            <w:suppressAutoHyphens/>
            <w:spacing w:line="240" w:lineRule="exact"/>
            <w:rPr>
              <w:spacing w:val="4"/>
              <w:w w:val="103"/>
              <w:kern w:val="14"/>
            </w:rPr>
          </w:pPr>
        </w:p>
        <w:p w14:paraId="3D3ABC6D" w14:textId="77777777" w:rsidR="000870C1" w:rsidRPr="00657A41" w:rsidRDefault="000870C1" w:rsidP="00C55D12">
          <w:pPr>
            <w:suppressAutoHyphens/>
            <w:spacing w:line="240" w:lineRule="exact"/>
            <w:rPr>
              <w:spacing w:val="4"/>
              <w:w w:val="103"/>
              <w:kern w:val="14"/>
            </w:rPr>
          </w:pPr>
          <w:r w:rsidRPr="00657A41">
            <w:rPr>
              <w:spacing w:val="4"/>
              <w:w w:val="103"/>
              <w:kern w:val="14"/>
            </w:rPr>
            <w:t>Original: English</w:t>
          </w:r>
        </w:p>
      </w:tc>
    </w:tr>
  </w:tbl>
  <w:p w14:paraId="52853CD2" w14:textId="77777777" w:rsidR="000870C1" w:rsidRPr="001F7AF3" w:rsidRDefault="000870C1">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8662"/>
    </w:tblGrid>
    <w:tr w:rsidR="000870C1" w:rsidRPr="00657A41" w14:paraId="34C6F28F" w14:textId="77777777" w:rsidTr="00C55D12">
      <w:trPr>
        <w:trHeight w:hRule="exact" w:val="864"/>
      </w:trPr>
      <w:tc>
        <w:tcPr>
          <w:tcW w:w="4748" w:type="dxa"/>
          <w:shd w:val="clear" w:color="auto" w:fill="auto"/>
          <w:vAlign w:val="bottom"/>
        </w:tcPr>
        <w:p w14:paraId="5F23178A" w14:textId="77777777" w:rsidR="000870C1" w:rsidRPr="00657A41" w:rsidRDefault="000870C1" w:rsidP="00C55D12">
          <w:pPr>
            <w:tabs>
              <w:tab w:val="center" w:pos="4320"/>
              <w:tab w:val="right" w:pos="8640"/>
            </w:tabs>
            <w:spacing w:after="80"/>
            <w:rPr>
              <w:b/>
              <w:noProof/>
              <w:sz w:val="17"/>
            </w:rPr>
          </w:pPr>
          <w:r w:rsidRPr="00657A41">
            <w:rPr>
              <w:b/>
              <w:noProof/>
              <w:sz w:val="17"/>
            </w:rPr>
            <w:t>DP/DCP/</w:t>
          </w:r>
          <w:r>
            <w:rPr>
              <w:b/>
              <w:noProof/>
              <w:sz w:val="17"/>
            </w:rPr>
            <w:t>TTO</w:t>
          </w:r>
          <w:r w:rsidRPr="00657A41">
            <w:rPr>
              <w:b/>
              <w:noProof/>
              <w:sz w:val="17"/>
            </w:rPr>
            <w:t>/4</w:t>
          </w:r>
        </w:p>
      </w:tc>
      <w:tc>
        <w:tcPr>
          <w:tcW w:w="8662" w:type="dxa"/>
          <w:shd w:val="clear" w:color="auto" w:fill="auto"/>
          <w:vAlign w:val="bottom"/>
        </w:tcPr>
        <w:p w14:paraId="604AE884" w14:textId="77777777" w:rsidR="000870C1" w:rsidRPr="00657A41" w:rsidRDefault="000870C1" w:rsidP="00C55D12">
          <w:pPr>
            <w:tabs>
              <w:tab w:val="center" w:pos="4320"/>
              <w:tab w:val="right" w:pos="8640"/>
            </w:tabs>
            <w:jc w:val="right"/>
            <w:rPr>
              <w:b/>
              <w:noProof/>
              <w:sz w:val="17"/>
            </w:rPr>
          </w:pPr>
        </w:p>
      </w:tc>
    </w:tr>
  </w:tbl>
  <w:p w14:paraId="4F543349" w14:textId="77777777" w:rsidR="000870C1" w:rsidRPr="00C55D12" w:rsidRDefault="000870C1">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7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832"/>
    </w:tblGrid>
    <w:tr w:rsidR="000870C1" w:rsidRPr="00617935" w14:paraId="5E793CAD" w14:textId="77777777" w:rsidTr="00C55D12">
      <w:trPr>
        <w:trHeight w:hRule="exact" w:val="864"/>
      </w:trPr>
      <w:tc>
        <w:tcPr>
          <w:tcW w:w="4838" w:type="dxa"/>
          <w:shd w:val="clear" w:color="auto" w:fill="auto"/>
          <w:vAlign w:val="bottom"/>
        </w:tcPr>
        <w:p w14:paraId="338E1559" w14:textId="77777777" w:rsidR="000870C1" w:rsidRPr="00617935" w:rsidRDefault="000870C1" w:rsidP="00C55D12">
          <w:pPr>
            <w:tabs>
              <w:tab w:val="center" w:pos="4320"/>
              <w:tab w:val="right" w:pos="8640"/>
            </w:tabs>
            <w:spacing w:after="80"/>
            <w:rPr>
              <w:b/>
              <w:noProof/>
              <w:sz w:val="17"/>
            </w:rPr>
          </w:pPr>
        </w:p>
      </w:tc>
      <w:tc>
        <w:tcPr>
          <w:tcW w:w="8832" w:type="dxa"/>
          <w:shd w:val="clear" w:color="auto" w:fill="auto"/>
          <w:vAlign w:val="bottom"/>
        </w:tcPr>
        <w:p w14:paraId="6CD5BB24" w14:textId="77777777" w:rsidR="000870C1" w:rsidRPr="00617935" w:rsidRDefault="000870C1" w:rsidP="00C55D12">
          <w:pPr>
            <w:tabs>
              <w:tab w:val="center" w:pos="4320"/>
              <w:tab w:val="right" w:pos="8640"/>
            </w:tabs>
            <w:jc w:val="right"/>
            <w:rPr>
              <w:b/>
              <w:noProof/>
              <w:sz w:val="17"/>
            </w:rPr>
          </w:pPr>
          <w:r w:rsidRPr="00617935">
            <w:rPr>
              <w:b/>
              <w:noProof/>
              <w:sz w:val="17"/>
            </w:rPr>
            <w:t>DP/DCP/</w:t>
          </w:r>
          <w:r>
            <w:rPr>
              <w:b/>
              <w:noProof/>
              <w:sz w:val="17"/>
            </w:rPr>
            <w:t>TTO</w:t>
          </w:r>
          <w:r w:rsidRPr="00617935">
            <w:rPr>
              <w:b/>
              <w:noProof/>
              <w:sz w:val="17"/>
            </w:rPr>
            <w:t>/4</w:t>
          </w:r>
        </w:p>
      </w:tc>
    </w:tr>
  </w:tbl>
  <w:p w14:paraId="6C19A890" w14:textId="77777777" w:rsidR="000870C1" w:rsidRPr="00C55D12" w:rsidRDefault="000870C1">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919CD"/>
    <w:multiLevelType w:val="hybridMultilevel"/>
    <w:tmpl w:val="7BB65C30"/>
    <w:lvl w:ilvl="0" w:tplc="F10A9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35A8C"/>
    <w:multiLevelType w:val="hybridMultilevel"/>
    <w:tmpl w:val="8868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10466"/>
    <w:multiLevelType w:val="hybridMultilevel"/>
    <w:tmpl w:val="DEAC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B2404"/>
    <w:multiLevelType w:val="hybridMultilevel"/>
    <w:tmpl w:val="EA1495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401C46"/>
    <w:multiLevelType w:val="hybridMultilevel"/>
    <w:tmpl w:val="C84EE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434A"/>
    <w:multiLevelType w:val="hybridMultilevel"/>
    <w:tmpl w:val="61D6D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3F696B"/>
    <w:multiLevelType w:val="hybridMultilevel"/>
    <w:tmpl w:val="5652DF62"/>
    <w:lvl w:ilvl="0" w:tplc="AAB8D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40C81"/>
    <w:multiLevelType w:val="hybridMultilevel"/>
    <w:tmpl w:val="D0A4BB8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450D434B"/>
    <w:multiLevelType w:val="hybridMultilevel"/>
    <w:tmpl w:val="7AE2AD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82570FC"/>
    <w:multiLevelType w:val="hybridMultilevel"/>
    <w:tmpl w:val="C3ECD924"/>
    <w:lvl w:ilvl="0" w:tplc="6ACEF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D43ACC"/>
    <w:multiLevelType w:val="hybridMultilevel"/>
    <w:tmpl w:val="CC6A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474518"/>
    <w:multiLevelType w:val="hybridMultilevel"/>
    <w:tmpl w:val="EE6423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BE30DA"/>
    <w:multiLevelType w:val="multilevel"/>
    <w:tmpl w:val="BCEC2540"/>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525F4933"/>
    <w:multiLevelType w:val="hybridMultilevel"/>
    <w:tmpl w:val="D2FA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061AEA"/>
    <w:multiLevelType w:val="hybridMultilevel"/>
    <w:tmpl w:val="7BB65C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CC16CD"/>
    <w:multiLevelType w:val="hybridMultilevel"/>
    <w:tmpl w:val="B676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C7B2D"/>
    <w:multiLevelType w:val="hybridMultilevel"/>
    <w:tmpl w:val="9A68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07222"/>
    <w:multiLevelType w:val="hybridMultilevel"/>
    <w:tmpl w:val="5652DF62"/>
    <w:lvl w:ilvl="0" w:tplc="AAB8D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86E44"/>
    <w:multiLevelType w:val="hybridMultilevel"/>
    <w:tmpl w:val="E6A02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2"/>
  </w:num>
  <w:num w:numId="4">
    <w:abstractNumId w:val="16"/>
  </w:num>
  <w:num w:numId="5">
    <w:abstractNumId w:val="14"/>
  </w:num>
  <w:num w:numId="6">
    <w:abstractNumId w:val="5"/>
  </w:num>
  <w:num w:numId="7">
    <w:abstractNumId w:val="11"/>
  </w:num>
  <w:num w:numId="8">
    <w:abstractNumId w:val="1"/>
  </w:num>
  <w:num w:numId="9">
    <w:abstractNumId w:val="17"/>
  </w:num>
  <w:num w:numId="10">
    <w:abstractNumId w:val="4"/>
  </w:num>
  <w:num w:numId="11">
    <w:abstractNumId w:val="20"/>
  </w:num>
  <w:num w:numId="12">
    <w:abstractNumId w:val="12"/>
  </w:num>
  <w:num w:numId="13">
    <w:abstractNumId w:val="10"/>
  </w:num>
  <w:num w:numId="14">
    <w:abstractNumId w:val="6"/>
  </w:num>
  <w:num w:numId="15">
    <w:abstractNumId w:val="0"/>
  </w:num>
  <w:num w:numId="16">
    <w:abstractNumId w:val="15"/>
  </w:num>
  <w:num w:numId="17">
    <w:abstractNumId w:val="7"/>
  </w:num>
  <w:num w:numId="18">
    <w:abstractNumId w:val="8"/>
  </w:num>
  <w:num w:numId="19">
    <w:abstractNumId w:val="3"/>
  </w:num>
  <w:num w:numId="20">
    <w:abstractNumId w:val="9"/>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TQ0MzOyNDU1MzVW0lEKTi0uzszPAykwNKgFAJtT9wstAAAA"/>
  </w:docVars>
  <w:rsids>
    <w:rsidRoot w:val="00D9153B"/>
    <w:rsid w:val="00000686"/>
    <w:rsid w:val="000010B5"/>
    <w:rsid w:val="000027D2"/>
    <w:rsid w:val="0000312F"/>
    <w:rsid w:val="000034C3"/>
    <w:rsid w:val="000038DA"/>
    <w:rsid w:val="0000392E"/>
    <w:rsid w:val="00003E8B"/>
    <w:rsid w:val="00005E26"/>
    <w:rsid w:val="000060F4"/>
    <w:rsid w:val="00006E59"/>
    <w:rsid w:val="000102A6"/>
    <w:rsid w:val="00010C04"/>
    <w:rsid w:val="00012632"/>
    <w:rsid w:val="00012FE9"/>
    <w:rsid w:val="0001309E"/>
    <w:rsid w:val="00013127"/>
    <w:rsid w:val="000133A9"/>
    <w:rsid w:val="00013489"/>
    <w:rsid w:val="00013679"/>
    <w:rsid w:val="00014655"/>
    <w:rsid w:val="000153EB"/>
    <w:rsid w:val="000157BD"/>
    <w:rsid w:val="00015BAF"/>
    <w:rsid w:val="00015FDE"/>
    <w:rsid w:val="00016217"/>
    <w:rsid w:val="00016452"/>
    <w:rsid w:val="00016697"/>
    <w:rsid w:val="00016861"/>
    <w:rsid w:val="00017D05"/>
    <w:rsid w:val="00017E3F"/>
    <w:rsid w:val="000200CF"/>
    <w:rsid w:val="0002037C"/>
    <w:rsid w:val="000205F1"/>
    <w:rsid w:val="000217F2"/>
    <w:rsid w:val="00022047"/>
    <w:rsid w:val="000223D4"/>
    <w:rsid w:val="000226D0"/>
    <w:rsid w:val="00022E21"/>
    <w:rsid w:val="00023AEE"/>
    <w:rsid w:val="00025284"/>
    <w:rsid w:val="00026062"/>
    <w:rsid w:val="000260AE"/>
    <w:rsid w:val="000265E8"/>
    <w:rsid w:val="00026E4A"/>
    <w:rsid w:val="000274B9"/>
    <w:rsid w:val="0002758B"/>
    <w:rsid w:val="000276A0"/>
    <w:rsid w:val="000278C5"/>
    <w:rsid w:val="00027D2F"/>
    <w:rsid w:val="0003068F"/>
    <w:rsid w:val="00031522"/>
    <w:rsid w:val="0003257C"/>
    <w:rsid w:val="000330DB"/>
    <w:rsid w:val="00033639"/>
    <w:rsid w:val="0003429F"/>
    <w:rsid w:val="0003464D"/>
    <w:rsid w:val="00034B48"/>
    <w:rsid w:val="00034C8C"/>
    <w:rsid w:val="0003562A"/>
    <w:rsid w:val="00036095"/>
    <w:rsid w:val="000367E0"/>
    <w:rsid w:val="00036AF4"/>
    <w:rsid w:val="0003709F"/>
    <w:rsid w:val="00037AA2"/>
    <w:rsid w:val="0004001E"/>
    <w:rsid w:val="00040297"/>
    <w:rsid w:val="000408DB"/>
    <w:rsid w:val="00041C10"/>
    <w:rsid w:val="00042CEC"/>
    <w:rsid w:val="00043804"/>
    <w:rsid w:val="000441A1"/>
    <w:rsid w:val="00044A42"/>
    <w:rsid w:val="00045D70"/>
    <w:rsid w:val="00046D4F"/>
    <w:rsid w:val="00050869"/>
    <w:rsid w:val="00050A48"/>
    <w:rsid w:val="000510F8"/>
    <w:rsid w:val="00051E3C"/>
    <w:rsid w:val="000523CC"/>
    <w:rsid w:val="00052FE4"/>
    <w:rsid w:val="00055596"/>
    <w:rsid w:val="00056014"/>
    <w:rsid w:val="000561C1"/>
    <w:rsid w:val="00056204"/>
    <w:rsid w:val="00056955"/>
    <w:rsid w:val="00056D74"/>
    <w:rsid w:val="00057076"/>
    <w:rsid w:val="00057078"/>
    <w:rsid w:val="000570D1"/>
    <w:rsid w:val="000571A9"/>
    <w:rsid w:val="00057A38"/>
    <w:rsid w:val="00057FD4"/>
    <w:rsid w:val="00060290"/>
    <w:rsid w:val="00061181"/>
    <w:rsid w:val="00061196"/>
    <w:rsid w:val="000611AB"/>
    <w:rsid w:val="00061DB5"/>
    <w:rsid w:val="00063E24"/>
    <w:rsid w:val="00064FAE"/>
    <w:rsid w:val="00066F73"/>
    <w:rsid w:val="0006706E"/>
    <w:rsid w:val="00071EE3"/>
    <w:rsid w:val="00071F87"/>
    <w:rsid w:val="00072229"/>
    <w:rsid w:val="000728F8"/>
    <w:rsid w:val="00072A11"/>
    <w:rsid w:val="00073198"/>
    <w:rsid w:val="000736D6"/>
    <w:rsid w:val="00073CF1"/>
    <w:rsid w:val="000745AA"/>
    <w:rsid w:val="00074BD0"/>
    <w:rsid w:val="00074D9A"/>
    <w:rsid w:val="00074DB9"/>
    <w:rsid w:val="000753C4"/>
    <w:rsid w:val="00075DF0"/>
    <w:rsid w:val="00075F0C"/>
    <w:rsid w:val="000762CA"/>
    <w:rsid w:val="000803A4"/>
    <w:rsid w:val="000806E3"/>
    <w:rsid w:val="000817E5"/>
    <w:rsid w:val="00082F7F"/>
    <w:rsid w:val="0008339E"/>
    <w:rsid w:val="00083557"/>
    <w:rsid w:val="00083C98"/>
    <w:rsid w:val="00084548"/>
    <w:rsid w:val="00086095"/>
    <w:rsid w:val="0008629A"/>
    <w:rsid w:val="00086F2F"/>
    <w:rsid w:val="000870C1"/>
    <w:rsid w:val="0009024E"/>
    <w:rsid w:val="00090AD1"/>
    <w:rsid w:val="00090F4F"/>
    <w:rsid w:val="00091476"/>
    <w:rsid w:val="00091984"/>
    <w:rsid w:val="00092879"/>
    <w:rsid w:val="000929FC"/>
    <w:rsid w:val="00092E5E"/>
    <w:rsid w:val="00093464"/>
    <w:rsid w:val="000945AE"/>
    <w:rsid w:val="00094E87"/>
    <w:rsid w:val="00095CCB"/>
    <w:rsid w:val="0009687E"/>
    <w:rsid w:val="0009781D"/>
    <w:rsid w:val="00097900"/>
    <w:rsid w:val="00097FB2"/>
    <w:rsid w:val="000A151D"/>
    <w:rsid w:val="000A24C5"/>
    <w:rsid w:val="000A25D1"/>
    <w:rsid w:val="000A30A1"/>
    <w:rsid w:val="000A3A38"/>
    <w:rsid w:val="000A3F7F"/>
    <w:rsid w:val="000A47FD"/>
    <w:rsid w:val="000A4817"/>
    <w:rsid w:val="000A50A7"/>
    <w:rsid w:val="000A69E1"/>
    <w:rsid w:val="000A6BD3"/>
    <w:rsid w:val="000A7192"/>
    <w:rsid w:val="000A7B0D"/>
    <w:rsid w:val="000A7D9F"/>
    <w:rsid w:val="000A7DD5"/>
    <w:rsid w:val="000B0228"/>
    <w:rsid w:val="000B09F2"/>
    <w:rsid w:val="000B166B"/>
    <w:rsid w:val="000B1AA5"/>
    <w:rsid w:val="000B1C9E"/>
    <w:rsid w:val="000B27DA"/>
    <w:rsid w:val="000B2E16"/>
    <w:rsid w:val="000B3A13"/>
    <w:rsid w:val="000B3D62"/>
    <w:rsid w:val="000B3EEC"/>
    <w:rsid w:val="000B4A69"/>
    <w:rsid w:val="000B4BB2"/>
    <w:rsid w:val="000B5878"/>
    <w:rsid w:val="000B6224"/>
    <w:rsid w:val="000B6379"/>
    <w:rsid w:val="000B7F48"/>
    <w:rsid w:val="000C0AA4"/>
    <w:rsid w:val="000C16BA"/>
    <w:rsid w:val="000C196C"/>
    <w:rsid w:val="000C2022"/>
    <w:rsid w:val="000C20F4"/>
    <w:rsid w:val="000C4B8D"/>
    <w:rsid w:val="000C4E54"/>
    <w:rsid w:val="000C542D"/>
    <w:rsid w:val="000C7146"/>
    <w:rsid w:val="000C76B0"/>
    <w:rsid w:val="000C7BBE"/>
    <w:rsid w:val="000D0358"/>
    <w:rsid w:val="000D0458"/>
    <w:rsid w:val="000D1559"/>
    <w:rsid w:val="000D1842"/>
    <w:rsid w:val="000D2475"/>
    <w:rsid w:val="000D4228"/>
    <w:rsid w:val="000D442C"/>
    <w:rsid w:val="000D4DC4"/>
    <w:rsid w:val="000D62E4"/>
    <w:rsid w:val="000D66A6"/>
    <w:rsid w:val="000D71ED"/>
    <w:rsid w:val="000E0783"/>
    <w:rsid w:val="000E0D53"/>
    <w:rsid w:val="000E17EC"/>
    <w:rsid w:val="000E1E7B"/>
    <w:rsid w:val="000E2061"/>
    <w:rsid w:val="000E2505"/>
    <w:rsid w:val="000E369F"/>
    <w:rsid w:val="000E3B31"/>
    <w:rsid w:val="000E3EF5"/>
    <w:rsid w:val="000E525D"/>
    <w:rsid w:val="000E55D6"/>
    <w:rsid w:val="000E591E"/>
    <w:rsid w:val="000E59E4"/>
    <w:rsid w:val="000E612D"/>
    <w:rsid w:val="000E6AB1"/>
    <w:rsid w:val="000E745A"/>
    <w:rsid w:val="000E7E9E"/>
    <w:rsid w:val="000F0044"/>
    <w:rsid w:val="000F033C"/>
    <w:rsid w:val="000F0BBB"/>
    <w:rsid w:val="000F0EFD"/>
    <w:rsid w:val="000F1B11"/>
    <w:rsid w:val="000F2ED5"/>
    <w:rsid w:val="000F2F0F"/>
    <w:rsid w:val="000F34CA"/>
    <w:rsid w:val="000F35BD"/>
    <w:rsid w:val="000F3870"/>
    <w:rsid w:val="000F4167"/>
    <w:rsid w:val="000F431D"/>
    <w:rsid w:val="000F4337"/>
    <w:rsid w:val="000F5541"/>
    <w:rsid w:val="000F5A10"/>
    <w:rsid w:val="000F6691"/>
    <w:rsid w:val="000F6E5E"/>
    <w:rsid w:val="000F703B"/>
    <w:rsid w:val="000F72ED"/>
    <w:rsid w:val="000F7A4C"/>
    <w:rsid w:val="001010C2"/>
    <w:rsid w:val="00103698"/>
    <w:rsid w:val="00104C5A"/>
    <w:rsid w:val="001065FE"/>
    <w:rsid w:val="00106EF8"/>
    <w:rsid w:val="001079CD"/>
    <w:rsid w:val="001101A2"/>
    <w:rsid w:val="00111489"/>
    <w:rsid w:val="001114DA"/>
    <w:rsid w:val="00111792"/>
    <w:rsid w:val="00111797"/>
    <w:rsid w:val="00111B19"/>
    <w:rsid w:val="00111F6D"/>
    <w:rsid w:val="00111FFC"/>
    <w:rsid w:val="00112825"/>
    <w:rsid w:val="00112A51"/>
    <w:rsid w:val="001133CA"/>
    <w:rsid w:val="00114A64"/>
    <w:rsid w:val="00115CDE"/>
    <w:rsid w:val="00115F59"/>
    <w:rsid w:val="00116C1A"/>
    <w:rsid w:val="00117E39"/>
    <w:rsid w:val="0012071C"/>
    <w:rsid w:val="00121527"/>
    <w:rsid w:val="00121554"/>
    <w:rsid w:val="00121F3E"/>
    <w:rsid w:val="0012229E"/>
    <w:rsid w:val="001225BA"/>
    <w:rsid w:val="00122644"/>
    <w:rsid w:val="001226CB"/>
    <w:rsid w:val="00122FA6"/>
    <w:rsid w:val="00123654"/>
    <w:rsid w:val="00123849"/>
    <w:rsid w:val="00123A5E"/>
    <w:rsid w:val="00124DBA"/>
    <w:rsid w:val="00125010"/>
    <w:rsid w:val="001251C8"/>
    <w:rsid w:val="00125266"/>
    <w:rsid w:val="00125B82"/>
    <w:rsid w:val="00125D80"/>
    <w:rsid w:val="001305E6"/>
    <w:rsid w:val="00130EB3"/>
    <w:rsid w:val="001315CD"/>
    <w:rsid w:val="0013165A"/>
    <w:rsid w:val="00131758"/>
    <w:rsid w:val="0013239A"/>
    <w:rsid w:val="0013276C"/>
    <w:rsid w:val="00132D93"/>
    <w:rsid w:val="001334D3"/>
    <w:rsid w:val="001337CF"/>
    <w:rsid w:val="00134C76"/>
    <w:rsid w:val="00135137"/>
    <w:rsid w:val="0013761A"/>
    <w:rsid w:val="00141D5E"/>
    <w:rsid w:val="00142450"/>
    <w:rsid w:val="00142787"/>
    <w:rsid w:val="0014423A"/>
    <w:rsid w:val="00146046"/>
    <w:rsid w:val="001461BF"/>
    <w:rsid w:val="001468A0"/>
    <w:rsid w:val="00146982"/>
    <w:rsid w:val="00146BFB"/>
    <w:rsid w:val="00147042"/>
    <w:rsid w:val="001471A7"/>
    <w:rsid w:val="001506F6"/>
    <w:rsid w:val="001508E6"/>
    <w:rsid w:val="001510EE"/>
    <w:rsid w:val="00151F16"/>
    <w:rsid w:val="001524C6"/>
    <w:rsid w:val="00152A6B"/>
    <w:rsid w:val="00152D3F"/>
    <w:rsid w:val="00154032"/>
    <w:rsid w:val="001547D3"/>
    <w:rsid w:val="001550F6"/>
    <w:rsid w:val="00155606"/>
    <w:rsid w:val="001559BD"/>
    <w:rsid w:val="00155D8D"/>
    <w:rsid w:val="001568FF"/>
    <w:rsid w:val="00157F09"/>
    <w:rsid w:val="00157F79"/>
    <w:rsid w:val="00162659"/>
    <w:rsid w:val="001628FB"/>
    <w:rsid w:val="00163E84"/>
    <w:rsid w:val="0016464F"/>
    <w:rsid w:val="00165A12"/>
    <w:rsid w:val="001668AA"/>
    <w:rsid w:val="001668D3"/>
    <w:rsid w:val="00166E4A"/>
    <w:rsid w:val="00166EDE"/>
    <w:rsid w:val="001675B1"/>
    <w:rsid w:val="0016789D"/>
    <w:rsid w:val="00167C87"/>
    <w:rsid w:val="001707F6"/>
    <w:rsid w:val="001708FC"/>
    <w:rsid w:val="001709B5"/>
    <w:rsid w:val="00171B59"/>
    <w:rsid w:val="00171F01"/>
    <w:rsid w:val="001727F3"/>
    <w:rsid w:val="00172EE3"/>
    <w:rsid w:val="001737D8"/>
    <w:rsid w:val="00173F4E"/>
    <w:rsid w:val="00174F19"/>
    <w:rsid w:val="001757E8"/>
    <w:rsid w:val="001778FA"/>
    <w:rsid w:val="00177E7E"/>
    <w:rsid w:val="001805EA"/>
    <w:rsid w:val="00180BB5"/>
    <w:rsid w:val="0018167C"/>
    <w:rsid w:val="00181720"/>
    <w:rsid w:val="00181B59"/>
    <w:rsid w:val="0018214E"/>
    <w:rsid w:val="0018356F"/>
    <w:rsid w:val="0018424C"/>
    <w:rsid w:val="00187280"/>
    <w:rsid w:val="001874A7"/>
    <w:rsid w:val="001876C5"/>
    <w:rsid w:val="00187D68"/>
    <w:rsid w:val="00190155"/>
    <w:rsid w:val="001906B5"/>
    <w:rsid w:val="00190CA5"/>
    <w:rsid w:val="00190CD0"/>
    <w:rsid w:val="00190DD6"/>
    <w:rsid w:val="0019115C"/>
    <w:rsid w:val="001913A7"/>
    <w:rsid w:val="00192198"/>
    <w:rsid w:val="00193CE3"/>
    <w:rsid w:val="00194163"/>
    <w:rsid w:val="00194359"/>
    <w:rsid w:val="001949A1"/>
    <w:rsid w:val="001949C1"/>
    <w:rsid w:val="00194FEB"/>
    <w:rsid w:val="001970A4"/>
    <w:rsid w:val="00197AD1"/>
    <w:rsid w:val="001A17DA"/>
    <w:rsid w:val="001A21EA"/>
    <w:rsid w:val="001A22DC"/>
    <w:rsid w:val="001A29BA"/>
    <w:rsid w:val="001A3B73"/>
    <w:rsid w:val="001A64A7"/>
    <w:rsid w:val="001A64EA"/>
    <w:rsid w:val="001A6536"/>
    <w:rsid w:val="001A6BA1"/>
    <w:rsid w:val="001A7237"/>
    <w:rsid w:val="001B0020"/>
    <w:rsid w:val="001B197C"/>
    <w:rsid w:val="001B1B44"/>
    <w:rsid w:val="001B234B"/>
    <w:rsid w:val="001B3F87"/>
    <w:rsid w:val="001B4026"/>
    <w:rsid w:val="001B5202"/>
    <w:rsid w:val="001B598C"/>
    <w:rsid w:val="001B5E0C"/>
    <w:rsid w:val="001B6419"/>
    <w:rsid w:val="001B64E6"/>
    <w:rsid w:val="001B66C9"/>
    <w:rsid w:val="001B76A6"/>
    <w:rsid w:val="001B7CD5"/>
    <w:rsid w:val="001C0392"/>
    <w:rsid w:val="001C07F8"/>
    <w:rsid w:val="001C1147"/>
    <w:rsid w:val="001C2A97"/>
    <w:rsid w:val="001C2D7D"/>
    <w:rsid w:val="001C2F59"/>
    <w:rsid w:val="001C4140"/>
    <w:rsid w:val="001C5AEE"/>
    <w:rsid w:val="001C5C79"/>
    <w:rsid w:val="001C601B"/>
    <w:rsid w:val="001C6712"/>
    <w:rsid w:val="001C6B20"/>
    <w:rsid w:val="001C6C08"/>
    <w:rsid w:val="001C6D74"/>
    <w:rsid w:val="001C746A"/>
    <w:rsid w:val="001D052F"/>
    <w:rsid w:val="001D0646"/>
    <w:rsid w:val="001D0B78"/>
    <w:rsid w:val="001D1844"/>
    <w:rsid w:val="001D1B55"/>
    <w:rsid w:val="001D2056"/>
    <w:rsid w:val="001D220F"/>
    <w:rsid w:val="001D29B3"/>
    <w:rsid w:val="001D3476"/>
    <w:rsid w:val="001D3FB2"/>
    <w:rsid w:val="001D42D1"/>
    <w:rsid w:val="001D4EB8"/>
    <w:rsid w:val="001D547F"/>
    <w:rsid w:val="001D5CA9"/>
    <w:rsid w:val="001D5F99"/>
    <w:rsid w:val="001D63DD"/>
    <w:rsid w:val="001D64E5"/>
    <w:rsid w:val="001D6EB8"/>
    <w:rsid w:val="001D7C7C"/>
    <w:rsid w:val="001D7F97"/>
    <w:rsid w:val="001E05EC"/>
    <w:rsid w:val="001E0F9A"/>
    <w:rsid w:val="001E2165"/>
    <w:rsid w:val="001E4809"/>
    <w:rsid w:val="001E4F4F"/>
    <w:rsid w:val="001E78DC"/>
    <w:rsid w:val="001E7D71"/>
    <w:rsid w:val="001F27F4"/>
    <w:rsid w:val="001F2936"/>
    <w:rsid w:val="001F3DC0"/>
    <w:rsid w:val="001F4971"/>
    <w:rsid w:val="001F4AB7"/>
    <w:rsid w:val="001F4C5A"/>
    <w:rsid w:val="001F4EA9"/>
    <w:rsid w:val="001F4F73"/>
    <w:rsid w:val="001F6425"/>
    <w:rsid w:val="001F6600"/>
    <w:rsid w:val="001F6772"/>
    <w:rsid w:val="001F71E4"/>
    <w:rsid w:val="001F7421"/>
    <w:rsid w:val="001F7AF3"/>
    <w:rsid w:val="00200195"/>
    <w:rsid w:val="00200B5F"/>
    <w:rsid w:val="00201328"/>
    <w:rsid w:val="00201738"/>
    <w:rsid w:val="00201EEF"/>
    <w:rsid w:val="00202476"/>
    <w:rsid w:val="00202B58"/>
    <w:rsid w:val="00202D82"/>
    <w:rsid w:val="0020376C"/>
    <w:rsid w:val="002047C8"/>
    <w:rsid w:val="00204F31"/>
    <w:rsid w:val="002052B3"/>
    <w:rsid w:val="00205453"/>
    <w:rsid w:val="002056F5"/>
    <w:rsid w:val="002058F9"/>
    <w:rsid w:val="00205FD7"/>
    <w:rsid w:val="0020650A"/>
    <w:rsid w:val="00207813"/>
    <w:rsid w:val="00207A71"/>
    <w:rsid w:val="00207F32"/>
    <w:rsid w:val="00210112"/>
    <w:rsid w:val="00210449"/>
    <w:rsid w:val="00211876"/>
    <w:rsid w:val="00212B1F"/>
    <w:rsid w:val="00213104"/>
    <w:rsid w:val="00213340"/>
    <w:rsid w:val="0021348A"/>
    <w:rsid w:val="002137E8"/>
    <w:rsid w:val="00213D7C"/>
    <w:rsid w:val="002143DA"/>
    <w:rsid w:val="00214467"/>
    <w:rsid w:val="00214513"/>
    <w:rsid w:val="002155B7"/>
    <w:rsid w:val="00217232"/>
    <w:rsid w:val="0021766A"/>
    <w:rsid w:val="00220C88"/>
    <w:rsid w:val="002225D3"/>
    <w:rsid w:val="00222A35"/>
    <w:rsid w:val="0022301D"/>
    <w:rsid w:val="00223453"/>
    <w:rsid w:val="002236F0"/>
    <w:rsid w:val="00224B2C"/>
    <w:rsid w:val="002259F6"/>
    <w:rsid w:val="00226EA0"/>
    <w:rsid w:val="00226F3A"/>
    <w:rsid w:val="002272E2"/>
    <w:rsid w:val="00227C56"/>
    <w:rsid w:val="00227E55"/>
    <w:rsid w:val="002305C1"/>
    <w:rsid w:val="0023120E"/>
    <w:rsid w:val="00231433"/>
    <w:rsid w:val="00232363"/>
    <w:rsid w:val="00232AA0"/>
    <w:rsid w:val="002330AF"/>
    <w:rsid w:val="00233F7B"/>
    <w:rsid w:val="00234216"/>
    <w:rsid w:val="00234672"/>
    <w:rsid w:val="00234764"/>
    <w:rsid w:val="00234A44"/>
    <w:rsid w:val="00234CDF"/>
    <w:rsid w:val="002354C8"/>
    <w:rsid w:val="002357C6"/>
    <w:rsid w:val="00235D72"/>
    <w:rsid w:val="00236338"/>
    <w:rsid w:val="0023641F"/>
    <w:rsid w:val="002364B5"/>
    <w:rsid w:val="00236873"/>
    <w:rsid w:val="00236B91"/>
    <w:rsid w:val="00236BF6"/>
    <w:rsid w:val="00237F90"/>
    <w:rsid w:val="002408EB"/>
    <w:rsid w:val="002424C0"/>
    <w:rsid w:val="00242617"/>
    <w:rsid w:val="00242CAA"/>
    <w:rsid w:val="00242D0C"/>
    <w:rsid w:val="00243271"/>
    <w:rsid w:val="00243AE9"/>
    <w:rsid w:val="0024503B"/>
    <w:rsid w:val="0024573D"/>
    <w:rsid w:val="00245D74"/>
    <w:rsid w:val="00246C0C"/>
    <w:rsid w:val="00246D03"/>
    <w:rsid w:val="00246DDF"/>
    <w:rsid w:val="00250CA6"/>
    <w:rsid w:val="0025165B"/>
    <w:rsid w:val="00252F91"/>
    <w:rsid w:val="00253453"/>
    <w:rsid w:val="002547A9"/>
    <w:rsid w:val="00254C01"/>
    <w:rsid w:val="00255AB1"/>
    <w:rsid w:val="00255CBB"/>
    <w:rsid w:val="00255F99"/>
    <w:rsid w:val="002566B6"/>
    <w:rsid w:val="002573CC"/>
    <w:rsid w:val="0025775D"/>
    <w:rsid w:val="00260926"/>
    <w:rsid w:val="00260FAA"/>
    <w:rsid w:val="002616CC"/>
    <w:rsid w:val="00262338"/>
    <w:rsid w:val="00263694"/>
    <w:rsid w:val="00263938"/>
    <w:rsid w:val="002646D7"/>
    <w:rsid w:val="002648F9"/>
    <w:rsid w:val="00264990"/>
    <w:rsid w:val="00264AFC"/>
    <w:rsid w:val="00264EF4"/>
    <w:rsid w:val="002656BE"/>
    <w:rsid w:val="00265790"/>
    <w:rsid w:val="002671D7"/>
    <w:rsid w:val="0027013E"/>
    <w:rsid w:val="00270858"/>
    <w:rsid w:val="0027098E"/>
    <w:rsid w:val="00271C66"/>
    <w:rsid w:val="0027259C"/>
    <w:rsid w:val="00272947"/>
    <w:rsid w:val="00273543"/>
    <w:rsid w:val="002743EA"/>
    <w:rsid w:val="00274C82"/>
    <w:rsid w:val="002758C2"/>
    <w:rsid w:val="0027654D"/>
    <w:rsid w:val="00276C1F"/>
    <w:rsid w:val="0027703E"/>
    <w:rsid w:val="00277510"/>
    <w:rsid w:val="00280707"/>
    <w:rsid w:val="002809AC"/>
    <w:rsid w:val="00280CD6"/>
    <w:rsid w:val="00280FD3"/>
    <w:rsid w:val="002810DF"/>
    <w:rsid w:val="002812AB"/>
    <w:rsid w:val="002816D8"/>
    <w:rsid w:val="00281F8F"/>
    <w:rsid w:val="00282A8C"/>
    <w:rsid w:val="00284E9B"/>
    <w:rsid w:val="002854EE"/>
    <w:rsid w:val="0028565C"/>
    <w:rsid w:val="002858E9"/>
    <w:rsid w:val="0028612F"/>
    <w:rsid w:val="002875DE"/>
    <w:rsid w:val="00287E07"/>
    <w:rsid w:val="00290EB3"/>
    <w:rsid w:val="00291923"/>
    <w:rsid w:val="00291F8D"/>
    <w:rsid w:val="00292846"/>
    <w:rsid w:val="00292A90"/>
    <w:rsid w:val="00295780"/>
    <w:rsid w:val="00296C64"/>
    <w:rsid w:val="002971D6"/>
    <w:rsid w:val="002978DC"/>
    <w:rsid w:val="0029793D"/>
    <w:rsid w:val="00297B32"/>
    <w:rsid w:val="002A0419"/>
    <w:rsid w:val="002A06B4"/>
    <w:rsid w:val="002A1CB3"/>
    <w:rsid w:val="002A1DF0"/>
    <w:rsid w:val="002A280C"/>
    <w:rsid w:val="002A2F08"/>
    <w:rsid w:val="002A3641"/>
    <w:rsid w:val="002A495F"/>
    <w:rsid w:val="002A4CE1"/>
    <w:rsid w:val="002A4FA8"/>
    <w:rsid w:val="002A52BE"/>
    <w:rsid w:val="002A69A4"/>
    <w:rsid w:val="002A6C3B"/>
    <w:rsid w:val="002A706F"/>
    <w:rsid w:val="002A70EA"/>
    <w:rsid w:val="002A72E7"/>
    <w:rsid w:val="002A7363"/>
    <w:rsid w:val="002A79C0"/>
    <w:rsid w:val="002A7F43"/>
    <w:rsid w:val="002B0C82"/>
    <w:rsid w:val="002B1345"/>
    <w:rsid w:val="002B2060"/>
    <w:rsid w:val="002B220A"/>
    <w:rsid w:val="002B2A37"/>
    <w:rsid w:val="002B2AF0"/>
    <w:rsid w:val="002B2CAE"/>
    <w:rsid w:val="002B336C"/>
    <w:rsid w:val="002B365E"/>
    <w:rsid w:val="002B3E6C"/>
    <w:rsid w:val="002B40F7"/>
    <w:rsid w:val="002B489A"/>
    <w:rsid w:val="002B5DD4"/>
    <w:rsid w:val="002B6062"/>
    <w:rsid w:val="002B6341"/>
    <w:rsid w:val="002B64CD"/>
    <w:rsid w:val="002B6804"/>
    <w:rsid w:val="002B6C26"/>
    <w:rsid w:val="002B7B40"/>
    <w:rsid w:val="002C031A"/>
    <w:rsid w:val="002C0526"/>
    <w:rsid w:val="002C0693"/>
    <w:rsid w:val="002C25DF"/>
    <w:rsid w:val="002C27A8"/>
    <w:rsid w:val="002C2BBD"/>
    <w:rsid w:val="002C2F15"/>
    <w:rsid w:val="002C333E"/>
    <w:rsid w:val="002C35CD"/>
    <w:rsid w:val="002C36C8"/>
    <w:rsid w:val="002C4FC4"/>
    <w:rsid w:val="002C51A0"/>
    <w:rsid w:val="002C52E4"/>
    <w:rsid w:val="002C55DE"/>
    <w:rsid w:val="002C57E0"/>
    <w:rsid w:val="002C73DE"/>
    <w:rsid w:val="002C7971"/>
    <w:rsid w:val="002C7D60"/>
    <w:rsid w:val="002D0201"/>
    <w:rsid w:val="002D0584"/>
    <w:rsid w:val="002D0DE4"/>
    <w:rsid w:val="002D0EF2"/>
    <w:rsid w:val="002D0FEB"/>
    <w:rsid w:val="002D1250"/>
    <w:rsid w:val="002D2143"/>
    <w:rsid w:val="002D235D"/>
    <w:rsid w:val="002D2D2D"/>
    <w:rsid w:val="002D2E2A"/>
    <w:rsid w:val="002D317D"/>
    <w:rsid w:val="002D357D"/>
    <w:rsid w:val="002D4137"/>
    <w:rsid w:val="002D4274"/>
    <w:rsid w:val="002D4F19"/>
    <w:rsid w:val="002D5295"/>
    <w:rsid w:val="002D52BF"/>
    <w:rsid w:val="002D550E"/>
    <w:rsid w:val="002D5FFF"/>
    <w:rsid w:val="002D6630"/>
    <w:rsid w:val="002D68FA"/>
    <w:rsid w:val="002D74EE"/>
    <w:rsid w:val="002D7ECA"/>
    <w:rsid w:val="002E0141"/>
    <w:rsid w:val="002E0167"/>
    <w:rsid w:val="002E04EA"/>
    <w:rsid w:val="002E053D"/>
    <w:rsid w:val="002E0B5D"/>
    <w:rsid w:val="002E0B76"/>
    <w:rsid w:val="002E1495"/>
    <w:rsid w:val="002E15D0"/>
    <w:rsid w:val="002E226F"/>
    <w:rsid w:val="002E2466"/>
    <w:rsid w:val="002E2900"/>
    <w:rsid w:val="002E3B71"/>
    <w:rsid w:val="002E3BC7"/>
    <w:rsid w:val="002E3C0D"/>
    <w:rsid w:val="002E43EC"/>
    <w:rsid w:val="002E4883"/>
    <w:rsid w:val="002E49EA"/>
    <w:rsid w:val="002E4BFF"/>
    <w:rsid w:val="002E59A2"/>
    <w:rsid w:val="002E5B3C"/>
    <w:rsid w:val="002E722A"/>
    <w:rsid w:val="002E728C"/>
    <w:rsid w:val="002E789E"/>
    <w:rsid w:val="002E7A79"/>
    <w:rsid w:val="002E7DEC"/>
    <w:rsid w:val="002F0B57"/>
    <w:rsid w:val="002F17BB"/>
    <w:rsid w:val="002F1BDB"/>
    <w:rsid w:val="002F1D9E"/>
    <w:rsid w:val="002F278D"/>
    <w:rsid w:val="002F2B1A"/>
    <w:rsid w:val="002F2C6E"/>
    <w:rsid w:val="002F3B56"/>
    <w:rsid w:val="002F3C88"/>
    <w:rsid w:val="002F4067"/>
    <w:rsid w:val="002F47EB"/>
    <w:rsid w:val="002F4C12"/>
    <w:rsid w:val="002F7339"/>
    <w:rsid w:val="002F7461"/>
    <w:rsid w:val="00300561"/>
    <w:rsid w:val="0030085A"/>
    <w:rsid w:val="003025E2"/>
    <w:rsid w:val="00303914"/>
    <w:rsid w:val="00303C4D"/>
    <w:rsid w:val="00303CB0"/>
    <w:rsid w:val="003046D9"/>
    <w:rsid w:val="00306D24"/>
    <w:rsid w:val="003075E0"/>
    <w:rsid w:val="00307712"/>
    <w:rsid w:val="0030794B"/>
    <w:rsid w:val="00310F38"/>
    <w:rsid w:val="003128A4"/>
    <w:rsid w:val="0031300C"/>
    <w:rsid w:val="00313F6F"/>
    <w:rsid w:val="0031404A"/>
    <w:rsid w:val="0031418E"/>
    <w:rsid w:val="00314413"/>
    <w:rsid w:val="00314B7C"/>
    <w:rsid w:val="00314C66"/>
    <w:rsid w:val="00314E49"/>
    <w:rsid w:val="00315445"/>
    <w:rsid w:val="00315C22"/>
    <w:rsid w:val="00317149"/>
    <w:rsid w:val="00317183"/>
    <w:rsid w:val="003172E7"/>
    <w:rsid w:val="003172FD"/>
    <w:rsid w:val="003204AE"/>
    <w:rsid w:val="003208EF"/>
    <w:rsid w:val="0032092B"/>
    <w:rsid w:val="00321181"/>
    <w:rsid w:val="003218F8"/>
    <w:rsid w:val="00323D35"/>
    <w:rsid w:val="00323DCE"/>
    <w:rsid w:val="003241F2"/>
    <w:rsid w:val="00324358"/>
    <w:rsid w:val="00324846"/>
    <w:rsid w:val="00324ABD"/>
    <w:rsid w:val="00324D9B"/>
    <w:rsid w:val="003253EE"/>
    <w:rsid w:val="00325456"/>
    <w:rsid w:val="00326149"/>
    <w:rsid w:val="00326C96"/>
    <w:rsid w:val="003272A6"/>
    <w:rsid w:val="003273CB"/>
    <w:rsid w:val="00327973"/>
    <w:rsid w:val="0033052E"/>
    <w:rsid w:val="0033125E"/>
    <w:rsid w:val="00332920"/>
    <w:rsid w:val="00332ED2"/>
    <w:rsid w:val="0033325E"/>
    <w:rsid w:val="003349F6"/>
    <w:rsid w:val="00334A89"/>
    <w:rsid w:val="00334ACB"/>
    <w:rsid w:val="00335442"/>
    <w:rsid w:val="00335C99"/>
    <w:rsid w:val="003364BE"/>
    <w:rsid w:val="00336913"/>
    <w:rsid w:val="003369B1"/>
    <w:rsid w:val="00336BDC"/>
    <w:rsid w:val="00336E0D"/>
    <w:rsid w:val="0033718C"/>
    <w:rsid w:val="0033731A"/>
    <w:rsid w:val="00337407"/>
    <w:rsid w:val="00337BB8"/>
    <w:rsid w:val="00340BA8"/>
    <w:rsid w:val="00340E02"/>
    <w:rsid w:val="00340EC4"/>
    <w:rsid w:val="0034173B"/>
    <w:rsid w:val="00341F33"/>
    <w:rsid w:val="00342C38"/>
    <w:rsid w:val="00342E94"/>
    <w:rsid w:val="00343E6E"/>
    <w:rsid w:val="00343E9A"/>
    <w:rsid w:val="0034452D"/>
    <w:rsid w:val="003450C8"/>
    <w:rsid w:val="00345BA7"/>
    <w:rsid w:val="00345C4A"/>
    <w:rsid w:val="0034782B"/>
    <w:rsid w:val="0035001F"/>
    <w:rsid w:val="00350329"/>
    <w:rsid w:val="00350FC1"/>
    <w:rsid w:val="00351170"/>
    <w:rsid w:val="00351846"/>
    <w:rsid w:val="00351E5C"/>
    <w:rsid w:val="00351EE6"/>
    <w:rsid w:val="00351F5A"/>
    <w:rsid w:val="003525AB"/>
    <w:rsid w:val="00352CD0"/>
    <w:rsid w:val="003530D7"/>
    <w:rsid w:val="003538F7"/>
    <w:rsid w:val="00354EB2"/>
    <w:rsid w:val="0035580F"/>
    <w:rsid w:val="00355B13"/>
    <w:rsid w:val="00355D4F"/>
    <w:rsid w:val="00357CB4"/>
    <w:rsid w:val="003604EE"/>
    <w:rsid w:val="0036216B"/>
    <w:rsid w:val="0036286B"/>
    <w:rsid w:val="00362EEB"/>
    <w:rsid w:val="00363371"/>
    <w:rsid w:val="00363998"/>
    <w:rsid w:val="00363AC1"/>
    <w:rsid w:val="00363EED"/>
    <w:rsid w:val="003645E9"/>
    <w:rsid w:val="00364989"/>
    <w:rsid w:val="003664C0"/>
    <w:rsid w:val="00366769"/>
    <w:rsid w:val="00366A9D"/>
    <w:rsid w:val="00367A28"/>
    <w:rsid w:val="00367E04"/>
    <w:rsid w:val="003717A1"/>
    <w:rsid w:val="00372D35"/>
    <w:rsid w:val="00373FD0"/>
    <w:rsid w:val="003748E3"/>
    <w:rsid w:val="00374C5F"/>
    <w:rsid w:val="00374E01"/>
    <w:rsid w:val="003761F2"/>
    <w:rsid w:val="0037684B"/>
    <w:rsid w:val="00376A05"/>
    <w:rsid w:val="00377016"/>
    <w:rsid w:val="003771D2"/>
    <w:rsid w:val="003774FE"/>
    <w:rsid w:val="00381268"/>
    <w:rsid w:val="003820E2"/>
    <w:rsid w:val="00382A07"/>
    <w:rsid w:val="003855FC"/>
    <w:rsid w:val="003864EA"/>
    <w:rsid w:val="0038692A"/>
    <w:rsid w:val="00390AF4"/>
    <w:rsid w:val="00390E30"/>
    <w:rsid w:val="00390FA4"/>
    <w:rsid w:val="00391B7C"/>
    <w:rsid w:val="00392823"/>
    <w:rsid w:val="003938AC"/>
    <w:rsid w:val="00393ABE"/>
    <w:rsid w:val="00394234"/>
    <w:rsid w:val="0039458D"/>
    <w:rsid w:val="00394D61"/>
    <w:rsid w:val="00395201"/>
    <w:rsid w:val="00395F02"/>
    <w:rsid w:val="003A025A"/>
    <w:rsid w:val="003A05FC"/>
    <w:rsid w:val="003A06BE"/>
    <w:rsid w:val="003A192E"/>
    <w:rsid w:val="003A1F5A"/>
    <w:rsid w:val="003A20C4"/>
    <w:rsid w:val="003A2ECE"/>
    <w:rsid w:val="003A4252"/>
    <w:rsid w:val="003A470C"/>
    <w:rsid w:val="003A47D0"/>
    <w:rsid w:val="003A47F2"/>
    <w:rsid w:val="003A5032"/>
    <w:rsid w:val="003A539A"/>
    <w:rsid w:val="003A62A4"/>
    <w:rsid w:val="003A7476"/>
    <w:rsid w:val="003A7D86"/>
    <w:rsid w:val="003B0AA1"/>
    <w:rsid w:val="003B11C1"/>
    <w:rsid w:val="003B243D"/>
    <w:rsid w:val="003B3012"/>
    <w:rsid w:val="003B304F"/>
    <w:rsid w:val="003B515D"/>
    <w:rsid w:val="003B51F9"/>
    <w:rsid w:val="003B5785"/>
    <w:rsid w:val="003B5936"/>
    <w:rsid w:val="003B5D0C"/>
    <w:rsid w:val="003B5D18"/>
    <w:rsid w:val="003B63F1"/>
    <w:rsid w:val="003B795D"/>
    <w:rsid w:val="003C006C"/>
    <w:rsid w:val="003C1022"/>
    <w:rsid w:val="003C1457"/>
    <w:rsid w:val="003C26A6"/>
    <w:rsid w:val="003C26C1"/>
    <w:rsid w:val="003C2FA9"/>
    <w:rsid w:val="003C3452"/>
    <w:rsid w:val="003C3779"/>
    <w:rsid w:val="003C5699"/>
    <w:rsid w:val="003C5C11"/>
    <w:rsid w:val="003C5FDD"/>
    <w:rsid w:val="003C6296"/>
    <w:rsid w:val="003C6629"/>
    <w:rsid w:val="003C66EE"/>
    <w:rsid w:val="003C6A5A"/>
    <w:rsid w:val="003C6AAD"/>
    <w:rsid w:val="003C76E4"/>
    <w:rsid w:val="003C775E"/>
    <w:rsid w:val="003D120F"/>
    <w:rsid w:val="003D1727"/>
    <w:rsid w:val="003D1D4D"/>
    <w:rsid w:val="003D2D68"/>
    <w:rsid w:val="003D33B4"/>
    <w:rsid w:val="003D3682"/>
    <w:rsid w:val="003D37DD"/>
    <w:rsid w:val="003D45DF"/>
    <w:rsid w:val="003D47C6"/>
    <w:rsid w:val="003D5E68"/>
    <w:rsid w:val="003D7745"/>
    <w:rsid w:val="003D7E38"/>
    <w:rsid w:val="003D7EAC"/>
    <w:rsid w:val="003E1411"/>
    <w:rsid w:val="003E1AFA"/>
    <w:rsid w:val="003E2C94"/>
    <w:rsid w:val="003E350E"/>
    <w:rsid w:val="003E375F"/>
    <w:rsid w:val="003E379A"/>
    <w:rsid w:val="003E3CE3"/>
    <w:rsid w:val="003E52B0"/>
    <w:rsid w:val="003E5921"/>
    <w:rsid w:val="003E635F"/>
    <w:rsid w:val="003E64DC"/>
    <w:rsid w:val="003E70AC"/>
    <w:rsid w:val="003E7A43"/>
    <w:rsid w:val="003F0980"/>
    <w:rsid w:val="003F0B58"/>
    <w:rsid w:val="003F0D40"/>
    <w:rsid w:val="003F2236"/>
    <w:rsid w:val="003F26DC"/>
    <w:rsid w:val="003F27B7"/>
    <w:rsid w:val="003F34AF"/>
    <w:rsid w:val="003F4051"/>
    <w:rsid w:val="003F4868"/>
    <w:rsid w:val="003F5812"/>
    <w:rsid w:val="003F5878"/>
    <w:rsid w:val="003F625A"/>
    <w:rsid w:val="003F66BD"/>
    <w:rsid w:val="003F6AA4"/>
    <w:rsid w:val="003F6EA1"/>
    <w:rsid w:val="00400E4A"/>
    <w:rsid w:val="00401EAB"/>
    <w:rsid w:val="004028E7"/>
    <w:rsid w:val="00402E9A"/>
    <w:rsid w:val="004032A1"/>
    <w:rsid w:val="00403332"/>
    <w:rsid w:val="00403FA8"/>
    <w:rsid w:val="00404040"/>
    <w:rsid w:val="0040413D"/>
    <w:rsid w:val="00404213"/>
    <w:rsid w:val="004048AC"/>
    <w:rsid w:val="00404B8E"/>
    <w:rsid w:val="00405377"/>
    <w:rsid w:val="004057EF"/>
    <w:rsid w:val="00405C98"/>
    <w:rsid w:val="00405F7C"/>
    <w:rsid w:val="004068C2"/>
    <w:rsid w:val="00406C23"/>
    <w:rsid w:val="00406E61"/>
    <w:rsid w:val="00407DD6"/>
    <w:rsid w:val="00407F89"/>
    <w:rsid w:val="00410F67"/>
    <w:rsid w:val="00412559"/>
    <w:rsid w:val="00413973"/>
    <w:rsid w:val="004145F0"/>
    <w:rsid w:val="0041488E"/>
    <w:rsid w:val="00414CD0"/>
    <w:rsid w:val="0041503C"/>
    <w:rsid w:val="004150A8"/>
    <w:rsid w:val="00415353"/>
    <w:rsid w:val="00415E7F"/>
    <w:rsid w:val="00420288"/>
    <w:rsid w:val="00421673"/>
    <w:rsid w:val="00421793"/>
    <w:rsid w:val="00421A93"/>
    <w:rsid w:val="00421C78"/>
    <w:rsid w:val="00421DFA"/>
    <w:rsid w:val="004224CE"/>
    <w:rsid w:val="00423D5E"/>
    <w:rsid w:val="0042476E"/>
    <w:rsid w:val="00424A78"/>
    <w:rsid w:val="004254DB"/>
    <w:rsid w:val="004261D5"/>
    <w:rsid w:val="00427EEA"/>
    <w:rsid w:val="00430A0C"/>
    <w:rsid w:val="00431836"/>
    <w:rsid w:val="0043216C"/>
    <w:rsid w:val="004321E6"/>
    <w:rsid w:val="0043278E"/>
    <w:rsid w:val="004332A4"/>
    <w:rsid w:val="004339D8"/>
    <w:rsid w:val="004340D5"/>
    <w:rsid w:val="00434A5B"/>
    <w:rsid w:val="004357FA"/>
    <w:rsid w:val="00435E47"/>
    <w:rsid w:val="00435FB8"/>
    <w:rsid w:val="004360AC"/>
    <w:rsid w:val="00436B83"/>
    <w:rsid w:val="00436BE8"/>
    <w:rsid w:val="00441061"/>
    <w:rsid w:val="00441150"/>
    <w:rsid w:val="00441A72"/>
    <w:rsid w:val="00441E80"/>
    <w:rsid w:val="00442819"/>
    <w:rsid w:val="00442FE6"/>
    <w:rsid w:val="00444BF4"/>
    <w:rsid w:val="004451F4"/>
    <w:rsid w:val="0044560C"/>
    <w:rsid w:val="00446E21"/>
    <w:rsid w:val="00447CEB"/>
    <w:rsid w:val="00447FA0"/>
    <w:rsid w:val="004501A9"/>
    <w:rsid w:val="004501C9"/>
    <w:rsid w:val="00450C70"/>
    <w:rsid w:val="00451BB3"/>
    <w:rsid w:val="0045208F"/>
    <w:rsid w:val="00452D47"/>
    <w:rsid w:val="00453344"/>
    <w:rsid w:val="00454487"/>
    <w:rsid w:val="00454E76"/>
    <w:rsid w:val="00455C82"/>
    <w:rsid w:val="00457080"/>
    <w:rsid w:val="00457381"/>
    <w:rsid w:val="0045750B"/>
    <w:rsid w:val="00457634"/>
    <w:rsid w:val="00460891"/>
    <w:rsid w:val="004611C4"/>
    <w:rsid w:val="004631C2"/>
    <w:rsid w:val="00463327"/>
    <w:rsid w:val="0046345C"/>
    <w:rsid w:val="004637A9"/>
    <w:rsid w:val="004640FF"/>
    <w:rsid w:val="0046429F"/>
    <w:rsid w:val="004642C7"/>
    <w:rsid w:val="004647A6"/>
    <w:rsid w:val="00464FB2"/>
    <w:rsid w:val="004662A8"/>
    <w:rsid w:val="004666AD"/>
    <w:rsid w:val="00466CDC"/>
    <w:rsid w:val="0046745E"/>
    <w:rsid w:val="004677AC"/>
    <w:rsid w:val="00470357"/>
    <w:rsid w:val="00470403"/>
    <w:rsid w:val="004719B9"/>
    <w:rsid w:val="00472088"/>
    <w:rsid w:val="004725ED"/>
    <w:rsid w:val="0047348B"/>
    <w:rsid w:val="004736BE"/>
    <w:rsid w:val="00473CD7"/>
    <w:rsid w:val="00474438"/>
    <w:rsid w:val="0047556D"/>
    <w:rsid w:val="00475789"/>
    <w:rsid w:val="00476170"/>
    <w:rsid w:val="00476B4D"/>
    <w:rsid w:val="00477AA4"/>
    <w:rsid w:val="00477ADE"/>
    <w:rsid w:val="00477EDB"/>
    <w:rsid w:val="00477F86"/>
    <w:rsid w:val="004801D4"/>
    <w:rsid w:val="00480223"/>
    <w:rsid w:val="00480284"/>
    <w:rsid w:val="00481FB3"/>
    <w:rsid w:val="004820B0"/>
    <w:rsid w:val="00482117"/>
    <w:rsid w:val="00482E2F"/>
    <w:rsid w:val="00484003"/>
    <w:rsid w:val="00484BE0"/>
    <w:rsid w:val="004859B4"/>
    <w:rsid w:val="00486ACD"/>
    <w:rsid w:val="004872A0"/>
    <w:rsid w:val="00490B8D"/>
    <w:rsid w:val="004915CA"/>
    <w:rsid w:val="00491703"/>
    <w:rsid w:val="004917EC"/>
    <w:rsid w:val="00491AB0"/>
    <w:rsid w:val="0049255A"/>
    <w:rsid w:val="00492C65"/>
    <w:rsid w:val="00492F5D"/>
    <w:rsid w:val="004933D2"/>
    <w:rsid w:val="00493B70"/>
    <w:rsid w:val="0049403F"/>
    <w:rsid w:val="00494323"/>
    <w:rsid w:val="00494349"/>
    <w:rsid w:val="00494386"/>
    <w:rsid w:val="00494485"/>
    <w:rsid w:val="00494A58"/>
    <w:rsid w:val="00495D71"/>
    <w:rsid w:val="00495DBF"/>
    <w:rsid w:val="0049682B"/>
    <w:rsid w:val="0049762B"/>
    <w:rsid w:val="0049764C"/>
    <w:rsid w:val="004A03B3"/>
    <w:rsid w:val="004A05CE"/>
    <w:rsid w:val="004A0A2C"/>
    <w:rsid w:val="004A0F27"/>
    <w:rsid w:val="004A0F37"/>
    <w:rsid w:val="004A0F68"/>
    <w:rsid w:val="004A20A2"/>
    <w:rsid w:val="004A25C8"/>
    <w:rsid w:val="004A33CF"/>
    <w:rsid w:val="004A3608"/>
    <w:rsid w:val="004A3ACD"/>
    <w:rsid w:val="004A475B"/>
    <w:rsid w:val="004A47E8"/>
    <w:rsid w:val="004A4CF5"/>
    <w:rsid w:val="004A4FBD"/>
    <w:rsid w:val="004A5480"/>
    <w:rsid w:val="004A6FD3"/>
    <w:rsid w:val="004A76FF"/>
    <w:rsid w:val="004A7810"/>
    <w:rsid w:val="004A7E93"/>
    <w:rsid w:val="004B01A5"/>
    <w:rsid w:val="004B021E"/>
    <w:rsid w:val="004B0472"/>
    <w:rsid w:val="004B0C03"/>
    <w:rsid w:val="004B0D78"/>
    <w:rsid w:val="004B1409"/>
    <w:rsid w:val="004B1767"/>
    <w:rsid w:val="004B1905"/>
    <w:rsid w:val="004B1C77"/>
    <w:rsid w:val="004B23A5"/>
    <w:rsid w:val="004B242B"/>
    <w:rsid w:val="004B3880"/>
    <w:rsid w:val="004B3CFB"/>
    <w:rsid w:val="004B5760"/>
    <w:rsid w:val="004B5D6B"/>
    <w:rsid w:val="004B6388"/>
    <w:rsid w:val="004B6A1F"/>
    <w:rsid w:val="004B76F8"/>
    <w:rsid w:val="004C1FA6"/>
    <w:rsid w:val="004C27B1"/>
    <w:rsid w:val="004C2869"/>
    <w:rsid w:val="004C2C74"/>
    <w:rsid w:val="004C30DF"/>
    <w:rsid w:val="004C3241"/>
    <w:rsid w:val="004C408B"/>
    <w:rsid w:val="004C4B0A"/>
    <w:rsid w:val="004C4D45"/>
    <w:rsid w:val="004C4E00"/>
    <w:rsid w:val="004C51D0"/>
    <w:rsid w:val="004C5CFD"/>
    <w:rsid w:val="004C6489"/>
    <w:rsid w:val="004C6A99"/>
    <w:rsid w:val="004C6FFA"/>
    <w:rsid w:val="004D0252"/>
    <w:rsid w:val="004D04DC"/>
    <w:rsid w:val="004D0C83"/>
    <w:rsid w:val="004D0CEB"/>
    <w:rsid w:val="004D1129"/>
    <w:rsid w:val="004D12C0"/>
    <w:rsid w:val="004D18EA"/>
    <w:rsid w:val="004D2B29"/>
    <w:rsid w:val="004D3713"/>
    <w:rsid w:val="004D3A50"/>
    <w:rsid w:val="004D40FB"/>
    <w:rsid w:val="004D4FAD"/>
    <w:rsid w:val="004D57B5"/>
    <w:rsid w:val="004D6254"/>
    <w:rsid w:val="004D70FD"/>
    <w:rsid w:val="004D7878"/>
    <w:rsid w:val="004D79F6"/>
    <w:rsid w:val="004D7E99"/>
    <w:rsid w:val="004E00CE"/>
    <w:rsid w:val="004E087F"/>
    <w:rsid w:val="004E0D18"/>
    <w:rsid w:val="004E14CD"/>
    <w:rsid w:val="004E15E4"/>
    <w:rsid w:val="004E1663"/>
    <w:rsid w:val="004E2B2C"/>
    <w:rsid w:val="004E2BDB"/>
    <w:rsid w:val="004E307B"/>
    <w:rsid w:val="004E46FD"/>
    <w:rsid w:val="004F0187"/>
    <w:rsid w:val="004F0416"/>
    <w:rsid w:val="004F0966"/>
    <w:rsid w:val="004F1BB5"/>
    <w:rsid w:val="004F1BC4"/>
    <w:rsid w:val="004F1E07"/>
    <w:rsid w:val="004F2412"/>
    <w:rsid w:val="004F50AF"/>
    <w:rsid w:val="004F5B33"/>
    <w:rsid w:val="004F681D"/>
    <w:rsid w:val="004F6E14"/>
    <w:rsid w:val="004F7E2F"/>
    <w:rsid w:val="00501148"/>
    <w:rsid w:val="00501FFC"/>
    <w:rsid w:val="0050228C"/>
    <w:rsid w:val="005022E6"/>
    <w:rsid w:val="00502857"/>
    <w:rsid w:val="005031A3"/>
    <w:rsid w:val="005044A9"/>
    <w:rsid w:val="00504A36"/>
    <w:rsid w:val="00504DB0"/>
    <w:rsid w:val="00504F68"/>
    <w:rsid w:val="0050527D"/>
    <w:rsid w:val="005054DC"/>
    <w:rsid w:val="00505994"/>
    <w:rsid w:val="00505A6F"/>
    <w:rsid w:val="00505FD4"/>
    <w:rsid w:val="005062F0"/>
    <w:rsid w:val="00506CF3"/>
    <w:rsid w:val="00506E25"/>
    <w:rsid w:val="00507069"/>
    <w:rsid w:val="00507536"/>
    <w:rsid w:val="00507A41"/>
    <w:rsid w:val="00510381"/>
    <w:rsid w:val="0051132C"/>
    <w:rsid w:val="005116E5"/>
    <w:rsid w:val="005119D0"/>
    <w:rsid w:val="00511F3A"/>
    <w:rsid w:val="00512585"/>
    <w:rsid w:val="00512FDD"/>
    <w:rsid w:val="00513483"/>
    <w:rsid w:val="0051365F"/>
    <w:rsid w:val="00513820"/>
    <w:rsid w:val="00513965"/>
    <w:rsid w:val="00514715"/>
    <w:rsid w:val="00514A55"/>
    <w:rsid w:val="00514EF5"/>
    <w:rsid w:val="00516CE5"/>
    <w:rsid w:val="0051782D"/>
    <w:rsid w:val="00520236"/>
    <w:rsid w:val="0052087E"/>
    <w:rsid w:val="0052315E"/>
    <w:rsid w:val="00523B73"/>
    <w:rsid w:val="005248DF"/>
    <w:rsid w:val="00525099"/>
    <w:rsid w:val="00525B3B"/>
    <w:rsid w:val="00526E75"/>
    <w:rsid w:val="0053005C"/>
    <w:rsid w:val="00530ED3"/>
    <w:rsid w:val="00531542"/>
    <w:rsid w:val="00532D47"/>
    <w:rsid w:val="00532FB4"/>
    <w:rsid w:val="00533D2D"/>
    <w:rsid w:val="0053438E"/>
    <w:rsid w:val="005343E5"/>
    <w:rsid w:val="005346B7"/>
    <w:rsid w:val="0053488B"/>
    <w:rsid w:val="005354B5"/>
    <w:rsid w:val="005355EE"/>
    <w:rsid w:val="00535B16"/>
    <w:rsid w:val="005366D0"/>
    <w:rsid w:val="005370B8"/>
    <w:rsid w:val="00537E27"/>
    <w:rsid w:val="00540223"/>
    <w:rsid w:val="00540517"/>
    <w:rsid w:val="00540B4D"/>
    <w:rsid w:val="00540D53"/>
    <w:rsid w:val="00540FFA"/>
    <w:rsid w:val="0054156B"/>
    <w:rsid w:val="00541CBC"/>
    <w:rsid w:val="005422ED"/>
    <w:rsid w:val="005423E4"/>
    <w:rsid w:val="00542930"/>
    <w:rsid w:val="005435B3"/>
    <w:rsid w:val="00543CEB"/>
    <w:rsid w:val="00544014"/>
    <w:rsid w:val="005454D7"/>
    <w:rsid w:val="005454E2"/>
    <w:rsid w:val="00545568"/>
    <w:rsid w:val="00545C33"/>
    <w:rsid w:val="005464FD"/>
    <w:rsid w:val="00546874"/>
    <w:rsid w:val="00547D36"/>
    <w:rsid w:val="00550849"/>
    <w:rsid w:val="00550866"/>
    <w:rsid w:val="005509DA"/>
    <w:rsid w:val="00550A01"/>
    <w:rsid w:val="00551CBF"/>
    <w:rsid w:val="00552580"/>
    <w:rsid w:val="00552FFA"/>
    <w:rsid w:val="00553EE0"/>
    <w:rsid w:val="00554BF3"/>
    <w:rsid w:val="005550D3"/>
    <w:rsid w:val="0055655F"/>
    <w:rsid w:val="0055657D"/>
    <w:rsid w:val="00556674"/>
    <w:rsid w:val="00557315"/>
    <w:rsid w:val="005574B1"/>
    <w:rsid w:val="005579B9"/>
    <w:rsid w:val="00560D0D"/>
    <w:rsid w:val="00561876"/>
    <w:rsid w:val="00562028"/>
    <w:rsid w:val="005632F1"/>
    <w:rsid w:val="005644AD"/>
    <w:rsid w:val="00564EA9"/>
    <w:rsid w:val="00565FB1"/>
    <w:rsid w:val="005662FB"/>
    <w:rsid w:val="00567781"/>
    <w:rsid w:val="00567ECC"/>
    <w:rsid w:val="0057019C"/>
    <w:rsid w:val="005704B8"/>
    <w:rsid w:val="00570F73"/>
    <w:rsid w:val="005713B1"/>
    <w:rsid w:val="005714DA"/>
    <w:rsid w:val="005715E9"/>
    <w:rsid w:val="00571632"/>
    <w:rsid w:val="00571AB7"/>
    <w:rsid w:val="0057363E"/>
    <w:rsid w:val="005746F4"/>
    <w:rsid w:val="005756D9"/>
    <w:rsid w:val="00575D33"/>
    <w:rsid w:val="0057624B"/>
    <w:rsid w:val="0057644D"/>
    <w:rsid w:val="0057649A"/>
    <w:rsid w:val="00581446"/>
    <w:rsid w:val="005821F7"/>
    <w:rsid w:val="00583090"/>
    <w:rsid w:val="005835F4"/>
    <w:rsid w:val="00583EFE"/>
    <w:rsid w:val="00584076"/>
    <w:rsid w:val="005840E9"/>
    <w:rsid w:val="005841A3"/>
    <w:rsid w:val="00584ECF"/>
    <w:rsid w:val="00586D9A"/>
    <w:rsid w:val="00590EAE"/>
    <w:rsid w:val="0059112A"/>
    <w:rsid w:val="0059116B"/>
    <w:rsid w:val="00591B65"/>
    <w:rsid w:val="005925BA"/>
    <w:rsid w:val="00592786"/>
    <w:rsid w:val="00592A14"/>
    <w:rsid w:val="00593216"/>
    <w:rsid w:val="00593327"/>
    <w:rsid w:val="005947DE"/>
    <w:rsid w:val="00594BC3"/>
    <w:rsid w:val="00594DDF"/>
    <w:rsid w:val="0059578E"/>
    <w:rsid w:val="00596CA7"/>
    <w:rsid w:val="00596DC8"/>
    <w:rsid w:val="00596E16"/>
    <w:rsid w:val="00597A78"/>
    <w:rsid w:val="00597DC7"/>
    <w:rsid w:val="005A127A"/>
    <w:rsid w:val="005A1363"/>
    <w:rsid w:val="005A16A3"/>
    <w:rsid w:val="005A17C4"/>
    <w:rsid w:val="005A1C48"/>
    <w:rsid w:val="005A253A"/>
    <w:rsid w:val="005A2AD8"/>
    <w:rsid w:val="005A2B79"/>
    <w:rsid w:val="005A2C7C"/>
    <w:rsid w:val="005A2DBB"/>
    <w:rsid w:val="005A3152"/>
    <w:rsid w:val="005A40AF"/>
    <w:rsid w:val="005A6029"/>
    <w:rsid w:val="005A6395"/>
    <w:rsid w:val="005A64BF"/>
    <w:rsid w:val="005A7048"/>
    <w:rsid w:val="005A7FAC"/>
    <w:rsid w:val="005B0565"/>
    <w:rsid w:val="005B09A5"/>
    <w:rsid w:val="005B0B2A"/>
    <w:rsid w:val="005B0CC3"/>
    <w:rsid w:val="005B0CFE"/>
    <w:rsid w:val="005B2069"/>
    <w:rsid w:val="005B4220"/>
    <w:rsid w:val="005B4421"/>
    <w:rsid w:val="005B4886"/>
    <w:rsid w:val="005B513F"/>
    <w:rsid w:val="005B613A"/>
    <w:rsid w:val="005B7483"/>
    <w:rsid w:val="005B7729"/>
    <w:rsid w:val="005B789C"/>
    <w:rsid w:val="005B7929"/>
    <w:rsid w:val="005C007D"/>
    <w:rsid w:val="005C0643"/>
    <w:rsid w:val="005C1500"/>
    <w:rsid w:val="005C15BB"/>
    <w:rsid w:val="005C23AF"/>
    <w:rsid w:val="005C25AD"/>
    <w:rsid w:val="005C25D1"/>
    <w:rsid w:val="005C2C4F"/>
    <w:rsid w:val="005C35A9"/>
    <w:rsid w:val="005C364B"/>
    <w:rsid w:val="005C4509"/>
    <w:rsid w:val="005C464B"/>
    <w:rsid w:val="005C4E5F"/>
    <w:rsid w:val="005C734C"/>
    <w:rsid w:val="005C74A0"/>
    <w:rsid w:val="005D052C"/>
    <w:rsid w:val="005D096C"/>
    <w:rsid w:val="005D0BD6"/>
    <w:rsid w:val="005D1122"/>
    <w:rsid w:val="005D16FE"/>
    <w:rsid w:val="005D18F1"/>
    <w:rsid w:val="005D1BB5"/>
    <w:rsid w:val="005D2A74"/>
    <w:rsid w:val="005D3123"/>
    <w:rsid w:val="005D4084"/>
    <w:rsid w:val="005D423E"/>
    <w:rsid w:val="005D4777"/>
    <w:rsid w:val="005D4C2B"/>
    <w:rsid w:val="005D4EF0"/>
    <w:rsid w:val="005D5784"/>
    <w:rsid w:val="005D682D"/>
    <w:rsid w:val="005D6B02"/>
    <w:rsid w:val="005D7F61"/>
    <w:rsid w:val="005E0008"/>
    <w:rsid w:val="005E0ED0"/>
    <w:rsid w:val="005E22CD"/>
    <w:rsid w:val="005E43F5"/>
    <w:rsid w:val="005E5247"/>
    <w:rsid w:val="005E57DB"/>
    <w:rsid w:val="005E5B9F"/>
    <w:rsid w:val="005E5E00"/>
    <w:rsid w:val="005E6B93"/>
    <w:rsid w:val="005E791A"/>
    <w:rsid w:val="005E7953"/>
    <w:rsid w:val="005E7C7A"/>
    <w:rsid w:val="005E7E82"/>
    <w:rsid w:val="005E7F74"/>
    <w:rsid w:val="005F0057"/>
    <w:rsid w:val="005F0E41"/>
    <w:rsid w:val="005F0F4B"/>
    <w:rsid w:val="005F2586"/>
    <w:rsid w:val="005F2C42"/>
    <w:rsid w:val="005F44F6"/>
    <w:rsid w:val="005F51EB"/>
    <w:rsid w:val="005F56D9"/>
    <w:rsid w:val="005F5A0C"/>
    <w:rsid w:val="005F5A99"/>
    <w:rsid w:val="005F6BAB"/>
    <w:rsid w:val="005F6C28"/>
    <w:rsid w:val="005F6E5C"/>
    <w:rsid w:val="005F77CF"/>
    <w:rsid w:val="005F7AB6"/>
    <w:rsid w:val="005F7E3C"/>
    <w:rsid w:val="00600FA8"/>
    <w:rsid w:val="00601CA0"/>
    <w:rsid w:val="006020BC"/>
    <w:rsid w:val="006028CC"/>
    <w:rsid w:val="00602E27"/>
    <w:rsid w:val="00603E8F"/>
    <w:rsid w:val="00605932"/>
    <w:rsid w:val="006059EC"/>
    <w:rsid w:val="00605ECB"/>
    <w:rsid w:val="006061EC"/>
    <w:rsid w:val="006063DA"/>
    <w:rsid w:val="00606CD0"/>
    <w:rsid w:val="00606CE3"/>
    <w:rsid w:val="006079CB"/>
    <w:rsid w:val="0061005F"/>
    <w:rsid w:val="00610F8B"/>
    <w:rsid w:val="00611960"/>
    <w:rsid w:val="00611AA6"/>
    <w:rsid w:val="00611DD3"/>
    <w:rsid w:val="00611EF0"/>
    <w:rsid w:val="00612219"/>
    <w:rsid w:val="006129D7"/>
    <w:rsid w:val="00612E04"/>
    <w:rsid w:val="006143DD"/>
    <w:rsid w:val="00614766"/>
    <w:rsid w:val="00614D21"/>
    <w:rsid w:val="00614FAC"/>
    <w:rsid w:val="00615435"/>
    <w:rsid w:val="00615765"/>
    <w:rsid w:val="00615AC7"/>
    <w:rsid w:val="00615DBD"/>
    <w:rsid w:val="0061622D"/>
    <w:rsid w:val="00616CCD"/>
    <w:rsid w:val="0061707E"/>
    <w:rsid w:val="006172E4"/>
    <w:rsid w:val="006173A4"/>
    <w:rsid w:val="00617BC7"/>
    <w:rsid w:val="00617C44"/>
    <w:rsid w:val="00620086"/>
    <w:rsid w:val="00621299"/>
    <w:rsid w:val="00621BF1"/>
    <w:rsid w:val="00622074"/>
    <w:rsid w:val="00622CE4"/>
    <w:rsid w:val="006234A7"/>
    <w:rsid w:val="00623B75"/>
    <w:rsid w:val="00623E7C"/>
    <w:rsid w:val="00623F8E"/>
    <w:rsid w:val="00624634"/>
    <w:rsid w:val="00625917"/>
    <w:rsid w:val="0062789F"/>
    <w:rsid w:val="006301BE"/>
    <w:rsid w:val="0063096E"/>
    <w:rsid w:val="006316B5"/>
    <w:rsid w:val="00632D7B"/>
    <w:rsid w:val="00632DB2"/>
    <w:rsid w:val="00633349"/>
    <w:rsid w:val="00633D61"/>
    <w:rsid w:val="0063402B"/>
    <w:rsid w:val="00634C44"/>
    <w:rsid w:val="00636570"/>
    <w:rsid w:val="00636A10"/>
    <w:rsid w:val="0063746F"/>
    <w:rsid w:val="00637859"/>
    <w:rsid w:val="00637901"/>
    <w:rsid w:val="00637E1B"/>
    <w:rsid w:val="006402DF"/>
    <w:rsid w:val="0064164B"/>
    <w:rsid w:val="00643F0C"/>
    <w:rsid w:val="0064416A"/>
    <w:rsid w:val="00644468"/>
    <w:rsid w:val="00645321"/>
    <w:rsid w:val="00645F5E"/>
    <w:rsid w:val="00646E9A"/>
    <w:rsid w:val="00647976"/>
    <w:rsid w:val="00647B1E"/>
    <w:rsid w:val="00647C53"/>
    <w:rsid w:val="00647C55"/>
    <w:rsid w:val="00647E0C"/>
    <w:rsid w:val="0065008B"/>
    <w:rsid w:val="0065024F"/>
    <w:rsid w:val="00650AF0"/>
    <w:rsid w:val="00653721"/>
    <w:rsid w:val="00653A3B"/>
    <w:rsid w:val="00653FD9"/>
    <w:rsid w:val="00654313"/>
    <w:rsid w:val="006543A2"/>
    <w:rsid w:val="00654CC8"/>
    <w:rsid w:val="00654D42"/>
    <w:rsid w:val="00654EEB"/>
    <w:rsid w:val="00656328"/>
    <w:rsid w:val="00656F61"/>
    <w:rsid w:val="00657906"/>
    <w:rsid w:val="00660279"/>
    <w:rsid w:val="00660A94"/>
    <w:rsid w:val="0066153D"/>
    <w:rsid w:val="00661DB4"/>
    <w:rsid w:val="00661E1F"/>
    <w:rsid w:val="00661E60"/>
    <w:rsid w:val="006622B9"/>
    <w:rsid w:val="00662E1E"/>
    <w:rsid w:val="0066371E"/>
    <w:rsid w:val="00663CC1"/>
    <w:rsid w:val="00663CF8"/>
    <w:rsid w:val="0066455B"/>
    <w:rsid w:val="006649D7"/>
    <w:rsid w:val="00665E2F"/>
    <w:rsid w:val="00667940"/>
    <w:rsid w:val="00667957"/>
    <w:rsid w:val="00667F51"/>
    <w:rsid w:val="00670B08"/>
    <w:rsid w:val="00670BC4"/>
    <w:rsid w:val="006718ED"/>
    <w:rsid w:val="00672160"/>
    <w:rsid w:val="006724AD"/>
    <w:rsid w:val="00672BAB"/>
    <w:rsid w:val="0067314A"/>
    <w:rsid w:val="0067399E"/>
    <w:rsid w:val="00673A68"/>
    <w:rsid w:val="00673D1E"/>
    <w:rsid w:val="0067557E"/>
    <w:rsid w:val="00675B93"/>
    <w:rsid w:val="00675D4A"/>
    <w:rsid w:val="00675E9D"/>
    <w:rsid w:val="00676A2F"/>
    <w:rsid w:val="006779CF"/>
    <w:rsid w:val="00677A8F"/>
    <w:rsid w:val="00677D63"/>
    <w:rsid w:val="00677F8A"/>
    <w:rsid w:val="00680180"/>
    <w:rsid w:val="00680A7C"/>
    <w:rsid w:val="00682184"/>
    <w:rsid w:val="006821E3"/>
    <w:rsid w:val="0068261F"/>
    <w:rsid w:val="00683840"/>
    <w:rsid w:val="00683AD6"/>
    <w:rsid w:val="00683E11"/>
    <w:rsid w:val="00683EED"/>
    <w:rsid w:val="006842AE"/>
    <w:rsid w:val="00684AC2"/>
    <w:rsid w:val="00686022"/>
    <w:rsid w:val="00686B15"/>
    <w:rsid w:val="006875BA"/>
    <w:rsid w:val="0069097D"/>
    <w:rsid w:val="00692221"/>
    <w:rsid w:val="00693977"/>
    <w:rsid w:val="00693BEF"/>
    <w:rsid w:val="00693F4F"/>
    <w:rsid w:val="00693FEA"/>
    <w:rsid w:val="0069493B"/>
    <w:rsid w:val="00694A38"/>
    <w:rsid w:val="00694C68"/>
    <w:rsid w:val="00694F3E"/>
    <w:rsid w:val="00695FF3"/>
    <w:rsid w:val="006A06C5"/>
    <w:rsid w:val="006A1395"/>
    <w:rsid w:val="006A36E3"/>
    <w:rsid w:val="006A388B"/>
    <w:rsid w:val="006A484F"/>
    <w:rsid w:val="006A5773"/>
    <w:rsid w:val="006A5804"/>
    <w:rsid w:val="006A58F0"/>
    <w:rsid w:val="006A6262"/>
    <w:rsid w:val="006A67D2"/>
    <w:rsid w:val="006A6EF2"/>
    <w:rsid w:val="006A78A7"/>
    <w:rsid w:val="006A7A16"/>
    <w:rsid w:val="006B010D"/>
    <w:rsid w:val="006B0372"/>
    <w:rsid w:val="006B0662"/>
    <w:rsid w:val="006B0764"/>
    <w:rsid w:val="006B081C"/>
    <w:rsid w:val="006B1542"/>
    <w:rsid w:val="006B1CB4"/>
    <w:rsid w:val="006B255B"/>
    <w:rsid w:val="006B2D0D"/>
    <w:rsid w:val="006B4467"/>
    <w:rsid w:val="006B4F6B"/>
    <w:rsid w:val="006B528A"/>
    <w:rsid w:val="006B53EE"/>
    <w:rsid w:val="006B6C46"/>
    <w:rsid w:val="006B6CBC"/>
    <w:rsid w:val="006B6E78"/>
    <w:rsid w:val="006B72C8"/>
    <w:rsid w:val="006B7970"/>
    <w:rsid w:val="006C0039"/>
    <w:rsid w:val="006C12CF"/>
    <w:rsid w:val="006C1927"/>
    <w:rsid w:val="006C2585"/>
    <w:rsid w:val="006C4008"/>
    <w:rsid w:val="006C43D5"/>
    <w:rsid w:val="006C4E2C"/>
    <w:rsid w:val="006C5931"/>
    <w:rsid w:val="006C6BB5"/>
    <w:rsid w:val="006C73BB"/>
    <w:rsid w:val="006C73EF"/>
    <w:rsid w:val="006D0EBB"/>
    <w:rsid w:val="006D1717"/>
    <w:rsid w:val="006D1723"/>
    <w:rsid w:val="006D1B16"/>
    <w:rsid w:val="006D1BA4"/>
    <w:rsid w:val="006D2D3D"/>
    <w:rsid w:val="006D5355"/>
    <w:rsid w:val="006D5D3F"/>
    <w:rsid w:val="006D60ED"/>
    <w:rsid w:val="006D688F"/>
    <w:rsid w:val="006D70D1"/>
    <w:rsid w:val="006D7CF2"/>
    <w:rsid w:val="006E07FD"/>
    <w:rsid w:val="006E0DBB"/>
    <w:rsid w:val="006E1166"/>
    <w:rsid w:val="006E20E2"/>
    <w:rsid w:val="006E24D9"/>
    <w:rsid w:val="006E24FA"/>
    <w:rsid w:val="006E25BA"/>
    <w:rsid w:val="006E27A5"/>
    <w:rsid w:val="006E3C11"/>
    <w:rsid w:val="006E596E"/>
    <w:rsid w:val="006E65E0"/>
    <w:rsid w:val="006E7230"/>
    <w:rsid w:val="006E77B7"/>
    <w:rsid w:val="006F033F"/>
    <w:rsid w:val="006F03AA"/>
    <w:rsid w:val="006F0529"/>
    <w:rsid w:val="006F05C3"/>
    <w:rsid w:val="006F1565"/>
    <w:rsid w:val="006F24D8"/>
    <w:rsid w:val="006F286F"/>
    <w:rsid w:val="006F3082"/>
    <w:rsid w:val="006F33B8"/>
    <w:rsid w:val="006F4690"/>
    <w:rsid w:val="006F4A4F"/>
    <w:rsid w:val="006F4C9C"/>
    <w:rsid w:val="006F53BD"/>
    <w:rsid w:val="006F5F30"/>
    <w:rsid w:val="006F640F"/>
    <w:rsid w:val="006F66B4"/>
    <w:rsid w:val="006F6FE1"/>
    <w:rsid w:val="006F71BF"/>
    <w:rsid w:val="006F762A"/>
    <w:rsid w:val="00700664"/>
    <w:rsid w:val="00700665"/>
    <w:rsid w:val="00700CF0"/>
    <w:rsid w:val="00701185"/>
    <w:rsid w:val="00701B6B"/>
    <w:rsid w:val="00701DFA"/>
    <w:rsid w:val="007026CB"/>
    <w:rsid w:val="00702D07"/>
    <w:rsid w:val="00702ED3"/>
    <w:rsid w:val="0070384F"/>
    <w:rsid w:val="00703901"/>
    <w:rsid w:val="00703A9E"/>
    <w:rsid w:val="00703C58"/>
    <w:rsid w:val="00703D6D"/>
    <w:rsid w:val="00704095"/>
    <w:rsid w:val="00704152"/>
    <w:rsid w:val="00704FB5"/>
    <w:rsid w:val="00706B71"/>
    <w:rsid w:val="007070E4"/>
    <w:rsid w:val="0071022A"/>
    <w:rsid w:val="007112B9"/>
    <w:rsid w:val="00711918"/>
    <w:rsid w:val="007124A0"/>
    <w:rsid w:val="0071277A"/>
    <w:rsid w:val="00712EE5"/>
    <w:rsid w:val="00713159"/>
    <w:rsid w:val="00713493"/>
    <w:rsid w:val="00713494"/>
    <w:rsid w:val="00713EA7"/>
    <w:rsid w:val="00714031"/>
    <w:rsid w:val="007142F9"/>
    <w:rsid w:val="0071466E"/>
    <w:rsid w:val="00714A6C"/>
    <w:rsid w:val="00714CD3"/>
    <w:rsid w:val="00714FD8"/>
    <w:rsid w:val="00715115"/>
    <w:rsid w:val="00715478"/>
    <w:rsid w:val="0071552F"/>
    <w:rsid w:val="0071582C"/>
    <w:rsid w:val="00715D1C"/>
    <w:rsid w:val="0071616B"/>
    <w:rsid w:val="00716174"/>
    <w:rsid w:val="007176AB"/>
    <w:rsid w:val="007203D8"/>
    <w:rsid w:val="00720596"/>
    <w:rsid w:val="007206A8"/>
    <w:rsid w:val="00720BB3"/>
    <w:rsid w:val="0072116D"/>
    <w:rsid w:val="0072226F"/>
    <w:rsid w:val="00722684"/>
    <w:rsid w:val="00722AC2"/>
    <w:rsid w:val="00724721"/>
    <w:rsid w:val="00724FF6"/>
    <w:rsid w:val="00725B78"/>
    <w:rsid w:val="0072638D"/>
    <w:rsid w:val="007263CC"/>
    <w:rsid w:val="00726F20"/>
    <w:rsid w:val="00727082"/>
    <w:rsid w:val="00730010"/>
    <w:rsid w:val="007300B3"/>
    <w:rsid w:val="00730A18"/>
    <w:rsid w:val="00730DC2"/>
    <w:rsid w:val="0073233C"/>
    <w:rsid w:val="007327D3"/>
    <w:rsid w:val="00732CCD"/>
    <w:rsid w:val="00732D0C"/>
    <w:rsid w:val="00733EAD"/>
    <w:rsid w:val="00734A36"/>
    <w:rsid w:val="00734F54"/>
    <w:rsid w:val="007352EC"/>
    <w:rsid w:val="00735E58"/>
    <w:rsid w:val="007360DB"/>
    <w:rsid w:val="00736D93"/>
    <w:rsid w:val="00737C04"/>
    <w:rsid w:val="00737F64"/>
    <w:rsid w:val="007422C9"/>
    <w:rsid w:val="00743A23"/>
    <w:rsid w:val="00743BDE"/>
    <w:rsid w:val="00744110"/>
    <w:rsid w:val="00744595"/>
    <w:rsid w:val="00744F25"/>
    <w:rsid w:val="0074546E"/>
    <w:rsid w:val="007459F5"/>
    <w:rsid w:val="0074695A"/>
    <w:rsid w:val="00747A52"/>
    <w:rsid w:val="0075059D"/>
    <w:rsid w:val="00750F1E"/>
    <w:rsid w:val="00751171"/>
    <w:rsid w:val="0075126B"/>
    <w:rsid w:val="00751AE1"/>
    <w:rsid w:val="00751C12"/>
    <w:rsid w:val="00752691"/>
    <w:rsid w:val="007528F2"/>
    <w:rsid w:val="00752A09"/>
    <w:rsid w:val="00754403"/>
    <w:rsid w:val="00754EE3"/>
    <w:rsid w:val="00755FEE"/>
    <w:rsid w:val="0075713E"/>
    <w:rsid w:val="007575C4"/>
    <w:rsid w:val="00757D63"/>
    <w:rsid w:val="00760D8C"/>
    <w:rsid w:val="00760E33"/>
    <w:rsid w:val="0076176A"/>
    <w:rsid w:val="00761C40"/>
    <w:rsid w:val="00762A1B"/>
    <w:rsid w:val="00762D6D"/>
    <w:rsid w:val="00763700"/>
    <w:rsid w:val="00763D7D"/>
    <w:rsid w:val="007641EC"/>
    <w:rsid w:val="0076427C"/>
    <w:rsid w:val="00765217"/>
    <w:rsid w:val="0076545C"/>
    <w:rsid w:val="007659AA"/>
    <w:rsid w:val="00765D27"/>
    <w:rsid w:val="00765E5E"/>
    <w:rsid w:val="00766334"/>
    <w:rsid w:val="00766BB0"/>
    <w:rsid w:val="00766F3E"/>
    <w:rsid w:val="0076714F"/>
    <w:rsid w:val="007671E2"/>
    <w:rsid w:val="00767692"/>
    <w:rsid w:val="007709EA"/>
    <w:rsid w:val="007716ED"/>
    <w:rsid w:val="0077266C"/>
    <w:rsid w:val="0077278D"/>
    <w:rsid w:val="00772802"/>
    <w:rsid w:val="0077286C"/>
    <w:rsid w:val="00774485"/>
    <w:rsid w:val="007745E1"/>
    <w:rsid w:val="007749C1"/>
    <w:rsid w:val="00774B0F"/>
    <w:rsid w:val="00774D8B"/>
    <w:rsid w:val="00775066"/>
    <w:rsid w:val="00776406"/>
    <w:rsid w:val="00776736"/>
    <w:rsid w:val="0078005A"/>
    <w:rsid w:val="00780273"/>
    <w:rsid w:val="00780525"/>
    <w:rsid w:val="007806F8"/>
    <w:rsid w:val="00780A00"/>
    <w:rsid w:val="00780D93"/>
    <w:rsid w:val="00780E17"/>
    <w:rsid w:val="00780E84"/>
    <w:rsid w:val="00781B6F"/>
    <w:rsid w:val="00781F9C"/>
    <w:rsid w:val="007820ED"/>
    <w:rsid w:val="00782DFD"/>
    <w:rsid w:val="00782E0A"/>
    <w:rsid w:val="00784424"/>
    <w:rsid w:val="007846AF"/>
    <w:rsid w:val="00785474"/>
    <w:rsid w:val="00785808"/>
    <w:rsid w:val="00785B2F"/>
    <w:rsid w:val="0078772C"/>
    <w:rsid w:val="00787753"/>
    <w:rsid w:val="0078778F"/>
    <w:rsid w:val="00787B99"/>
    <w:rsid w:val="007907C8"/>
    <w:rsid w:val="0079114E"/>
    <w:rsid w:val="007923AC"/>
    <w:rsid w:val="007925B6"/>
    <w:rsid w:val="007934F5"/>
    <w:rsid w:val="0079421C"/>
    <w:rsid w:val="00794623"/>
    <w:rsid w:val="0079526D"/>
    <w:rsid w:val="0079538C"/>
    <w:rsid w:val="0079552E"/>
    <w:rsid w:val="00795A2C"/>
    <w:rsid w:val="00797309"/>
    <w:rsid w:val="00797390"/>
    <w:rsid w:val="007A00D0"/>
    <w:rsid w:val="007A05B6"/>
    <w:rsid w:val="007A0898"/>
    <w:rsid w:val="007A1058"/>
    <w:rsid w:val="007A1C0A"/>
    <w:rsid w:val="007A1C59"/>
    <w:rsid w:val="007A2ABF"/>
    <w:rsid w:val="007A3278"/>
    <w:rsid w:val="007A3C9C"/>
    <w:rsid w:val="007A4397"/>
    <w:rsid w:val="007A5B41"/>
    <w:rsid w:val="007A604D"/>
    <w:rsid w:val="007A7235"/>
    <w:rsid w:val="007B002C"/>
    <w:rsid w:val="007B06C3"/>
    <w:rsid w:val="007B25FA"/>
    <w:rsid w:val="007B2F70"/>
    <w:rsid w:val="007B3A76"/>
    <w:rsid w:val="007B3FAF"/>
    <w:rsid w:val="007B4BAA"/>
    <w:rsid w:val="007B5792"/>
    <w:rsid w:val="007B5B8F"/>
    <w:rsid w:val="007B5D88"/>
    <w:rsid w:val="007B6301"/>
    <w:rsid w:val="007C0164"/>
    <w:rsid w:val="007C17B5"/>
    <w:rsid w:val="007C1EE0"/>
    <w:rsid w:val="007C2577"/>
    <w:rsid w:val="007C25C0"/>
    <w:rsid w:val="007C2934"/>
    <w:rsid w:val="007C31E2"/>
    <w:rsid w:val="007C35E0"/>
    <w:rsid w:val="007C4F49"/>
    <w:rsid w:val="007C5CE1"/>
    <w:rsid w:val="007C6A24"/>
    <w:rsid w:val="007C6DD6"/>
    <w:rsid w:val="007C6F85"/>
    <w:rsid w:val="007C6FD7"/>
    <w:rsid w:val="007C7FE9"/>
    <w:rsid w:val="007D0569"/>
    <w:rsid w:val="007D06B7"/>
    <w:rsid w:val="007D12AA"/>
    <w:rsid w:val="007D16B1"/>
    <w:rsid w:val="007D19E4"/>
    <w:rsid w:val="007D1F21"/>
    <w:rsid w:val="007D2001"/>
    <w:rsid w:val="007D434E"/>
    <w:rsid w:val="007D50DB"/>
    <w:rsid w:val="007D5141"/>
    <w:rsid w:val="007D56C3"/>
    <w:rsid w:val="007D71B2"/>
    <w:rsid w:val="007D7400"/>
    <w:rsid w:val="007D7761"/>
    <w:rsid w:val="007D79FF"/>
    <w:rsid w:val="007E02A7"/>
    <w:rsid w:val="007E0AF5"/>
    <w:rsid w:val="007E0C0A"/>
    <w:rsid w:val="007E1FC0"/>
    <w:rsid w:val="007E206A"/>
    <w:rsid w:val="007E2C31"/>
    <w:rsid w:val="007E468A"/>
    <w:rsid w:val="007E4F0F"/>
    <w:rsid w:val="007E51A5"/>
    <w:rsid w:val="007E5629"/>
    <w:rsid w:val="007E74F8"/>
    <w:rsid w:val="007E7520"/>
    <w:rsid w:val="007E763C"/>
    <w:rsid w:val="007E7BFE"/>
    <w:rsid w:val="007E7F4C"/>
    <w:rsid w:val="007F0A9E"/>
    <w:rsid w:val="007F2A80"/>
    <w:rsid w:val="007F2EC6"/>
    <w:rsid w:val="007F3018"/>
    <w:rsid w:val="007F4E56"/>
    <w:rsid w:val="007F5B0D"/>
    <w:rsid w:val="007F66AD"/>
    <w:rsid w:val="007F6862"/>
    <w:rsid w:val="007F6B89"/>
    <w:rsid w:val="00800719"/>
    <w:rsid w:val="00800FBF"/>
    <w:rsid w:val="008013FC"/>
    <w:rsid w:val="008017BA"/>
    <w:rsid w:val="008035C5"/>
    <w:rsid w:val="00803F86"/>
    <w:rsid w:val="008053D8"/>
    <w:rsid w:val="008060C3"/>
    <w:rsid w:val="0080633F"/>
    <w:rsid w:val="008063A1"/>
    <w:rsid w:val="00807047"/>
    <w:rsid w:val="00807F00"/>
    <w:rsid w:val="0081019E"/>
    <w:rsid w:val="00812095"/>
    <w:rsid w:val="008134BD"/>
    <w:rsid w:val="008139A5"/>
    <w:rsid w:val="008141F8"/>
    <w:rsid w:val="00814656"/>
    <w:rsid w:val="008178B5"/>
    <w:rsid w:val="008202BB"/>
    <w:rsid w:val="008203E5"/>
    <w:rsid w:val="00820E45"/>
    <w:rsid w:val="00821038"/>
    <w:rsid w:val="00821E2C"/>
    <w:rsid w:val="00822835"/>
    <w:rsid w:val="00823A92"/>
    <w:rsid w:val="00823FC2"/>
    <w:rsid w:val="0082459B"/>
    <w:rsid w:val="0082515E"/>
    <w:rsid w:val="008256B8"/>
    <w:rsid w:val="00826758"/>
    <w:rsid w:val="00830A41"/>
    <w:rsid w:val="00830AC3"/>
    <w:rsid w:val="00830C5A"/>
    <w:rsid w:val="008313D1"/>
    <w:rsid w:val="0083235B"/>
    <w:rsid w:val="00833261"/>
    <w:rsid w:val="00834C29"/>
    <w:rsid w:val="008353E0"/>
    <w:rsid w:val="00835DB9"/>
    <w:rsid w:val="008365F0"/>
    <w:rsid w:val="00837063"/>
    <w:rsid w:val="00840D5F"/>
    <w:rsid w:val="00841095"/>
    <w:rsid w:val="00841534"/>
    <w:rsid w:val="008415F6"/>
    <w:rsid w:val="00841C0D"/>
    <w:rsid w:val="00842ACA"/>
    <w:rsid w:val="008451DE"/>
    <w:rsid w:val="008462F1"/>
    <w:rsid w:val="00846452"/>
    <w:rsid w:val="00846634"/>
    <w:rsid w:val="008466F9"/>
    <w:rsid w:val="00846930"/>
    <w:rsid w:val="00847253"/>
    <w:rsid w:val="00847ED6"/>
    <w:rsid w:val="008506DA"/>
    <w:rsid w:val="00850D83"/>
    <w:rsid w:val="00850FDE"/>
    <w:rsid w:val="008520B3"/>
    <w:rsid w:val="0085225B"/>
    <w:rsid w:val="0085257E"/>
    <w:rsid w:val="00852876"/>
    <w:rsid w:val="00853520"/>
    <w:rsid w:val="00853DCA"/>
    <w:rsid w:val="008543F5"/>
    <w:rsid w:val="00855004"/>
    <w:rsid w:val="008572C4"/>
    <w:rsid w:val="0085733E"/>
    <w:rsid w:val="0085765A"/>
    <w:rsid w:val="008576B2"/>
    <w:rsid w:val="0086045D"/>
    <w:rsid w:val="008604A8"/>
    <w:rsid w:val="00860530"/>
    <w:rsid w:val="00860E64"/>
    <w:rsid w:val="008616F7"/>
    <w:rsid w:val="00861AFA"/>
    <w:rsid w:val="00863C61"/>
    <w:rsid w:val="00865522"/>
    <w:rsid w:val="00865760"/>
    <w:rsid w:val="00865ADF"/>
    <w:rsid w:val="00865D3A"/>
    <w:rsid w:val="0086644C"/>
    <w:rsid w:val="008666B5"/>
    <w:rsid w:val="00867AA5"/>
    <w:rsid w:val="008703B3"/>
    <w:rsid w:val="00870B4A"/>
    <w:rsid w:val="008715F0"/>
    <w:rsid w:val="00871F13"/>
    <w:rsid w:val="00873283"/>
    <w:rsid w:val="008738E5"/>
    <w:rsid w:val="008739AD"/>
    <w:rsid w:val="00873C81"/>
    <w:rsid w:val="0087417C"/>
    <w:rsid w:val="0087462A"/>
    <w:rsid w:val="008762A7"/>
    <w:rsid w:val="00876985"/>
    <w:rsid w:val="00876D30"/>
    <w:rsid w:val="008771AF"/>
    <w:rsid w:val="00880675"/>
    <w:rsid w:val="008808E6"/>
    <w:rsid w:val="00880D3E"/>
    <w:rsid w:val="00881630"/>
    <w:rsid w:val="00882573"/>
    <w:rsid w:val="008826D1"/>
    <w:rsid w:val="00883070"/>
    <w:rsid w:val="00883780"/>
    <w:rsid w:val="00883B99"/>
    <w:rsid w:val="0088439B"/>
    <w:rsid w:val="00884E63"/>
    <w:rsid w:val="00885066"/>
    <w:rsid w:val="00885F85"/>
    <w:rsid w:val="00885FD6"/>
    <w:rsid w:val="0088665E"/>
    <w:rsid w:val="008866B9"/>
    <w:rsid w:val="00887318"/>
    <w:rsid w:val="008874B9"/>
    <w:rsid w:val="008877A9"/>
    <w:rsid w:val="00887A80"/>
    <w:rsid w:val="00887F48"/>
    <w:rsid w:val="008915A6"/>
    <w:rsid w:val="008923C8"/>
    <w:rsid w:val="008924B5"/>
    <w:rsid w:val="0089292C"/>
    <w:rsid w:val="00893260"/>
    <w:rsid w:val="008932A8"/>
    <w:rsid w:val="00893756"/>
    <w:rsid w:val="00894A9E"/>
    <w:rsid w:val="008950F6"/>
    <w:rsid w:val="00896335"/>
    <w:rsid w:val="00896815"/>
    <w:rsid w:val="00896879"/>
    <w:rsid w:val="00896DB8"/>
    <w:rsid w:val="00896F6D"/>
    <w:rsid w:val="00897BEF"/>
    <w:rsid w:val="008A0744"/>
    <w:rsid w:val="008A0A6E"/>
    <w:rsid w:val="008A0D0F"/>
    <w:rsid w:val="008A2FB3"/>
    <w:rsid w:val="008A398B"/>
    <w:rsid w:val="008A54B8"/>
    <w:rsid w:val="008A5601"/>
    <w:rsid w:val="008A59AD"/>
    <w:rsid w:val="008A629A"/>
    <w:rsid w:val="008A66EC"/>
    <w:rsid w:val="008A6C67"/>
    <w:rsid w:val="008A7272"/>
    <w:rsid w:val="008B0809"/>
    <w:rsid w:val="008B0842"/>
    <w:rsid w:val="008B0ADD"/>
    <w:rsid w:val="008B0EEB"/>
    <w:rsid w:val="008B1AC1"/>
    <w:rsid w:val="008B3FC7"/>
    <w:rsid w:val="008B431D"/>
    <w:rsid w:val="008B508B"/>
    <w:rsid w:val="008B51FD"/>
    <w:rsid w:val="008B6269"/>
    <w:rsid w:val="008B6766"/>
    <w:rsid w:val="008B70F5"/>
    <w:rsid w:val="008B7186"/>
    <w:rsid w:val="008B7192"/>
    <w:rsid w:val="008C1939"/>
    <w:rsid w:val="008C1EAE"/>
    <w:rsid w:val="008C2C4A"/>
    <w:rsid w:val="008C2F47"/>
    <w:rsid w:val="008C3396"/>
    <w:rsid w:val="008C35DC"/>
    <w:rsid w:val="008C3A89"/>
    <w:rsid w:val="008C3ACE"/>
    <w:rsid w:val="008C43C8"/>
    <w:rsid w:val="008C4E30"/>
    <w:rsid w:val="008C6015"/>
    <w:rsid w:val="008C621C"/>
    <w:rsid w:val="008C627D"/>
    <w:rsid w:val="008C697C"/>
    <w:rsid w:val="008C6B30"/>
    <w:rsid w:val="008C7006"/>
    <w:rsid w:val="008C736C"/>
    <w:rsid w:val="008C7448"/>
    <w:rsid w:val="008C75ED"/>
    <w:rsid w:val="008C7649"/>
    <w:rsid w:val="008C7DD5"/>
    <w:rsid w:val="008D1ADC"/>
    <w:rsid w:val="008D24B4"/>
    <w:rsid w:val="008D3778"/>
    <w:rsid w:val="008D4626"/>
    <w:rsid w:val="008D49EC"/>
    <w:rsid w:val="008D52A3"/>
    <w:rsid w:val="008D5327"/>
    <w:rsid w:val="008D5BA0"/>
    <w:rsid w:val="008D5DB6"/>
    <w:rsid w:val="008D6899"/>
    <w:rsid w:val="008D7814"/>
    <w:rsid w:val="008D793E"/>
    <w:rsid w:val="008E03B0"/>
    <w:rsid w:val="008E0991"/>
    <w:rsid w:val="008E1B46"/>
    <w:rsid w:val="008E1D11"/>
    <w:rsid w:val="008E20CF"/>
    <w:rsid w:val="008E28EE"/>
    <w:rsid w:val="008E338E"/>
    <w:rsid w:val="008E3F61"/>
    <w:rsid w:val="008E4048"/>
    <w:rsid w:val="008E44BF"/>
    <w:rsid w:val="008E4BAE"/>
    <w:rsid w:val="008E4C77"/>
    <w:rsid w:val="008E5760"/>
    <w:rsid w:val="008E57FE"/>
    <w:rsid w:val="008E5D53"/>
    <w:rsid w:val="008E6017"/>
    <w:rsid w:val="008E6E6E"/>
    <w:rsid w:val="008E77A3"/>
    <w:rsid w:val="008F0D84"/>
    <w:rsid w:val="008F1472"/>
    <w:rsid w:val="008F16A6"/>
    <w:rsid w:val="008F171D"/>
    <w:rsid w:val="008F1818"/>
    <w:rsid w:val="008F20EE"/>
    <w:rsid w:val="008F2665"/>
    <w:rsid w:val="008F507E"/>
    <w:rsid w:val="008F5251"/>
    <w:rsid w:val="008F5289"/>
    <w:rsid w:val="008F5930"/>
    <w:rsid w:val="008F6376"/>
    <w:rsid w:val="008F7600"/>
    <w:rsid w:val="008F77E7"/>
    <w:rsid w:val="00900CC2"/>
    <w:rsid w:val="00901770"/>
    <w:rsid w:val="009019FB"/>
    <w:rsid w:val="00902AA5"/>
    <w:rsid w:val="009033C1"/>
    <w:rsid w:val="00904312"/>
    <w:rsid w:val="009052B7"/>
    <w:rsid w:val="00905B05"/>
    <w:rsid w:val="00905F70"/>
    <w:rsid w:val="0090753C"/>
    <w:rsid w:val="0090759D"/>
    <w:rsid w:val="0091156F"/>
    <w:rsid w:val="00911B66"/>
    <w:rsid w:val="009127FC"/>
    <w:rsid w:val="00912A7E"/>
    <w:rsid w:val="009132CF"/>
    <w:rsid w:val="0091469C"/>
    <w:rsid w:val="009148D4"/>
    <w:rsid w:val="00915330"/>
    <w:rsid w:val="00915932"/>
    <w:rsid w:val="00916E69"/>
    <w:rsid w:val="00917525"/>
    <w:rsid w:val="0091777D"/>
    <w:rsid w:val="009179DF"/>
    <w:rsid w:val="00917C39"/>
    <w:rsid w:val="00917F4A"/>
    <w:rsid w:val="0092057D"/>
    <w:rsid w:val="0092113B"/>
    <w:rsid w:val="009211B9"/>
    <w:rsid w:val="00921498"/>
    <w:rsid w:val="009218DE"/>
    <w:rsid w:val="00922D00"/>
    <w:rsid w:val="009233CC"/>
    <w:rsid w:val="00923BFE"/>
    <w:rsid w:val="00923F17"/>
    <w:rsid w:val="009251B1"/>
    <w:rsid w:val="009266DA"/>
    <w:rsid w:val="00927373"/>
    <w:rsid w:val="00927AB2"/>
    <w:rsid w:val="00927F35"/>
    <w:rsid w:val="00930280"/>
    <w:rsid w:val="0093037C"/>
    <w:rsid w:val="00930DE8"/>
    <w:rsid w:val="00930F25"/>
    <w:rsid w:val="009318DD"/>
    <w:rsid w:val="0093284E"/>
    <w:rsid w:val="00932FAD"/>
    <w:rsid w:val="0093385D"/>
    <w:rsid w:val="009350C5"/>
    <w:rsid w:val="0093515D"/>
    <w:rsid w:val="009352C3"/>
    <w:rsid w:val="00935413"/>
    <w:rsid w:val="00935712"/>
    <w:rsid w:val="00935F5D"/>
    <w:rsid w:val="00935FE9"/>
    <w:rsid w:val="009364A7"/>
    <w:rsid w:val="009365F6"/>
    <w:rsid w:val="0093669F"/>
    <w:rsid w:val="009368E0"/>
    <w:rsid w:val="00936D24"/>
    <w:rsid w:val="00936D70"/>
    <w:rsid w:val="009378F1"/>
    <w:rsid w:val="00937914"/>
    <w:rsid w:val="009418AD"/>
    <w:rsid w:val="00941B0A"/>
    <w:rsid w:val="00941F58"/>
    <w:rsid w:val="0094260B"/>
    <w:rsid w:val="00942661"/>
    <w:rsid w:val="0094317E"/>
    <w:rsid w:val="009431A1"/>
    <w:rsid w:val="009432EF"/>
    <w:rsid w:val="00944F89"/>
    <w:rsid w:val="00945307"/>
    <w:rsid w:val="0094558D"/>
    <w:rsid w:val="00945AB6"/>
    <w:rsid w:val="0094697C"/>
    <w:rsid w:val="00946FCE"/>
    <w:rsid w:val="009515BC"/>
    <w:rsid w:val="0095349A"/>
    <w:rsid w:val="009537A8"/>
    <w:rsid w:val="00953B5B"/>
    <w:rsid w:val="00953ED0"/>
    <w:rsid w:val="0095492E"/>
    <w:rsid w:val="00954E01"/>
    <w:rsid w:val="009551B2"/>
    <w:rsid w:val="00955F7D"/>
    <w:rsid w:val="0095600D"/>
    <w:rsid w:val="0095793C"/>
    <w:rsid w:val="00961534"/>
    <w:rsid w:val="0096242F"/>
    <w:rsid w:val="00962ACC"/>
    <w:rsid w:val="00962C37"/>
    <w:rsid w:val="00962CE1"/>
    <w:rsid w:val="00962E3B"/>
    <w:rsid w:val="00962FF5"/>
    <w:rsid w:val="009639E6"/>
    <w:rsid w:val="00963A43"/>
    <w:rsid w:val="00964978"/>
    <w:rsid w:val="00964A4E"/>
    <w:rsid w:val="00965B02"/>
    <w:rsid w:val="00965C07"/>
    <w:rsid w:val="00965D2D"/>
    <w:rsid w:val="00965E6D"/>
    <w:rsid w:val="009667BC"/>
    <w:rsid w:val="009668A2"/>
    <w:rsid w:val="009668BF"/>
    <w:rsid w:val="00966BE8"/>
    <w:rsid w:val="0096799E"/>
    <w:rsid w:val="00970070"/>
    <w:rsid w:val="00970160"/>
    <w:rsid w:val="00970249"/>
    <w:rsid w:val="00970A16"/>
    <w:rsid w:val="00970B75"/>
    <w:rsid w:val="00970CEB"/>
    <w:rsid w:val="00971847"/>
    <w:rsid w:val="00971AD2"/>
    <w:rsid w:val="00972964"/>
    <w:rsid w:val="00972B13"/>
    <w:rsid w:val="00973477"/>
    <w:rsid w:val="00974991"/>
    <w:rsid w:val="00974B5C"/>
    <w:rsid w:val="00974B9E"/>
    <w:rsid w:val="00974DB8"/>
    <w:rsid w:val="00975427"/>
    <w:rsid w:val="00975AB1"/>
    <w:rsid w:val="0097762F"/>
    <w:rsid w:val="00977733"/>
    <w:rsid w:val="00977C0A"/>
    <w:rsid w:val="00980AA8"/>
    <w:rsid w:val="00980DB8"/>
    <w:rsid w:val="00980F83"/>
    <w:rsid w:val="009816B8"/>
    <w:rsid w:val="00981A41"/>
    <w:rsid w:val="00981B1C"/>
    <w:rsid w:val="00981BEB"/>
    <w:rsid w:val="00981FC1"/>
    <w:rsid w:val="009823E0"/>
    <w:rsid w:val="0098284E"/>
    <w:rsid w:val="00983841"/>
    <w:rsid w:val="00983B45"/>
    <w:rsid w:val="00983B5C"/>
    <w:rsid w:val="00984D3D"/>
    <w:rsid w:val="00985DBA"/>
    <w:rsid w:val="00986CE0"/>
    <w:rsid w:val="0098766F"/>
    <w:rsid w:val="00987846"/>
    <w:rsid w:val="0099182B"/>
    <w:rsid w:val="00991C4D"/>
    <w:rsid w:val="00991D45"/>
    <w:rsid w:val="009932C2"/>
    <w:rsid w:val="00993912"/>
    <w:rsid w:val="00993EA8"/>
    <w:rsid w:val="00994050"/>
    <w:rsid w:val="009962CF"/>
    <w:rsid w:val="009969D6"/>
    <w:rsid w:val="009973E0"/>
    <w:rsid w:val="00997D03"/>
    <w:rsid w:val="009A0C83"/>
    <w:rsid w:val="009A2329"/>
    <w:rsid w:val="009A365E"/>
    <w:rsid w:val="009A4543"/>
    <w:rsid w:val="009A5DB1"/>
    <w:rsid w:val="009A60C3"/>
    <w:rsid w:val="009A7C5A"/>
    <w:rsid w:val="009A7E51"/>
    <w:rsid w:val="009B05CA"/>
    <w:rsid w:val="009B0AE0"/>
    <w:rsid w:val="009B0F9A"/>
    <w:rsid w:val="009B15CC"/>
    <w:rsid w:val="009B21B9"/>
    <w:rsid w:val="009B2FAD"/>
    <w:rsid w:val="009B32AA"/>
    <w:rsid w:val="009B4B88"/>
    <w:rsid w:val="009B4CD0"/>
    <w:rsid w:val="009B4DA7"/>
    <w:rsid w:val="009B62BC"/>
    <w:rsid w:val="009B66E9"/>
    <w:rsid w:val="009B727B"/>
    <w:rsid w:val="009B72E5"/>
    <w:rsid w:val="009B7857"/>
    <w:rsid w:val="009B7C21"/>
    <w:rsid w:val="009C0EE1"/>
    <w:rsid w:val="009C1C20"/>
    <w:rsid w:val="009C207F"/>
    <w:rsid w:val="009C21C6"/>
    <w:rsid w:val="009C243B"/>
    <w:rsid w:val="009C2788"/>
    <w:rsid w:val="009C383B"/>
    <w:rsid w:val="009C3A80"/>
    <w:rsid w:val="009C3B54"/>
    <w:rsid w:val="009C3C29"/>
    <w:rsid w:val="009C41EC"/>
    <w:rsid w:val="009C49C3"/>
    <w:rsid w:val="009C5188"/>
    <w:rsid w:val="009C5238"/>
    <w:rsid w:val="009C5C7D"/>
    <w:rsid w:val="009C6346"/>
    <w:rsid w:val="009C63D2"/>
    <w:rsid w:val="009D12B4"/>
    <w:rsid w:val="009D1654"/>
    <w:rsid w:val="009D1E70"/>
    <w:rsid w:val="009D1EC5"/>
    <w:rsid w:val="009D2135"/>
    <w:rsid w:val="009D241F"/>
    <w:rsid w:val="009D2988"/>
    <w:rsid w:val="009D2FA7"/>
    <w:rsid w:val="009D3673"/>
    <w:rsid w:val="009D4166"/>
    <w:rsid w:val="009D485A"/>
    <w:rsid w:val="009D4CAE"/>
    <w:rsid w:val="009D4FC7"/>
    <w:rsid w:val="009D55F9"/>
    <w:rsid w:val="009D5837"/>
    <w:rsid w:val="009D5A11"/>
    <w:rsid w:val="009D7412"/>
    <w:rsid w:val="009D765F"/>
    <w:rsid w:val="009D7760"/>
    <w:rsid w:val="009D7DB0"/>
    <w:rsid w:val="009E11D7"/>
    <w:rsid w:val="009E16E6"/>
    <w:rsid w:val="009E1807"/>
    <w:rsid w:val="009E1C0D"/>
    <w:rsid w:val="009E1E62"/>
    <w:rsid w:val="009E2354"/>
    <w:rsid w:val="009E236D"/>
    <w:rsid w:val="009E2953"/>
    <w:rsid w:val="009E30CE"/>
    <w:rsid w:val="009E3398"/>
    <w:rsid w:val="009E3BC1"/>
    <w:rsid w:val="009E4B7A"/>
    <w:rsid w:val="009E4BA2"/>
    <w:rsid w:val="009E4CDF"/>
    <w:rsid w:val="009E4D90"/>
    <w:rsid w:val="009E606E"/>
    <w:rsid w:val="009E66C9"/>
    <w:rsid w:val="009E6AA5"/>
    <w:rsid w:val="009F04C3"/>
    <w:rsid w:val="009F0760"/>
    <w:rsid w:val="009F3913"/>
    <w:rsid w:val="009F3B29"/>
    <w:rsid w:val="009F4860"/>
    <w:rsid w:val="009F6128"/>
    <w:rsid w:val="00A00057"/>
    <w:rsid w:val="00A00485"/>
    <w:rsid w:val="00A01A5F"/>
    <w:rsid w:val="00A02370"/>
    <w:rsid w:val="00A025AC"/>
    <w:rsid w:val="00A026A3"/>
    <w:rsid w:val="00A02C96"/>
    <w:rsid w:val="00A02E65"/>
    <w:rsid w:val="00A0340A"/>
    <w:rsid w:val="00A04301"/>
    <w:rsid w:val="00A0440C"/>
    <w:rsid w:val="00A047AE"/>
    <w:rsid w:val="00A04C82"/>
    <w:rsid w:val="00A04FE1"/>
    <w:rsid w:val="00A0585F"/>
    <w:rsid w:val="00A062CE"/>
    <w:rsid w:val="00A0694A"/>
    <w:rsid w:val="00A077AC"/>
    <w:rsid w:val="00A07A33"/>
    <w:rsid w:val="00A1076C"/>
    <w:rsid w:val="00A10A30"/>
    <w:rsid w:val="00A10F99"/>
    <w:rsid w:val="00A10FCE"/>
    <w:rsid w:val="00A1137C"/>
    <w:rsid w:val="00A113D7"/>
    <w:rsid w:val="00A11F0F"/>
    <w:rsid w:val="00A129C8"/>
    <w:rsid w:val="00A13724"/>
    <w:rsid w:val="00A138A5"/>
    <w:rsid w:val="00A13AD2"/>
    <w:rsid w:val="00A155F0"/>
    <w:rsid w:val="00A15912"/>
    <w:rsid w:val="00A15AC6"/>
    <w:rsid w:val="00A1604C"/>
    <w:rsid w:val="00A16126"/>
    <w:rsid w:val="00A165DB"/>
    <w:rsid w:val="00A16A82"/>
    <w:rsid w:val="00A16FE4"/>
    <w:rsid w:val="00A17156"/>
    <w:rsid w:val="00A20043"/>
    <w:rsid w:val="00A2083D"/>
    <w:rsid w:val="00A20A3D"/>
    <w:rsid w:val="00A2198A"/>
    <w:rsid w:val="00A21C6C"/>
    <w:rsid w:val="00A22E6D"/>
    <w:rsid w:val="00A234CE"/>
    <w:rsid w:val="00A2365A"/>
    <w:rsid w:val="00A24133"/>
    <w:rsid w:val="00A24B81"/>
    <w:rsid w:val="00A2530C"/>
    <w:rsid w:val="00A262BF"/>
    <w:rsid w:val="00A26CFF"/>
    <w:rsid w:val="00A26E96"/>
    <w:rsid w:val="00A273B1"/>
    <w:rsid w:val="00A27809"/>
    <w:rsid w:val="00A27C8B"/>
    <w:rsid w:val="00A30533"/>
    <w:rsid w:val="00A30EF8"/>
    <w:rsid w:val="00A317B0"/>
    <w:rsid w:val="00A31BF6"/>
    <w:rsid w:val="00A32644"/>
    <w:rsid w:val="00A33302"/>
    <w:rsid w:val="00A34591"/>
    <w:rsid w:val="00A34E44"/>
    <w:rsid w:val="00A35AC5"/>
    <w:rsid w:val="00A35B8F"/>
    <w:rsid w:val="00A3640F"/>
    <w:rsid w:val="00A3686C"/>
    <w:rsid w:val="00A36992"/>
    <w:rsid w:val="00A36995"/>
    <w:rsid w:val="00A37ECF"/>
    <w:rsid w:val="00A4062E"/>
    <w:rsid w:val="00A406A4"/>
    <w:rsid w:val="00A406DD"/>
    <w:rsid w:val="00A40CE2"/>
    <w:rsid w:val="00A41379"/>
    <w:rsid w:val="00A41C56"/>
    <w:rsid w:val="00A42381"/>
    <w:rsid w:val="00A42FAE"/>
    <w:rsid w:val="00A43445"/>
    <w:rsid w:val="00A43553"/>
    <w:rsid w:val="00A445BD"/>
    <w:rsid w:val="00A45C7A"/>
    <w:rsid w:val="00A4684D"/>
    <w:rsid w:val="00A47176"/>
    <w:rsid w:val="00A475C5"/>
    <w:rsid w:val="00A47650"/>
    <w:rsid w:val="00A4768C"/>
    <w:rsid w:val="00A477EC"/>
    <w:rsid w:val="00A50A68"/>
    <w:rsid w:val="00A50D3B"/>
    <w:rsid w:val="00A50E38"/>
    <w:rsid w:val="00A510C6"/>
    <w:rsid w:val="00A518AA"/>
    <w:rsid w:val="00A52476"/>
    <w:rsid w:val="00A524A4"/>
    <w:rsid w:val="00A525E7"/>
    <w:rsid w:val="00A52D13"/>
    <w:rsid w:val="00A52F9E"/>
    <w:rsid w:val="00A52FEB"/>
    <w:rsid w:val="00A53286"/>
    <w:rsid w:val="00A539ED"/>
    <w:rsid w:val="00A53FB3"/>
    <w:rsid w:val="00A54E20"/>
    <w:rsid w:val="00A555BD"/>
    <w:rsid w:val="00A56348"/>
    <w:rsid w:val="00A5703F"/>
    <w:rsid w:val="00A5718A"/>
    <w:rsid w:val="00A5792E"/>
    <w:rsid w:val="00A57D39"/>
    <w:rsid w:val="00A608E5"/>
    <w:rsid w:val="00A612FE"/>
    <w:rsid w:val="00A61825"/>
    <w:rsid w:val="00A62729"/>
    <w:rsid w:val="00A630EB"/>
    <w:rsid w:val="00A6316B"/>
    <w:rsid w:val="00A63438"/>
    <w:rsid w:val="00A64861"/>
    <w:rsid w:val="00A65166"/>
    <w:rsid w:val="00A65316"/>
    <w:rsid w:val="00A65354"/>
    <w:rsid w:val="00A655DF"/>
    <w:rsid w:val="00A674FF"/>
    <w:rsid w:val="00A70F69"/>
    <w:rsid w:val="00A71578"/>
    <w:rsid w:val="00A72611"/>
    <w:rsid w:val="00A7264F"/>
    <w:rsid w:val="00A73ABB"/>
    <w:rsid w:val="00A73E1E"/>
    <w:rsid w:val="00A7427E"/>
    <w:rsid w:val="00A751A1"/>
    <w:rsid w:val="00A75D33"/>
    <w:rsid w:val="00A75F75"/>
    <w:rsid w:val="00A76B82"/>
    <w:rsid w:val="00A76D2C"/>
    <w:rsid w:val="00A76ED5"/>
    <w:rsid w:val="00A77746"/>
    <w:rsid w:val="00A77926"/>
    <w:rsid w:val="00A806AA"/>
    <w:rsid w:val="00A81038"/>
    <w:rsid w:val="00A832E9"/>
    <w:rsid w:val="00A83B2A"/>
    <w:rsid w:val="00A83BF6"/>
    <w:rsid w:val="00A84BAC"/>
    <w:rsid w:val="00A85007"/>
    <w:rsid w:val="00A857F4"/>
    <w:rsid w:val="00A85B77"/>
    <w:rsid w:val="00A87B4F"/>
    <w:rsid w:val="00A87F31"/>
    <w:rsid w:val="00A90BC6"/>
    <w:rsid w:val="00A90D27"/>
    <w:rsid w:val="00A9103B"/>
    <w:rsid w:val="00A91284"/>
    <w:rsid w:val="00A918A7"/>
    <w:rsid w:val="00A9193F"/>
    <w:rsid w:val="00A91F0F"/>
    <w:rsid w:val="00A92871"/>
    <w:rsid w:val="00A92926"/>
    <w:rsid w:val="00A941B3"/>
    <w:rsid w:val="00A9497B"/>
    <w:rsid w:val="00A94ABA"/>
    <w:rsid w:val="00A955EB"/>
    <w:rsid w:val="00A9591E"/>
    <w:rsid w:val="00A96493"/>
    <w:rsid w:val="00A9665B"/>
    <w:rsid w:val="00A97669"/>
    <w:rsid w:val="00A97C06"/>
    <w:rsid w:val="00AA0C54"/>
    <w:rsid w:val="00AA1F49"/>
    <w:rsid w:val="00AA3A2E"/>
    <w:rsid w:val="00AA4099"/>
    <w:rsid w:val="00AA46F0"/>
    <w:rsid w:val="00AA4D5A"/>
    <w:rsid w:val="00AA5933"/>
    <w:rsid w:val="00AA6913"/>
    <w:rsid w:val="00AB001E"/>
    <w:rsid w:val="00AB02B4"/>
    <w:rsid w:val="00AB0401"/>
    <w:rsid w:val="00AB1F00"/>
    <w:rsid w:val="00AB2190"/>
    <w:rsid w:val="00AB39EB"/>
    <w:rsid w:val="00AB3F27"/>
    <w:rsid w:val="00AB3FD9"/>
    <w:rsid w:val="00AB4CBD"/>
    <w:rsid w:val="00AB55F2"/>
    <w:rsid w:val="00AB5690"/>
    <w:rsid w:val="00AB5AAA"/>
    <w:rsid w:val="00AB6122"/>
    <w:rsid w:val="00AB63BA"/>
    <w:rsid w:val="00AB6F11"/>
    <w:rsid w:val="00AB7DE7"/>
    <w:rsid w:val="00AC01D4"/>
    <w:rsid w:val="00AC03AB"/>
    <w:rsid w:val="00AC0650"/>
    <w:rsid w:val="00AC0DF6"/>
    <w:rsid w:val="00AC1BE7"/>
    <w:rsid w:val="00AC275F"/>
    <w:rsid w:val="00AC28C7"/>
    <w:rsid w:val="00AC3EE4"/>
    <w:rsid w:val="00AC4063"/>
    <w:rsid w:val="00AC4E63"/>
    <w:rsid w:val="00AC50A4"/>
    <w:rsid w:val="00AC5A95"/>
    <w:rsid w:val="00AC5B17"/>
    <w:rsid w:val="00AC5C3E"/>
    <w:rsid w:val="00AC6074"/>
    <w:rsid w:val="00AC6471"/>
    <w:rsid w:val="00AD0FD1"/>
    <w:rsid w:val="00AD1751"/>
    <w:rsid w:val="00AD25C9"/>
    <w:rsid w:val="00AD2B6E"/>
    <w:rsid w:val="00AD340D"/>
    <w:rsid w:val="00AD3443"/>
    <w:rsid w:val="00AD3E9B"/>
    <w:rsid w:val="00AD41EA"/>
    <w:rsid w:val="00AD45A2"/>
    <w:rsid w:val="00AD4B3C"/>
    <w:rsid w:val="00AD577B"/>
    <w:rsid w:val="00AD5FAC"/>
    <w:rsid w:val="00AD66A2"/>
    <w:rsid w:val="00AD66C0"/>
    <w:rsid w:val="00AD68A5"/>
    <w:rsid w:val="00AD7B96"/>
    <w:rsid w:val="00AE02EA"/>
    <w:rsid w:val="00AE185D"/>
    <w:rsid w:val="00AE1A03"/>
    <w:rsid w:val="00AE1B42"/>
    <w:rsid w:val="00AE1BFE"/>
    <w:rsid w:val="00AE22F5"/>
    <w:rsid w:val="00AE3842"/>
    <w:rsid w:val="00AE3D83"/>
    <w:rsid w:val="00AE4240"/>
    <w:rsid w:val="00AE4374"/>
    <w:rsid w:val="00AE466A"/>
    <w:rsid w:val="00AE47E9"/>
    <w:rsid w:val="00AE485C"/>
    <w:rsid w:val="00AE7D4F"/>
    <w:rsid w:val="00AE7FE4"/>
    <w:rsid w:val="00AF0117"/>
    <w:rsid w:val="00AF0174"/>
    <w:rsid w:val="00AF10E5"/>
    <w:rsid w:val="00AF17D3"/>
    <w:rsid w:val="00AF1D77"/>
    <w:rsid w:val="00AF1E50"/>
    <w:rsid w:val="00AF20CC"/>
    <w:rsid w:val="00AF38BA"/>
    <w:rsid w:val="00AF3B5D"/>
    <w:rsid w:val="00AF4EC4"/>
    <w:rsid w:val="00AF4F67"/>
    <w:rsid w:val="00AF5811"/>
    <w:rsid w:val="00AF5EE7"/>
    <w:rsid w:val="00AF6509"/>
    <w:rsid w:val="00AF6735"/>
    <w:rsid w:val="00AF69A3"/>
    <w:rsid w:val="00AF6E0F"/>
    <w:rsid w:val="00B00BBE"/>
    <w:rsid w:val="00B02211"/>
    <w:rsid w:val="00B022C2"/>
    <w:rsid w:val="00B0456E"/>
    <w:rsid w:val="00B066AE"/>
    <w:rsid w:val="00B06A05"/>
    <w:rsid w:val="00B06BF6"/>
    <w:rsid w:val="00B06F7F"/>
    <w:rsid w:val="00B0737E"/>
    <w:rsid w:val="00B100F0"/>
    <w:rsid w:val="00B10567"/>
    <w:rsid w:val="00B12D54"/>
    <w:rsid w:val="00B13576"/>
    <w:rsid w:val="00B13896"/>
    <w:rsid w:val="00B13DD6"/>
    <w:rsid w:val="00B1402E"/>
    <w:rsid w:val="00B142FD"/>
    <w:rsid w:val="00B14655"/>
    <w:rsid w:val="00B14865"/>
    <w:rsid w:val="00B159A4"/>
    <w:rsid w:val="00B16673"/>
    <w:rsid w:val="00B16F06"/>
    <w:rsid w:val="00B1723B"/>
    <w:rsid w:val="00B17721"/>
    <w:rsid w:val="00B17B16"/>
    <w:rsid w:val="00B208CE"/>
    <w:rsid w:val="00B20B0C"/>
    <w:rsid w:val="00B213AB"/>
    <w:rsid w:val="00B21476"/>
    <w:rsid w:val="00B21D50"/>
    <w:rsid w:val="00B226A9"/>
    <w:rsid w:val="00B229BE"/>
    <w:rsid w:val="00B22F9B"/>
    <w:rsid w:val="00B235EF"/>
    <w:rsid w:val="00B23747"/>
    <w:rsid w:val="00B23E0A"/>
    <w:rsid w:val="00B24090"/>
    <w:rsid w:val="00B257E3"/>
    <w:rsid w:val="00B260C7"/>
    <w:rsid w:val="00B27494"/>
    <w:rsid w:val="00B279B9"/>
    <w:rsid w:val="00B27BFD"/>
    <w:rsid w:val="00B307CA"/>
    <w:rsid w:val="00B30FD0"/>
    <w:rsid w:val="00B31C94"/>
    <w:rsid w:val="00B329CC"/>
    <w:rsid w:val="00B34F48"/>
    <w:rsid w:val="00B369C4"/>
    <w:rsid w:val="00B37381"/>
    <w:rsid w:val="00B4096E"/>
    <w:rsid w:val="00B40A58"/>
    <w:rsid w:val="00B40DEE"/>
    <w:rsid w:val="00B423A5"/>
    <w:rsid w:val="00B427F5"/>
    <w:rsid w:val="00B42CC4"/>
    <w:rsid w:val="00B45166"/>
    <w:rsid w:val="00B45DF2"/>
    <w:rsid w:val="00B45F54"/>
    <w:rsid w:val="00B51027"/>
    <w:rsid w:val="00B51065"/>
    <w:rsid w:val="00B5180E"/>
    <w:rsid w:val="00B51BA0"/>
    <w:rsid w:val="00B5292F"/>
    <w:rsid w:val="00B52A56"/>
    <w:rsid w:val="00B53000"/>
    <w:rsid w:val="00B535BD"/>
    <w:rsid w:val="00B53701"/>
    <w:rsid w:val="00B53764"/>
    <w:rsid w:val="00B53DCE"/>
    <w:rsid w:val="00B545CF"/>
    <w:rsid w:val="00B54F1B"/>
    <w:rsid w:val="00B5509D"/>
    <w:rsid w:val="00B56778"/>
    <w:rsid w:val="00B56A26"/>
    <w:rsid w:val="00B573E6"/>
    <w:rsid w:val="00B57883"/>
    <w:rsid w:val="00B6053B"/>
    <w:rsid w:val="00B6110A"/>
    <w:rsid w:val="00B6176A"/>
    <w:rsid w:val="00B618B5"/>
    <w:rsid w:val="00B62ABB"/>
    <w:rsid w:val="00B6301A"/>
    <w:rsid w:val="00B6375F"/>
    <w:rsid w:val="00B63C36"/>
    <w:rsid w:val="00B64799"/>
    <w:rsid w:val="00B64CAD"/>
    <w:rsid w:val="00B64D07"/>
    <w:rsid w:val="00B64FDA"/>
    <w:rsid w:val="00B651FA"/>
    <w:rsid w:val="00B657B1"/>
    <w:rsid w:val="00B66751"/>
    <w:rsid w:val="00B66B7C"/>
    <w:rsid w:val="00B66C5B"/>
    <w:rsid w:val="00B66CD7"/>
    <w:rsid w:val="00B67AA6"/>
    <w:rsid w:val="00B7066C"/>
    <w:rsid w:val="00B70825"/>
    <w:rsid w:val="00B717D8"/>
    <w:rsid w:val="00B718E0"/>
    <w:rsid w:val="00B71C02"/>
    <w:rsid w:val="00B72DF3"/>
    <w:rsid w:val="00B734E8"/>
    <w:rsid w:val="00B74146"/>
    <w:rsid w:val="00B747A3"/>
    <w:rsid w:val="00B74987"/>
    <w:rsid w:val="00B75A27"/>
    <w:rsid w:val="00B75E52"/>
    <w:rsid w:val="00B7678C"/>
    <w:rsid w:val="00B76C8D"/>
    <w:rsid w:val="00B76D74"/>
    <w:rsid w:val="00B76EFB"/>
    <w:rsid w:val="00B76F6C"/>
    <w:rsid w:val="00B8080B"/>
    <w:rsid w:val="00B8101D"/>
    <w:rsid w:val="00B811EF"/>
    <w:rsid w:val="00B81568"/>
    <w:rsid w:val="00B8310D"/>
    <w:rsid w:val="00B831B9"/>
    <w:rsid w:val="00B83DAC"/>
    <w:rsid w:val="00B84F9A"/>
    <w:rsid w:val="00B85087"/>
    <w:rsid w:val="00B85288"/>
    <w:rsid w:val="00B85D02"/>
    <w:rsid w:val="00B86EF1"/>
    <w:rsid w:val="00B872FA"/>
    <w:rsid w:val="00B90674"/>
    <w:rsid w:val="00B91FFF"/>
    <w:rsid w:val="00B934E3"/>
    <w:rsid w:val="00B94323"/>
    <w:rsid w:val="00B94444"/>
    <w:rsid w:val="00B9566B"/>
    <w:rsid w:val="00B95F92"/>
    <w:rsid w:val="00B961B7"/>
    <w:rsid w:val="00B963D4"/>
    <w:rsid w:val="00B9772B"/>
    <w:rsid w:val="00BA04DE"/>
    <w:rsid w:val="00BA0747"/>
    <w:rsid w:val="00BA1FE4"/>
    <w:rsid w:val="00BA2DEF"/>
    <w:rsid w:val="00BA32F5"/>
    <w:rsid w:val="00BA35F2"/>
    <w:rsid w:val="00BA42FB"/>
    <w:rsid w:val="00BA44F1"/>
    <w:rsid w:val="00BA4768"/>
    <w:rsid w:val="00BA4861"/>
    <w:rsid w:val="00BA4A92"/>
    <w:rsid w:val="00BA4D7A"/>
    <w:rsid w:val="00BA50F5"/>
    <w:rsid w:val="00BA516F"/>
    <w:rsid w:val="00BA628C"/>
    <w:rsid w:val="00BA6FBA"/>
    <w:rsid w:val="00BA7059"/>
    <w:rsid w:val="00BB0051"/>
    <w:rsid w:val="00BB02C6"/>
    <w:rsid w:val="00BB0593"/>
    <w:rsid w:val="00BB0C2C"/>
    <w:rsid w:val="00BB1082"/>
    <w:rsid w:val="00BB15DA"/>
    <w:rsid w:val="00BB190F"/>
    <w:rsid w:val="00BB2127"/>
    <w:rsid w:val="00BB295B"/>
    <w:rsid w:val="00BB3805"/>
    <w:rsid w:val="00BB4589"/>
    <w:rsid w:val="00BB52A5"/>
    <w:rsid w:val="00BB5893"/>
    <w:rsid w:val="00BB5BE5"/>
    <w:rsid w:val="00BB6740"/>
    <w:rsid w:val="00BB682D"/>
    <w:rsid w:val="00BB6CBF"/>
    <w:rsid w:val="00BB751D"/>
    <w:rsid w:val="00BB7848"/>
    <w:rsid w:val="00BB7AC3"/>
    <w:rsid w:val="00BB7EA1"/>
    <w:rsid w:val="00BB7F81"/>
    <w:rsid w:val="00BC0ED0"/>
    <w:rsid w:val="00BC269B"/>
    <w:rsid w:val="00BC27D2"/>
    <w:rsid w:val="00BC299D"/>
    <w:rsid w:val="00BC2B6C"/>
    <w:rsid w:val="00BC2D6F"/>
    <w:rsid w:val="00BC3286"/>
    <w:rsid w:val="00BC3DB7"/>
    <w:rsid w:val="00BC49D0"/>
    <w:rsid w:val="00BC4E42"/>
    <w:rsid w:val="00BC5578"/>
    <w:rsid w:val="00BC6026"/>
    <w:rsid w:val="00BC68F5"/>
    <w:rsid w:val="00BC6995"/>
    <w:rsid w:val="00BC6D0F"/>
    <w:rsid w:val="00BD0BAA"/>
    <w:rsid w:val="00BD120F"/>
    <w:rsid w:val="00BD1C23"/>
    <w:rsid w:val="00BD2F39"/>
    <w:rsid w:val="00BD35E1"/>
    <w:rsid w:val="00BD3A56"/>
    <w:rsid w:val="00BD401D"/>
    <w:rsid w:val="00BD4298"/>
    <w:rsid w:val="00BD4CE9"/>
    <w:rsid w:val="00BD508A"/>
    <w:rsid w:val="00BD526C"/>
    <w:rsid w:val="00BD54FC"/>
    <w:rsid w:val="00BD576D"/>
    <w:rsid w:val="00BD63C3"/>
    <w:rsid w:val="00BD63E6"/>
    <w:rsid w:val="00BD67CE"/>
    <w:rsid w:val="00BD6B8C"/>
    <w:rsid w:val="00BD76A4"/>
    <w:rsid w:val="00BD772C"/>
    <w:rsid w:val="00BD7B23"/>
    <w:rsid w:val="00BE0186"/>
    <w:rsid w:val="00BE0E43"/>
    <w:rsid w:val="00BE1301"/>
    <w:rsid w:val="00BE14E5"/>
    <w:rsid w:val="00BE1BFA"/>
    <w:rsid w:val="00BE1C8A"/>
    <w:rsid w:val="00BE273C"/>
    <w:rsid w:val="00BE2F3E"/>
    <w:rsid w:val="00BE2FA6"/>
    <w:rsid w:val="00BE348E"/>
    <w:rsid w:val="00BE4857"/>
    <w:rsid w:val="00BE49A0"/>
    <w:rsid w:val="00BE4EBF"/>
    <w:rsid w:val="00BE5847"/>
    <w:rsid w:val="00BE5BE0"/>
    <w:rsid w:val="00BE5D1D"/>
    <w:rsid w:val="00BE616A"/>
    <w:rsid w:val="00BE697B"/>
    <w:rsid w:val="00BE70E8"/>
    <w:rsid w:val="00BF0E76"/>
    <w:rsid w:val="00BF19DC"/>
    <w:rsid w:val="00BF2B3E"/>
    <w:rsid w:val="00BF2DAF"/>
    <w:rsid w:val="00BF48E5"/>
    <w:rsid w:val="00BF4E1B"/>
    <w:rsid w:val="00BF5518"/>
    <w:rsid w:val="00BF5AB9"/>
    <w:rsid w:val="00BF632A"/>
    <w:rsid w:val="00BF64F1"/>
    <w:rsid w:val="00BF7072"/>
    <w:rsid w:val="00C01083"/>
    <w:rsid w:val="00C02117"/>
    <w:rsid w:val="00C0480F"/>
    <w:rsid w:val="00C04C9A"/>
    <w:rsid w:val="00C04CD6"/>
    <w:rsid w:val="00C04E59"/>
    <w:rsid w:val="00C051DC"/>
    <w:rsid w:val="00C05246"/>
    <w:rsid w:val="00C05A3C"/>
    <w:rsid w:val="00C060ED"/>
    <w:rsid w:val="00C0683A"/>
    <w:rsid w:val="00C06892"/>
    <w:rsid w:val="00C1043C"/>
    <w:rsid w:val="00C10D7B"/>
    <w:rsid w:val="00C10D90"/>
    <w:rsid w:val="00C11010"/>
    <w:rsid w:val="00C110F2"/>
    <w:rsid w:val="00C11F76"/>
    <w:rsid w:val="00C12A51"/>
    <w:rsid w:val="00C12C65"/>
    <w:rsid w:val="00C12CD1"/>
    <w:rsid w:val="00C12DF8"/>
    <w:rsid w:val="00C13AB0"/>
    <w:rsid w:val="00C13FA6"/>
    <w:rsid w:val="00C1540D"/>
    <w:rsid w:val="00C15494"/>
    <w:rsid w:val="00C1591E"/>
    <w:rsid w:val="00C15A2A"/>
    <w:rsid w:val="00C1646E"/>
    <w:rsid w:val="00C166A1"/>
    <w:rsid w:val="00C168BA"/>
    <w:rsid w:val="00C173EE"/>
    <w:rsid w:val="00C176CD"/>
    <w:rsid w:val="00C17C36"/>
    <w:rsid w:val="00C20D36"/>
    <w:rsid w:val="00C21038"/>
    <w:rsid w:val="00C2286B"/>
    <w:rsid w:val="00C23857"/>
    <w:rsid w:val="00C2396B"/>
    <w:rsid w:val="00C241DB"/>
    <w:rsid w:val="00C2532F"/>
    <w:rsid w:val="00C26865"/>
    <w:rsid w:val="00C26B4F"/>
    <w:rsid w:val="00C2785F"/>
    <w:rsid w:val="00C3074F"/>
    <w:rsid w:val="00C30BA6"/>
    <w:rsid w:val="00C30C87"/>
    <w:rsid w:val="00C31467"/>
    <w:rsid w:val="00C32232"/>
    <w:rsid w:val="00C32284"/>
    <w:rsid w:val="00C33708"/>
    <w:rsid w:val="00C33F0C"/>
    <w:rsid w:val="00C33FC4"/>
    <w:rsid w:val="00C348BB"/>
    <w:rsid w:val="00C34B33"/>
    <w:rsid w:val="00C34CCB"/>
    <w:rsid w:val="00C34D57"/>
    <w:rsid w:val="00C34D80"/>
    <w:rsid w:val="00C35515"/>
    <w:rsid w:val="00C35807"/>
    <w:rsid w:val="00C35A00"/>
    <w:rsid w:val="00C35A4B"/>
    <w:rsid w:val="00C35E8F"/>
    <w:rsid w:val="00C36696"/>
    <w:rsid w:val="00C366AC"/>
    <w:rsid w:val="00C36720"/>
    <w:rsid w:val="00C3672F"/>
    <w:rsid w:val="00C36777"/>
    <w:rsid w:val="00C37518"/>
    <w:rsid w:val="00C37F00"/>
    <w:rsid w:val="00C402B8"/>
    <w:rsid w:val="00C41F97"/>
    <w:rsid w:val="00C421C9"/>
    <w:rsid w:val="00C42A3A"/>
    <w:rsid w:val="00C437C6"/>
    <w:rsid w:val="00C43A04"/>
    <w:rsid w:val="00C44FC5"/>
    <w:rsid w:val="00C4517F"/>
    <w:rsid w:val="00C45232"/>
    <w:rsid w:val="00C4646D"/>
    <w:rsid w:val="00C46BFD"/>
    <w:rsid w:val="00C46E94"/>
    <w:rsid w:val="00C4713F"/>
    <w:rsid w:val="00C50251"/>
    <w:rsid w:val="00C504BA"/>
    <w:rsid w:val="00C51509"/>
    <w:rsid w:val="00C516DE"/>
    <w:rsid w:val="00C5181F"/>
    <w:rsid w:val="00C51973"/>
    <w:rsid w:val="00C52097"/>
    <w:rsid w:val="00C52299"/>
    <w:rsid w:val="00C52BA5"/>
    <w:rsid w:val="00C52E16"/>
    <w:rsid w:val="00C52F47"/>
    <w:rsid w:val="00C53323"/>
    <w:rsid w:val="00C536D0"/>
    <w:rsid w:val="00C54299"/>
    <w:rsid w:val="00C547FA"/>
    <w:rsid w:val="00C54D8C"/>
    <w:rsid w:val="00C55058"/>
    <w:rsid w:val="00C5585B"/>
    <w:rsid w:val="00C55CF9"/>
    <w:rsid w:val="00C55D12"/>
    <w:rsid w:val="00C565A7"/>
    <w:rsid w:val="00C56D7A"/>
    <w:rsid w:val="00C57493"/>
    <w:rsid w:val="00C57FF8"/>
    <w:rsid w:val="00C605E6"/>
    <w:rsid w:val="00C605E8"/>
    <w:rsid w:val="00C62179"/>
    <w:rsid w:val="00C6370D"/>
    <w:rsid w:val="00C63C10"/>
    <w:rsid w:val="00C648BA"/>
    <w:rsid w:val="00C64D07"/>
    <w:rsid w:val="00C65311"/>
    <w:rsid w:val="00C65CE5"/>
    <w:rsid w:val="00C66CEF"/>
    <w:rsid w:val="00C670FE"/>
    <w:rsid w:val="00C67B07"/>
    <w:rsid w:val="00C71087"/>
    <w:rsid w:val="00C7196D"/>
    <w:rsid w:val="00C71E3C"/>
    <w:rsid w:val="00C7276B"/>
    <w:rsid w:val="00C73C17"/>
    <w:rsid w:val="00C74545"/>
    <w:rsid w:val="00C75492"/>
    <w:rsid w:val="00C75ECE"/>
    <w:rsid w:val="00C761F8"/>
    <w:rsid w:val="00C774E2"/>
    <w:rsid w:val="00C77A87"/>
    <w:rsid w:val="00C77C78"/>
    <w:rsid w:val="00C8146C"/>
    <w:rsid w:val="00C81E74"/>
    <w:rsid w:val="00C82055"/>
    <w:rsid w:val="00C8231E"/>
    <w:rsid w:val="00C83C18"/>
    <w:rsid w:val="00C8458C"/>
    <w:rsid w:val="00C845A5"/>
    <w:rsid w:val="00C846DD"/>
    <w:rsid w:val="00C8546E"/>
    <w:rsid w:val="00C85CA6"/>
    <w:rsid w:val="00C8734F"/>
    <w:rsid w:val="00C873DA"/>
    <w:rsid w:val="00C90A7F"/>
    <w:rsid w:val="00C9147E"/>
    <w:rsid w:val="00C91A1D"/>
    <w:rsid w:val="00C925ED"/>
    <w:rsid w:val="00C9339F"/>
    <w:rsid w:val="00C959F8"/>
    <w:rsid w:val="00C95BD6"/>
    <w:rsid w:val="00C96618"/>
    <w:rsid w:val="00C96A10"/>
    <w:rsid w:val="00C96CEC"/>
    <w:rsid w:val="00C9753B"/>
    <w:rsid w:val="00C97AEF"/>
    <w:rsid w:val="00CA0C1B"/>
    <w:rsid w:val="00CA0C87"/>
    <w:rsid w:val="00CA0FB6"/>
    <w:rsid w:val="00CA19CD"/>
    <w:rsid w:val="00CA1F28"/>
    <w:rsid w:val="00CA20F3"/>
    <w:rsid w:val="00CA2747"/>
    <w:rsid w:val="00CA4696"/>
    <w:rsid w:val="00CA47EB"/>
    <w:rsid w:val="00CA4A62"/>
    <w:rsid w:val="00CA4C78"/>
    <w:rsid w:val="00CA4DAB"/>
    <w:rsid w:val="00CA5075"/>
    <w:rsid w:val="00CA561E"/>
    <w:rsid w:val="00CA5B58"/>
    <w:rsid w:val="00CA5B74"/>
    <w:rsid w:val="00CA659E"/>
    <w:rsid w:val="00CA6A39"/>
    <w:rsid w:val="00CA7DAD"/>
    <w:rsid w:val="00CB1CEF"/>
    <w:rsid w:val="00CB23DD"/>
    <w:rsid w:val="00CB2757"/>
    <w:rsid w:val="00CB2FE7"/>
    <w:rsid w:val="00CB3B57"/>
    <w:rsid w:val="00CB42AE"/>
    <w:rsid w:val="00CB434F"/>
    <w:rsid w:val="00CB5100"/>
    <w:rsid w:val="00CB5C77"/>
    <w:rsid w:val="00CB6768"/>
    <w:rsid w:val="00CB768F"/>
    <w:rsid w:val="00CC0848"/>
    <w:rsid w:val="00CC17DB"/>
    <w:rsid w:val="00CC1BD5"/>
    <w:rsid w:val="00CC2F01"/>
    <w:rsid w:val="00CC2FC9"/>
    <w:rsid w:val="00CC586C"/>
    <w:rsid w:val="00CC5E70"/>
    <w:rsid w:val="00CC5F0F"/>
    <w:rsid w:val="00CC627D"/>
    <w:rsid w:val="00CC6453"/>
    <w:rsid w:val="00CC6A34"/>
    <w:rsid w:val="00CD054F"/>
    <w:rsid w:val="00CD0CF2"/>
    <w:rsid w:val="00CD2D8A"/>
    <w:rsid w:val="00CD31EA"/>
    <w:rsid w:val="00CD4B6F"/>
    <w:rsid w:val="00CD4BD3"/>
    <w:rsid w:val="00CD52B8"/>
    <w:rsid w:val="00CD53A4"/>
    <w:rsid w:val="00CD5861"/>
    <w:rsid w:val="00CD692F"/>
    <w:rsid w:val="00CE0392"/>
    <w:rsid w:val="00CE07B7"/>
    <w:rsid w:val="00CE0D9A"/>
    <w:rsid w:val="00CE1850"/>
    <w:rsid w:val="00CE1DCA"/>
    <w:rsid w:val="00CE1F45"/>
    <w:rsid w:val="00CE20FA"/>
    <w:rsid w:val="00CE2303"/>
    <w:rsid w:val="00CE2C8F"/>
    <w:rsid w:val="00CE5481"/>
    <w:rsid w:val="00CE5866"/>
    <w:rsid w:val="00CE6085"/>
    <w:rsid w:val="00CE63E9"/>
    <w:rsid w:val="00CE63EB"/>
    <w:rsid w:val="00CE7F9A"/>
    <w:rsid w:val="00CF003F"/>
    <w:rsid w:val="00CF0045"/>
    <w:rsid w:val="00CF17FB"/>
    <w:rsid w:val="00CF2138"/>
    <w:rsid w:val="00CF2672"/>
    <w:rsid w:val="00CF292C"/>
    <w:rsid w:val="00CF2C49"/>
    <w:rsid w:val="00CF2EDC"/>
    <w:rsid w:val="00CF4360"/>
    <w:rsid w:val="00CF4773"/>
    <w:rsid w:val="00CF608F"/>
    <w:rsid w:val="00CF7194"/>
    <w:rsid w:val="00CF734F"/>
    <w:rsid w:val="00CF74AE"/>
    <w:rsid w:val="00CF7BE2"/>
    <w:rsid w:val="00CF7C90"/>
    <w:rsid w:val="00CF7CAA"/>
    <w:rsid w:val="00CF7EA0"/>
    <w:rsid w:val="00D00600"/>
    <w:rsid w:val="00D0083C"/>
    <w:rsid w:val="00D00A29"/>
    <w:rsid w:val="00D00FD6"/>
    <w:rsid w:val="00D02476"/>
    <w:rsid w:val="00D02612"/>
    <w:rsid w:val="00D02DC5"/>
    <w:rsid w:val="00D0329F"/>
    <w:rsid w:val="00D0430C"/>
    <w:rsid w:val="00D04372"/>
    <w:rsid w:val="00D04CF8"/>
    <w:rsid w:val="00D04F9C"/>
    <w:rsid w:val="00D057EB"/>
    <w:rsid w:val="00D05DB1"/>
    <w:rsid w:val="00D06299"/>
    <w:rsid w:val="00D1045D"/>
    <w:rsid w:val="00D11813"/>
    <w:rsid w:val="00D11A30"/>
    <w:rsid w:val="00D133AA"/>
    <w:rsid w:val="00D13B0B"/>
    <w:rsid w:val="00D13CCF"/>
    <w:rsid w:val="00D13F29"/>
    <w:rsid w:val="00D13FF0"/>
    <w:rsid w:val="00D14CF7"/>
    <w:rsid w:val="00D15367"/>
    <w:rsid w:val="00D1576E"/>
    <w:rsid w:val="00D15BBC"/>
    <w:rsid w:val="00D15E67"/>
    <w:rsid w:val="00D164DC"/>
    <w:rsid w:val="00D16EBC"/>
    <w:rsid w:val="00D16F86"/>
    <w:rsid w:val="00D170C1"/>
    <w:rsid w:val="00D17CE4"/>
    <w:rsid w:val="00D204A0"/>
    <w:rsid w:val="00D2061E"/>
    <w:rsid w:val="00D20ABB"/>
    <w:rsid w:val="00D21185"/>
    <w:rsid w:val="00D2138D"/>
    <w:rsid w:val="00D213BC"/>
    <w:rsid w:val="00D21BEC"/>
    <w:rsid w:val="00D22EC2"/>
    <w:rsid w:val="00D24AEE"/>
    <w:rsid w:val="00D25315"/>
    <w:rsid w:val="00D25F89"/>
    <w:rsid w:val="00D265A8"/>
    <w:rsid w:val="00D26A33"/>
    <w:rsid w:val="00D2724F"/>
    <w:rsid w:val="00D30652"/>
    <w:rsid w:val="00D3073E"/>
    <w:rsid w:val="00D31676"/>
    <w:rsid w:val="00D316C8"/>
    <w:rsid w:val="00D316D6"/>
    <w:rsid w:val="00D32835"/>
    <w:rsid w:val="00D33160"/>
    <w:rsid w:val="00D33678"/>
    <w:rsid w:val="00D337D5"/>
    <w:rsid w:val="00D33BDC"/>
    <w:rsid w:val="00D33FB9"/>
    <w:rsid w:val="00D347CD"/>
    <w:rsid w:val="00D34817"/>
    <w:rsid w:val="00D35361"/>
    <w:rsid w:val="00D357BB"/>
    <w:rsid w:val="00D365BB"/>
    <w:rsid w:val="00D36D3F"/>
    <w:rsid w:val="00D3708F"/>
    <w:rsid w:val="00D37715"/>
    <w:rsid w:val="00D3795A"/>
    <w:rsid w:val="00D37AB5"/>
    <w:rsid w:val="00D40AB2"/>
    <w:rsid w:val="00D40C74"/>
    <w:rsid w:val="00D40DC9"/>
    <w:rsid w:val="00D41B29"/>
    <w:rsid w:val="00D43282"/>
    <w:rsid w:val="00D43EA4"/>
    <w:rsid w:val="00D44508"/>
    <w:rsid w:val="00D44892"/>
    <w:rsid w:val="00D468A8"/>
    <w:rsid w:val="00D47810"/>
    <w:rsid w:val="00D50867"/>
    <w:rsid w:val="00D5128E"/>
    <w:rsid w:val="00D51684"/>
    <w:rsid w:val="00D5288F"/>
    <w:rsid w:val="00D52E83"/>
    <w:rsid w:val="00D52FD0"/>
    <w:rsid w:val="00D53099"/>
    <w:rsid w:val="00D53F0A"/>
    <w:rsid w:val="00D54385"/>
    <w:rsid w:val="00D5655D"/>
    <w:rsid w:val="00D56934"/>
    <w:rsid w:val="00D602E2"/>
    <w:rsid w:val="00D606D9"/>
    <w:rsid w:val="00D607D1"/>
    <w:rsid w:val="00D6106C"/>
    <w:rsid w:val="00D6114C"/>
    <w:rsid w:val="00D6164F"/>
    <w:rsid w:val="00D6210E"/>
    <w:rsid w:val="00D6259C"/>
    <w:rsid w:val="00D63B91"/>
    <w:rsid w:val="00D63E30"/>
    <w:rsid w:val="00D64A4A"/>
    <w:rsid w:val="00D64CEA"/>
    <w:rsid w:val="00D65BFD"/>
    <w:rsid w:val="00D6679C"/>
    <w:rsid w:val="00D6701E"/>
    <w:rsid w:val="00D6749B"/>
    <w:rsid w:val="00D67949"/>
    <w:rsid w:val="00D70E28"/>
    <w:rsid w:val="00D72F5D"/>
    <w:rsid w:val="00D7370C"/>
    <w:rsid w:val="00D73CFF"/>
    <w:rsid w:val="00D73EE6"/>
    <w:rsid w:val="00D74100"/>
    <w:rsid w:val="00D742D2"/>
    <w:rsid w:val="00D744DC"/>
    <w:rsid w:val="00D74556"/>
    <w:rsid w:val="00D74816"/>
    <w:rsid w:val="00D75CF7"/>
    <w:rsid w:val="00D75F59"/>
    <w:rsid w:val="00D775DD"/>
    <w:rsid w:val="00D776C3"/>
    <w:rsid w:val="00D80153"/>
    <w:rsid w:val="00D806C9"/>
    <w:rsid w:val="00D814BC"/>
    <w:rsid w:val="00D819AA"/>
    <w:rsid w:val="00D81AC7"/>
    <w:rsid w:val="00D81E4C"/>
    <w:rsid w:val="00D8327C"/>
    <w:rsid w:val="00D83E45"/>
    <w:rsid w:val="00D842CD"/>
    <w:rsid w:val="00D8442C"/>
    <w:rsid w:val="00D8495C"/>
    <w:rsid w:val="00D86737"/>
    <w:rsid w:val="00D8696A"/>
    <w:rsid w:val="00D90419"/>
    <w:rsid w:val="00D90551"/>
    <w:rsid w:val="00D90F5A"/>
    <w:rsid w:val="00D9153B"/>
    <w:rsid w:val="00D9160A"/>
    <w:rsid w:val="00D91E04"/>
    <w:rsid w:val="00D935B7"/>
    <w:rsid w:val="00D9401F"/>
    <w:rsid w:val="00D940FA"/>
    <w:rsid w:val="00D9462A"/>
    <w:rsid w:val="00D949D5"/>
    <w:rsid w:val="00D94B56"/>
    <w:rsid w:val="00D9506D"/>
    <w:rsid w:val="00D95600"/>
    <w:rsid w:val="00D95815"/>
    <w:rsid w:val="00D95903"/>
    <w:rsid w:val="00D95D78"/>
    <w:rsid w:val="00D962E2"/>
    <w:rsid w:val="00D969BF"/>
    <w:rsid w:val="00D96E3B"/>
    <w:rsid w:val="00DA0810"/>
    <w:rsid w:val="00DA1AF7"/>
    <w:rsid w:val="00DA1FE3"/>
    <w:rsid w:val="00DA2482"/>
    <w:rsid w:val="00DA2F3B"/>
    <w:rsid w:val="00DA30B7"/>
    <w:rsid w:val="00DA371D"/>
    <w:rsid w:val="00DA3E26"/>
    <w:rsid w:val="00DA3FCE"/>
    <w:rsid w:val="00DA49E4"/>
    <w:rsid w:val="00DA4B42"/>
    <w:rsid w:val="00DA6163"/>
    <w:rsid w:val="00DA644D"/>
    <w:rsid w:val="00DA7857"/>
    <w:rsid w:val="00DA7DD7"/>
    <w:rsid w:val="00DB04ED"/>
    <w:rsid w:val="00DB1565"/>
    <w:rsid w:val="00DB1801"/>
    <w:rsid w:val="00DB2BE7"/>
    <w:rsid w:val="00DB4203"/>
    <w:rsid w:val="00DB6B88"/>
    <w:rsid w:val="00DB76CD"/>
    <w:rsid w:val="00DB7CA1"/>
    <w:rsid w:val="00DC094F"/>
    <w:rsid w:val="00DC13A5"/>
    <w:rsid w:val="00DC1D97"/>
    <w:rsid w:val="00DC24B5"/>
    <w:rsid w:val="00DC25DA"/>
    <w:rsid w:val="00DC40A4"/>
    <w:rsid w:val="00DC4325"/>
    <w:rsid w:val="00DC4915"/>
    <w:rsid w:val="00DC4C59"/>
    <w:rsid w:val="00DC5149"/>
    <w:rsid w:val="00DC53D4"/>
    <w:rsid w:val="00DC5B77"/>
    <w:rsid w:val="00DC5EEB"/>
    <w:rsid w:val="00DC68E1"/>
    <w:rsid w:val="00DC6A1D"/>
    <w:rsid w:val="00DC7A60"/>
    <w:rsid w:val="00DC7DCC"/>
    <w:rsid w:val="00DC7FCE"/>
    <w:rsid w:val="00DD024E"/>
    <w:rsid w:val="00DD0451"/>
    <w:rsid w:val="00DD0452"/>
    <w:rsid w:val="00DD07EB"/>
    <w:rsid w:val="00DD084E"/>
    <w:rsid w:val="00DD08F6"/>
    <w:rsid w:val="00DD0CB8"/>
    <w:rsid w:val="00DD1B88"/>
    <w:rsid w:val="00DD1C19"/>
    <w:rsid w:val="00DD238F"/>
    <w:rsid w:val="00DD27BF"/>
    <w:rsid w:val="00DD2AD0"/>
    <w:rsid w:val="00DD334C"/>
    <w:rsid w:val="00DD3C08"/>
    <w:rsid w:val="00DD3C35"/>
    <w:rsid w:val="00DD420A"/>
    <w:rsid w:val="00DD44F0"/>
    <w:rsid w:val="00DD58C3"/>
    <w:rsid w:val="00DD6823"/>
    <w:rsid w:val="00DD7F89"/>
    <w:rsid w:val="00DE0476"/>
    <w:rsid w:val="00DE0F73"/>
    <w:rsid w:val="00DE1B2F"/>
    <w:rsid w:val="00DE1C5A"/>
    <w:rsid w:val="00DE2AAC"/>
    <w:rsid w:val="00DE2B0B"/>
    <w:rsid w:val="00DE5E04"/>
    <w:rsid w:val="00DE6327"/>
    <w:rsid w:val="00DE6634"/>
    <w:rsid w:val="00DE78DA"/>
    <w:rsid w:val="00DF1125"/>
    <w:rsid w:val="00DF15D0"/>
    <w:rsid w:val="00DF18DD"/>
    <w:rsid w:val="00DF22E5"/>
    <w:rsid w:val="00DF27AC"/>
    <w:rsid w:val="00DF28E7"/>
    <w:rsid w:val="00DF2FD1"/>
    <w:rsid w:val="00DF399A"/>
    <w:rsid w:val="00DF3B1A"/>
    <w:rsid w:val="00DF3B1B"/>
    <w:rsid w:val="00DF447B"/>
    <w:rsid w:val="00DF4DCA"/>
    <w:rsid w:val="00DF6280"/>
    <w:rsid w:val="00DF6339"/>
    <w:rsid w:val="00DF6FB6"/>
    <w:rsid w:val="00DF75B5"/>
    <w:rsid w:val="00DF7B14"/>
    <w:rsid w:val="00DF7B16"/>
    <w:rsid w:val="00DF7E64"/>
    <w:rsid w:val="00E00009"/>
    <w:rsid w:val="00E00096"/>
    <w:rsid w:val="00E0193F"/>
    <w:rsid w:val="00E01BF9"/>
    <w:rsid w:val="00E01EF4"/>
    <w:rsid w:val="00E0281E"/>
    <w:rsid w:val="00E02CF2"/>
    <w:rsid w:val="00E04947"/>
    <w:rsid w:val="00E04A4C"/>
    <w:rsid w:val="00E05A0D"/>
    <w:rsid w:val="00E069F7"/>
    <w:rsid w:val="00E06C35"/>
    <w:rsid w:val="00E06C9D"/>
    <w:rsid w:val="00E0710D"/>
    <w:rsid w:val="00E07F71"/>
    <w:rsid w:val="00E101C6"/>
    <w:rsid w:val="00E11483"/>
    <w:rsid w:val="00E114D8"/>
    <w:rsid w:val="00E116A3"/>
    <w:rsid w:val="00E11F09"/>
    <w:rsid w:val="00E12505"/>
    <w:rsid w:val="00E1256E"/>
    <w:rsid w:val="00E132C1"/>
    <w:rsid w:val="00E1347F"/>
    <w:rsid w:val="00E14916"/>
    <w:rsid w:val="00E15668"/>
    <w:rsid w:val="00E15F03"/>
    <w:rsid w:val="00E1621B"/>
    <w:rsid w:val="00E16855"/>
    <w:rsid w:val="00E16871"/>
    <w:rsid w:val="00E16A72"/>
    <w:rsid w:val="00E16E2F"/>
    <w:rsid w:val="00E21083"/>
    <w:rsid w:val="00E21114"/>
    <w:rsid w:val="00E22961"/>
    <w:rsid w:val="00E22B84"/>
    <w:rsid w:val="00E23E6E"/>
    <w:rsid w:val="00E25E8A"/>
    <w:rsid w:val="00E26045"/>
    <w:rsid w:val="00E26139"/>
    <w:rsid w:val="00E262A3"/>
    <w:rsid w:val="00E268D6"/>
    <w:rsid w:val="00E26BDB"/>
    <w:rsid w:val="00E26F30"/>
    <w:rsid w:val="00E27304"/>
    <w:rsid w:val="00E27377"/>
    <w:rsid w:val="00E279BF"/>
    <w:rsid w:val="00E304D5"/>
    <w:rsid w:val="00E31364"/>
    <w:rsid w:val="00E32511"/>
    <w:rsid w:val="00E32BC7"/>
    <w:rsid w:val="00E33084"/>
    <w:rsid w:val="00E333B3"/>
    <w:rsid w:val="00E337F5"/>
    <w:rsid w:val="00E339E4"/>
    <w:rsid w:val="00E34021"/>
    <w:rsid w:val="00E341A2"/>
    <w:rsid w:val="00E34A4A"/>
    <w:rsid w:val="00E34EBC"/>
    <w:rsid w:val="00E3529F"/>
    <w:rsid w:val="00E352D0"/>
    <w:rsid w:val="00E35581"/>
    <w:rsid w:val="00E35817"/>
    <w:rsid w:val="00E35852"/>
    <w:rsid w:val="00E358DC"/>
    <w:rsid w:val="00E36823"/>
    <w:rsid w:val="00E37211"/>
    <w:rsid w:val="00E37848"/>
    <w:rsid w:val="00E40273"/>
    <w:rsid w:val="00E4034D"/>
    <w:rsid w:val="00E404B3"/>
    <w:rsid w:val="00E41EE7"/>
    <w:rsid w:val="00E42084"/>
    <w:rsid w:val="00E42D05"/>
    <w:rsid w:val="00E44854"/>
    <w:rsid w:val="00E44D6A"/>
    <w:rsid w:val="00E4540D"/>
    <w:rsid w:val="00E457E2"/>
    <w:rsid w:val="00E45AAD"/>
    <w:rsid w:val="00E45FBD"/>
    <w:rsid w:val="00E46338"/>
    <w:rsid w:val="00E467C3"/>
    <w:rsid w:val="00E47FF3"/>
    <w:rsid w:val="00E501C7"/>
    <w:rsid w:val="00E50B82"/>
    <w:rsid w:val="00E50DF9"/>
    <w:rsid w:val="00E51630"/>
    <w:rsid w:val="00E552CC"/>
    <w:rsid w:val="00E55808"/>
    <w:rsid w:val="00E559EA"/>
    <w:rsid w:val="00E5696D"/>
    <w:rsid w:val="00E56E45"/>
    <w:rsid w:val="00E57157"/>
    <w:rsid w:val="00E57326"/>
    <w:rsid w:val="00E5749F"/>
    <w:rsid w:val="00E6161C"/>
    <w:rsid w:val="00E6216C"/>
    <w:rsid w:val="00E62DEC"/>
    <w:rsid w:val="00E63233"/>
    <w:rsid w:val="00E63E2A"/>
    <w:rsid w:val="00E63FE6"/>
    <w:rsid w:val="00E64AE5"/>
    <w:rsid w:val="00E64BF3"/>
    <w:rsid w:val="00E6512E"/>
    <w:rsid w:val="00E65960"/>
    <w:rsid w:val="00E65F8A"/>
    <w:rsid w:val="00E66092"/>
    <w:rsid w:val="00E667BC"/>
    <w:rsid w:val="00E66ECB"/>
    <w:rsid w:val="00E67486"/>
    <w:rsid w:val="00E70590"/>
    <w:rsid w:val="00E70C7F"/>
    <w:rsid w:val="00E727CE"/>
    <w:rsid w:val="00E73117"/>
    <w:rsid w:val="00E73A68"/>
    <w:rsid w:val="00E73D84"/>
    <w:rsid w:val="00E749E1"/>
    <w:rsid w:val="00E74B98"/>
    <w:rsid w:val="00E75618"/>
    <w:rsid w:val="00E76188"/>
    <w:rsid w:val="00E7688B"/>
    <w:rsid w:val="00E77054"/>
    <w:rsid w:val="00E772B1"/>
    <w:rsid w:val="00E8007A"/>
    <w:rsid w:val="00E80578"/>
    <w:rsid w:val="00E805C1"/>
    <w:rsid w:val="00E80B43"/>
    <w:rsid w:val="00E81FEF"/>
    <w:rsid w:val="00E833CB"/>
    <w:rsid w:val="00E83995"/>
    <w:rsid w:val="00E83B5C"/>
    <w:rsid w:val="00E83CBA"/>
    <w:rsid w:val="00E83D2E"/>
    <w:rsid w:val="00E83FB2"/>
    <w:rsid w:val="00E844D4"/>
    <w:rsid w:val="00E84780"/>
    <w:rsid w:val="00E8614D"/>
    <w:rsid w:val="00E867B4"/>
    <w:rsid w:val="00E867B7"/>
    <w:rsid w:val="00E86BF5"/>
    <w:rsid w:val="00E87343"/>
    <w:rsid w:val="00E902B0"/>
    <w:rsid w:val="00E90615"/>
    <w:rsid w:val="00E914CF"/>
    <w:rsid w:val="00E91FE0"/>
    <w:rsid w:val="00E92CD1"/>
    <w:rsid w:val="00E92F8B"/>
    <w:rsid w:val="00E93967"/>
    <w:rsid w:val="00E93B88"/>
    <w:rsid w:val="00E9441D"/>
    <w:rsid w:val="00E95AC2"/>
    <w:rsid w:val="00E96176"/>
    <w:rsid w:val="00E9635E"/>
    <w:rsid w:val="00E97167"/>
    <w:rsid w:val="00E9748C"/>
    <w:rsid w:val="00E97532"/>
    <w:rsid w:val="00E97787"/>
    <w:rsid w:val="00E97AB3"/>
    <w:rsid w:val="00E97DBB"/>
    <w:rsid w:val="00EA0169"/>
    <w:rsid w:val="00EA093A"/>
    <w:rsid w:val="00EA1AA6"/>
    <w:rsid w:val="00EA34D7"/>
    <w:rsid w:val="00EA3781"/>
    <w:rsid w:val="00EA39A8"/>
    <w:rsid w:val="00EA40DD"/>
    <w:rsid w:val="00EA44A1"/>
    <w:rsid w:val="00EA4566"/>
    <w:rsid w:val="00EA4836"/>
    <w:rsid w:val="00EA4CA0"/>
    <w:rsid w:val="00EA5023"/>
    <w:rsid w:val="00EA5331"/>
    <w:rsid w:val="00EA7061"/>
    <w:rsid w:val="00EA785E"/>
    <w:rsid w:val="00EA7A36"/>
    <w:rsid w:val="00EA7C5B"/>
    <w:rsid w:val="00EB13FE"/>
    <w:rsid w:val="00EB22E5"/>
    <w:rsid w:val="00EB254B"/>
    <w:rsid w:val="00EB26D6"/>
    <w:rsid w:val="00EB39F1"/>
    <w:rsid w:val="00EB3B68"/>
    <w:rsid w:val="00EB460F"/>
    <w:rsid w:val="00EB472E"/>
    <w:rsid w:val="00EB5434"/>
    <w:rsid w:val="00EB5D6C"/>
    <w:rsid w:val="00EB659D"/>
    <w:rsid w:val="00EB699B"/>
    <w:rsid w:val="00EB6A9B"/>
    <w:rsid w:val="00EB6AC4"/>
    <w:rsid w:val="00EB6CEA"/>
    <w:rsid w:val="00EB76D6"/>
    <w:rsid w:val="00EC006C"/>
    <w:rsid w:val="00EC0178"/>
    <w:rsid w:val="00EC049F"/>
    <w:rsid w:val="00EC0C62"/>
    <w:rsid w:val="00EC11E3"/>
    <w:rsid w:val="00EC1256"/>
    <w:rsid w:val="00EC2D9E"/>
    <w:rsid w:val="00EC3E3A"/>
    <w:rsid w:val="00EC525D"/>
    <w:rsid w:val="00EC694F"/>
    <w:rsid w:val="00EC7711"/>
    <w:rsid w:val="00EC7F8E"/>
    <w:rsid w:val="00ED024E"/>
    <w:rsid w:val="00ED120E"/>
    <w:rsid w:val="00ED1514"/>
    <w:rsid w:val="00ED194C"/>
    <w:rsid w:val="00ED25EB"/>
    <w:rsid w:val="00ED28EE"/>
    <w:rsid w:val="00ED2C26"/>
    <w:rsid w:val="00ED2C9C"/>
    <w:rsid w:val="00ED2F60"/>
    <w:rsid w:val="00ED2FEC"/>
    <w:rsid w:val="00ED3898"/>
    <w:rsid w:val="00ED38BF"/>
    <w:rsid w:val="00ED465B"/>
    <w:rsid w:val="00ED49CA"/>
    <w:rsid w:val="00ED5DB2"/>
    <w:rsid w:val="00ED5EC2"/>
    <w:rsid w:val="00ED64CE"/>
    <w:rsid w:val="00ED7147"/>
    <w:rsid w:val="00ED722D"/>
    <w:rsid w:val="00ED72BF"/>
    <w:rsid w:val="00ED7508"/>
    <w:rsid w:val="00EE0151"/>
    <w:rsid w:val="00EE015A"/>
    <w:rsid w:val="00EE0858"/>
    <w:rsid w:val="00EE092E"/>
    <w:rsid w:val="00EE0DF2"/>
    <w:rsid w:val="00EE1124"/>
    <w:rsid w:val="00EE169D"/>
    <w:rsid w:val="00EE2108"/>
    <w:rsid w:val="00EE21DD"/>
    <w:rsid w:val="00EE56DF"/>
    <w:rsid w:val="00EE587F"/>
    <w:rsid w:val="00EE5ED7"/>
    <w:rsid w:val="00EE64CC"/>
    <w:rsid w:val="00EE677D"/>
    <w:rsid w:val="00EE6D6B"/>
    <w:rsid w:val="00EE767C"/>
    <w:rsid w:val="00EE7E6A"/>
    <w:rsid w:val="00EF051D"/>
    <w:rsid w:val="00EF0943"/>
    <w:rsid w:val="00EF1A24"/>
    <w:rsid w:val="00EF1BF1"/>
    <w:rsid w:val="00EF24FA"/>
    <w:rsid w:val="00EF2601"/>
    <w:rsid w:val="00EF5716"/>
    <w:rsid w:val="00EF71E1"/>
    <w:rsid w:val="00F003B9"/>
    <w:rsid w:val="00F008FE"/>
    <w:rsid w:val="00F01BD5"/>
    <w:rsid w:val="00F024E3"/>
    <w:rsid w:val="00F0264E"/>
    <w:rsid w:val="00F02815"/>
    <w:rsid w:val="00F031BD"/>
    <w:rsid w:val="00F041B2"/>
    <w:rsid w:val="00F044F9"/>
    <w:rsid w:val="00F0505F"/>
    <w:rsid w:val="00F05CC9"/>
    <w:rsid w:val="00F05EAF"/>
    <w:rsid w:val="00F06D7C"/>
    <w:rsid w:val="00F06F21"/>
    <w:rsid w:val="00F1049D"/>
    <w:rsid w:val="00F107FE"/>
    <w:rsid w:val="00F10E07"/>
    <w:rsid w:val="00F119F0"/>
    <w:rsid w:val="00F123E0"/>
    <w:rsid w:val="00F13DD8"/>
    <w:rsid w:val="00F14236"/>
    <w:rsid w:val="00F147FD"/>
    <w:rsid w:val="00F14BA3"/>
    <w:rsid w:val="00F1585E"/>
    <w:rsid w:val="00F15E8F"/>
    <w:rsid w:val="00F15FC1"/>
    <w:rsid w:val="00F166CE"/>
    <w:rsid w:val="00F1718F"/>
    <w:rsid w:val="00F17762"/>
    <w:rsid w:val="00F17E65"/>
    <w:rsid w:val="00F20465"/>
    <w:rsid w:val="00F20F44"/>
    <w:rsid w:val="00F22ABE"/>
    <w:rsid w:val="00F22FC3"/>
    <w:rsid w:val="00F23BAE"/>
    <w:rsid w:val="00F23C5A"/>
    <w:rsid w:val="00F23E91"/>
    <w:rsid w:val="00F2566B"/>
    <w:rsid w:val="00F2606E"/>
    <w:rsid w:val="00F261BC"/>
    <w:rsid w:val="00F2696F"/>
    <w:rsid w:val="00F2718C"/>
    <w:rsid w:val="00F2763A"/>
    <w:rsid w:val="00F277D4"/>
    <w:rsid w:val="00F30A70"/>
    <w:rsid w:val="00F30BBC"/>
    <w:rsid w:val="00F30BF2"/>
    <w:rsid w:val="00F31104"/>
    <w:rsid w:val="00F317D4"/>
    <w:rsid w:val="00F3264D"/>
    <w:rsid w:val="00F32849"/>
    <w:rsid w:val="00F3332A"/>
    <w:rsid w:val="00F33E65"/>
    <w:rsid w:val="00F34E93"/>
    <w:rsid w:val="00F3612F"/>
    <w:rsid w:val="00F36D5D"/>
    <w:rsid w:val="00F37D2F"/>
    <w:rsid w:val="00F40B6D"/>
    <w:rsid w:val="00F42446"/>
    <w:rsid w:val="00F42496"/>
    <w:rsid w:val="00F425CC"/>
    <w:rsid w:val="00F43F5A"/>
    <w:rsid w:val="00F44511"/>
    <w:rsid w:val="00F4474B"/>
    <w:rsid w:val="00F45562"/>
    <w:rsid w:val="00F45933"/>
    <w:rsid w:val="00F46417"/>
    <w:rsid w:val="00F47CF1"/>
    <w:rsid w:val="00F5097D"/>
    <w:rsid w:val="00F513E5"/>
    <w:rsid w:val="00F51F3A"/>
    <w:rsid w:val="00F5219B"/>
    <w:rsid w:val="00F527A6"/>
    <w:rsid w:val="00F52A0A"/>
    <w:rsid w:val="00F5300F"/>
    <w:rsid w:val="00F53138"/>
    <w:rsid w:val="00F531C9"/>
    <w:rsid w:val="00F534C0"/>
    <w:rsid w:val="00F54930"/>
    <w:rsid w:val="00F5523B"/>
    <w:rsid w:val="00F55EA4"/>
    <w:rsid w:val="00F570E0"/>
    <w:rsid w:val="00F573BA"/>
    <w:rsid w:val="00F578BF"/>
    <w:rsid w:val="00F57C3A"/>
    <w:rsid w:val="00F60187"/>
    <w:rsid w:val="00F6073C"/>
    <w:rsid w:val="00F60FAB"/>
    <w:rsid w:val="00F61AD3"/>
    <w:rsid w:val="00F621FA"/>
    <w:rsid w:val="00F622F2"/>
    <w:rsid w:val="00F623B6"/>
    <w:rsid w:val="00F6280F"/>
    <w:rsid w:val="00F62819"/>
    <w:rsid w:val="00F62CFF"/>
    <w:rsid w:val="00F6394B"/>
    <w:rsid w:val="00F64600"/>
    <w:rsid w:val="00F650E2"/>
    <w:rsid w:val="00F65774"/>
    <w:rsid w:val="00F65AF2"/>
    <w:rsid w:val="00F6653B"/>
    <w:rsid w:val="00F66F4B"/>
    <w:rsid w:val="00F66FB3"/>
    <w:rsid w:val="00F673B8"/>
    <w:rsid w:val="00F67518"/>
    <w:rsid w:val="00F708D9"/>
    <w:rsid w:val="00F7180C"/>
    <w:rsid w:val="00F720FB"/>
    <w:rsid w:val="00F721C2"/>
    <w:rsid w:val="00F72356"/>
    <w:rsid w:val="00F72743"/>
    <w:rsid w:val="00F732BC"/>
    <w:rsid w:val="00F73A55"/>
    <w:rsid w:val="00F74453"/>
    <w:rsid w:val="00F75FB3"/>
    <w:rsid w:val="00F7789B"/>
    <w:rsid w:val="00F77A8A"/>
    <w:rsid w:val="00F80602"/>
    <w:rsid w:val="00F809BE"/>
    <w:rsid w:val="00F81376"/>
    <w:rsid w:val="00F814DF"/>
    <w:rsid w:val="00F81A3D"/>
    <w:rsid w:val="00F81E48"/>
    <w:rsid w:val="00F827EE"/>
    <w:rsid w:val="00F82BF9"/>
    <w:rsid w:val="00F83FFF"/>
    <w:rsid w:val="00F84C20"/>
    <w:rsid w:val="00F853B9"/>
    <w:rsid w:val="00F8545E"/>
    <w:rsid w:val="00F85CB4"/>
    <w:rsid w:val="00F86427"/>
    <w:rsid w:val="00F87614"/>
    <w:rsid w:val="00F876E1"/>
    <w:rsid w:val="00F879CF"/>
    <w:rsid w:val="00F87FB5"/>
    <w:rsid w:val="00F87FDA"/>
    <w:rsid w:val="00F90363"/>
    <w:rsid w:val="00F90E04"/>
    <w:rsid w:val="00F91822"/>
    <w:rsid w:val="00F92112"/>
    <w:rsid w:val="00F9230A"/>
    <w:rsid w:val="00F92366"/>
    <w:rsid w:val="00F92753"/>
    <w:rsid w:val="00F9399D"/>
    <w:rsid w:val="00F94498"/>
    <w:rsid w:val="00F9598E"/>
    <w:rsid w:val="00F96B32"/>
    <w:rsid w:val="00F9735A"/>
    <w:rsid w:val="00F97B0C"/>
    <w:rsid w:val="00FA03E2"/>
    <w:rsid w:val="00FA2510"/>
    <w:rsid w:val="00FA42F4"/>
    <w:rsid w:val="00FA453E"/>
    <w:rsid w:val="00FA4AA0"/>
    <w:rsid w:val="00FA632E"/>
    <w:rsid w:val="00FA6502"/>
    <w:rsid w:val="00FA724B"/>
    <w:rsid w:val="00FA7B72"/>
    <w:rsid w:val="00FA7CA0"/>
    <w:rsid w:val="00FB0730"/>
    <w:rsid w:val="00FB0923"/>
    <w:rsid w:val="00FB0BC1"/>
    <w:rsid w:val="00FB1114"/>
    <w:rsid w:val="00FB14A0"/>
    <w:rsid w:val="00FB1682"/>
    <w:rsid w:val="00FB27D6"/>
    <w:rsid w:val="00FB3000"/>
    <w:rsid w:val="00FB34A3"/>
    <w:rsid w:val="00FB3560"/>
    <w:rsid w:val="00FB4910"/>
    <w:rsid w:val="00FB4E4A"/>
    <w:rsid w:val="00FB4F3D"/>
    <w:rsid w:val="00FB5112"/>
    <w:rsid w:val="00FB59BF"/>
    <w:rsid w:val="00FB63AE"/>
    <w:rsid w:val="00FB6D3A"/>
    <w:rsid w:val="00FB6F8E"/>
    <w:rsid w:val="00FB7085"/>
    <w:rsid w:val="00FB760E"/>
    <w:rsid w:val="00FB7924"/>
    <w:rsid w:val="00FB7F34"/>
    <w:rsid w:val="00FB7F35"/>
    <w:rsid w:val="00FC0A34"/>
    <w:rsid w:val="00FC0DFD"/>
    <w:rsid w:val="00FC11D6"/>
    <w:rsid w:val="00FC16A8"/>
    <w:rsid w:val="00FC1B44"/>
    <w:rsid w:val="00FC48DD"/>
    <w:rsid w:val="00FC5623"/>
    <w:rsid w:val="00FC569E"/>
    <w:rsid w:val="00FC67E5"/>
    <w:rsid w:val="00FC6BFF"/>
    <w:rsid w:val="00FC7B5F"/>
    <w:rsid w:val="00FC7E7A"/>
    <w:rsid w:val="00FD04EB"/>
    <w:rsid w:val="00FD0521"/>
    <w:rsid w:val="00FD0D13"/>
    <w:rsid w:val="00FD1036"/>
    <w:rsid w:val="00FD1062"/>
    <w:rsid w:val="00FD131D"/>
    <w:rsid w:val="00FD13A1"/>
    <w:rsid w:val="00FD3049"/>
    <w:rsid w:val="00FD3CA7"/>
    <w:rsid w:val="00FD3D2A"/>
    <w:rsid w:val="00FD414E"/>
    <w:rsid w:val="00FD41F2"/>
    <w:rsid w:val="00FD5177"/>
    <w:rsid w:val="00FD5398"/>
    <w:rsid w:val="00FD7746"/>
    <w:rsid w:val="00FD79EB"/>
    <w:rsid w:val="00FE06D4"/>
    <w:rsid w:val="00FE08BF"/>
    <w:rsid w:val="00FE197A"/>
    <w:rsid w:val="00FE35E1"/>
    <w:rsid w:val="00FE3AFC"/>
    <w:rsid w:val="00FE3F06"/>
    <w:rsid w:val="00FE6A71"/>
    <w:rsid w:val="00FE6D86"/>
    <w:rsid w:val="00FE7FB0"/>
    <w:rsid w:val="00FF02D0"/>
    <w:rsid w:val="00FF0DA7"/>
    <w:rsid w:val="00FF1308"/>
    <w:rsid w:val="00FF1C24"/>
    <w:rsid w:val="00FF266B"/>
    <w:rsid w:val="00FF2D6B"/>
    <w:rsid w:val="00FF3276"/>
    <w:rsid w:val="00FF3843"/>
    <w:rsid w:val="00FF41B3"/>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14CD83E-67F1-4AE9-95C0-079A294A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6E9A"/>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663C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paragraph" w:styleId="Heading7">
    <w:name w:val="heading 7"/>
    <w:basedOn w:val="Normal"/>
    <w:next w:val="Normal"/>
    <w:link w:val="Heading7Char"/>
    <w:uiPriority w:val="9"/>
    <w:semiHidden/>
    <w:unhideWhenUsed/>
    <w:qFormat/>
    <w:locked/>
    <w:rsid w:val="00A062CE"/>
    <w:pPr>
      <w:keepNext/>
      <w:keepLines/>
      <w:spacing w:before="40"/>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Project Profile name,Paragraphe de liste1,Numbered paragraph,Paragraphe de liste,Medium Grid 1 - Accent 21,Numbered List Paragraph,References,ReferencesCxSpLast,Table/Figure Heading,En tête ,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Project Profile name Char,Paragraphe de liste1 Char,Numbered paragraph Char,Paragraphe de liste Char,Medium Grid 1 - Accent 21 Char,Numbered List Paragraph Char,References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styleId="UnresolvedMention">
    <w:name w:val="Unresolved Mention"/>
    <w:basedOn w:val="DefaultParagraphFont"/>
    <w:rsid w:val="003F26DC"/>
    <w:rPr>
      <w:color w:val="605E5C"/>
      <w:shd w:val="clear" w:color="auto" w:fill="E1DFDD"/>
    </w:rPr>
  </w:style>
  <w:style w:type="character" w:styleId="Mention">
    <w:name w:val="Mention"/>
    <w:basedOn w:val="DefaultParagraphFont"/>
    <w:uiPriority w:val="99"/>
    <w:unhideWhenUsed/>
    <w:rsid w:val="003F26DC"/>
    <w:rPr>
      <w:color w:val="2B579A"/>
      <w:shd w:val="clear" w:color="auto" w:fill="E1DFDD"/>
    </w:rPr>
  </w:style>
  <w:style w:type="paragraph" w:customStyle="1" w:styleId="Default">
    <w:name w:val="Default"/>
    <w:rsid w:val="00C51973"/>
    <w:pPr>
      <w:autoSpaceDE w:val="0"/>
      <w:autoSpaceDN w:val="0"/>
      <w:adjustRightInd w:val="0"/>
    </w:pPr>
    <w:rPr>
      <w:rFonts w:eastAsiaTheme="minorHAnsi"/>
      <w:color w:val="000000"/>
      <w:sz w:val="24"/>
      <w:szCs w:val="24"/>
      <w:lang w:val="en-US" w:eastAsia="en-US"/>
    </w:rPr>
  </w:style>
  <w:style w:type="character" w:customStyle="1" w:styleId="Heading7Char">
    <w:name w:val="Heading 7 Char"/>
    <w:basedOn w:val="DefaultParagraphFont"/>
    <w:link w:val="Heading7"/>
    <w:rsid w:val="00A062CE"/>
    <w:rPr>
      <w:rFonts w:asciiTheme="majorHAnsi" w:eastAsiaTheme="majorEastAsia" w:hAnsiTheme="majorHAnsi" w:cstheme="majorBidi"/>
      <w:i/>
      <w:iCs/>
      <w:color w:val="243F60" w:themeColor="accent1" w:themeShade="7F"/>
      <w:sz w:val="24"/>
      <w:szCs w:val="24"/>
      <w:lang w:val="en-US" w:eastAsia="en-US"/>
    </w:rPr>
  </w:style>
  <w:style w:type="character" w:customStyle="1" w:styleId="Heading3Char">
    <w:name w:val="Heading 3 Char"/>
    <w:basedOn w:val="DefaultParagraphFont"/>
    <w:link w:val="Heading3"/>
    <w:semiHidden/>
    <w:rsid w:val="00663CC1"/>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locked/>
    <w:rsid w:val="007B3FAF"/>
    <w:rPr>
      <w:b/>
      <w:bCs/>
    </w:rPr>
  </w:style>
  <w:style w:type="character" w:customStyle="1" w:styleId="x25">
    <w:name w:val="x25"/>
    <w:basedOn w:val="DefaultParagraphFont"/>
    <w:rsid w:val="00584ECF"/>
  </w:style>
  <w:style w:type="character" w:customStyle="1" w:styleId="normaltextrun">
    <w:name w:val="normaltextrun"/>
    <w:basedOn w:val="DefaultParagraphFont"/>
    <w:rsid w:val="00A3686C"/>
  </w:style>
  <w:style w:type="character" w:customStyle="1" w:styleId="eop">
    <w:name w:val="eop"/>
    <w:basedOn w:val="DefaultParagraphFont"/>
    <w:rsid w:val="00A3686C"/>
  </w:style>
  <w:style w:type="paragraph" w:customStyle="1" w:styleId="paragraph">
    <w:name w:val="paragraph"/>
    <w:basedOn w:val="Normal"/>
    <w:rsid w:val="005D3123"/>
    <w:pPr>
      <w:spacing w:before="100" w:beforeAutospacing="1" w:after="100" w:afterAutospacing="1"/>
    </w:pPr>
    <w:rPr>
      <w:sz w:val="24"/>
      <w:szCs w:val="24"/>
      <w:lang w:val="en-GB" w:eastAsia="ja-JP"/>
    </w:rPr>
  </w:style>
  <w:style w:type="character" w:customStyle="1" w:styleId="apple-converted-space">
    <w:name w:val="apple-converted-space"/>
    <w:basedOn w:val="DefaultParagraphFont"/>
    <w:rsid w:val="004B1409"/>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570F73"/>
    <w:pPr>
      <w:spacing w:line="240" w:lineRule="exact"/>
    </w:pPr>
    <w:rPr>
      <w:vertAlign w:val="superscript"/>
      <w:lang w:val="en-GB" w:eastAsia="en-GB"/>
    </w:rPr>
  </w:style>
  <w:style w:type="paragraph" w:customStyle="1" w:styleId="last">
    <w:name w:val="last"/>
    <w:basedOn w:val="Normal"/>
    <w:rsid w:val="00570F73"/>
    <w:pPr>
      <w:spacing w:before="100" w:beforeAutospacing="1" w:after="100" w:afterAutospacing="1"/>
    </w:pPr>
    <w:rPr>
      <w:sz w:val="24"/>
      <w:szCs w:val="24"/>
      <w:lang w:val="en-GB" w:eastAsia="ja-JP"/>
    </w:rPr>
  </w:style>
  <w:style w:type="paragraph" w:styleId="NormalWeb">
    <w:name w:val="Normal (Web)"/>
    <w:basedOn w:val="Normal"/>
    <w:uiPriority w:val="99"/>
    <w:semiHidden/>
    <w:unhideWhenUsed/>
    <w:rsid w:val="00715115"/>
    <w:pPr>
      <w:spacing w:before="100" w:beforeAutospacing="1" w:after="100" w:afterAutospacing="1"/>
    </w:pPr>
    <w:rPr>
      <w:sz w:val="24"/>
      <w:szCs w:val="24"/>
      <w:lang w:val="en-TT"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22059143">
      <w:bodyDiv w:val="1"/>
      <w:marLeft w:val="0"/>
      <w:marRight w:val="0"/>
      <w:marTop w:val="0"/>
      <w:marBottom w:val="0"/>
      <w:divBdr>
        <w:top w:val="none" w:sz="0" w:space="0" w:color="auto"/>
        <w:left w:val="none" w:sz="0" w:space="0" w:color="auto"/>
        <w:bottom w:val="none" w:sz="0" w:space="0" w:color="auto"/>
        <w:right w:val="none" w:sz="0" w:space="0" w:color="auto"/>
      </w:divBdr>
    </w:div>
    <w:div w:id="390036525">
      <w:bodyDiv w:val="1"/>
      <w:marLeft w:val="0"/>
      <w:marRight w:val="0"/>
      <w:marTop w:val="0"/>
      <w:marBottom w:val="0"/>
      <w:divBdr>
        <w:top w:val="none" w:sz="0" w:space="0" w:color="auto"/>
        <w:left w:val="none" w:sz="0" w:space="0" w:color="auto"/>
        <w:bottom w:val="none" w:sz="0" w:space="0" w:color="auto"/>
        <w:right w:val="none" w:sz="0" w:space="0" w:color="auto"/>
      </w:divBdr>
    </w:div>
    <w:div w:id="407464738">
      <w:bodyDiv w:val="1"/>
      <w:marLeft w:val="0"/>
      <w:marRight w:val="0"/>
      <w:marTop w:val="0"/>
      <w:marBottom w:val="0"/>
      <w:divBdr>
        <w:top w:val="none" w:sz="0" w:space="0" w:color="auto"/>
        <w:left w:val="none" w:sz="0" w:space="0" w:color="auto"/>
        <w:bottom w:val="none" w:sz="0" w:space="0" w:color="auto"/>
        <w:right w:val="none" w:sz="0" w:space="0" w:color="auto"/>
      </w:divBdr>
    </w:div>
    <w:div w:id="571887144">
      <w:bodyDiv w:val="1"/>
      <w:marLeft w:val="0"/>
      <w:marRight w:val="0"/>
      <w:marTop w:val="0"/>
      <w:marBottom w:val="0"/>
      <w:divBdr>
        <w:top w:val="none" w:sz="0" w:space="0" w:color="auto"/>
        <w:left w:val="none" w:sz="0" w:space="0" w:color="auto"/>
        <w:bottom w:val="none" w:sz="0" w:space="0" w:color="auto"/>
        <w:right w:val="none" w:sz="0" w:space="0" w:color="auto"/>
      </w:divBdr>
    </w:div>
    <w:div w:id="686715417">
      <w:bodyDiv w:val="1"/>
      <w:marLeft w:val="0"/>
      <w:marRight w:val="0"/>
      <w:marTop w:val="0"/>
      <w:marBottom w:val="0"/>
      <w:divBdr>
        <w:top w:val="none" w:sz="0" w:space="0" w:color="auto"/>
        <w:left w:val="none" w:sz="0" w:space="0" w:color="auto"/>
        <w:bottom w:val="none" w:sz="0" w:space="0" w:color="auto"/>
        <w:right w:val="none" w:sz="0" w:space="0" w:color="auto"/>
      </w:divBdr>
    </w:div>
    <w:div w:id="744230048">
      <w:bodyDiv w:val="1"/>
      <w:marLeft w:val="0"/>
      <w:marRight w:val="0"/>
      <w:marTop w:val="0"/>
      <w:marBottom w:val="0"/>
      <w:divBdr>
        <w:top w:val="none" w:sz="0" w:space="0" w:color="auto"/>
        <w:left w:val="none" w:sz="0" w:space="0" w:color="auto"/>
        <w:bottom w:val="none" w:sz="0" w:space="0" w:color="auto"/>
        <w:right w:val="none" w:sz="0" w:space="0" w:color="auto"/>
      </w:divBdr>
    </w:div>
    <w:div w:id="1012223032">
      <w:bodyDiv w:val="1"/>
      <w:marLeft w:val="0"/>
      <w:marRight w:val="0"/>
      <w:marTop w:val="0"/>
      <w:marBottom w:val="0"/>
      <w:divBdr>
        <w:top w:val="none" w:sz="0" w:space="0" w:color="auto"/>
        <w:left w:val="none" w:sz="0" w:space="0" w:color="auto"/>
        <w:bottom w:val="none" w:sz="0" w:space="0" w:color="auto"/>
        <w:right w:val="none" w:sz="0" w:space="0" w:color="auto"/>
      </w:divBdr>
    </w:div>
    <w:div w:id="1130594277">
      <w:bodyDiv w:val="1"/>
      <w:marLeft w:val="0"/>
      <w:marRight w:val="0"/>
      <w:marTop w:val="0"/>
      <w:marBottom w:val="0"/>
      <w:divBdr>
        <w:top w:val="none" w:sz="0" w:space="0" w:color="auto"/>
        <w:left w:val="none" w:sz="0" w:space="0" w:color="auto"/>
        <w:bottom w:val="none" w:sz="0" w:space="0" w:color="auto"/>
        <w:right w:val="none" w:sz="0" w:space="0" w:color="auto"/>
      </w:divBdr>
      <w:divsChild>
        <w:div w:id="1348172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974389">
              <w:marLeft w:val="0"/>
              <w:marRight w:val="0"/>
              <w:marTop w:val="0"/>
              <w:marBottom w:val="0"/>
              <w:divBdr>
                <w:top w:val="none" w:sz="0" w:space="0" w:color="auto"/>
                <w:left w:val="none" w:sz="0" w:space="0" w:color="auto"/>
                <w:bottom w:val="none" w:sz="0" w:space="0" w:color="auto"/>
                <w:right w:val="none" w:sz="0" w:space="0" w:color="auto"/>
              </w:divBdr>
              <w:divsChild>
                <w:div w:id="1907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1276">
      <w:bodyDiv w:val="1"/>
      <w:marLeft w:val="0"/>
      <w:marRight w:val="0"/>
      <w:marTop w:val="0"/>
      <w:marBottom w:val="0"/>
      <w:divBdr>
        <w:top w:val="none" w:sz="0" w:space="0" w:color="auto"/>
        <w:left w:val="none" w:sz="0" w:space="0" w:color="auto"/>
        <w:bottom w:val="none" w:sz="0" w:space="0" w:color="auto"/>
        <w:right w:val="none" w:sz="0" w:space="0" w:color="auto"/>
      </w:divBdr>
      <w:divsChild>
        <w:div w:id="1906988740">
          <w:marLeft w:val="0"/>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77013209">
      <w:bodyDiv w:val="1"/>
      <w:marLeft w:val="0"/>
      <w:marRight w:val="0"/>
      <w:marTop w:val="0"/>
      <w:marBottom w:val="0"/>
      <w:divBdr>
        <w:top w:val="none" w:sz="0" w:space="0" w:color="auto"/>
        <w:left w:val="none" w:sz="0" w:space="0" w:color="auto"/>
        <w:bottom w:val="none" w:sz="0" w:space="0" w:color="auto"/>
        <w:right w:val="none" w:sz="0" w:space="0" w:color="auto"/>
      </w:divBdr>
    </w:div>
    <w:div w:id="1731151723">
      <w:bodyDiv w:val="1"/>
      <w:marLeft w:val="0"/>
      <w:marRight w:val="0"/>
      <w:marTop w:val="0"/>
      <w:marBottom w:val="0"/>
      <w:divBdr>
        <w:top w:val="none" w:sz="0" w:space="0" w:color="auto"/>
        <w:left w:val="none" w:sz="0" w:space="0" w:color="auto"/>
        <w:bottom w:val="none" w:sz="0" w:space="0" w:color="auto"/>
        <w:right w:val="none" w:sz="0" w:space="0" w:color="auto"/>
      </w:divBdr>
    </w:div>
    <w:div w:id="1947107157">
      <w:bodyDiv w:val="1"/>
      <w:marLeft w:val="0"/>
      <w:marRight w:val="0"/>
      <w:marTop w:val="0"/>
      <w:marBottom w:val="0"/>
      <w:divBdr>
        <w:top w:val="none" w:sz="0" w:space="0" w:color="auto"/>
        <w:left w:val="none" w:sz="0" w:space="0" w:color="auto"/>
        <w:bottom w:val="none" w:sz="0" w:space="0" w:color="auto"/>
        <w:right w:val="none" w:sz="0" w:space="0" w:color="auto"/>
      </w:divBdr>
    </w:div>
    <w:div w:id="2087192043">
      <w:bodyDiv w:val="1"/>
      <w:marLeft w:val="0"/>
      <w:marRight w:val="0"/>
      <w:marTop w:val="0"/>
      <w:marBottom w:val="0"/>
      <w:divBdr>
        <w:top w:val="none" w:sz="0" w:space="0" w:color="auto"/>
        <w:left w:val="none" w:sz="0" w:space="0" w:color="auto"/>
        <w:bottom w:val="none" w:sz="0" w:space="0" w:color="auto"/>
        <w:right w:val="none" w:sz="0" w:space="0" w:color="auto"/>
      </w:divBdr>
    </w:div>
    <w:div w:id="2135170237">
      <w:bodyDiv w:val="1"/>
      <w:marLeft w:val="0"/>
      <w:marRight w:val="0"/>
      <w:marTop w:val="0"/>
      <w:marBottom w:val="0"/>
      <w:divBdr>
        <w:top w:val="none" w:sz="0" w:space="0" w:color="auto"/>
        <w:left w:val="none" w:sz="0" w:space="0" w:color="auto"/>
        <w:bottom w:val="none" w:sz="0" w:space="0" w:color="auto"/>
        <w:right w:val="none" w:sz="0" w:space="0" w:color="auto"/>
      </w:divBdr>
    </w:div>
    <w:div w:id="2137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7&amp;Menu=BusinessUn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popp.undp.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UNITOFFICE-440-2125</_dlc_DocId>
    <_dlc_DocIdUrl xmlns="5ebeba3d-fd60-4dcb-8548-a9fd3c51d9ff">
      <Url>https://intranet.undp.org/unit/office/exo/sp2014/SP201417/_layouts/15/DocIdRedir.aspx?ID=UNITOFFICE-440-2125</Url>
      <Description>UNITOFFICE-440-2125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73D1A09C-0C11-4B66-8830-A68D3F371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3F017C34-0C34-4A63-B969-AB761607E1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5464</Words>
  <Characters>31695</Characters>
  <Application>Microsoft Office Word</Application>
  <DocSecurity>4</DocSecurity>
  <Lines>503</Lines>
  <Paragraphs>95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2</cp:revision>
  <cp:lastPrinted>2014-09-16T21:01:00Z</cp:lastPrinted>
  <dcterms:created xsi:type="dcterms:W3CDTF">2021-11-01T18:46:00Z</dcterms:created>
  <dcterms:modified xsi:type="dcterms:W3CDTF">2021-11-01T18:46:00Z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a7dd63d7-caf7-4bd2-ac3b-2af2537c3bd2</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