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7C1C" w14:textId="77777777" w:rsidR="00816CFE" w:rsidRPr="00C6009E" w:rsidRDefault="00816CFE" w:rsidP="008E4109">
      <w:pPr>
        <w:tabs>
          <w:tab w:val="left" w:pos="1260"/>
        </w:tabs>
        <w:rPr>
          <w:color w:val="000000"/>
        </w:rPr>
      </w:pPr>
    </w:p>
    <w:p w14:paraId="444C31F0" w14:textId="77777777" w:rsidR="00343B05" w:rsidRPr="00DD0E90" w:rsidRDefault="00343B05" w:rsidP="00343B05">
      <w:pPr>
        <w:rPr>
          <w:b/>
          <w:snapToGrid/>
          <w:sz w:val="20"/>
          <w:szCs w:val="20"/>
          <w:lang w:val="en-GB" w:eastAsia="en-US"/>
        </w:rPr>
      </w:pPr>
      <w:r w:rsidRPr="00DD0E90">
        <w:rPr>
          <w:b/>
          <w:snapToGrid/>
          <w:sz w:val="20"/>
          <w:szCs w:val="20"/>
          <w:lang w:val="en-GB" w:eastAsia="en-US"/>
        </w:rPr>
        <w:t>First regular session 2018</w:t>
      </w:r>
    </w:p>
    <w:p w14:paraId="3A249017" w14:textId="77777777" w:rsidR="00343B05" w:rsidRPr="00DD0E90" w:rsidRDefault="00343B05" w:rsidP="00343B05">
      <w:pPr>
        <w:rPr>
          <w:snapToGrid/>
          <w:sz w:val="20"/>
          <w:szCs w:val="20"/>
          <w:lang w:val="en-GB" w:eastAsia="en-US"/>
        </w:rPr>
      </w:pPr>
      <w:r w:rsidRPr="00DD0E90">
        <w:rPr>
          <w:snapToGrid/>
          <w:sz w:val="20"/>
          <w:szCs w:val="20"/>
          <w:lang w:val="en-GB" w:eastAsia="en-US"/>
        </w:rPr>
        <w:t>22-26 January 2018, New York</w:t>
      </w:r>
    </w:p>
    <w:p w14:paraId="27B89C45" w14:textId="54D49735" w:rsidR="00343B05" w:rsidRPr="00DD0E90" w:rsidRDefault="00343B05" w:rsidP="00343B05">
      <w:pPr>
        <w:rPr>
          <w:snapToGrid/>
          <w:sz w:val="20"/>
          <w:szCs w:val="20"/>
          <w:lang w:val="en-GB" w:eastAsia="en-US"/>
        </w:rPr>
      </w:pPr>
      <w:r w:rsidRPr="00DD0E90">
        <w:rPr>
          <w:snapToGrid/>
          <w:sz w:val="20"/>
          <w:szCs w:val="20"/>
          <w:lang w:val="en-GB" w:eastAsia="en-US"/>
        </w:rPr>
        <w:t xml:space="preserve">Item </w:t>
      </w:r>
      <w:r w:rsidR="00DD0E90">
        <w:rPr>
          <w:snapToGrid/>
          <w:sz w:val="20"/>
          <w:szCs w:val="20"/>
          <w:lang w:val="en-GB" w:eastAsia="en-US"/>
        </w:rPr>
        <w:t>xx</w:t>
      </w:r>
      <w:r w:rsidRPr="00DD0E90">
        <w:rPr>
          <w:snapToGrid/>
          <w:sz w:val="20"/>
          <w:szCs w:val="20"/>
          <w:lang w:val="en-GB" w:eastAsia="en-US"/>
        </w:rPr>
        <w:t xml:space="preserve"> of the provisional agenda  </w:t>
      </w:r>
    </w:p>
    <w:p w14:paraId="704FDBB4" w14:textId="77777777" w:rsidR="00343B05" w:rsidRPr="00DD0E90" w:rsidRDefault="00343B05" w:rsidP="00343B05">
      <w:pPr>
        <w:rPr>
          <w:b/>
          <w:snapToGrid/>
          <w:sz w:val="20"/>
          <w:szCs w:val="20"/>
          <w:lang w:val="en-GB" w:eastAsia="en-US"/>
        </w:rPr>
      </w:pPr>
      <w:r w:rsidRPr="00DD0E90">
        <w:rPr>
          <w:b/>
          <w:snapToGrid/>
          <w:sz w:val="20"/>
          <w:szCs w:val="20"/>
          <w:lang w:val="en-GB" w:eastAsia="en-US"/>
        </w:rPr>
        <w:t>Country programmes and related matters</w:t>
      </w:r>
    </w:p>
    <w:p w14:paraId="42AC8406" w14:textId="77777777" w:rsidR="00343B05" w:rsidRPr="00DD0E90" w:rsidRDefault="00343B05" w:rsidP="00343B05">
      <w:pPr>
        <w:rPr>
          <w:snapToGrid/>
          <w:sz w:val="20"/>
          <w:szCs w:val="20"/>
          <w:lang w:val="en-GB" w:eastAsia="en-US"/>
        </w:rPr>
      </w:pPr>
    </w:p>
    <w:p w14:paraId="6F51A8ED" w14:textId="77777777" w:rsidR="00343B05" w:rsidRPr="00343B05" w:rsidRDefault="00343B05" w:rsidP="00343B05">
      <w:pPr>
        <w:rPr>
          <w:b/>
          <w:snapToGrid/>
          <w:lang w:val="en-GB" w:eastAsia="en-US"/>
        </w:rPr>
      </w:pPr>
    </w:p>
    <w:p w14:paraId="2ACA88A1" w14:textId="77777777" w:rsidR="00343B05" w:rsidRPr="00343B05" w:rsidRDefault="00343B05" w:rsidP="00343B05">
      <w:pPr>
        <w:ind w:firstLine="709"/>
        <w:rPr>
          <w:b/>
          <w:snapToGrid/>
          <w:sz w:val="32"/>
          <w:szCs w:val="32"/>
          <w:lang w:val="en-GB" w:eastAsia="en-US"/>
        </w:rPr>
      </w:pPr>
      <w:r w:rsidRPr="00343B05">
        <w:rPr>
          <w:b/>
          <w:snapToGrid/>
          <w:sz w:val="32"/>
          <w:szCs w:val="32"/>
          <w:lang w:val="en-GB" w:eastAsia="en-US"/>
        </w:rPr>
        <w:t xml:space="preserve">Draft country programme document for </w:t>
      </w:r>
      <w:r>
        <w:rPr>
          <w:b/>
          <w:snapToGrid/>
          <w:sz w:val="32"/>
          <w:szCs w:val="32"/>
          <w:lang w:val="en-GB" w:eastAsia="en-US"/>
        </w:rPr>
        <w:t>Burkina Faso</w:t>
      </w:r>
      <w:r w:rsidRPr="00343B05">
        <w:rPr>
          <w:b/>
          <w:snapToGrid/>
          <w:sz w:val="32"/>
          <w:szCs w:val="32"/>
          <w:lang w:val="en-GB" w:eastAsia="en-US"/>
        </w:rPr>
        <w:t xml:space="preserve"> (2018-202</w:t>
      </w:r>
      <w:r>
        <w:rPr>
          <w:b/>
          <w:snapToGrid/>
          <w:sz w:val="32"/>
          <w:szCs w:val="32"/>
          <w:lang w:val="en-GB" w:eastAsia="en-US"/>
        </w:rPr>
        <w:t>0</w:t>
      </w:r>
      <w:r w:rsidRPr="00343B05">
        <w:rPr>
          <w:b/>
          <w:snapToGrid/>
          <w:sz w:val="32"/>
          <w:szCs w:val="32"/>
          <w:lang w:val="en-GB" w:eastAsia="en-US"/>
        </w:rPr>
        <w:t>)</w:t>
      </w:r>
    </w:p>
    <w:p w14:paraId="36E85E22" w14:textId="77777777" w:rsidR="00343B05" w:rsidRPr="00343B05" w:rsidRDefault="00343B05" w:rsidP="00343B05">
      <w:pPr>
        <w:rPr>
          <w:snapToGrid/>
          <w:lang w:val="en-GB" w:eastAsia="en-US"/>
        </w:rPr>
      </w:pPr>
    </w:p>
    <w:p w14:paraId="0B70096F" w14:textId="77777777" w:rsidR="00343B05" w:rsidRDefault="00343B05" w:rsidP="00343B05">
      <w:pPr>
        <w:keepNext/>
        <w:keepLines/>
        <w:tabs>
          <w:tab w:val="right" w:pos="1022"/>
          <w:tab w:val="left" w:pos="1267"/>
          <w:tab w:val="left" w:pos="1620"/>
          <w:tab w:val="left" w:pos="180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left="-720" w:right="328" w:firstLine="720"/>
        <w:jc w:val="both"/>
        <w:outlineLvl w:val="0"/>
        <w:rPr>
          <w:snapToGrid/>
          <w:color w:val="000000"/>
          <w:kern w:val="14"/>
          <w:sz w:val="28"/>
          <w:lang w:val="en-GB"/>
        </w:rPr>
      </w:pPr>
      <w:r w:rsidRPr="00343B05">
        <w:rPr>
          <w:snapToGrid/>
          <w:color w:val="000000"/>
          <w:kern w:val="14"/>
          <w:sz w:val="28"/>
          <w:lang w:val="en-GB"/>
        </w:rPr>
        <w:t>Contents</w:t>
      </w:r>
    </w:p>
    <w:tbl>
      <w:tblPr>
        <w:tblpPr w:leftFromText="180" w:rightFromText="180" w:vertAnchor="text" w:horzAnchor="margin" w:tblpXSpec="right" w:tblpY="199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649"/>
        <w:gridCol w:w="171"/>
        <w:gridCol w:w="362"/>
      </w:tblGrid>
      <w:tr w:rsidR="00343B05" w:rsidRPr="00343B05" w14:paraId="2D6E0A03" w14:textId="77777777" w:rsidTr="001343B7">
        <w:tc>
          <w:tcPr>
            <w:tcW w:w="720" w:type="dxa"/>
            <w:shd w:val="clear" w:color="auto" w:fill="auto"/>
          </w:tcPr>
          <w:p w14:paraId="64269AF3" w14:textId="77777777" w:rsidR="00343B05" w:rsidRPr="00343B05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/>
              <w:jc w:val="right"/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14:paraId="38133BE3" w14:textId="77777777" w:rsidR="00343B05" w:rsidRPr="00343B05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/>
              <w:jc w:val="both"/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  <w:r w:rsidRPr="00343B05"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  <w:t>Chapter</w:t>
            </w:r>
            <w:bookmarkStart w:id="0" w:name="_GoBack"/>
            <w:bookmarkEnd w:id="0"/>
          </w:p>
        </w:tc>
        <w:tc>
          <w:tcPr>
            <w:tcW w:w="362" w:type="dxa"/>
            <w:shd w:val="clear" w:color="auto" w:fill="auto"/>
          </w:tcPr>
          <w:p w14:paraId="54ED449C" w14:textId="77777777" w:rsidR="00343B05" w:rsidRPr="00343B05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/>
              <w:jc w:val="right"/>
              <w:rPr>
                <w:i/>
                <w:snapToGrid/>
                <w:color w:val="000000"/>
                <w:spacing w:val="4"/>
                <w:w w:val="103"/>
                <w:kern w:val="14"/>
                <w:sz w:val="14"/>
                <w:lang w:val="en-GB"/>
              </w:rPr>
            </w:pPr>
            <w:r w:rsidRPr="00343B05">
              <w:rPr>
                <w:i/>
                <w:iCs/>
                <w:snapToGrid/>
                <w:color w:val="000000"/>
                <w:kern w:val="14"/>
                <w:sz w:val="14"/>
                <w:lang w:val="en-GB"/>
              </w:rPr>
              <w:t>Page</w:t>
            </w:r>
          </w:p>
        </w:tc>
      </w:tr>
      <w:tr w:rsidR="00343B05" w:rsidRPr="009A79C1" w14:paraId="4C7F7D11" w14:textId="77777777" w:rsidTr="001343B7">
        <w:tc>
          <w:tcPr>
            <w:tcW w:w="9540" w:type="dxa"/>
            <w:gridSpan w:val="3"/>
            <w:shd w:val="clear" w:color="auto" w:fill="auto"/>
          </w:tcPr>
          <w:p w14:paraId="7182D9CC" w14:textId="77777777" w:rsidR="00343B05" w:rsidRPr="009A79C1" w:rsidRDefault="00343B05" w:rsidP="009A79C1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ab/>
              <w:t>Programme rationale</w:t>
            </w:r>
            <w:r w:rsidRPr="009A79C1">
              <w:rPr>
                <w:snapToGrid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43EA569A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>2</w:t>
            </w:r>
          </w:p>
          <w:p w14:paraId="10093694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>4</w:t>
            </w:r>
          </w:p>
        </w:tc>
      </w:tr>
      <w:tr w:rsidR="00343B05" w:rsidRPr="009A79C1" w14:paraId="588811EE" w14:textId="77777777" w:rsidTr="001343B7">
        <w:tc>
          <w:tcPr>
            <w:tcW w:w="9540" w:type="dxa"/>
            <w:gridSpan w:val="3"/>
            <w:shd w:val="clear" w:color="auto" w:fill="auto"/>
          </w:tcPr>
          <w:p w14:paraId="51EDE2F2" w14:textId="77777777" w:rsidR="00343B05" w:rsidRPr="009A79C1" w:rsidRDefault="00343B05" w:rsidP="009A79C1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ab/>
              <w:t>Programme priorities and partnerships………………………………………………….……….…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2E283BBA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</w:tc>
      </w:tr>
      <w:tr w:rsidR="00343B05" w:rsidRPr="009A79C1" w14:paraId="04E60899" w14:textId="77777777" w:rsidTr="001343B7">
        <w:tc>
          <w:tcPr>
            <w:tcW w:w="9540" w:type="dxa"/>
            <w:gridSpan w:val="3"/>
            <w:shd w:val="clear" w:color="auto" w:fill="auto"/>
          </w:tcPr>
          <w:p w14:paraId="7724BC9C" w14:textId="77777777" w:rsidR="00343B05" w:rsidRPr="009A79C1" w:rsidRDefault="00343B05" w:rsidP="009A79C1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ab/>
              <w:t>Programme and risk management</w:t>
            </w:r>
            <w:r w:rsidRPr="009A79C1">
              <w:rPr>
                <w:snapToGrid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5764B51D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  <w:t>7</w:t>
            </w:r>
          </w:p>
          <w:p w14:paraId="4D8510E5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>8</w:t>
            </w:r>
          </w:p>
        </w:tc>
      </w:tr>
      <w:tr w:rsidR="00343B05" w:rsidRPr="009A79C1" w14:paraId="37561775" w14:textId="77777777" w:rsidTr="001343B7">
        <w:tc>
          <w:tcPr>
            <w:tcW w:w="9540" w:type="dxa"/>
            <w:gridSpan w:val="3"/>
            <w:shd w:val="clear" w:color="auto" w:fill="auto"/>
          </w:tcPr>
          <w:p w14:paraId="07E47C2D" w14:textId="77777777" w:rsidR="00343B05" w:rsidRPr="009A79C1" w:rsidRDefault="00343B05" w:rsidP="009A79C1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ab/>
              <w:t>Monitoring and evaluation</w:t>
            </w:r>
            <w:r w:rsidRPr="009A79C1">
              <w:rPr>
                <w:snapToGrid/>
                <w:color w:val="000000"/>
                <w:sz w:val="20"/>
                <w:szCs w:val="20"/>
                <w:lang w:val="en-GB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637C6C5D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</w:tc>
      </w:tr>
      <w:tr w:rsidR="00343B05" w:rsidRPr="009A79C1" w14:paraId="5312E80F" w14:textId="77777777" w:rsidTr="001343B7">
        <w:tc>
          <w:tcPr>
            <w:tcW w:w="9369" w:type="dxa"/>
            <w:gridSpan w:val="2"/>
            <w:shd w:val="clear" w:color="auto" w:fill="auto"/>
          </w:tcPr>
          <w:p w14:paraId="7CCEBE04" w14:textId="77777777" w:rsidR="00343B05" w:rsidRPr="009A79C1" w:rsidRDefault="00343B05" w:rsidP="009A79C1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1800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225C897B" w14:textId="77777777" w:rsidR="00343B05" w:rsidRPr="009A79C1" w:rsidRDefault="00343B05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</w:tc>
      </w:tr>
      <w:tr w:rsidR="00343B05" w:rsidRPr="009A79C1" w14:paraId="548289D5" w14:textId="77777777" w:rsidTr="001343B7">
        <w:tc>
          <w:tcPr>
            <w:tcW w:w="9369" w:type="dxa"/>
            <w:gridSpan w:val="2"/>
            <w:shd w:val="clear" w:color="auto" w:fill="auto"/>
          </w:tcPr>
          <w:p w14:paraId="175D6004" w14:textId="71D08FA2" w:rsidR="00343B05" w:rsidRPr="009A79C1" w:rsidRDefault="00343B05" w:rsidP="009A79C1">
            <w:p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napToGrid/>
                <w:color w:val="000000"/>
                <w:spacing w:val="60"/>
                <w:w w:val="103"/>
                <w:kern w:val="14"/>
                <w:sz w:val="20"/>
                <w:szCs w:val="20"/>
                <w:lang w:val="en-GB"/>
              </w:rPr>
            </w:pP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 xml:space="preserve">Results and resources framework for </w:t>
            </w:r>
            <w:r w:rsidR="00307DE8"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>Burkina Faso</w:t>
            </w:r>
            <w:r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 xml:space="preserve"> (2018-</w:t>
            </w:r>
            <w:r w:rsidR="006C6FFB" w:rsidRPr="009A79C1">
              <w:rPr>
                <w:snapToGrid/>
                <w:color w:val="000000"/>
                <w:kern w:val="14"/>
                <w:sz w:val="20"/>
                <w:szCs w:val="20"/>
                <w:lang w:val="en-GB"/>
              </w:rPr>
              <w:t>2020)</w:t>
            </w:r>
            <w:r w:rsidR="006C6FFB" w:rsidRPr="009A79C1">
              <w:rPr>
                <w:snapToGrid/>
                <w:color w:val="000000"/>
                <w:sz w:val="20"/>
                <w:szCs w:val="20"/>
                <w:lang w:val="en-GB"/>
              </w:rPr>
              <w:t xml:space="preserve"> …</w:t>
            </w:r>
            <w:r w:rsidRPr="009A79C1">
              <w:rPr>
                <w:snapToGrid/>
                <w:color w:val="000000"/>
                <w:sz w:val="20"/>
                <w:szCs w:val="20"/>
                <w:lang w:val="en-GB"/>
              </w:rPr>
              <w:t>…………………</w:t>
            </w:r>
            <w:r w:rsidR="00540737" w:rsidRPr="009A79C1">
              <w:rPr>
                <w:snapToGrid/>
                <w:color w:val="000000"/>
                <w:sz w:val="20"/>
                <w:szCs w:val="20"/>
                <w:lang w:val="en-GB"/>
              </w:rPr>
              <w:t>……</w:t>
            </w:r>
            <w:r w:rsidRPr="009A79C1">
              <w:rPr>
                <w:snapToGrid/>
                <w:color w:val="000000"/>
                <w:sz w:val="20"/>
                <w:szCs w:val="20"/>
                <w:lang w:val="en-GB"/>
              </w:rPr>
              <w:t>………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743947C0" w14:textId="536A7280" w:rsidR="00343B05" w:rsidRPr="009A79C1" w:rsidRDefault="00A46D80" w:rsidP="00343B05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>
              <w:rPr>
                <w:snapToGrid/>
                <w:color w:val="000000"/>
                <w:spacing w:val="4"/>
                <w:w w:val="103"/>
                <w:kern w:val="14"/>
                <w:sz w:val="20"/>
                <w:szCs w:val="20"/>
                <w:lang w:val="en-GB"/>
              </w:rPr>
              <w:t>9</w:t>
            </w:r>
          </w:p>
        </w:tc>
      </w:tr>
    </w:tbl>
    <w:p w14:paraId="2EEE9E9A" w14:textId="77777777" w:rsidR="00BD4328" w:rsidRDefault="00BD4328" w:rsidP="00BD4328">
      <w:pPr>
        <w:tabs>
          <w:tab w:val="left" w:pos="1725"/>
        </w:tabs>
      </w:pPr>
    </w:p>
    <w:p w14:paraId="134734D8" w14:textId="77777777" w:rsidR="00816CFE" w:rsidRPr="00BD4328" w:rsidRDefault="00BD4328" w:rsidP="00BD4328">
      <w:pPr>
        <w:tabs>
          <w:tab w:val="left" w:pos="1725"/>
        </w:tabs>
        <w:sectPr w:rsidR="00816CFE" w:rsidRPr="00BD4328" w:rsidSect="009467F8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166" w:right="1195" w:bottom="1440" w:left="1195" w:header="576" w:footer="1037" w:gutter="0"/>
          <w:pgNumType w:start="1"/>
          <w:cols w:space="720"/>
          <w:titlePg/>
        </w:sectPr>
      </w:pPr>
      <w:r>
        <w:tab/>
      </w:r>
    </w:p>
    <w:p w14:paraId="2DC2ED1B" w14:textId="77777777" w:rsidR="00816CFE" w:rsidRPr="006F767C" w:rsidRDefault="00816CFE" w:rsidP="000E1D02">
      <w:pPr>
        <w:pStyle w:val="Heading1"/>
        <w:keepLines/>
        <w:widowControl/>
        <w:tabs>
          <w:tab w:val="left" w:pos="1350"/>
          <w:tab w:val="left" w:pos="1530"/>
        </w:tabs>
        <w:suppressAutoHyphens w:val="0"/>
        <w:spacing w:after="240"/>
        <w:ind w:left="1170" w:hanging="450"/>
        <w:rPr>
          <w:rFonts w:ascii="Times New Roman" w:hAnsi="Times New Roman"/>
          <w:color w:val="000000"/>
          <w:spacing w:val="0"/>
          <w:lang w:val="en-US"/>
        </w:rPr>
      </w:pPr>
      <w:r w:rsidRPr="006F767C">
        <w:rPr>
          <w:rFonts w:ascii="Times New Roman" w:hAnsi="Times New Roman"/>
          <w:color w:val="000000"/>
          <w:spacing w:val="0"/>
          <w:lang w:val="en-US"/>
        </w:rPr>
        <w:lastRenderedPageBreak/>
        <w:t xml:space="preserve">I. </w:t>
      </w:r>
      <w:r w:rsidR="00F95CAC" w:rsidRPr="006F767C">
        <w:rPr>
          <w:rFonts w:ascii="Times New Roman" w:hAnsi="Times New Roman"/>
          <w:color w:val="000000"/>
          <w:spacing w:val="0"/>
          <w:lang w:val="en-US"/>
        </w:rPr>
        <w:tab/>
      </w:r>
      <w:r w:rsidR="00691AE4" w:rsidRPr="006F767C">
        <w:rPr>
          <w:rFonts w:ascii="Times New Roman" w:hAnsi="Times New Roman"/>
          <w:color w:val="000000"/>
          <w:spacing w:val="0"/>
          <w:lang w:val="en-US"/>
        </w:rPr>
        <w:t>Program</w:t>
      </w:r>
      <w:r w:rsidR="00B23944" w:rsidRPr="006F767C">
        <w:rPr>
          <w:rFonts w:ascii="Times New Roman" w:hAnsi="Times New Roman"/>
          <w:color w:val="000000"/>
          <w:spacing w:val="0"/>
          <w:lang w:val="en-US"/>
        </w:rPr>
        <w:t>me</w:t>
      </w:r>
      <w:r w:rsidR="00691AE4" w:rsidRPr="006F767C">
        <w:rPr>
          <w:rFonts w:ascii="Times New Roman" w:hAnsi="Times New Roman"/>
          <w:color w:val="000000"/>
          <w:spacing w:val="0"/>
          <w:lang w:val="en-US"/>
        </w:rPr>
        <w:t xml:space="preserve"> </w:t>
      </w:r>
      <w:r w:rsidR="00F95CAC" w:rsidRPr="006F767C">
        <w:rPr>
          <w:rFonts w:ascii="Times New Roman" w:hAnsi="Times New Roman"/>
          <w:color w:val="000000"/>
          <w:spacing w:val="0"/>
          <w:lang w:val="en-US"/>
        </w:rPr>
        <w:t>r</w:t>
      </w:r>
      <w:r w:rsidR="00691AE4" w:rsidRPr="006F767C">
        <w:rPr>
          <w:rFonts w:ascii="Times New Roman" w:hAnsi="Times New Roman"/>
          <w:color w:val="000000"/>
          <w:spacing w:val="0"/>
          <w:lang w:val="en-US"/>
        </w:rPr>
        <w:t xml:space="preserve">ationale </w:t>
      </w:r>
    </w:p>
    <w:p w14:paraId="2A0EE5D9" w14:textId="2BA542DC" w:rsidR="008E4109" w:rsidRPr="006F767C" w:rsidRDefault="00B34422" w:rsidP="00F95CAC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sz w:val="20"/>
          <w:szCs w:val="20"/>
        </w:rPr>
      </w:pPr>
      <w:r w:rsidRPr="006F767C">
        <w:rPr>
          <w:color w:val="000000"/>
          <w:sz w:val="20"/>
          <w:szCs w:val="20"/>
        </w:rPr>
        <w:t xml:space="preserve">From October 2014 to December 2015, </w:t>
      </w:r>
      <w:r w:rsidR="00F40811" w:rsidRPr="006F767C">
        <w:rPr>
          <w:color w:val="000000"/>
          <w:sz w:val="20"/>
          <w:szCs w:val="20"/>
        </w:rPr>
        <w:t>Burkina Faso underwent one of the most eventful periods in its post-independence history</w:t>
      </w:r>
      <w:r w:rsidR="00DE5CD2" w:rsidRPr="006F767C">
        <w:rPr>
          <w:color w:val="000000"/>
          <w:sz w:val="20"/>
          <w:szCs w:val="20"/>
        </w:rPr>
        <w:t xml:space="preserve">. After 27 years in power, </w:t>
      </w:r>
      <w:r w:rsidR="00F40811" w:rsidRPr="006F767C">
        <w:rPr>
          <w:color w:val="000000"/>
          <w:sz w:val="20"/>
          <w:szCs w:val="20"/>
        </w:rPr>
        <w:t xml:space="preserve">the departure of President Blaise Compaore </w:t>
      </w:r>
      <w:r w:rsidR="001343B7" w:rsidRPr="006F767C">
        <w:rPr>
          <w:color w:val="000000"/>
          <w:sz w:val="20"/>
          <w:szCs w:val="20"/>
        </w:rPr>
        <w:t xml:space="preserve">in January 2016 </w:t>
      </w:r>
      <w:r w:rsidR="00DE5CD2" w:rsidRPr="006F767C">
        <w:rPr>
          <w:color w:val="000000"/>
          <w:sz w:val="20"/>
          <w:szCs w:val="20"/>
        </w:rPr>
        <w:t>ushered in</w:t>
      </w:r>
      <w:r w:rsidR="00F40811" w:rsidRPr="006F767C">
        <w:rPr>
          <w:color w:val="000000"/>
          <w:sz w:val="20"/>
          <w:szCs w:val="20"/>
        </w:rPr>
        <w:t xml:space="preserve"> the establishment of a transitional regime, peaceful presidential an</w:t>
      </w:r>
      <w:r w:rsidR="00AD6E34" w:rsidRPr="006F767C">
        <w:rPr>
          <w:color w:val="000000"/>
          <w:sz w:val="20"/>
          <w:szCs w:val="20"/>
        </w:rPr>
        <w:t>d legislative elections</w:t>
      </w:r>
      <w:r w:rsidRPr="006F767C">
        <w:rPr>
          <w:color w:val="000000"/>
          <w:sz w:val="20"/>
          <w:szCs w:val="20"/>
        </w:rPr>
        <w:t>,</w:t>
      </w:r>
      <w:r w:rsidR="00AD6E34" w:rsidRPr="006F767C">
        <w:rPr>
          <w:color w:val="000000"/>
          <w:sz w:val="20"/>
          <w:szCs w:val="20"/>
        </w:rPr>
        <w:t xml:space="preserve"> and </w:t>
      </w:r>
      <w:r w:rsidR="00F40811" w:rsidRPr="006F767C">
        <w:rPr>
          <w:color w:val="000000"/>
          <w:sz w:val="20"/>
          <w:szCs w:val="20"/>
        </w:rPr>
        <w:t xml:space="preserve">a new era for </w:t>
      </w:r>
      <w:r w:rsidR="00DE5CD2" w:rsidRPr="006F767C">
        <w:rPr>
          <w:color w:val="000000"/>
          <w:sz w:val="20"/>
          <w:szCs w:val="20"/>
        </w:rPr>
        <w:t>citizens.</w:t>
      </w:r>
      <w:r w:rsidR="00F40811" w:rsidRPr="006F767C">
        <w:rPr>
          <w:color w:val="000000"/>
          <w:sz w:val="20"/>
          <w:szCs w:val="20"/>
        </w:rPr>
        <w:t xml:space="preserve"> </w:t>
      </w:r>
      <w:r w:rsidR="001343B7" w:rsidRPr="006F767C">
        <w:rPr>
          <w:color w:val="000000"/>
          <w:sz w:val="20"/>
          <w:szCs w:val="20"/>
        </w:rPr>
        <w:t>While all changes</w:t>
      </w:r>
      <w:r w:rsidR="001200CF" w:rsidRPr="006F767C">
        <w:rPr>
          <w:sz w:val="20"/>
          <w:szCs w:val="20"/>
        </w:rPr>
        <w:t xml:space="preserve"> </w:t>
      </w:r>
      <w:r w:rsidRPr="006F767C">
        <w:rPr>
          <w:sz w:val="20"/>
          <w:szCs w:val="20"/>
        </w:rPr>
        <w:t>inspire</w:t>
      </w:r>
      <w:r w:rsidR="001343B7" w:rsidRPr="006F767C">
        <w:rPr>
          <w:sz w:val="20"/>
          <w:szCs w:val="20"/>
        </w:rPr>
        <w:t>d</w:t>
      </w:r>
      <w:r w:rsidRPr="006F767C">
        <w:rPr>
          <w:sz w:val="20"/>
          <w:szCs w:val="20"/>
        </w:rPr>
        <w:t xml:space="preserve"> </w:t>
      </w:r>
      <w:r w:rsidR="006C6FFB" w:rsidRPr="006F767C">
        <w:rPr>
          <w:sz w:val="20"/>
          <w:szCs w:val="20"/>
        </w:rPr>
        <w:t>optimism,</w:t>
      </w:r>
      <w:r w:rsidR="001200CF" w:rsidRPr="006F767C">
        <w:rPr>
          <w:sz w:val="20"/>
          <w:szCs w:val="20"/>
        </w:rPr>
        <w:t xml:space="preserve"> </w:t>
      </w:r>
      <w:r w:rsidR="001343B7" w:rsidRPr="006F767C">
        <w:rPr>
          <w:sz w:val="20"/>
          <w:szCs w:val="20"/>
        </w:rPr>
        <w:t xml:space="preserve">they carry </w:t>
      </w:r>
      <w:r w:rsidR="00006EBE" w:rsidRPr="006F767C">
        <w:rPr>
          <w:sz w:val="20"/>
          <w:szCs w:val="20"/>
        </w:rPr>
        <w:t xml:space="preserve">high </w:t>
      </w:r>
      <w:r w:rsidR="00245182" w:rsidRPr="006F767C">
        <w:rPr>
          <w:sz w:val="20"/>
          <w:szCs w:val="20"/>
        </w:rPr>
        <w:t>expectations</w:t>
      </w:r>
      <w:r w:rsidR="00533173" w:rsidRPr="006F767C">
        <w:rPr>
          <w:sz w:val="20"/>
          <w:szCs w:val="20"/>
        </w:rPr>
        <w:t xml:space="preserve"> </w:t>
      </w:r>
      <w:r w:rsidR="00006EBE" w:rsidRPr="006F767C">
        <w:rPr>
          <w:sz w:val="20"/>
          <w:szCs w:val="20"/>
        </w:rPr>
        <w:t>for the new government to</w:t>
      </w:r>
      <w:r w:rsidR="008B37DC" w:rsidRPr="006F767C">
        <w:rPr>
          <w:sz w:val="20"/>
          <w:szCs w:val="20"/>
        </w:rPr>
        <w:t xml:space="preserve"> </w:t>
      </w:r>
      <w:r w:rsidR="001343B7" w:rsidRPr="006F767C">
        <w:rPr>
          <w:sz w:val="20"/>
          <w:szCs w:val="20"/>
        </w:rPr>
        <w:t xml:space="preserve">immediately </w:t>
      </w:r>
      <w:r w:rsidR="008E0D57">
        <w:rPr>
          <w:sz w:val="20"/>
          <w:szCs w:val="20"/>
        </w:rPr>
        <w:t xml:space="preserve">deliver </w:t>
      </w:r>
      <w:r w:rsidR="00EF7C3D" w:rsidRPr="006F767C">
        <w:rPr>
          <w:sz w:val="20"/>
          <w:szCs w:val="20"/>
        </w:rPr>
        <w:t xml:space="preserve">on </w:t>
      </w:r>
      <w:r w:rsidRPr="006F767C">
        <w:rPr>
          <w:sz w:val="20"/>
          <w:szCs w:val="20"/>
        </w:rPr>
        <w:t>commitments made</w:t>
      </w:r>
      <w:r w:rsidR="00BF4A25" w:rsidRPr="006F767C">
        <w:rPr>
          <w:sz w:val="20"/>
          <w:szCs w:val="20"/>
        </w:rPr>
        <w:t xml:space="preserve"> </w:t>
      </w:r>
      <w:r w:rsidR="00E32A0D" w:rsidRPr="006F767C">
        <w:rPr>
          <w:sz w:val="20"/>
          <w:szCs w:val="20"/>
        </w:rPr>
        <w:t xml:space="preserve">during the transition </w:t>
      </w:r>
      <w:r w:rsidR="008661AB" w:rsidRPr="006F767C">
        <w:rPr>
          <w:sz w:val="20"/>
          <w:szCs w:val="20"/>
        </w:rPr>
        <w:t>that</w:t>
      </w:r>
      <w:r w:rsidR="00017CE6" w:rsidRPr="006F767C">
        <w:rPr>
          <w:sz w:val="20"/>
          <w:szCs w:val="20"/>
        </w:rPr>
        <w:t xml:space="preserve"> </w:t>
      </w:r>
      <w:r w:rsidR="00EF7C3D" w:rsidRPr="006F767C">
        <w:rPr>
          <w:sz w:val="20"/>
          <w:szCs w:val="20"/>
        </w:rPr>
        <w:t>reflect the new social contract</w:t>
      </w:r>
      <w:r w:rsidR="00FF1B75" w:rsidRPr="006F767C">
        <w:rPr>
          <w:sz w:val="20"/>
          <w:szCs w:val="20"/>
        </w:rPr>
        <w:t xml:space="preserve"> and </w:t>
      </w:r>
      <w:r w:rsidR="005D14C4" w:rsidRPr="006F767C">
        <w:rPr>
          <w:sz w:val="20"/>
          <w:szCs w:val="20"/>
        </w:rPr>
        <w:t xml:space="preserve">restore </w:t>
      </w:r>
      <w:r w:rsidR="00FF1B75" w:rsidRPr="006F767C">
        <w:rPr>
          <w:sz w:val="20"/>
          <w:szCs w:val="20"/>
        </w:rPr>
        <w:t>confidence</w:t>
      </w:r>
      <w:r w:rsidR="00EF7C3D" w:rsidRPr="006F767C">
        <w:rPr>
          <w:sz w:val="20"/>
          <w:szCs w:val="20"/>
        </w:rPr>
        <w:t>.</w:t>
      </w:r>
      <w:r w:rsidR="00B145AB" w:rsidRPr="006F767C">
        <w:rPr>
          <w:sz w:val="20"/>
          <w:szCs w:val="20"/>
        </w:rPr>
        <w:t xml:space="preserve"> </w:t>
      </w:r>
      <w:r w:rsidR="00420585" w:rsidRPr="006F767C">
        <w:rPr>
          <w:sz w:val="20"/>
          <w:szCs w:val="20"/>
        </w:rPr>
        <w:t xml:space="preserve">The most </w:t>
      </w:r>
      <w:r w:rsidR="0048137F" w:rsidRPr="006F767C">
        <w:rPr>
          <w:sz w:val="20"/>
          <w:szCs w:val="20"/>
        </w:rPr>
        <w:t xml:space="preserve">prominent </w:t>
      </w:r>
      <w:r w:rsidR="004F025C" w:rsidRPr="006F767C">
        <w:rPr>
          <w:sz w:val="20"/>
          <w:szCs w:val="20"/>
        </w:rPr>
        <w:t xml:space="preserve">commitments </w:t>
      </w:r>
      <w:r w:rsidR="0048137F" w:rsidRPr="006F767C">
        <w:rPr>
          <w:sz w:val="20"/>
          <w:szCs w:val="20"/>
        </w:rPr>
        <w:t xml:space="preserve">are </w:t>
      </w:r>
      <w:r w:rsidR="00E32A0D" w:rsidRPr="006F767C">
        <w:rPr>
          <w:sz w:val="20"/>
          <w:szCs w:val="20"/>
        </w:rPr>
        <w:t>related to</w:t>
      </w:r>
      <w:r w:rsidR="00035E9B" w:rsidRPr="006F767C">
        <w:rPr>
          <w:sz w:val="20"/>
          <w:szCs w:val="20"/>
        </w:rPr>
        <w:t xml:space="preserve"> the</w:t>
      </w:r>
      <w:r w:rsidR="006076E9" w:rsidRPr="006F767C">
        <w:rPr>
          <w:sz w:val="20"/>
          <w:szCs w:val="20"/>
        </w:rPr>
        <w:t xml:space="preserve"> </w:t>
      </w:r>
      <w:r w:rsidR="00E04395" w:rsidRPr="006F767C">
        <w:rPr>
          <w:sz w:val="20"/>
          <w:szCs w:val="20"/>
        </w:rPr>
        <w:t xml:space="preserve">reform and </w:t>
      </w:r>
      <w:r w:rsidR="006076E9" w:rsidRPr="006F767C">
        <w:rPr>
          <w:sz w:val="20"/>
          <w:szCs w:val="20"/>
        </w:rPr>
        <w:t>renewal</w:t>
      </w:r>
      <w:r w:rsidR="001343B7" w:rsidRPr="006F767C">
        <w:rPr>
          <w:sz w:val="20"/>
          <w:szCs w:val="20"/>
        </w:rPr>
        <w:t xml:space="preserve"> of the justice system,</w:t>
      </w:r>
      <w:r w:rsidR="00556325" w:rsidRPr="006F767C">
        <w:rPr>
          <w:rStyle w:val="FootnoteReference"/>
          <w:sz w:val="20"/>
          <w:szCs w:val="20"/>
        </w:rPr>
        <w:footnoteReference w:id="2"/>
      </w:r>
      <w:r w:rsidR="00035E9B" w:rsidRPr="006F767C">
        <w:rPr>
          <w:sz w:val="20"/>
          <w:szCs w:val="20"/>
        </w:rPr>
        <w:t xml:space="preserve"> re</w:t>
      </w:r>
      <w:r w:rsidR="00F33937" w:rsidRPr="006F767C">
        <w:rPr>
          <w:sz w:val="20"/>
          <w:szCs w:val="20"/>
        </w:rPr>
        <w:t>con</w:t>
      </w:r>
      <w:r w:rsidR="00F862F6" w:rsidRPr="006F767C">
        <w:rPr>
          <w:sz w:val="20"/>
          <w:szCs w:val="20"/>
        </w:rPr>
        <w:t>ciliation and national unity</w:t>
      </w:r>
      <w:r w:rsidR="00851DB3" w:rsidRPr="006F767C">
        <w:rPr>
          <w:sz w:val="20"/>
          <w:szCs w:val="20"/>
        </w:rPr>
        <w:t xml:space="preserve">, </w:t>
      </w:r>
      <w:r w:rsidRPr="006F767C">
        <w:rPr>
          <w:sz w:val="20"/>
          <w:szCs w:val="20"/>
        </w:rPr>
        <w:t>a</w:t>
      </w:r>
      <w:r w:rsidR="007015E2" w:rsidRPr="006F767C">
        <w:rPr>
          <w:sz w:val="20"/>
          <w:szCs w:val="20"/>
        </w:rPr>
        <w:t>nd</w:t>
      </w:r>
      <w:r w:rsidR="009D1B95" w:rsidRPr="006F767C">
        <w:rPr>
          <w:sz w:val="20"/>
          <w:szCs w:val="20"/>
        </w:rPr>
        <w:t xml:space="preserve"> </w:t>
      </w:r>
      <w:r w:rsidR="001343B7" w:rsidRPr="006F767C">
        <w:rPr>
          <w:sz w:val="20"/>
          <w:szCs w:val="20"/>
        </w:rPr>
        <w:t xml:space="preserve">the </w:t>
      </w:r>
      <w:r w:rsidR="004F025C" w:rsidRPr="006F767C">
        <w:rPr>
          <w:sz w:val="20"/>
          <w:szCs w:val="20"/>
        </w:rPr>
        <w:t xml:space="preserve">effective </w:t>
      </w:r>
      <w:r w:rsidR="009D1B95" w:rsidRPr="006F767C">
        <w:rPr>
          <w:sz w:val="20"/>
          <w:szCs w:val="20"/>
        </w:rPr>
        <w:t xml:space="preserve">application of </w:t>
      </w:r>
      <w:r w:rsidR="000D7745" w:rsidRPr="006F767C">
        <w:rPr>
          <w:sz w:val="20"/>
          <w:szCs w:val="20"/>
        </w:rPr>
        <w:t>transparency/</w:t>
      </w:r>
      <w:r w:rsidR="008C3CC4" w:rsidRPr="006F767C">
        <w:rPr>
          <w:sz w:val="20"/>
          <w:szCs w:val="20"/>
        </w:rPr>
        <w:t>anti-</w:t>
      </w:r>
      <w:r w:rsidR="008B37DC" w:rsidRPr="006F767C">
        <w:rPr>
          <w:sz w:val="20"/>
          <w:szCs w:val="20"/>
        </w:rPr>
        <w:t>corruption</w:t>
      </w:r>
      <w:r w:rsidR="008C3CC4" w:rsidRPr="006F767C">
        <w:rPr>
          <w:sz w:val="20"/>
          <w:szCs w:val="20"/>
        </w:rPr>
        <w:t>s</w:t>
      </w:r>
      <w:r w:rsidR="009D1B95" w:rsidRPr="006F767C">
        <w:rPr>
          <w:sz w:val="20"/>
          <w:szCs w:val="20"/>
        </w:rPr>
        <w:t xml:space="preserve"> measures</w:t>
      </w:r>
      <w:r w:rsidR="00C56420" w:rsidRPr="006F767C">
        <w:rPr>
          <w:sz w:val="20"/>
          <w:szCs w:val="20"/>
        </w:rPr>
        <w:t xml:space="preserve">. </w:t>
      </w:r>
      <w:r w:rsidR="00D17E70" w:rsidRPr="006F767C">
        <w:rPr>
          <w:sz w:val="20"/>
          <w:szCs w:val="20"/>
        </w:rPr>
        <w:t xml:space="preserve">In addition, </w:t>
      </w:r>
      <w:r w:rsidR="00BB3D1A" w:rsidRPr="006F767C">
        <w:rPr>
          <w:sz w:val="20"/>
          <w:szCs w:val="20"/>
        </w:rPr>
        <w:t xml:space="preserve">Burkina Faso’s active civil society and </w:t>
      </w:r>
      <w:r w:rsidR="001343B7" w:rsidRPr="006F767C">
        <w:rPr>
          <w:sz w:val="20"/>
          <w:szCs w:val="20"/>
        </w:rPr>
        <w:t>hopeful</w:t>
      </w:r>
      <w:r w:rsidR="00EF7C3D" w:rsidRPr="006F767C">
        <w:rPr>
          <w:sz w:val="20"/>
          <w:szCs w:val="20"/>
        </w:rPr>
        <w:t xml:space="preserve"> </w:t>
      </w:r>
      <w:r w:rsidR="00BB3D1A" w:rsidRPr="006F767C">
        <w:rPr>
          <w:sz w:val="20"/>
          <w:szCs w:val="20"/>
        </w:rPr>
        <w:t>youth</w:t>
      </w:r>
      <w:r w:rsidR="001343B7" w:rsidRPr="006F767C">
        <w:rPr>
          <w:sz w:val="20"/>
          <w:szCs w:val="20"/>
        </w:rPr>
        <w:t xml:space="preserve"> population</w:t>
      </w:r>
      <w:r w:rsidR="00EF7C3D" w:rsidRPr="006F767C">
        <w:rPr>
          <w:sz w:val="20"/>
          <w:szCs w:val="20"/>
        </w:rPr>
        <w:t>,</w:t>
      </w:r>
      <w:r w:rsidR="00BB3D1A" w:rsidRPr="006F767C">
        <w:rPr>
          <w:sz w:val="20"/>
          <w:szCs w:val="20"/>
        </w:rPr>
        <w:t xml:space="preserve"> </w:t>
      </w:r>
      <w:r w:rsidR="00D17E70" w:rsidRPr="006F767C">
        <w:rPr>
          <w:sz w:val="20"/>
          <w:szCs w:val="20"/>
        </w:rPr>
        <w:t xml:space="preserve">who </w:t>
      </w:r>
      <w:r w:rsidR="001343B7" w:rsidRPr="006F767C">
        <w:rPr>
          <w:sz w:val="20"/>
          <w:szCs w:val="20"/>
        </w:rPr>
        <w:t>were</w:t>
      </w:r>
      <w:r w:rsidR="00D17E70" w:rsidRPr="006F767C">
        <w:rPr>
          <w:sz w:val="20"/>
          <w:szCs w:val="20"/>
        </w:rPr>
        <w:t xml:space="preserve"> </w:t>
      </w:r>
      <w:r w:rsidR="00BB3D1A" w:rsidRPr="006F767C">
        <w:rPr>
          <w:sz w:val="20"/>
          <w:szCs w:val="20"/>
        </w:rPr>
        <w:t xml:space="preserve">commended for constructive engagement during </w:t>
      </w:r>
      <w:r w:rsidR="006E14E4" w:rsidRPr="006F767C">
        <w:rPr>
          <w:sz w:val="20"/>
          <w:szCs w:val="20"/>
        </w:rPr>
        <w:t>the transition</w:t>
      </w:r>
      <w:r w:rsidR="00EF7C3D" w:rsidRPr="006F767C">
        <w:rPr>
          <w:sz w:val="20"/>
          <w:szCs w:val="20"/>
        </w:rPr>
        <w:t>,</w:t>
      </w:r>
      <w:r w:rsidR="00913935" w:rsidRPr="006F767C">
        <w:rPr>
          <w:sz w:val="20"/>
          <w:szCs w:val="20"/>
        </w:rPr>
        <w:t xml:space="preserve"> are putting in place </w:t>
      </w:r>
      <w:r w:rsidR="00457E32" w:rsidRPr="006F767C">
        <w:rPr>
          <w:sz w:val="20"/>
          <w:szCs w:val="20"/>
        </w:rPr>
        <w:t>mechanisms</w:t>
      </w:r>
      <w:r w:rsidR="003D4673" w:rsidRPr="006F767C">
        <w:rPr>
          <w:sz w:val="20"/>
          <w:szCs w:val="20"/>
        </w:rPr>
        <w:t xml:space="preserve"> and tools</w:t>
      </w:r>
      <w:r w:rsidR="00A8081A" w:rsidRPr="006F767C">
        <w:rPr>
          <w:sz w:val="20"/>
          <w:szCs w:val="20"/>
        </w:rPr>
        <w:t xml:space="preserve"> for </w:t>
      </w:r>
      <w:r w:rsidR="00FD59DD" w:rsidRPr="006F767C">
        <w:rPr>
          <w:sz w:val="20"/>
          <w:szCs w:val="20"/>
        </w:rPr>
        <w:t xml:space="preserve">continued </w:t>
      </w:r>
      <w:r w:rsidR="00A8081A" w:rsidRPr="006F767C">
        <w:rPr>
          <w:sz w:val="20"/>
          <w:szCs w:val="20"/>
        </w:rPr>
        <w:t>citizen engagement</w:t>
      </w:r>
      <w:r w:rsidR="00BB3D1A" w:rsidRPr="006F767C">
        <w:rPr>
          <w:sz w:val="20"/>
          <w:szCs w:val="20"/>
        </w:rPr>
        <w:t xml:space="preserve"> and </w:t>
      </w:r>
      <w:r w:rsidR="00D17E70" w:rsidRPr="006F767C">
        <w:rPr>
          <w:sz w:val="20"/>
          <w:szCs w:val="20"/>
        </w:rPr>
        <w:t>a</w:t>
      </w:r>
      <w:r w:rsidR="00BB3D1A" w:rsidRPr="006F767C">
        <w:rPr>
          <w:sz w:val="20"/>
          <w:szCs w:val="20"/>
        </w:rPr>
        <w:t xml:space="preserve">ccountability. </w:t>
      </w:r>
      <w:r w:rsidR="00744ECB" w:rsidRPr="006F767C">
        <w:rPr>
          <w:sz w:val="20"/>
          <w:szCs w:val="20"/>
        </w:rPr>
        <w:t>H</w:t>
      </w:r>
      <w:r w:rsidR="00EF7C3D" w:rsidRPr="006F767C">
        <w:rPr>
          <w:sz w:val="20"/>
          <w:szCs w:val="20"/>
        </w:rPr>
        <w:t xml:space="preserve">igh </w:t>
      </w:r>
      <w:r w:rsidR="00540396" w:rsidRPr="006F767C">
        <w:rPr>
          <w:sz w:val="20"/>
          <w:szCs w:val="20"/>
        </w:rPr>
        <w:t xml:space="preserve">expectations </w:t>
      </w:r>
      <w:r w:rsidR="008661AB" w:rsidRPr="006F767C">
        <w:rPr>
          <w:sz w:val="20"/>
          <w:szCs w:val="20"/>
        </w:rPr>
        <w:t>call</w:t>
      </w:r>
      <w:r w:rsidR="009C6295" w:rsidRPr="006F767C">
        <w:rPr>
          <w:sz w:val="20"/>
          <w:szCs w:val="20"/>
        </w:rPr>
        <w:t xml:space="preserve"> for participatory</w:t>
      </w:r>
      <w:r w:rsidR="00837FB3" w:rsidRPr="006F767C">
        <w:rPr>
          <w:sz w:val="20"/>
          <w:szCs w:val="20"/>
        </w:rPr>
        <w:t xml:space="preserve">, inclusive </w:t>
      </w:r>
      <w:r w:rsidR="007E28A2" w:rsidRPr="006F767C">
        <w:rPr>
          <w:sz w:val="20"/>
          <w:szCs w:val="20"/>
        </w:rPr>
        <w:t>approach</w:t>
      </w:r>
      <w:r w:rsidR="001343B7" w:rsidRPr="006F767C">
        <w:rPr>
          <w:sz w:val="20"/>
          <w:szCs w:val="20"/>
        </w:rPr>
        <w:t>es</w:t>
      </w:r>
      <w:r w:rsidR="007E28A2" w:rsidRPr="006F767C">
        <w:rPr>
          <w:sz w:val="20"/>
          <w:szCs w:val="20"/>
        </w:rPr>
        <w:t xml:space="preserve"> to governance</w:t>
      </w:r>
      <w:r w:rsidR="00744ECB" w:rsidRPr="006F767C">
        <w:rPr>
          <w:sz w:val="20"/>
          <w:szCs w:val="20"/>
        </w:rPr>
        <w:t xml:space="preserve"> </w:t>
      </w:r>
      <w:r w:rsidR="007E28A2" w:rsidRPr="006F767C">
        <w:rPr>
          <w:sz w:val="20"/>
          <w:szCs w:val="20"/>
        </w:rPr>
        <w:t>based on rule of law</w:t>
      </w:r>
      <w:r w:rsidR="00744ECB" w:rsidRPr="006F767C">
        <w:rPr>
          <w:sz w:val="20"/>
          <w:szCs w:val="20"/>
        </w:rPr>
        <w:t>,</w:t>
      </w:r>
      <w:r w:rsidR="00F862F6" w:rsidRPr="006F767C">
        <w:rPr>
          <w:sz w:val="20"/>
          <w:szCs w:val="20"/>
        </w:rPr>
        <w:t xml:space="preserve"> </w:t>
      </w:r>
      <w:r w:rsidR="00744ECB" w:rsidRPr="006F767C">
        <w:rPr>
          <w:sz w:val="20"/>
          <w:szCs w:val="20"/>
        </w:rPr>
        <w:t xml:space="preserve">and that are </w:t>
      </w:r>
      <w:r w:rsidR="00D42513" w:rsidRPr="006F767C">
        <w:rPr>
          <w:sz w:val="20"/>
          <w:szCs w:val="20"/>
        </w:rPr>
        <w:t xml:space="preserve">captured in </w:t>
      </w:r>
      <w:r w:rsidR="001343B7" w:rsidRPr="006F767C">
        <w:rPr>
          <w:sz w:val="20"/>
          <w:szCs w:val="20"/>
        </w:rPr>
        <w:t xml:space="preserve">the </w:t>
      </w:r>
      <w:r w:rsidR="00070A2E" w:rsidRPr="006F767C">
        <w:rPr>
          <w:sz w:val="20"/>
          <w:szCs w:val="20"/>
        </w:rPr>
        <w:t xml:space="preserve">popular slogan </w:t>
      </w:r>
      <w:r w:rsidR="00407C3C" w:rsidRPr="006F767C">
        <w:rPr>
          <w:i/>
          <w:sz w:val="20"/>
          <w:szCs w:val="20"/>
        </w:rPr>
        <w:t>plus rien ne sera comme avant</w:t>
      </w:r>
      <w:r w:rsidR="00EF7C3D" w:rsidRPr="006F767C">
        <w:rPr>
          <w:sz w:val="20"/>
          <w:szCs w:val="20"/>
        </w:rPr>
        <w:t xml:space="preserve"> </w:t>
      </w:r>
      <w:r w:rsidR="001343B7" w:rsidRPr="006F767C">
        <w:rPr>
          <w:sz w:val="20"/>
          <w:szCs w:val="20"/>
        </w:rPr>
        <w:t xml:space="preserve">(things </w:t>
      </w:r>
      <w:r w:rsidR="00070A2E" w:rsidRPr="006F767C">
        <w:rPr>
          <w:sz w:val="20"/>
          <w:szCs w:val="20"/>
        </w:rPr>
        <w:t xml:space="preserve">will </w:t>
      </w:r>
      <w:r w:rsidR="001343B7" w:rsidRPr="006F767C">
        <w:rPr>
          <w:sz w:val="20"/>
          <w:szCs w:val="20"/>
        </w:rPr>
        <w:t>never be the same</w:t>
      </w:r>
      <w:r w:rsidR="0040325A">
        <w:rPr>
          <w:sz w:val="20"/>
          <w:szCs w:val="20"/>
        </w:rPr>
        <w:t xml:space="preserve"> again</w:t>
      </w:r>
      <w:r w:rsidR="00744ECB" w:rsidRPr="006F767C">
        <w:rPr>
          <w:sz w:val="20"/>
          <w:szCs w:val="20"/>
        </w:rPr>
        <w:t>).</w:t>
      </w:r>
      <w:r w:rsidR="00954082" w:rsidRPr="006F767C">
        <w:rPr>
          <w:sz w:val="20"/>
          <w:szCs w:val="20"/>
        </w:rPr>
        <w:t xml:space="preserve"> </w:t>
      </w:r>
    </w:p>
    <w:p w14:paraId="189482C9" w14:textId="12D161B3" w:rsidR="009467F8" w:rsidRPr="008A4C62" w:rsidRDefault="00FE2C17" w:rsidP="00F95CAC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sz w:val="20"/>
          <w:szCs w:val="20"/>
        </w:rPr>
      </w:pPr>
      <w:r w:rsidRPr="006F767C">
        <w:rPr>
          <w:color w:val="000000"/>
          <w:sz w:val="20"/>
          <w:szCs w:val="20"/>
        </w:rPr>
        <w:t xml:space="preserve">In </w:t>
      </w:r>
      <w:r w:rsidR="00FD5052" w:rsidRPr="006F767C">
        <w:rPr>
          <w:color w:val="000000"/>
          <w:sz w:val="20"/>
          <w:szCs w:val="20"/>
        </w:rPr>
        <w:t>2017</w:t>
      </w:r>
      <w:r w:rsidRPr="006F767C">
        <w:rPr>
          <w:color w:val="000000"/>
          <w:sz w:val="20"/>
          <w:szCs w:val="20"/>
        </w:rPr>
        <w:t xml:space="preserve">, </w:t>
      </w:r>
      <w:r w:rsidR="00744ECB" w:rsidRPr="006F767C">
        <w:rPr>
          <w:color w:val="000000"/>
          <w:sz w:val="20"/>
          <w:szCs w:val="20"/>
        </w:rPr>
        <w:t xml:space="preserve">the population of </w:t>
      </w:r>
      <w:r w:rsidR="0052059A" w:rsidRPr="006F767C">
        <w:rPr>
          <w:color w:val="000000"/>
          <w:sz w:val="20"/>
          <w:szCs w:val="20"/>
        </w:rPr>
        <w:t xml:space="preserve">Burkina Faso </w:t>
      </w:r>
      <w:r w:rsidR="00BA4CE1" w:rsidRPr="006F767C">
        <w:rPr>
          <w:color w:val="000000"/>
          <w:sz w:val="20"/>
          <w:szCs w:val="20"/>
        </w:rPr>
        <w:t>hit</w:t>
      </w:r>
      <w:r w:rsidR="00744ECB" w:rsidRPr="006F767C">
        <w:rPr>
          <w:color w:val="000000"/>
          <w:sz w:val="20"/>
          <w:szCs w:val="20"/>
        </w:rPr>
        <w:t xml:space="preserve"> an estimated </w:t>
      </w:r>
      <w:r w:rsidRPr="006F767C">
        <w:rPr>
          <w:color w:val="000000"/>
          <w:sz w:val="20"/>
          <w:szCs w:val="20"/>
        </w:rPr>
        <w:t>1</w:t>
      </w:r>
      <w:r w:rsidR="00187ACD" w:rsidRPr="006F767C">
        <w:rPr>
          <w:color w:val="000000"/>
          <w:sz w:val="20"/>
          <w:szCs w:val="20"/>
        </w:rPr>
        <w:t>9</w:t>
      </w:r>
      <w:r w:rsidR="004109B3" w:rsidRPr="006F767C">
        <w:rPr>
          <w:color w:val="000000"/>
          <w:sz w:val="20"/>
          <w:szCs w:val="20"/>
        </w:rPr>
        <w:t>.</w:t>
      </w:r>
      <w:r w:rsidR="00543D1C" w:rsidRPr="006F767C">
        <w:rPr>
          <w:color w:val="000000"/>
          <w:sz w:val="20"/>
          <w:szCs w:val="20"/>
        </w:rPr>
        <w:t>6</w:t>
      </w:r>
      <w:r w:rsidRPr="006F767C">
        <w:rPr>
          <w:color w:val="000000"/>
          <w:sz w:val="20"/>
          <w:szCs w:val="20"/>
        </w:rPr>
        <w:t xml:space="preserve"> million</w:t>
      </w:r>
      <w:r w:rsidR="00543D1C" w:rsidRPr="006F767C">
        <w:rPr>
          <w:rStyle w:val="FootnoteReference"/>
          <w:color w:val="000000"/>
          <w:sz w:val="20"/>
          <w:szCs w:val="20"/>
        </w:rPr>
        <w:footnoteReference w:id="3"/>
      </w:r>
      <w:r w:rsidR="00744ECB" w:rsidRPr="006F767C">
        <w:rPr>
          <w:color w:val="000000"/>
          <w:sz w:val="20"/>
          <w:szCs w:val="20"/>
        </w:rPr>
        <w:t xml:space="preserve"> and</w:t>
      </w:r>
      <w:r w:rsidR="00537732" w:rsidRPr="006F767C">
        <w:rPr>
          <w:color w:val="000000"/>
          <w:sz w:val="20"/>
          <w:szCs w:val="20"/>
        </w:rPr>
        <w:t xml:space="preserve"> </w:t>
      </w:r>
      <w:r w:rsidR="00744ECB" w:rsidRPr="006F767C">
        <w:rPr>
          <w:color w:val="000000"/>
          <w:sz w:val="20"/>
          <w:szCs w:val="20"/>
        </w:rPr>
        <w:t xml:space="preserve">is </w:t>
      </w:r>
      <w:r w:rsidR="00A36A3C" w:rsidRPr="006F767C">
        <w:rPr>
          <w:color w:val="000000"/>
          <w:sz w:val="20"/>
          <w:szCs w:val="20"/>
        </w:rPr>
        <w:t xml:space="preserve">projected to increase to </w:t>
      </w:r>
      <w:r w:rsidR="004D770B" w:rsidRPr="006F767C">
        <w:rPr>
          <w:color w:val="000000"/>
          <w:sz w:val="20"/>
          <w:szCs w:val="20"/>
        </w:rPr>
        <w:t xml:space="preserve">21.5 </w:t>
      </w:r>
      <w:r w:rsidR="00A36A3C" w:rsidRPr="006F767C">
        <w:rPr>
          <w:color w:val="000000"/>
          <w:sz w:val="20"/>
          <w:szCs w:val="20"/>
        </w:rPr>
        <w:t>million by 20</w:t>
      </w:r>
      <w:r w:rsidR="004D770B" w:rsidRPr="006F767C">
        <w:rPr>
          <w:color w:val="000000"/>
          <w:sz w:val="20"/>
          <w:szCs w:val="20"/>
        </w:rPr>
        <w:t>2</w:t>
      </w:r>
      <w:r w:rsidR="00A36A3C" w:rsidRPr="006F767C">
        <w:rPr>
          <w:color w:val="000000"/>
          <w:sz w:val="20"/>
          <w:szCs w:val="20"/>
        </w:rPr>
        <w:t>0.</w:t>
      </w:r>
      <w:r w:rsidR="00F520C3" w:rsidRPr="006F767C">
        <w:rPr>
          <w:color w:val="000000"/>
          <w:sz w:val="20"/>
          <w:szCs w:val="20"/>
        </w:rPr>
        <w:t xml:space="preserve"> </w:t>
      </w:r>
      <w:r w:rsidR="00082E8F" w:rsidRPr="006F767C">
        <w:rPr>
          <w:color w:val="000000"/>
          <w:sz w:val="20"/>
          <w:szCs w:val="20"/>
        </w:rPr>
        <w:t>M</w:t>
      </w:r>
      <w:r w:rsidR="00695B3C" w:rsidRPr="006F767C">
        <w:rPr>
          <w:color w:val="000000"/>
          <w:sz w:val="20"/>
          <w:szCs w:val="20"/>
        </w:rPr>
        <w:t>ore</w:t>
      </w:r>
      <w:r w:rsidR="00537732" w:rsidRPr="006F767C">
        <w:rPr>
          <w:color w:val="000000"/>
          <w:sz w:val="20"/>
          <w:szCs w:val="20"/>
        </w:rPr>
        <w:t xml:space="preserve"> than 40</w:t>
      </w:r>
      <w:r w:rsidR="00744ECB" w:rsidRPr="006F767C">
        <w:rPr>
          <w:color w:val="000000"/>
          <w:sz w:val="20"/>
          <w:szCs w:val="20"/>
        </w:rPr>
        <w:t xml:space="preserve"> per cent of the population lives</w:t>
      </w:r>
      <w:r w:rsidR="00537732" w:rsidRPr="006F767C">
        <w:rPr>
          <w:color w:val="000000"/>
          <w:sz w:val="20"/>
          <w:szCs w:val="20"/>
        </w:rPr>
        <w:t xml:space="preserve"> </w:t>
      </w:r>
      <w:r w:rsidR="00744ECB" w:rsidRPr="006F767C">
        <w:rPr>
          <w:color w:val="000000"/>
          <w:sz w:val="20"/>
          <w:szCs w:val="20"/>
        </w:rPr>
        <w:t>in</w:t>
      </w:r>
      <w:r w:rsidR="00537732" w:rsidRPr="006F767C">
        <w:rPr>
          <w:color w:val="000000"/>
          <w:sz w:val="20"/>
          <w:szCs w:val="20"/>
        </w:rPr>
        <w:t xml:space="preserve"> poverty</w:t>
      </w:r>
      <w:r w:rsidR="00744ECB" w:rsidRPr="006F767C">
        <w:rPr>
          <w:color w:val="000000"/>
          <w:sz w:val="20"/>
          <w:szCs w:val="20"/>
        </w:rPr>
        <w:t>.</w:t>
      </w:r>
      <w:r w:rsidR="00537732" w:rsidRPr="006F767C">
        <w:rPr>
          <w:sz w:val="20"/>
          <w:szCs w:val="20"/>
          <w:vertAlign w:val="superscript"/>
        </w:rPr>
        <w:footnoteReference w:id="4"/>
      </w:r>
      <w:r w:rsidR="006168C5" w:rsidRPr="006F767C">
        <w:rPr>
          <w:color w:val="000000"/>
          <w:sz w:val="20"/>
          <w:szCs w:val="20"/>
        </w:rPr>
        <w:t xml:space="preserve"> </w:t>
      </w:r>
      <w:r w:rsidR="00744ECB" w:rsidRPr="006F767C">
        <w:rPr>
          <w:color w:val="000000"/>
          <w:sz w:val="20"/>
          <w:szCs w:val="20"/>
        </w:rPr>
        <w:t>A</w:t>
      </w:r>
      <w:r w:rsidR="003C46C4" w:rsidRPr="006F767C">
        <w:rPr>
          <w:color w:val="000000"/>
          <w:sz w:val="20"/>
          <w:szCs w:val="20"/>
        </w:rPr>
        <w:t xml:space="preserve"> 2013-2014 Development </w:t>
      </w:r>
      <w:r w:rsidR="00CC1616" w:rsidRPr="006F767C">
        <w:rPr>
          <w:color w:val="000000"/>
          <w:sz w:val="20"/>
          <w:szCs w:val="20"/>
        </w:rPr>
        <w:t xml:space="preserve">Cooperation </w:t>
      </w:r>
      <w:r w:rsidR="003C46C4" w:rsidRPr="006F767C">
        <w:rPr>
          <w:color w:val="000000"/>
          <w:sz w:val="20"/>
          <w:szCs w:val="20"/>
        </w:rPr>
        <w:t>Report</w:t>
      </w:r>
      <w:r w:rsidR="00961F8A" w:rsidRPr="006F767C">
        <w:rPr>
          <w:color w:val="000000"/>
          <w:sz w:val="20"/>
          <w:szCs w:val="20"/>
        </w:rPr>
        <w:t xml:space="preserve"> </w:t>
      </w:r>
      <w:r w:rsidR="000A19F9" w:rsidRPr="006F767C">
        <w:rPr>
          <w:color w:val="000000"/>
          <w:sz w:val="20"/>
          <w:szCs w:val="20"/>
        </w:rPr>
        <w:t>show</w:t>
      </w:r>
      <w:r w:rsidR="00744ECB" w:rsidRPr="006F767C">
        <w:rPr>
          <w:color w:val="000000"/>
          <w:sz w:val="20"/>
          <w:szCs w:val="20"/>
        </w:rPr>
        <w:t>ed</w:t>
      </w:r>
      <w:r w:rsidR="000A19F9" w:rsidRPr="006F767C">
        <w:rPr>
          <w:color w:val="000000"/>
          <w:sz w:val="20"/>
          <w:szCs w:val="20"/>
        </w:rPr>
        <w:t xml:space="preserve"> </w:t>
      </w:r>
      <w:r w:rsidR="00F1676C" w:rsidRPr="006F767C">
        <w:rPr>
          <w:color w:val="000000"/>
          <w:sz w:val="20"/>
          <w:szCs w:val="20"/>
        </w:rPr>
        <w:t xml:space="preserve">a low rate of </w:t>
      </w:r>
      <w:r w:rsidR="00523ADE" w:rsidRPr="006F767C">
        <w:rPr>
          <w:color w:val="000000"/>
          <w:sz w:val="20"/>
          <w:szCs w:val="20"/>
        </w:rPr>
        <w:t xml:space="preserve">project </w:t>
      </w:r>
      <w:r w:rsidR="00F1676C" w:rsidRPr="006F767C">
        <w:rPr>
          <w:color w:val="000000"/>
          <w:sz w:val="20"/>
          <w:szCs w:val="20"/>
        </w:rPr>
        <w:t xml:space="preserve">implementation for the </w:t>
      </w:r>
      <w:r w:rsidR="00961F8A" w:rsidRPr="006F767C">
        <w:rPr>
          <w:color w:val="000000"/>
          <w:sz w:val="20"/>
          <w:szCs w:val="20"/>
        </w:rPr>
        <w:t>period</w:t>
      </w:r>
      <w:r w:rsidR="00F1676C" w:rsidRPr="006F767C">
        <w:rPr>
          <w:color w:val="000000"/>
          <w:sz w:val="20"/>
          <w:szCs w:val="20"/>
        </w:rPr>
        <w:t xml:space="preserve"> </w:t>
      </w:r>
      <w:r w:rsidR="00744ECB" w:rsidRPr="006F767C">
        <w:rPr>
          <w:color w:val="000000"/>
          <w:sz w:val="20"/>
          <w:szCs w:val="20"/>
        </w:rPr>
        <w:t xml:space="preserve">prior to </w:t>
      </w:r>
      <w:r w:rsidR="00F1676C" w:rsidRPr="006F767C">
        <w:rPr>
          <w:color w:val="000000"/>
          <w:sz w:val="20"/>
          <w:szCs w:val="20"/>
        </w:rPr>
        <w:t>the popular uprising</w:t>
      </w:r>
      <w:r w:rsidR="00744ECB" w:rsidRPr="006F767C">
        <w:rPr>
          <w:color w:val="000000"/>
          <w:sz w:val="20"/>
          <w:szCs w:val="20"/>
        </w:rPr>
        <w:t xml:space="preserve">. The government </w:t>
      </w:r>
      <w:r w:rsidR="002F57E3">
        <w:rPr>
          <w:color w:val="000000"/>
          <w:sz w:val="20"/>
          <w:szCs w:val="20"/>
        </w:rPr>
        <w:t>implemented</w:t>
      </w:r>
      <w:r w:rsidR="00744ECB" w:rsidRPr="006F767C">
        <w:rPr>
          <w:color w:val="000000"/>
          <w:sz w:val="20"/>
          <w:szCs w:val="20"/>
        </w:rPr>
        <w:t xml:space="preserve"> </w:t>
      </w:r>
      <w:r w:rsidR="00E85150" w:rsidRPr="006F767C">
        <w:rPr>
          <w:color w:val="000000"/>
          <w:sz w:val="20"/>
          <w:szCs w:val="20"/>
        </w:rPr>
        <w:t>69</w:t>
      </w:r>
      <w:r w:rsidR="00744ECB" w:rsidRPr="006F767C">
        <w:rPr>
          <w:color w:val="000000"/>
          <w:sz w:val="20"/>
          <w:szCs w:val="20"/>
        </w:rPr>
        <w:t xml:space="preserve"> per cent</w:t>
      </w:r>
      <w:r w:rsidR="00E85150" w:rsidRPr="006F767C">
        <w:rPr>
          <w:color w:val="000000"/>
          <w:sz w:val="20"/>
          <w:szCs w:val="20"/>
        </w:rPr>
        <w:t xml:space="preserve"> </w:t>
      </w:r>
      <w:r w:rsidR="00744ECB" w:rsidRPr="006F767C">
        <w:rPr>
          <w:color w:val="000000"/>
          <w:sz w:val="20"/>
          <w:szCs w:val="20"/>
        </w:rPr>
        <w:t xml:space="preserve">of projects, while </w:t>
      </w:r>
      <w:r w:rsidR="00BF5F85" w:rsidRPr="006F767C">
        <w:rPr>
          <w:color w:val="000000"/>
          <w:sz w:val="20"/>
          <w:szCs w:val="20"/>
        </w:rPr>
        <w:t>development partners</w:t>
      </w:r>
      <w:r w:rsidR="00744ECB" w:rsidRPr="006F767C">
        <w:rPr>
          <w:color w:val="000000"/>
          <w:sz w:val="20"/>
          <w:szCs w:val="20"/>
        </w:rPr>
        <w:t xml:space="preserve"> </w:t>
      </w:r>
      <w:r w:rsidR="006C6FFB">
        <w:rPr>
          <w:color w:val="000000"/>
          <w:sz w:val="20"/>
          <w:szCs w:val="20"/>
        </w:rPr>
        <w:t>implemented</w:t>
      </w:r>
      <w:r w:rsidR="006C6FFB" w:rsidRPr="006F767C">
        <w:rPr>
          <w:color w:val="000000"/>
          <w:sz w:val="20"/>
          <w:szCs w:val="20"/>
        </w:rPr>
        <w:t xml:space="preserve"> less</w:t>
      </w:r>
      <w:r w:rsidR="00BF5F85" w:rsidRPr="006F767C">
        <w:rPr>
          <w:color w:val="000000"/>
          <w:sz w:val="20"/>
          <w:szCs w:val="20"/>
        </w:rPr>
        <w:t xml:space="preserve"> than 60</w:t>
      </w:r>
      <w:r w:rsidR="00744ECB" w:rsidRPr="006F767C">
        <w:rPr>
          <w:color w:val="000000"/>
          <w:sz w:val="20"/>
          <w:szCs w:val="20"/>
        </w:rPr>
        <w:t xml:space="preserve"> per cent</w:t>
      </w:r>
      <w:r w:rsidR="00BF5F85" w:rsidRPr="006F767C">
        <w:rPr>
          <w:color w:val="000000"/>
          <w:sz w:val="20"/>
          <w:szCs w:val="20"/>
        </w:rPr>
        <w:t>.</w:t>
      </w:r>
      <w:r w:rsidR="00803B1B" w:rsidRPr="006F767C">
        <w:rPr>
          <w:color w:val="000000"/>
          <w:sz w:val="20"/>
          <w:szCs w:val="20"/>
        </w:rPr>
        <w:t xml:space="preserve"> </w:t>
      </w:r>
      <w:r w:rsidR="00E966EC" w:rsidRPr="006F767C">
        <w:rPr>
          <w:color w:val="000000"/>
          <w:sz w:val="20"/>
          <w:szCs w:val="20"/>
        </w:rPr>
        <w:t xml:space="preserve">This trend </w:t>
      </w:r>
      <w:r w:rsidR="00BA4CE1" w:rsidRPr="006F767C">
        <w:rPr>
          <w:color w:val="000000"/>
          <w:sz w:val="20"/>
          <w:szCs w:val="20"/>
        </w:rPr>
        <w:t xml:space="preserve">was </w:t>
      </w:r>
      <w:r w:rsidR="00E966EC" w:rsidRPr="006F767C">
        <w:rPr>
          <w:color w:val="000000"/>
          <w:sz w:val="20"/>
          <w:szCs w:val="20"/>
        </w:rPr>
        <w:t xml:space="preserve">confirmed </w:t>
      </w:r>
      <w:r w:rsidR="00BA4CE1" w:rsidRPr="006F767C">
        <w:rPr>
          <w:color w:val="000000"/>
          <w:sz w:val="20"/>
          <w:szCs w:val="20"/>
        </w:rPr>
        <w:t xml:space="preserve">in </w:t>
      </w:r>
      <w:r w:rsidR="00E966EC" w:rsidRPr="006F767C">
        <w:rPr>
          <w:color w:val="000000"/>
          <w:sz w:val="20"/>
          <w:szCs w:val="20"/>
        </w:rPr>
        <w:t xml:space="preserve">the 2017 mid-term report of </w:t>
      </w:r>
      <w:r w:rsidR="00082E8F" w:rsidRPr="006F767C">
        <w:rPr>
          <w:color w:val="000000"/>
          <w:sz w:val="20"/>
          <w:szCs w:val="20"/>
        </w:rPr>
        <w:t>National Economic and Social Development Plan (</w:t>
      </w:r>
      <w:r w:rsidR="00E966EC" w:rsidRPr="006F767C">
        <w:rPr>
          <w:color w:val="000000"/>
          <w:sz w:val="20"/>
          <w:szCs w:val="20"/>
        </w:rPr>
        <w:t>NESDP</w:t>
      </w:r>
      <w:r w:rsidR="00082E8F" w:rsidRPr="006F767C">
        <w:rPr>
          <w:color w:val="000000"/>
          <w:sz w:val="20"/>
          <w:szCs w:val="20"/>
        </w:rPr>
        <w:t>)</w:t>
      </w:r>
      <w:r w:rsidR="00BA4CE1" w:rsidRPr="006F767C">
        <w:rPr>
          <w:color w:val="000000"/>
          <w:sz w:val="20"/>
          <w:szCs w:val="20"/>
        </w:rPr>
        <w:t>, which</w:t>
      </w:r>
      <w:r w:rsidR="00E966EC" w:rsidRPr="006F767C">
        <w:rPr>
          <w:color w:val="000000"/>
          <w:sz w:val="20"/>
          <w:szCs w:val="20"/>
        </w:rPr>
        <w:t xml:space="preserve"> </w:t>
      </w:r>
      <w:r w:rsidR="00BA4CE1" w:rsidRPr="006F767C">
        <w:rPr>
          <w:color w:val="000000"/>
          <w:sz w:val="20"/>
          <w:szCs w:val="20"/>
        </w:rPr>
        <w:t xml:space="preserve">showed </w:t>
      </w:r>
      <w:r w:rsidR="00523ADE" w:rsidRPr="006F767C">
        <w:rPr>
          <w:color w:val="000000"/>
          <w:sz w:val="20"/>
          <w:szCs w:val="20"/>
        </w:rPr>
        <w:t xml:space="preserve">a </w:t>
      </w:r>
      <w:r w:rsidR="00E966EC" w:rsidRPr="006F767C">
        <w:rPr>
          <w:color w:val="000000"/>
          <w:sz w:val="20"/>
          <w:szCs w:val="20"/>
        </w:rPr>
        <w:t>financial implementation rate of only 21.3</w:t>
      </w:r>
      <w:r w:rsidR="00BA4CE1" w:rsidRPr="006F767C">
        <w:rPr>
          <w:color w:val="000000"/>
          <w:sz w:val="20"/>
          <w:szCs w:val="20"/>
        </w:rPr>
        <w:t xml:space="preserve"> per cent</w:t>
      </w:r>
      <w:r w:rsidR="00E966EC" w:rsidRPr="006F767C">
        <w:rPr>
          <w:color w:val="000000"/>
          <w:sz w:val="20"/>
          <w:szCs w:val="20"/>
        </w:rPr>
        <w:t xml:space="preserve">. </w:t>
      </w:r>
      <w:r w:rsidR="00BA4CE1" w:rsidRPr="006F767C">
        <w:rPr>
          <w:color w:val="000000"/>
          <w:sz w:val="20"/>
          <w:szCs w:val="20"/>
        </w:rPr>
        <w:t xml:space="preserve">This </w:t>
      </w:r>
      <w:r w:rsidR="005B69D8" w:rsidRPr="006F767C">
        <w:rPr>
          <w:color w:val="000000"/>
          <w:sz w:val="20"/>
          <w:szCs w:val="20"/>
        </w:rPr>
        <w:t>backlog in implementation</w:t>
      </w:r>
      <w:r w:rsidR="00C766BF" w:rsidRPr="006F767C">
        <w:rPr>
          <w:color w:val="000000"/>
          <w:sz w:val="20"/>
          <w:szCs w:val="20"/>
        </w:rPr>
        <w:t xml:space="preserve"> puts</w:t>
      </w:r>
      <w:r w:rsidR="00755639" w:rsidRPr="006F767C">
        <w:rPr>
          <w:color w:val="000000"/>
          <w:sz w:val="20"/>
          <w:szCs w:val="20"/>
        </w:rPr>
        <w:t xml:space="preserve"> additional pressure on an administration that </w:t>
      </w:r>
      <w:r w:rsidR="00F63CA1" w:rsidRPr="006F767C">
        <w:rPr>
          <w:color w:val="000000"/>
          <w:sz w:val="20"/>
          <w:szCs w:val="20"/>
        </w:rPr>
        <w:t>must</w:t>
      </w:r>
      <w:r w:rsidR="00755639" w:rsidRPr="006F767C">
        <w:rPr>
          <w:color w:val="000000"/>
          <w:sz w:val="20"/>
          <w:szCs w:val="20"/>
        </w:rPr>
        <w:t xml:space="preserve"> keep pace with rising public expectations</w:t>
      </w:r>
      <w:r w:rsidR="005B69D8" w:rsidRPr="006F767C">
        <w:rPr>
          <w:color w:val="000000"/>
          <w:sz w:val="20"/>
          <w:szCs w:val="20"/>
        </w:rPr>
        <w:t>.</w:t>
      </w:r>
    </w:p>
    <w:p w14:paraId="146A2167" w14:textId="312A532F" w:rsidR="009467F8" w:rsidRPr="008A4C62" w:rsidRDefault="00DA458F" w:rsidP="008A4C62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sz w:val="20"/>
          <w:szCs w:val="20"/>
        </w:rPr>
      </w:pPr>
      <w:r w:rsidRPr="008A4C62">
        <w:rPr>
          <w:color w:val="000000"/>
          <w:sz w:val="20"/>
          <w:szCs w:val="20"/>
        </w:rPr>
        <w:t xml:space="preserve">Since 2014, </w:t>
      </w:r>
      <w:r w:rsidR="008661AB" w:rsidRPr="008A4C62">
        <w:rPr>
          <w:color w:val="000000"/>
          <w:sz w:val="20"/>
          <w:szCs w:val="20"/>
        </w:rPr>
        <w:t>Burkina Faso</w:t>
      </w:r>
      <w:r w:rsidRPr="008A4C62">
        <w:rPr>
          <w:color w:val="000000"/>
          <w:sz w:val="20"/>
          <w:szCs w:val="20"/>
        </w:rPr>
        <w:t>—a member of the G5 Sahel countries—</w:t>
      </w:r>
      <w:r w:rsidR="00AB0100" w:rsidRPr="008A4C62">
        <w:rPr>
          <w:color w:val="000000"/>
          <w:sz w:val="20"/>
          <w:szCs w:val="20"/>
        </w:rPr>
        <w:t xml:space="preserve">has been </w:t>
      </w:r>
      <w:r w:rsidRPr="008A4C62">
        <w:rPr>
          <w:color w:val="000000"/>
          <w:sz w:val="20"/>
          <w:szCs w:val="20"/>
        </w:rPr>
        <w:t xml:space="preserve">hit by </w:t>
      </w:r>
      <w:r w:rsidR="00724197" w:rsidRPr="008A4C62">
        <w:rPr>
          <w:color w:val="000000"/>
          <w:sz w:val="20"/>
          <w:szCs w:val="20"/>
        </w:rPr>
        <w:t>multiple</w:t>
      </w:r>
      <w:r w:rsidR="00A065D9" w:rsidRPr="008A4C62">
        <w:rPr>
          <w:color w:val="000000"/>
          <w:sz w:val="20"/>
          <w:szCs w:val="20"/>
        </w:rPr>
        <w:t xml:space="preserve"> </w:t>
      </w:r>
      <w:r w:rsidR="00616F33" w:rsidRPr="008A4C62">
        <w:rPr>
          <w:color w:val="000000"/>
          <w:sz w:val="20"/>
          <w:szCs w:val="20"/>
        </w:rPr>
        <w:t xml:space="preserve">terrorist </w:t>
      </w:r>
      <w:r w:rsidR="00823382" w:rsidRPr="008A4C62">
        <w:rPr>
          <w:color w:val="000000"/>
          <w:sz w:val="20"/>
          <w:szCs w:val="20"/>
        </w:rPr>
        <w:t>attacks</w:t>
      </w:r>
      <w:r w:rsidR="00E37529" w:rsidRPr="008A4C62">
        <w:rPr>
          <w:color w:val="000000"/>
          <w:sz w:val="20"/>
          <w:szCs w:val="20"/>
        </w:rPr>
        <w:t xml:space="preserve"> </w:t>
      </w:r>
      <w:r w:rsidRPr="008A4C62">
        <w:rPr>
          <w:color w:val="000000"/>
          <w:sz w:val="20"/>
          <w:szCs w:val="20"/>
        </w:rPr>
        <w:t>by</w:t>
      </w:r>
      <w:r w:rsidR="00E37529" w:rsidRPr="008A4C62">
        <w:rPr>
          <w:color w:val="000000"/>
          <w:sz w:val="20"/>
          <w:szCs w:val="20"/>
        </w:rPr>
        <w:t xml:space="preserve"> extremist groups</w:t>
      </w:r>
      <w:r w:rsidR="00FE2972" w:rsidRPr="008A4C62">
        <w:rPr>
          <w:color w:val="000000"/>
          <w:sz w:val="20"/>
          <w:szCs w:val="20"/>
        </w:rPr>
        <w:t xml:space="preserve">. </w:t>
      </w:r>
      <w:r w:rsidR="00311DEE" w:rsidRPr="008A4C62">
        <w:rPr>
          <w:color w:val="000000"/>
          <w:sz w:val="20"/>
          <w:szCs w:val="20"/>
        </w:rPr>
        <w:t>M</w:t>
      </w:r>
      <w:r w:rsidR="00724197" w:rsidRPr="008A4C62">
        <w:rPr>
          <w:color w:val="000000"/>
          <w:sz w:val="20"/>
          <w:szCs w:val="20"/>
        </w:rPr>
        <w:t xml:space="preserve">ost </w:t>
      </w:r>
      <w:r w:rsidR="00FE2972" w:rsidRPr="008A4C62">
        <w:rPr>
          <w:color w:val="000000"/>
          <w:sz w:val="20"/>
          <w:szCs w:val="20"/>
        </w:rPr>
        <w:t xml:space="preserve">are </w:t>
      </w:r>
      <w:r w:rsidR="003606C8" w:rsidRPr="008A4C62">
        <w:rPr>
          <w:color w:val="000000"/>
          <w:sz w:val="20"/>
          <w:szCs w:val="20"/>
        </w:rPr>
        <w:t>concentrated</w:t>
      </w:r>
      <w:r w:rsidR="00A065D9" w:rsidRPr="008A4C62">
        <w:rPr>
          <w:color w:val="000000"/>
          <w:sz w:val="20"/>
          <w:szCs w:val="20"/>
        </w:rPr>
        <w:t xml:space="preserve"> </w:t>
      </w:r>
      <w:r w:rsidR="00541FEE" w:rsidRPr="008A4C62">
        <w:rPr>
          <w:color w:val="000000"/>
          <w:sz w:val="20"/>
          <w:szCs w:val="20"/>
        </w:rPr>
        <w:t xml:space="preserve">in </w:t>
      </w:r>
      <w:r w:rsidRPr="008A4C62">
        <w:rPr>
          <w:color w:val="000000"/>
          <w:sz w:val="20"/>
          <w:szCs w:val="20"/>
        </w:rPr>
        <w:t xml:space="preserve">the </w:t>
      </w:r>
      <w:r w:rsidR="00541FEE" w:rsidRPr="008A4C62">
        <w:rPr>
          <w:color w:val="000000"/>
          <w:sz w:val="20"/>
          <w:szCs w:val="20"/>
        </w:rPr>
        <w:t>North</w:t>
      </w:r>
      <w:r w:rsidR="00724197" w:rsidRPr="008A4C62">
        <w:rPr>
          <w:color w:val="000000"/>
          <w:sz w:val="20"/>
          <w:szCs w:val="20"/>
        </w:rPr>
        <w:t xml:space="preserve"> and Sahel region</w:t>
      </w:r>
      <w:r w:rsidR="00700E81" w:rsidRPr="008A4C62">
        <w:rPr>
          <w:color w:val="000000"/>
          <w:sz w:val="20"/>
          <w:szCs w:val="20"/>
        </w:rPr>
        <w:t>s</w:t>
      </w:r>
      <w:r w:rsidR="00541FEE" w:rsidRPr="008A4C62">
        <w:rPr>
          <w:color w:val="000000"/>
          <w:sz w:val="20"/>
          <w:szCs w:val="20"/>
        </w:rPr>
        <w:t>,</w:t>
      </w:r>
      <w:r w:rsidR="00A065D9" w:rsidRPr="008A4C62">
        <w:rPr>
          <w:color w:val="000000"/>
          <w:sz w:val="20"/>
          <w:szCs w:val="20"/>
        </w:rPr>
        <w:t xml:space="preserve"> </w:t>
      </w:r>
      <w:r w:rsidR="003606C8" w:rsidRPr="008A4C62">
        <w:rPr>
          <w:color w:val="000000"/>
          <w:sz w:val="20"/>
          <w:szCs w:val="20"/>
        </w:rPr>
        <w:t xml:space="preserve">and </w:t>
      </w:r>
      <w:r w:rsidRPr="008A4C62">
        <w:rPr>
          <w:color w:val="000000"/>
          <w:sz w:val="20"/>
          <w:szCs w:val="20"/>
        </w:rPr>
        <w:t xml:space="preserve">in </w:t>
      </w:r>
      <w:r w:rsidR="00E37529" w:rsidRPr="008A4C62">
        <w:rPr>
          <w:color w:val="000000"/>
          <w:sz w:val="20"/>
          <w:szCs w:val="20"/>
        </w:rPr>
        <w:t>areas bordering Mali and Niger</w:t>
      </w:r>
      <w:r w:rsidRPr="008A4C62">
        <w:rPr>
          <w:color w:val="000000"/>
          <w:sz w:val="20"/>
          <w:szCs w:val="20"/>
        </w:rPr>
        <w:t xml:space="preserve">. A few attacks </w:t>
      </w:r>
      <w:r w:rsidR="0056625C">
        <w:rPr>
          <w:color w:val="000000"/>
          <w:sz w:val="20"/>
          <w:szCs w:val="20"/>
        </w:rPr>
        <w:t>took place</w:t>
      </w:r>
      <w:r w:rsidR="00616F33" w:rsidRPr="008A4C62">
        <w:rPr>
          <w:color w:val="000000"/>
          <w:sz w:val="20"/>
          <w:szCs w:val="20"/>
        </w:rPr>
        <w:t xml:space="preserve"> in the capital</w:t>
      </w:r>
      <w:r w:rsidR="003606C8" w:rsidRPr="008A4C62">
        <w:rPr>
          <w:color w:val="000000"/>
          <w:sz w:val="20"/>
          <w:szCs w:val="20"/>
        </w:rPr>
        <w:t xml:space="preserve">. </w:t>
      </w:r>
      <w:r w:rsidR="006A674B" w:rsidRPr="008A4C62">
        <w:rPr>
          <w:color w:val="000000"/>
          <w:sz w:val="20"/>
          <w:szCs w:val="20"/>
        </w:rPr>
        <w:t>All</w:t>
      </w:r>
      <w:r w:rsidR="003606C8" w:rsidRPr="008A4C62">
        <w:rPr>
          <w:color w:val="000000"/>
          <w:sz w:val="20"/>
          <w:szCs w:val="20"/>
        </w:rPr>
        <w:t xml:space="preserve"> </w:t>
      </w:r>
      <w:r w:rsidR="00823382" w:rsidRPr="008A4C62">
        <w:rPr>
          <w:color w:val="000000"/>
          <w:sz w:val="20"/>
          <w:szCs w:val="20"/>
        </w:rPr>
        <w:t xml:space="preserve">expose </w:t>
      </w:r>
      <w:r w:rsidR="006A674B" w:rsidRPr="008A4C62">
        <w:rPr>
          <w:color w:val="000000"/>
          <w:sz w:val="20"/>
          <w:szCs w:val="20"/>
        </w:rPr>
        <w:t xml:space="preserve">how vulnerable </w:t>
      </w:r>
      <w:r w:rsidR="00823382" w:rsidRPr="008A4C62">
        <w:rPr>
          <w:color w:val="000000"/>
          <w:sz w:val="20"/>
          <w:szCs w:val="20"/>
        </w:rPr>
        <w:t>Burkina Faso</w:t>
      </w:r>
      <w:r w:rsidR="006A674B" w:rsidRPr="008A4C62">
        <w:rPr>
          <w:color w:val="000000"/>
          <w:sz w:val="20"/>
          <w:szCs w:val="20"/>
        </w:rPr>
        <w:t xml:space="preserve"> is </w:t>
      </w:r>
      <w:r w:rsidR="006B3060" w:rsidRPr="008A4C62">
        <w:rPr>
          <w:color w:val="000000"/>
          <w:sz w:val="20"/>
          <w:szCs w:val="20"/>
        </w:rPr>
        <w:t xml:space="preserve">to </w:t>
      </w:r>
      <w:r w:rsidR="00A065D9" w:rsidRPr="008A4C62">
        <w:rPr>
          <w:color w:val="000000"/>
          <w:sz w:val="20"/>
          <w:szCs w:val="20"/>
        </w:rPr>
        <w:t xml:space="preserve">the </w:t>
      </w:r>
      <w:r w:rsidR="00E33D64" w:rsidRPr="008A4C62">
        <w:rPr>
          <w:color w:val="000000"/>
          <w:sz w:val="20"/>
          <w:szCs w:val="20"/>
        </w:rPr>
        <w:t>effects</w:t>
      </w:r>
      <w:r w:rsidR="006A674B" w:rsidRPr="008A4C62">
        <w:rPr>
          <w:color w:val="000000"/>
          <w:sz w:val="20"/>
          <w:szCs w:val="20"/>
        </w:rPr>
        <w:t xml:space="preserve"> </w:t>
      </w:r>
      <w:r w:rsidR="006B3060" w:rsidRPr="008A4C62">
        <w:rPr>
          <w:color w:val="000000"/>
          <w:sz w:val="20"/>
          <w:szCs w:val="20"/>
        </w:rPr>
        <w:t xml:space="preserve">of the </w:t>
      </w:r>
      <w:r w:rsidR="00E33D64" w:rsidRPr="008A4C62">
        <w:rPr>
          <w:color w:val="000000"/>
          <w:sz w:val="20"/>
          <w:szCs w:val="20"/>
        </w:rPr>
        <w:t xml:space="preserve">Malian </w:t>
      </w:r>
      <w:r w:rsidR="00885BA8" w:rsidRPr="008A4C62">
        <w:rPr>
          <w:color w:val="000000"/>
          <w:sz w:val="20"/>
          <w:szCs w:val="20"/>
        </w:rPr>
        <w:t>crisis</w:t>
      </w:r>
      <w:r w:rsidR="0056625C">
        <w:rPr>
          <w:color w:val="000000"/>
          <w:sz w:val="20"/>
          <w:szCs w:val="20"/>
        </w:rPr>
        <w:t>,</w:t>
      </w:r>
      <w:r w:rsidR="00885BA8" w:rsidRPr="008A4C62">
        <w:rPr>
          <w:color w:val="000000"/>
          <w:sz w:val="20"/>
          <w:szCs w:val="20"/>
        </w:rPr>
        <w:t xml:space="preserve"> </w:t>
      </w:r>
      <w:r w:rsidR="00B73D76" w:rsidRPr="008A4C62">
        <w:rPr>
          <w:color w:val="000000"/>
          <w:sz w:val="20"/>
          <w:szCs w:val="20"/>
        </w:rPr>
        <w:t>and the</w:t>
      </w:r>
      <w:r w:rsidR="00C85593" w:rsidRPr="008A4C62">
        <w:rPr>
          <w:color w:val="000000"/>
          <w:sz w:val="20"/>
          <w:szCs w:val="20"/>
        </w:rPr>
        <w:t xml:space="preserve"> need for</w:t>
      </w:r>
      <w:r w:rsidR="00E33D64" w:rsidRPr="008A4C62">
        <w:rPr>
          <w:color w:val="000000"/>
          <w:sz w:val="20"/>
          <w:szCs w:val="20"/>
        </w:rPr>
        <w:t>:</w:t>
      </w:r>
      <w:r w:rsidR="00C85593" w:rsidRPr="008A4C62">
        <w:rPr>
          <w:color w:val="000000"/>
          <w:sz w:val="20"/>
          <w:szCs w:val="20"/>
        </w:rPr>
        <w:t xml:space="preserve"> </w:t>
      </w:r>
      <w:r w:rsidR="00B73D76" w:rsidRPr="008A4C62">
        <w:rPr>
          <w:color w:val="000000"/>
          <w:sz w:val="20"/>
          <w:szCs w:val="20"/>
        </w:rPr>
        <w:t xml:space="preserve">i) </w:t>
      </w:r>
      <w:r w:rsidR="007D6003" w:rsidRPr="008A4C62">
        <w:rPr>
          <w:color w:val="000000"/>
          <w:sz w:val="20"/>
          <w:szCs w:val="20"/>
        </w:rPr>
        <w:t xml:space="preserve">an immediate review of the </w:t>
      </w:r>
      <w:r w:rsidR="00C85593" w:rsidRPr="008A4C62">
        <w:rPr>
          <w:color w:val="000000"/>
          <w:sz w:val="20"/>
          <w:szCs w:val="20"/>
        </w:rPr>
        <w:t xml:space="preserve">security strategy to </w:t>
      </w:r>
      <w:r w:rsidR="00E33D64" w:rsidRPr="008A4C62">
        <w:rPr>
          <w:color w:val="000000"/>
          <w:sz w:val="20"/>
          <w:szCs w:val="20"/>
        </w:rPr>
        <w:t xml:space="preserve">better prepare </w:t>
      </w:r>
      <w:r w:rsidR="00B45F1D" w:rsidRPr="008A4C62">
        <w:rPr>
          <w:color w:val="000000"/>
          <w:sz w:val="20"/>
          <w:szCs w:val="20"/>
        </w:rPr>
        <w:t xml:space="preserve">the sector </w:t>
      </w:r>
      <w:r w:rsidR="00E33D64" w:rsidRPr="008A4C62">
        <w:rPr>
          <w:color w:val="000000"/>
          <w:sz w:val="20"/>
          <w:szCs w:val="20"/>
        </w:rPr>
        <w:t xml:space="preserve">for </w:t>
      </w:r>
      <w:r w:rsidR="00B73D76" w:rsidRPr="008A4C62">
        <w:rPr>
          <w:color w:val="000000"/>
          <w:sz w:val="20"/>
          <w:szCs w:val="20"/>
        </w:rPr>
        <w:t>new threats</w:t>
      </w:r>
      <w:r w:rsidR="00E33D64" w:rsidRPr="008A4C62">
        <w:rPr>
          <w:color w:val="000000"/>
          <w:sz w:val="20"/>
          <w:szCs w:val="20"/>
        </w:rPr>
        <w:t>,</w:t>
      </w:r>
      <w:r w:rsidR="00B73D76" w:rsidRPr="008A4C62">
        <w:rPr>
          <w:color w:val="000000"/>
          <w:sz w:val="20"/>
          <w:szCs w:val="20"/>
        </w:rPr>
        <w:t xml:space="preserve"> ii)</w:t>
      </w:r>
      <w:r w:rsidR="00F5788B" w:rsidRPr="008A4C62">
        <w:rPr>
          <w:color w:val="000000"/>
          <w:sz w:val="20"/>
          <w:szCs w:val="20"/>
        </w:rPr>
        <w:t xml:space="preserve"> </w:t>
      </w:r>
      <w:r w:rsidR="00B73D76" w:rsidRPr="008A4C62">
        <w:rPr>
          <w:color w:val="000000"/>
          <w:sz w:val="20"/>
          <w:szCs w:val="20"/>
        </w:rPr>
        <w:t>providing</w:t>
      </w:r>
      <w:r w:rsidR="00F5788B" w:rsidRPr="008A4C62">
        <w:rPr>
          <w:color w:val="000000"/>
          <w:sz w:val="20"/>
          <w:szCs w:val="20"/>
        </w:rPr>
        <w:t xml:space="preserve"> </w:t>
      </w:r>
      <w:r w:rsidR="00E33D64" w:rsidRPr="008A4C62">
        <w:rPr>
          <w:color w:val="000000"/>
          <w:sz w:val="20"/>
          <w:szCs w:val="20"/>
        </w:rPr>
        <w:t xml:space="preserve">those working in </w:t>
      </w:r>
      <w:r w:rsidR="00F5788B" w:rsidRPr="008A4C62">
        <w:rPr>
          <w:color w:val="000000"/>
          <w:sz w:val="20"/>
          <w:szCs w:val="20"/>
        </w:rPr>
        <w:t>security with</w:t>
      </w:r>
      <w:r w:rsidR="00C55E0F" w:rsidRPr="008A4C62">
        <w:rPr>
          <w:color w:val="000000"/>
          <w:sz w:val="20"/>
          <w:szCs w:val="20"/>
        </w:rPr>
        <w:t xml:space="preserve"> new knowledge</w:t>
      </w:r>
      <w:r w:rsidR="00F5788B" w:rsidRPr="008A4C62">
        <w:rPr>
          <w:color w:val="000000"/>
          <w:sz w:val="20"/>
          <w:szCs w:val="20"/>
        </w:rPr>
        <w:t xml:space="preserve"> and training </w:t>
      </w:r>
      <w:r w:rsidR="00E33D64" w:rsidRPr="008A4C62">
        <w:rPr>
          <w:color w:val="000000"/>
          <w:sz w:val="20"/>
          <w:szCs w:val="20"/>
        </w:rPr>
        <w:t xml:space="preserve">that is </w:t>
      </w:r>
      <w:r w:rsidR="00F5788B" w:rsidRPr="008A4C62">
        <w:rPr>
          <w:color w:val="000000"/>
          <w:sz w:val="20"/>
          <w:szCs w:val="20"/>
        </w:rPr>
        <w:t xml:space="preserve">aligned to the </w:t>
      </w:r>
      <w:r w:rsidR="00E33D64" w:rsidRPr="008A4C62">
        <w:rPr>
          <w:color w:val="000000"/>
          <w:sz w:val="20"/>
          <w:szCs w:val="20"/>
        </w:rPr>
        <w:t xml:space="preserve">evolving </w:t>
      </w:r>
      <w:r w:rsidR="00F5788B" w:rsidRPr="008A4C62">
        <w:rPr>
          <w:color w:val="000000"/>
          <w:sz w:val="20"/>
          <w:szCs w:val="20"/>
        </w:rPr>
        <w:t>context</w:t>
      </w:r>
      <w:r w:rsidR="00E33D64" w:rsidRPr="008A4C62">
        <w:rPr>
          <w:color w:val="000000"/>
          <w:sz w:val="20"/>
          <w:szCs w:val="20"/>
        </w:rPr>
        <w:t>,</w:t>
      </w:r>
      <w:r w:rsidR="00F5788B" w:rsidRPr="008A4C62">
        <w:rPr>
          <w:color w:val="000000"/>
          <w:sz w:val="20"/>
          <w:szCs w:val="20"/>
        </w:rPr>
        <w:t xml:space="preserve"> and </w:t>
      </w:r>
      <w:r w:rsidR="00913C52" w:rsidRPr="008A4C62">
        <w:rPr>
          <w:color w:val="000000"/>
          <w:sz w:val="20"/>
          <w:szCs w:val="20"/>
        </w:rPr>
        <w:t>iii</w:t>
      </w:r>
      <w:r w:rsidR="00844F04" w:rsidRPr="008A4C62">
        <w:rPr>
          <w:color w:val="000000"/>
          <w:sz w:val="20"/>
          <w:szCs w:val="20"/>
        </w:rPr>
        <w:t xml:space="preserve">) </w:t>
      </w:r>
      <w:r w:rsidR="00F5788B" w:rsidRPr="008A4C62">
        <w:rPr>
          <w:color w:val="000000"/>
          <w:sz w:val="20"/>
          <w:szCs w:val="20"/>
        </w:rPr>
        <w:t xml:space="preserve">ensuring that governance </w:t>
      </w:r>
      <w:r w:rsidR="00E33D64" w:rsidRPr="008A4C62">
        <w:rPr>
          <w:color w:val="000000"/>
          <w:sz w:val="20"/>
          <w:szCs w:val="20"/>
        </w:rPr>
        <w:t xml:space="preserve">in </w:t>
      </w:r>
      <w:r w:rsidR="00F5788B" w:rsidRPr="008A4C62">
        <w:rPr>
          <w:color w:val="000000"/>
          <w:sz w:val="20"/>
          <w:szCs w:val="20"/>
        </w:rPr>
        <w:t xml:space="preserve">the sector is consistent with the principles of efficiency and democratic control as adopted by </w:t>
      </w:r>
      <w:r w:rsidR="002F57E3" w:rsidRPr="008A4C62">
        <w:rPr>
          <w:color w:val="000000"/>
          <w:sz w:val="20"/>
          <w:szCs w:val="20"/>
        </w:rPr>
        <w:t>Economic Community of West African States (ECOWAS)</w:t>
      </w:r>
      <w:r w:rsidR="00F5788B" w:rsidRPr="008A4C62">
        <w:rPr>
          <w:color w:val="000000"/>
          <w:sz w:val="20"/>
          <w:szCs w:val="20"/>
        </w:rPr>
        <w:t>, A</w:t>
      </w:r>
      <w:r w:rsidR="00E33D64" w:rsidRPr="008A4C62">
        <w:rPr>
          <w:color w:val="000000"/>
          <w:sz w:val="20"/>
          <w:szCs w:val="20"/>
        </w:rPr>
        <w:t xml:space="preserve">frican </w:t>
      </w:r>
      <w:r w:rsidR="00F5788B" w:rsidRPr="008A4C62">
        <w:rPr>
          <w:color w:val="000000"/>
          <w:sz w:val="20"/>
          <w:szCs w:val="20"/>
        </w:rPr>
        <w:t>U</w:t>
      </w:r>
      <w:r w:rsidR="00E33D64" w:rsidRPr="008A4C62">
        <w:rPr>
          <w:color w:val="000000"/>
          <w:sz w:val="20"/>
          <w:szCs w:val="20"/>
        </w:rPr>
        <w:t>nion,</w:t>
      </w:r>
      <w:r w:rsidR="00F5788B" w:rsidRPr="008A4C62">
        <w:rPr>
          <w:color w:val="000000"/>
          <w:sz w:val="20"/>
          <w:szCs w:val="20"/>
        </w:rPr>
        <w:t xml:space="preserve"> and the U</w:t>
      </w:r>
      <w:r w:rsidR="00E33D64" w:rsidRPr="008A4C62">
        <w:rPr>
          <w:color w:val="000000"/>
          <w:sz w:val="20"/>
          <w:szCs w:val="20"/>
        </w:rPr>
        <w:t xml:space="preserve">nited </w:t>
      </w:r>
      <w:r w:rsidR="00F5788B" w:rsidRPr="008A4C62">
        <w:rPr>
          <w:color w:val="000000"/>
          <w:sz w:val="20"/>
          <w:szCs w:val="20"/>
        </w:rPr>
        <w:t>N</w:t>
      </w:r>
      <w:r w:rsidR="00E33D64" w:rsidRPr="008A4C62">
        <w:rPr>
          <w:color w:val="000000"/>
          <w:sz w:val="20"/>
          <w:szCs w:val="20"/>
        </w:rPr>
        <w:t>ations</w:t>
      </w:r>
      <w:r w:rsidR="00F5788B" w:rsidRPr="008A4C62">
        <w:rPr>
          <w:color w:val="000000"/>
          <w:sz w:val="20"/>
          <w:szCs w:val="20"/>
        </w:rPr>
        <w:t xml:space="preserve">. The </w:t>
      </w:r>
      <w:r w:rsidR="00E33D64" w:rsidRPr="008A4C62">
        <w:rPr>
          <w:color w:val="000000"/>
          <w:sz w:val="20"/>
          <w:szCs w:val="20"/>
        </w:rPr>
        <w:t>situation</w:t>
      </w:r>
      <w:r w:rsidR="00BE5ECD" w:rsidRPr="008A4C62">
        <w:rPr>
          <w:color w:val="000000"/>
          <w:sz w:val="20"/>
          <w:szCs w:val="20"/>
        </w:rPr>
        <w:t xml:space="preserve"> </w:t>
      </w:r>
      <w:r w:rsidR="00F111BD" w:rsidRPr="008A4C62">
        <w:rPr>
          <w:color w:val="000000"/>
          <w:sz w:val="20"/>
          <w:szCs w:val="20"/>
        </w:rPr>
        <w:t>calls for</w:t>
      </w:r>
      <w:r w:rsidR="005736DF" w:rsidRPr="008A4C62">
        <w:rPr>
          <w:color w:val="000000"/>
          <w:sz w:val="20"/>
          <w:szCs w:val="20"/>
        </w:rPr>
        <w:t xml:space="preserve"> greater</w:t>
      </w:r>
      <w:r w:rsidR="00C26870" w:rsidRPr="008A4C62">
        <w:rPr>
          <w:color w:val="000000"/>
          <w:sz w:val="20"/>
          <w:szCs w:val="20"/>
        </w:rPr>
        <w:t xml:space="preserve"> </w:t>
      </w:r>
      <w:r w:rsidR="00F5788B" w:rsidRPr="008A4C62">
        <w:rPr>
          <w:color w:val="000000"/>
          <w:sz w:val="20"/>
          <w:szCs w:val="20"/>
        </w:rPr>
        <w:t>state presence</w:t>
      </w:r>
      <w:r w:rsidR="00400B9B" w:rsidRPr="008A4C62">
        <w:rPr>
          <w:color w:val="000000"/>
          <w:sz w:val="20"/>
          <w:szCs w:val="20"/>
        </w:rPr>
        <w:t>,</w:t>
      </w:r>
      <w:r w:rsidR="00005EF7" w:rsidRPr="008A4C62">
        <w:rPr>
          <w:color w:val="000000"/>
          <w:sz w:val="20"/>
          <w:szCs w:val="20"/>
        </w:rPr>
        <w:t xml:space="preserve"> </w:t>
      </w:r>
      <w:r w:rsidR="000E3E0D" w:rsidRPr="008A4C62">
        <w:rPr>
          <w:color w:val="000000"/>
          <w:sz w:val="20"/>
          <w:szCs w:val="20"/>
        </w:rPr>
        <w:t>including</w:t>
      </w:r>
      <w:r w:rsidR="00005EF7" w:rsidRPr="008A4C62">
        <w:rPr>
          <w:color w:val="000000"/>
          <w:sz w:val="20"/>
          <w:szCs w:val="20"/>
        </w:rPr>
        <w:t xml:space="preserve"> </w:t>
      </w:r>
      <w:r w:rsidR="00E33D64" w:rsidRPr="008A4C62">
        <w:rPr>
          <w:color w:val="000000"/>
          <w:sz w:val="20"/>
          <w:szCs w:val="20"/>
        </w:rPr>
        <w:t xml:space="preserve">the </w:t>
      </w:r>
      <w:r w:rsidR="005A4198" w:rsidRPr="008A4C62">
        <w:rPr>
          <w:color w:val="000000"/>
          <w:sz w:val="20"/>
          <w:szCs w:val="20"/>
        </w:rPr>
        <w:t xml:space="preserve">immediate </w:t>
      </w:r>
      <w:r w:rsidR="00C26870" w:rsidRPr="008A4C62">
        <w:rPr>
          <w:color w:val="000000"/>
          <w:sz w:val="20"/>
          <w:szCs w:val="20"/>
        </w:rPr>
        <w:t>provision of</w:t>
      </w:r>
      <w:r w:rsidR="00F5788B" w:rsidRPr="008A4C62">
        <w:rPr>
          <w:color w:val="000000"/>
          <w:sz w:val="20"/>
          <w:szCs w:val="20"/>
        </w:rPr>
        <w:t xml:space="preserve"> basic social services to border communities</w:t>
      </w:r>
      <w:r w:rsidR="005736DF" w:rsidRPr="008A4C62">
        <w:rPr>
          <w:color w:val="000000"/>
          <w:sz w:val="20"/>
          <w:szCs w:val="20"/>
        </w:rPr>
        <w:t>,</w:t>
      </w:r>
      <w:r w:rsidR="003A0694" w:rsidRPr="008A4C62">
        <w:rPr>
          <w:color w:val="000000"/>
          <w:sz w:val="20"/>
          <w:szCs w:val="20"/>
        </w:rPr>
        <w:t xml:space="preserve"> </w:t>
      </w:r>
      <w:r w:rsidR="00E672AA" w:rsidRPr="008A4C62">
        <w:rPr>
          <w:color w:val="000000"/>
          <w:sz w:val="20"/>
          <w:szCs w:val="20"/>
        </w:rPr>
        <w:t>which traditionally have lower human development levels</w:t>
      </w:r>
      <w:r w:rsidR="005736DF" w:rsidRPr="008A4C62">
        <w:rPr>
          <w:color w:val="000000"/>
          <w:sz w:val="20"/>
          <w:szCs w:val="20"/>
        </w:rPr>
        <w:t>,</w:t>
      </w:r>
      <w:r w:rsidR="00E672AA" w:rsidRPr="008A4C62">
        <w:rPr>
          <w:color w:val="000000"/>
          <w:sz w:val="20"/>
          <w:szCs w:val="20"/>
        </w:rPr>
        <w:t xml:space="preserve"> </w:t>
      </w:r>
      <w:r w:rsidR="00423A84" w:rsidRPr="008A4C62">
        <w:rPr>
          <w:color w:val="000000"/>
          <w:sz w:val="20"/>
          <w:szCs w:val="20"/>
        </w:rPr>
        <w:t>to</w:t>
      </w:r>
      <w:r w:rsidR="003A0694" w:rsidRPr="008A4C62">
        <w:rPr>
          <w:color w:val="000000"/>
          <w:sz w:val="20"/>
          <w:szCs w:val="20"/>
        </w:rPr>
        <w:t xml:space="preserve"> </w:t>
      </w:r>
      <w:r w:rsidR="000E3E0D" w:rsidRPr="008A4C62">
        <w:rPr>
          <w:color w:val="000000"/>
          <w:sz w:val="20"/>
          <w:szCs w:val="20"/>
        </w:rPr>
        <w:t>prevent and mitiga</w:t>
      </w:r>
      <w:r w:rsidR="00423A84" w:rsidRPr="008A4C62">
        <w:rPr>
          <w:color w:val="000000"/>
          <w:sz w:val="20"/>
          <w:szCs w:val="20"/>
        </w:rPr>
        <w:t>te</w:t>
      </w:r>
      <w:r w:rsidR="001E4AB6">
        <w:rPr>
          <w:color w:val="000000"/>
          <w:sz w:val="20"/>
          <w:szCs w:val="20"/>
        </w:rPr>
        <w:t xml:space="preserve"> the</w:t>
      </w:r>
      <w:r w:rsidR="000E3E0D" w:rsidRPr="008A4C62">
        <w:rPr>
          <w:color w:val="000000"/>
          <w:sz w:val="20"/>
          <w:szCs w:val="20"/>
        </w:rPr>
        <w:t xml:space="preserve"> </w:t>
      </w:r>
      <w:r w:rsidR="00950FC5" w:rsidRPr="008A4C62">
        <w:rPr>
          <w:color w:val="000000"/>
          <w:sz w:val="20"/>
          <w:szCs w:val="20"/>
        </w:rPr>
        <w:t>risk</w:t>
      </w:r>
      <w:r w:rsidR="00F5788B" w:rsidRPr="008A4C62">
        <w:rPr>
          <w:color w:val="000000"/>
          <w:sz w:val="20"/>
          <w:szCs w:val="20"/>
        </w:rPr>
        <w:t xml:space="preserve"> of youth</w:t>
      </w:r>
      <w:r w:rsidR="00E33D64" w:rsidRPr="008A4C62">
        <w:rPr>
          <w:color w:val="000000"/>
          <w:sz w:val="20"/>
          <w:szCs w:val="20"/>
        </w:rPr>
        <w:t xml:space="preserve"> being exposed</w:t>
      </w:r>
      <w:r w:rsidR="00F5788B" w:rsidRPr="008A4C62">
        <w:rPr>
          <w:color w:val="000000"/>
          <w:sz w:val="20"/>
          <w:szCs w:val="20"/>
        </w:rPr>
        <w:t xml:space="preserve"> to religious extremism.</w:t>
      </w:r>
      <w:r w:rsidR="00423A84" w:rsidRPr="008A4C62">
        <w:rPr>
          <w:color w:val="000000"/>
          <w:sz w:val="20"/>
          <w:szCs w:val="20"/>
        </w:rPr>
        <w:t xml:space="preserve"> </w:t>
      </w:r>
      <w:r w:rsidR="00435D30" w:rsidRPr="008A4C62">
        <w:rPr>
          <w:color w:val="000000"/>
          <w:sz w:val="20"/>
          <w:szCs w:val="20"/>
        </w:rPr>
        <w:t xml:space="preserve">In </w:t>
      </w:r>
      <w:r w:rsidR="00E33D64" w:rsidRPr="008A4C62">
        <w:rPr>
          <w:color w:val="000000"/>
          <w:sz w:val="20"/>
          <w:szCs w:val="20"/>
        </w:rPr>
        <w:t>March 2016</w:t>
      </w:r>
      <w:r w:rsidR="00435D30" w:rsidRPr="008A4C62">
        <w:rPr>
          <w:color w:val="000000"/>
          <w:sz w:val="20"/>
          <w:szCs w:val="20"/>
        </w:rPr>
        <w:t>, a</w:t>
      </w:r>
      <w:r w:rsidR="00E33D64" w:rsidRPr="008A4C62">
        <w:rPr>
          <w:color w:val="000000"/>
          <w:sz w:val="20"/>
          <w:szCs w:val="20"/>
        </w:rPr>
        <w:t xml:space="preserve"> </w:t>
      </w:r>
      <w:r w:rsidR="002E7642" w:rsidRPr="008A4C62">
        <w:rPr>
          <w:color w:val="000000"/>
          <w:sz w:val="20"/>
          <w:szCs w:val="20"/>
        </w:rPr>
        <w:t>U</w:t>
      </w:r>
      <w:r w:rsidR="00E33D64" w:rsidRPr="008A4C62">
        <w:rPr>
          <w:color w:val="000000"/>
          <w:sz w:val="20"/>
          <w:szCs w:val="20"/>
        </w:rPr>
        <w:t xml:space="preserve">nited </w:t>
      </w:r>
      <w:r w:rsidR="002E7642" w:rsidRPr="008A4C62">
        <w:rPr>
          <w:color w:val="000000"/>
          <w:sz w:val="20"/>
          <w:szCs w:val="20"/>
        </w:rPr>
        <w:t>N</w:t>
      </w:r>
      <w:r w:rsidR="00E33D64" w:rsidRPr="008A4C62">
        <w:rPr>
          <w:color w:val="000000"/>
          <w:sz w:val="20"/>
          <w:szCs w:val="20"/>
        </w:rPr>
        <w:t xml:space="preserve">ations, </w:t>
      </w:r>
      <w:r w:rsidR="002E7642" w:rsidRPr="008A4C62">
        <w:rPr>
          <w:color w:val="000000"/>
          <w:sz w:val="20"/>
          <w:szCs w:val="20"/>
        </w:rPr>
        <w:t>government</w:t>
      </w:r>
      <w:r w:rsidR="00E33D64" w:rsidRPr="008A4C62">
        <w:rPr>
          <w:color w:val="000000"/>
          <w:sz w:val="20"/>
          <w:szCs w:val="20"/>
        </w:rPr>
        <w:t xml:space="preserve">, and </w:t>
      </w:r>
      <w:r w:rsidR="00FF077F" w:rsidRPr="008A4C62">
        <w:rPr>
          <w:color w:val="000000"/>
          <w:sz w:val="20"/>
          <w:szCs w:val="20"/>
        </w:rPr>
        <w:t xml:space="preserve">development partner </w:t>
      </w:r>
      <w:r w:rsidR="002E7642" w:rsidRPr="008A4C62">
        <w:rPr>
          <w:color w:val="000000"/>
          <w:sz w:val="20"/>
          <w:szCs w:val="20"/>
        </w:rPr>
        <w:t xml:space="preserve">assessment </w:t>
      </w:r>
      <w:r w:rsidR="00435D30" w:rsidRPr="008A4C62">
        <w:rPr>
          <w:color w:val="000000"/>
          <w:sz w:val="20"/>
          <w:szCs w:val="20"/>
        </w:rPr>
        <w:t xml:space="preserve">was </w:t>
      </w:r>
      <w:r w:rsidR="002E7642" w:rsidRPr="008A4C62">
        <w:rPr>
          <w:color w:val="000000"/>
          <w:sz w:val="20"/>
          <w:szCs w:val="20"/>
        </w:rPr>
        <w:t xml:space="preserve">carried out </w:t>
      </w:r>
      <w:r w:rsidR="006D7D83" w:rsidRPr="008A4C62">
        <w:rPr>
          <w:color w:val="000000"/>
          <w:sz w:val="20"/>
          <w:szCs w:val="20"/>
        </w:rPr>
        <w:t xml:space="preserve">in </w:t>
      </w:r>
      <w:r w:rsidR="00046F1C" w:rsidRPr="008A4C62">
        <w:rPr>
          <w:color w:val="000000"/>
          <w:sz w:val="20"/>
          <w:szCs w:val="20"/>
        </w:rPr>
        <w:t>provinces</w:t>
      </w:r>
      <w:r w:rsidR="00E33D64" w:rsidRPr="008A4C62">
        <w:rPr>
          <w:color w:val="000000"/>
          <w:sz w:val="20"/>
          <w:szCs w:val="20"/>
        </w:rPr>
        <w:t xml:space="preserve"> </w:t>
      </w:r>
      <w:r w:rsidR="00435D30" w:rsidRPr="008A4C62">
        <w:rPr>
          <w:color w:val="000000"/>
          <w:sz w:val="20"/>
          <w:szCs w:val="20"/>
        </w:rPr>
        <w:t>affected</w:t>
      </w:r>
      <w:r w:rsidR="00046F1C" w:rsidRPr="008A4C62">
        <w:rPr>
          <w:color w:val="000000"/>
          <w:sz w:val="20"/>
          <w:szCs w:val="20"/>
        </w:rPr>
        <w:t xml:space="preserve"> by the attacks</w:t>
      </w:r>
      <w:r w:rsidR="00435D30" w:rsidRPr="008A4C62">
        <w:rPr>
          <w:color w:val="000000"/>
          <w:sz w:val="20"/>
          <w:szCs w:val="20"/>
        </w:rPr>
        <w:t>. It</w:t>
      </w:r>
      <w:r w:rsidR="00046F1C" w:rsidRPr="008A4C62">
        <w:rPr>
          <w:color w:val="000000"/>
          <w:sz w:val="20"/>
          <w:szCs w:val="20"/>
        </w:rPr>
        <w:t xml:space="preserve"> </w:t>
      </w:r>
      <w:r w:rsidR="00FF077F" w:rsidRPr="008A4C62">
        <w:rPr>
          <w:color w:val="000000"/>
          <w:sz w:val="20"/>
          <w:szCs w:val="20"/>
        </w:rPr>
        <w:t>recommended measures be</w:t>
      </w:r>
      <w:r w:rsidR="00F5788B" w:rsidRPr="008A4C62">
        <w:rPr>
          <w:color w:val="000000"/>
          <w:sz w:val="20"/>
          <w:szCs w:val="20"/>
        </w:rPr>
        <w:t xml:space="preserve"> taken to </w:t>
      </w:r>
      <w:r w:rsidR="00B87F6D" w:rsidRPr="008A4C62">
        <w:rPr>
          <w:color w:val="000000"/>
          <w:sz w:val="20"/>
          <w:szCs w:val="20"/>
        </w:rPr>
        <w:t>promote social cohesion</w:t>
      </w:r>
      <w:r w:rsidR="00F5788B" w:rsidRPr="008A4C62">
        <w:rPr>
          <w:color w:val="000000"/>
          <w:sz w:val="20"/>
          <w:szCs w:val="20"/>
        </w:rPr>
        <w:t xml:space="preserve"> between local populations and refugees from Mali, </w:t>
      </w:r>
      <w:r w:rsidR="00E33D64" w:rsidRPr="008A4C62">
        <w:rPr>
          <w:color w:val="000000"/>
          <w:sz w:val="20"/>
          <w:szCs w:val="20"/>
        </w:rPr>
        <w:t xml:space="preserve">as well as </w:t>
      </w:r>
      <w:r w:rsidR="00F5788B" w:rsidRPr="008A4C62">
        <w:rPr>
          <w:color w:val="000000"/>
          <w:sz w:val="20"/>
          <w:szCs w:val="20"/>
        </w:rPr>
        <w:t>mining companies</w:t>
      </w:r>
      <w:r w:rsidR="00E33D64" w:rsidRPr="008A4C62">
        <w:rPr>
          <w:color w:val="000000"/>
          <w:sz w:val="20"/>
          <w:szCs w:val="20"/>
        </w:rPr>
        <w:t xml:space="preserve"> that </w:t>
      </w:r>
      <w:r w:rsidR="00F5788B" w:rsidRPr="008A4C62">
        <w:rPr>
          <w:color w:val="000000"/>
          <w:sz w:val="20"/>
          <w:szCs w:val="20"/>
        </w:rPr>
        <w:t>disregard</w:t>
      </w:r>
      <w:r w:rsidR="00E672AA" w:rsidRPr="008A4C62">
        <w:rPr>
          <w:color w:val="000000"/>
          <w:sz w:val="20"/>
          <w:szCs w:val="20"/>
        </w:rPr>
        <w:t>ed</w:t>
      </w:r>
      <w:r w:rsidR="00F5788B" w:rsidRPr="008A4C62">
        <w:rPr>
          <w:color w:val="000000"/>
          <w:sz w:val="20"/>
          <w:szCs w:val="20"/>
        </w:rPr>
        <w:t xml:space="preserve"> social </w:t>
      </w:r>
      <w:r w:rsidR="00D741BA" w:rsidRPr="008A4C62">
        <w:rPr>
          <w:color w:val="000000"/>
          <w:sz w:val="20"/>
          <w:szCs w:val="20"/>
        </w:rPr>
        <w:t>responsibilit</w:t>
      </w:r>
      <w:r w:rsidR="00E33D64" w:rsidRPr="008A4C62">
        <w:rPr>
          <w:color w:val="000000"/>
          <w:sz w:val="20"/>
          <w:szCs w:val="20"/>
        </w:rPr>
        <w:t>ies</w:t>
      </w:r>
      <w:r w:rsidR="00E672AA" w:rsidRPr="008A4C62">
        <w:rPr>
          <w:color w:val="000000"/>
          <w:sz w:val="20"/>
          <w:szCs w:val="20"/>
        </w:rPr>
        <w:t xml:space="preserve"> </w:t>
      </w:r>
      <w:r w:rsidR="00E33D64" w:rsidRPr="008A4C62">
        <w:rPr>
          <w:color w:val="000000"/>
          <w:sz w:val="20"/>
          <w:szCs w:val="20"/>
        </w:rPr>
        <w:t>to</w:t>
      </w:r>
      <w:r w:rsidR="00E672AA" w:rsidRPr="008A4C62">
        <w:rPr>
          <w:color w:val="000000"/>
          <w:sz w:val="20"/>
          <w:szCs w:val="20"/>
        </w:rPr>
        <w:t xml:space="preserve"> local populations</w:t>
      </w:r>
      <w:r w:rsidR="00D741BA" w:rsidRPr="008A4C62">
        <w:rPr>
          <w:color w:val="000000"/>
          <w:sz w:val="20"/>
          <w:szCs w:val="20"/>
        </w:rPr>
        <w:t>.</w:t>
      </w:r>
      <w:r w:rsidR="00CE3E0B" w:rsidRPr="008A4C62">
        <w:rPr>
          <w:color w:val="000000"/>
          <w:sz w:val="20"/>
          <w:szCs w:val="20"/>
        </w:rPr>
        <w:t xml:space="preserve">  </w:t>
      </w:r>
    </w:p>
    <w:p w14:paraId="469031BA" w14:textId="0F3F37A0" w:rsidR="00783BBA" w:rsidRPr="006F767C" w:rsidRDefault="00F5788B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t>D</w:t>
      </w:r>
      <w:r w:rsidR="0079642E" w:rsidRPr="006F767C">
        <w:rPr>
          <w:color w:val="000000"/>
          <w:sz w:val="20"/>
          <w:szCs w:val="20"/>
        </w:rPr>
        <w:t>espite efforts made by authorities</w:t>
      </w:r>
      <w:r w:rsidR="00E33D64" w:rsidRPr="006F767C">
        <w:rPr>
          <w:color w:val="000000"/>
          <w:sz w:val="20"/>
          <w:szCs w:val="20"/>
        </w:rPr>
        <w:t>,</w:t>
      </w:r>
      <w:r w:rsidR="0079642E" w:rsidRPr="006F767C">
        <w:rPr>
          <w:color w:val="000000"/>
          <w:sz w:val="20"/>
          <w:szCs w:val="20"/>
        </w:rPr>
        <w:t xml:space="preserve"> and </w:t>
      </w:r>
      <w:r w:rsidR="00E33D64" w:rsidRPr="006F767C">
        <w:rPr>
          <w:color w:val="000000"/>
          <w:sz w:val="20"/>
          <w:szCs w:val="20"/>
        </w:rPr>
        <w:t xml:space="preserve">a </w:t>
      </w:r>
      <w:r w:rsidR="0079642E" w:rsidRPr="006F767C">
        <w:rPr>
          <w:color w:val="000000"/>
          <w:sz w:val="20"/>
          <w:szCs w:val="20"/>
        </w:rPr>
        <w:t>legislative environment</w:t>
      </w:r>
      <w:r w:rsidR="00E33D64" w:rsidRPr="006F767C">
        <w:rPr>
          <w:color w:val="000000"/>
          <w:sz w:val="20"/>
          <w:szCs w:val="20"/>
        </w:rPr>
        <w:t xml:space="preserve"> conducive</w:t>
      </w:r>
      <w:r w:rsidR="0079642E" w:rsidRPr="006F767C">
        <w:rPr>
          <w:color w:val="000000"/>
          <w:sz w:val="20"/>
          <w:szCs w:val="20"/>
        </w:rPr>
        <w:t xml:space="preserve"> for the empowerment of women, </w:t>
      </w:r>
      <w:r w:rsidR="009C051B" w:rsidRPr="006F767C">
        <w:rPr>
          <w:color w:val="000000"/>
          <w:sz w:val="20"/>
          <w:szCs w:val="20"/>
        </w:rPr>
        <w:t>socio-cultural norms</w:t>
      </w:r>
      <w:r w:rsidR="001D13BB" w:rsidRPr="006F767C">
        <w:rPr>
          <w:color w:val="000000"/>
          <w:sz w:val="20"/>
          <w:szCs w:val="20"/>
        </w:rPr>
        <w:t xml:space="preserve"> reinforce </w:t>
      </w:r>
      <w:r w:rsidR="003442DB" w:rsidRPr="006F767C">
        <w:rPr>
          <w:color w:val="000000"/>
          <w:sz w:val="20"/>
          <w:szCs w:val="20"/>
        </w:rPr>
        <w:t xml:space="preserve">gender inequalities </w:t>
      </w:r>
      <w:r w:rsidR="00220C49" w:rsidRPr="006F767C">
        <w:rPr>
          <w:color w:val="000000"/>
          <w:sz w:val="20"/>
          <w:szCs w:val="20"/>
        </w:rPr>
        <w:t>and</w:t>
      </w:r>
      <w:r w:rsidR="003442DB" w:rsidRPr="006F767C">
        <w:rPr>
          <w:color w:val="000000"/>
          <w:sz w:val="20"/>
          <w:szCs w:val="20"/>
        </w:rPr>
        <w:t xml:space="preserve"> drive</w:t>
      </w:r>
      <w:r w:rsidR="00220C49" w:rsidRPr="006F767C">
        <w:rPr>
          <w:color w:val="000000"/>
          <w:sz w:val="20"/>
          <w:szCs w:val="20"/>
        </w:rPr>
        <w:t xml:space="preserve"> investment decisions</w:t>
      </w:r>
      <w:r w:rsidR="0079642E" w:rsidRPr="006F767C">
        <w:rPr>
          <w:color w:val="000000"/>
          <w:sz w:val="20"/>
          <w:szCs w:val="20"/>
        </w:rPr>
        <w:t xml:space="preserve"> </w:t>
      </w:r>
      <w:r w:rsidR="003442DB" w:rsidRPr="006F767C">
        <w:rPr>
          <w:color w:val="000000"/>
          <w:sz w:val="20"/>
          <w:szCs w:val="20"/>
        </w:rPr>
        <w:t xml:space="preserve">in favor of </w:t>
      </w:r>
      <w:r w:rsidR="00374685" w:rsidRPr="006F767C">
        <w:rPr>
          <w:color w:val="000000"/>
          <w:sz w:val="20"/>
          <w:szCs w:val="20"/>
        </w:rPr>
        <w:t>men</w:t>
      </w:r>
      <w:r w:rsidR="0079642E" w:rsidRPr="006F767C">
        <w:rPr>
          <w:color w:val="000000"/>
          <w:sz w:val="20"/>
          <w:szCs w:val="20"/>
        </w:rPr>
        <w:t xml:space="preserve">. </w:t>
      </w:r>
      <w:r w:rsidR="00052D73" w:rsidRPr="006F767C">
        <w:rPr>
          <w:color w:val="000000"/>
          <w:sz w:val="20"/>
          <w:szCs w:val="20"/>
        </w:rPr>
        <w:t>Wom</w:t>
      </w:r>
      <w:r w:rsidR="003B0EEC" w:rsidRPr="006F767C">
        <w:rPr>
          <w:color w:val="000000"/>
          <w:sz w:val="20"/>
          <w:szCs w:val="20"/>
        </w:rPr>
        <w:t>en</w:t>
      </w:r>
      <w:r w:rsidR="00CD1EAD" w:rsidRPr="006F767C">
        <w:rPr>
          <w:color w:val="000000"/>
          <w:sz w:val="20"/>
          <w:szCs w:val="20"/>
        </w:rPr>
        <w:t xml:space="preserve"> represent 52</w:t>
      </w:r>
      <w:r w:rsidR="00E33D64" w:rsidRPr="006F767C">
        <w:rPr>
          <w:color w:val="000000"/>
          <w:sz w:val="20"/>
          <w:szCs w:val="20"/>
        </w:rPr>
        <w:t xml:space="preserve"> per cent</w:t>
      </w:r>
      <w:r w:rsidR="00CD1EAD" w:rsidRPr="006F767C">
        <w:rPr>
          <w:color w:val="000000"/>
          <w:sz w:val="20"/>
          <w:szCs w:val="20"/>
        </w:rPr>
        <w:t xml:space="preserve"> of the</w:t>
      </w:r>
      <w:r w:rsidR="00790D97" w:rsidRPr="006F767C">
        <w:rPr>
          <w:color w:val="000000"/>
          <w:sz w:val="20"/>
          <w:szCs w:val="20"/>
        </w:rPr>
        <w:t xml:space="preserve"> population</w:t>
      </w:r>
      <w:r w:rsidR="00790D97" w:rsidRPr="006F767C">
        <w:rPr>
          <w:color w:val="000000"/>
          <w:sz w:val="20"/>
          <w:szCs w:val="20"/>
          <w:vertAlign w:val="superscript"/>
        </w:rPr>
        <w:footnoteReference w:id="5"/>
      </w:r>
      <w:r w:rsidR="0079642E" w:rsidRPr="006F767C">
        <w:rPr>
          <w:color w:val="000000"/>
          <w:sz w:val="20"/>
          <w:szCs w:val="20"/>
        </w:rPr>
        <w:t xml:space="preserve"> </w:t>
      </w:r>
      <w:r w:rsidR="00E33D64" w:rsidRPr="006F767C">
        <w:rPr>
          <w:color w:val="000000"/>
          <w:sz w:val="20"/>
          <w:szCs w:val="20"/>
        </w:rPr>
        <w:t xml:space="preserve">but only </w:t>
      </w:r>
      <w:r w:rsidR="006924AD" w:rsidRPr="006F767C">
        <w:rPr>
          <w:color w:val="000000"/>
          <w:sz w:val="20"/>
          <w:szCs w:val="20"/>
        </w:rPr>
        <w:t>account</w:t>
      </w:r>
      <w:r w:rsidR="00556F72" w:rsidRPr="006F767C">
        <w:rPr>
          <w:color w:val="000000"/>
          <w:sz w:val="20"/>
          <w:szCs w:val="20"/>
        </w:rPr>
        <w:t xml:space="preserve"> </w:t>
      </w:r>
      <w:r w:rsidR="006924AD" w:rsidRPr="006F767C">
        <w:rPr>
          <w:color w:val="000000"/>
          <w:sz w:val="20"/>
          <w:szCs w:val="20"/>
        </w:rPr>
        <w:t>for 24.2</w:t>
      </w:r>
      <w:r w:rsidR="00E33D64" w:rsidRPr="006F767C">
        <w:rPr>
          <w:color w:val="000000"/>
          <w:sz w:val="20"/>
          <w:szCs w:val="20"/>
        </w:rPr>
        <w:t xml:space="preserve"> per cent</w:t>
      </w:r>
      <w:r w:rsidR="006924AD" w:rsidRPr="006F767C">
        <w:rPr>
          <w:color w:val="000000"/>
          <w:sz w:val="20"/>
          <w:szCs w:val="20"/>
        </w:rPr>
        <w:t xml:space="preserve"> of the workforce in </w:t>
      </w:r>
      <w:r w:rsidR="00E33D64" w:rsidRPr="006F767C">
        <w:rPr>
          <w:color w:val="000000"/>
          <w:sz w:val="20"/>
          <w:szCs w:val="20"/>
        </w:rPr>
        <w:t xml:space="preserve">the </w:t>
      </w:r>
      <w:r w:rsidR="006924AD" w:rsidRPr="006F767C">
        <w:rPr>
          <w:color w:val="000000"/>
          <w:sz w:val="20"/>
          <w:szCs w:val="20"/>
        </w:rPr>
        <w:t>public and formal private sectors.</w:t>
      </w:r>
      <w:r w:rsidR="006924AD" w:rsidRPr="006F767C">
        <w:rPr>
          <w:sz w:val="20"/>
          <w:szCs w:val="20"/>
          <w:vertAlign w:val="superscript"/>
        </w:rPr>
        <w:footnoteReference w:id="6"/>
      </w:r>
      <w:r w:rsidR="001E23BA" w:rsidRPr="006F767C">
        <w:rPr>
          <w:color w:val="000000"/>
          <w:sz w:val="20"/>
          <w:szCs w:val="20"/>
          <w:vertAlign w:val="superscript"/>
        </w:rPr>
        <w:t xml:space="preserve"> </w:t>
      </w:r>
      <w:r w:rsidR="007D6840" w:rsidRPr="006F767C">
        <w:rPr>
          <w:color w:val="000000"/>
          <w:sz w:val="20"/>
          <w:szCs w:val="20"/>
        </w:rPr>
        <w:t xml:space="preserve">The country was ranked 123 out of 144 countries in the 2016 Global Gender Gap Index. </w:t>
      </w:r>
      <w:r w:rsidR="00A5338C" w:rsidRPr="006F767C">
        <w:rPr>
          <w:color w:val="000000"/>
          <w:sz w:val="20"/>
          <w:szCs w:val="20"/>
        </w:rPr>
        <w:t>T</w:t>
      </w:r>
      <w:r w:rsidR="003442DB" w:rsidRPr="006F767C">
        <w:rPr>
          <w:color w:val="000000"/>
          <w:sz w:val="20"/>
          <w:szCs w:val="20"/>
        </w:rPr>
        <w:t xml:space="preserve">he </w:t>
      </w:r>
      <w:r w:rsidR="00215466" w:rsidRPr="006F767C">
        <w:rPr>
          <w:color w:val="000000"/>
          <w:sz w:val="20"/>
          <w:szCs w:val="20"/>
        </w:rPr>
        <w:t>absence of instruments and</w:t>
      </w:r>
      <w:r w:rsidR="00C012C5" w:rsidRPr="006F767C">
        <w:rPr>
          <w:color w:val="000000"/>
          <w:sz w:val="20"/>
          <w:szCs w:val="20"/>
        </w:rPr>
        <w:t xml:space="preserve"> measures </w:t>
      </w:r>
      <w:r w:rsidR="00E360FC" w:rsidRPr="006F767C">
        <w:rPr>
          <w:color w:val="000000"/>
          <w:sz w:val="20"/>
          <w:szCs w:val="20"/>
        </w:rPr>
        <w:t>to incentivize the application of the law on gender</w:t>
      </w:r>
      <w:r w:rsidR="00357508" w:rsidRPr="006F767C">
        <w:rPr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  <w:r w:rsidR="001E4AB6">
        <w:rPr>
          <w:color w:val="000000"/>
          <w:sz w:val="20"/>
          <w:szCs w:val="20"/>
        </w:rPr>
        <w:t xml:space="preserve">equality </w:t>
      </w:r>
      <w:r w:rsidR="00E33D64" w:rsidRPr="006F767C">
        <w:rPr>
          <w:color w:val="000000"/>
          <w:sz w:val="20"/>
          <w:szCs w:val="20"/>
        </w:rPr>
        <w:t>preserves</w:t>
      </w:r>
      <w:r w:rsidR="001D13BB" w:rsidRPr="006F767C">
        <w:rPr>
          <w:color w:val="000000"/>
          <w:sz w:val="20"/>
          <w:szCs w:val="20"/>
        </w:rPr>
        <w:t xml:space="preserve"> the status quo</w:t>
      </w:r>
      <w:r w:rsidR="00E360FC" w:rsidRPr="006F767C">
        <w:rPr>
          <w:color w:val="000000"/>
          <w:sz w:val="20"/>
          <w:szCs w:val="20"/>
        </w:rPr>
        <w:t>.</w:t>
      </w:r>
    </w:p>
    <w:p w14:paraId="24D08716" w14:textId="77777777" w:rsidR="00E33D64" w:rsidRPr="006F767C" w:rsidRDefault="00E33D64" w:rsidP="00E33D64">
      <w:pPr>
        <w:pStyle w:val="ListParagraph"/>
        <w:tabs>
          <w:tab w:val="left" w:pos="1530"/>
        </w:tabs>
        <w:ind w:left="1170"/>
        <w:jc w:val="both"/>
        <w:rPr>
          <w:color w:val="000000"/>
          <w:sz w:val="20"/>
          <w:szCs w:val="20"/>
        </w:rPr>
      </w:pPr>
    </w:p>
    <w:p w14:paraId="6EDB1AA6" w14:textId="37F530A9" w:rsidR="00783BBA" w:rsidRPr="006F767C" w:rsidRDefault="003C521C" w:rsidP="00F95CAC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lastRenderedPageBreak/>
        <w:t xml:space="preserve">The 2016–2020 </w:t>
      </w:r>
      <w:r w:rsidR="003828EC" w:rsidRPr="006F767C">
        <w:rPr>
          <w:color w:val="000000"/>
          <w:sz w:val="20"/>
          <w:szCs w:val="20"/>
        </w:rPr>
        <w:t>NESDP</w:t>
      </w:r>
      <w:r w:rsidRPr="006F767C">
        <w:rPr>
          <w:color w:val="000000"/>
          <w:sz w:val="20"/>
          <w:szCs w:val="20"/>
        </w:rPr>
        <w:t xml:space="preserve"> estimates that approximately 20</w:t>
      </w:r>
      <w:r w:rsidR="00E33D64" w:rsidRPr="006F767C">
        <w:rPr>
          <w:color w:val="000000"/>
          <w:sz w:val="20"/>
          <w:szCs w:val="20"/>
        </w:rPr>
        <w:t xml:space="preserve"> per cent</w:t>
      </w:r>
      <w:r w:rsidRPr="006F767C">
        <w:rPr>
          <w:color w:val="000000"/>
          <w:sz w:val="20"/>
          <w:szCs w:val="20"/>
        </w:rPr>
        <w:t xml:space="preserve"> of the population </w:t>
      </w:r>
      <w:r w:rsidR="00501A81">
        <w:rPr>
          <w:color w:val="000000"/>
          <w:sz w:val="20"/>
          <w:szCs w:val="20"/>
        </w:rPr>
        <w:t>suffer from food insecurity</w:t>
      </w:r>
      <w:r w:rsidR="00945E9C" w:rsidRPr="006F767C">
        <w:rPr>
          <w:color w:val="000000"/>
          <w:sz w:val="20"/>
          <w:szCs w:val="20"/>
        </w:rPr>
        <w:t xml:space="preserve">. </w:t>
      </w:r>
      <w:r w:rsidR="00E33D64" w:rsidRPr="006F767C">
        <w:rPr>
          <w:color w:val="000000"/>
          <w:sz w:val="20"/>
          <w:szCs w:val="20"/>
        </w:rPr>
        <w:t>Dated</w:t>
      </w:r>
      <w:r w:rsidRPr="006F767C">
        <w:rPr>
          <w:color w:val="000000"/>
          <w:sz w:val="20"/>
          <w:szCs w:val="20"/>
        </w:rPr>
        <w:t xml:space="preserve"> agricultural practices (</w:t>
      </w:r>
      <w:r w:rsidR="00E33D64" w:rsidRPr="006F767C">
        <w:rPr>
          <w:color w:val="000000"/>
          <w:sz w:val="20"/>
          <w:szCs w:val="20"/>
        </w:rPr>
        <w:t xml:space="preserve">e.g. </w:t>
      </w:r>
      <w:r w:rsidRPr="006F767C">
        <w:rPr>
          <w:color w:val="000000"/>
          <w:sz w:val="20"/>
          <w:szCs w:val="20"/>
        </w:rPr>
        <w:t>clear</w:t>
      </w:r>
      <w:r w:rsidR="00E33D64" w:rsidRPr="006F767C">
        <w:rPr>
          <w:color w:val="000000"/>
          <w:sz w:val="20"/>
          <w:szCs w:val="20"/>
        </w:rPr>
        <w:t xml:space="preserve">ing </w:t>
      </w:r>
      <w:r w:rsidRPr="006F767C">
        <w:rPr>
          <w:color w:val="000000"/>
          <w:sz w:val="20"/>
          <w:szCs w:val="20"/>
        </w:rPr>
        <w:t>new land, use of fertilizers and pesticides, brush fires)</w:t>
      </w:r>
      <w:r w:rsidR="00223824" w:rsidRPr="006F767C">
        <w:rPr>
          <w:color w:val="000000"/>
          <w:sz w:val="20"/>
          <w:szCs w:val="20"/>
        </w:rPr>
        <w:t xml:space="preserve"> </w:t>
      </w:r>
      <w:r w:rsidR="00585D8E" w:rsidRPr="006F767C">
        <w:rPr>
          <w:color w:val="000000"/>
          <w:sz w:val="20"/>
          <w:szCs w:val="20"/>
        </w:rPr>
        <w:t>contribute</w:t>
      </w:r>
      <w:r w:rsidR="005C3972" w:rsidRPr="006F767C">
        <w:rPr>
          <w:color w:val="000000"/>
          <w:sz w:val="20"/>
          <w:szCs w:val="20"/>
        </w:rPr>
        <w:t xml:space="preserve"> to land and soil erosion</w:t>
      </w:r>
      <w:r w:rsidR="00363ED0" w:rsidRPr="006F767C">
        <w:rPr>
          <w:color w:val="000000"/>
          <w:sz w:val="20"/>
          <w:szCs w:val="20"/>
        </w:rPr>
        <w:t xml:space="preserve">, and the </w:t>
      </w:r>
      <w:r w:rsidR="005C3972" w:rsidRPr="006F767C">
        <w:rPr>
          <w:color w:val="000000"/>
          <w:sz w:val="20"/>
          <w:szCs w:val="20"/>
        </w:rPr>
        <w:t>d</w:t>
      </w:r>
      <w:r w:rsidR="00DB24CB" w:rsidRPr="006F767C">
        <w:rPr>
          <w:color w:val="000000"/>
          <w:sz w:val="20"/>
          <w:szCs w:val="20"/>
        </w:rPr>
        <w:t xml:space="preserve">epletion of </w:t>
      </w:r>
      <w:r w:rsidR="00945E9C" w:rsidRPr="006F767C">
        <w:rPr>
          <w:color w:val="000000"/>
          <w:sz w:val="20"/>
          <w:szCs w:val="20"/>
        </w:rPr>
        <w:t>water resources</w:t>
      </w:r>
      <w:r w:rsidR="004E4C8F" w:rsidRPr="006F767C">
        <w:rPr>
          <w:color w:val="000000"/>
          <w:sz w:val="20"/>
          <w:szCs w:val="20"/>
        </w:rPr>
        <w:t xml:space="preserve">. </w:t>
      </w:r>
      <w:r w:rsidR="005E3A2D" w:rsidRPr="006F767C">
        <w:rPr>
          <w:color w:val="000000"/>
          <w:sz w:val="20"/>
          <w:szCs w:val="20"/>
        </w:rPr>
        <w:t xml:space="preserve">The </w:t>
      </w:r>
      <w:r w:rsidR="007C6245" w:rsidRPr="006F767C">
        <w:rPr>
          <w:color w:val="000000"/>
          <w:sz w:val="20"/>
          <w:szCs w:val="20"/>
        </w:rPr>
        <w:t xml:space="preserve">socio-economic conditions </w:t>
      </w:r>
      <w:r w:rsidR="00817980" w:rsidRPr="006F767C">
        <w:rPr>
          <w:color w:val="000000"/>
          <w:sz w:val="20"/>
          <w:szCs w:val="20"/>
        </w:rPr>
        <w:t xml:space="preserve">of </w:t>
      </w:r>
      <w:r w:rsidR="00800C66" w:rsidRPr="006F767C">
        <w:rPr>
          <w:color w:val="000000"/>
          <w:sz w:val="20"/>
          <w:szCs w:val="20"/>
        </w:rPr>
        <w:t>close to 70</w:t>
      </w:r>
      <w:r w:rsidR="00E33D64" w:rsidRPr="006F767C">
        <w:rPr>
          <w:color w:val="000000"/>
          <w:sz w:val="20"/>
          <w:szCs w:val="20"/>
        </w:rPr>
        <w:t xml:space="preserve"> per cent</w:t>
      </w:r>
      <w:r w:rsidR="00800C66" w:rsidRPr="006F767C">
        <w:rPr>
          <w:color w:val="000000"/>
          <w:sz w:val="20"/>
          <w:szCs w:val="20"/>
        </w:rPr>
        <w:t xml:space="preserve"> of the country’s </w:t>
      </w:r>
      <w:r w:rsidR="00AE4425" w:rsidRPr="006F767C">
        <w:rPr>
          <w:color w:val="000000"/>
          <w:sz w:val="20"/>
          <w:szCs w:val="20"/>
        </w:rPr>
        <w:t>population,</w:t>
      </w:r>
      <w:r w:rsidR="00800C66" w:rsidRPr="006F767C">
        <w:rPr>
          <w:color w:val="000000"/>
          <w:sz w:val="20"/>
          <w:szCs w:val="20"/>
        </w:rPr>
        <w:t xml:space="preserve"> whose </w:t>
      </w:r>
      <w:r w:rsidR="007C6245" w:rsidRPr="006F767C">
        <w:rPr>
          <w:color w:val="000000"/>
          <w:sz w:val="20"/>
          <w:szCs w:val="20"/>
        </w:rPr>
        <w:t>live</w:t>
      </w:r>
      <w:r w:rsidR="0038556B" w:rsidRPr="006F767C">
        <w:rPr>
          <w:color w:val="000000"/>
          <w:sz w:val="20"/>
          <w:szCs w:val="20"/>
        </w:rPr>
        <w:t>lihood</w:t>
      </w:r>
      <w:r w:rsidR="00A22725" w:rsidRPr="006F767C">
        <w:rPr>
          <w:color w:val="000000"/>
          <w:sz w:val="20"/>
          <w:szCs w:val="20"/>
        </w:rPr>
        <w:t xml:space="preserve"> depends on agriculture</w:t>
      </w:r>
      <w:r w:rsidR="0038556B" w:rsidRPr="006F767C">
        <w:rPr>
          <w:color w:val="000000"/>
          <w:sz w:val="20"/>
          <w:szCs w:val="20"/>
        </w:rPr>
        <w:t>,</w:t>
      </w:r>
      <w:r w:rsidR="00A22725" w:rsidRPr="006F767C">
        <w:rPr>
          <w:color w:val="000000"/>
          <w:sz w:val="20"/>
          <w:szCs w:val="20"/>
        </w:rPr>
        <w:t xml:space="preserve"> </w:t>
      </w:r>
      <w:r w:rsidR="00BC21FE" w:rsidRPr="006F767C">
        <w:rPr>
          <w:color w:val="000000"/>
          <w:sz w:val="20"/>
          <w:szCs w:val="20"/>
        </w:rPr>
        <w:t xml:space="preserve">engage in unsustainable </w:t>
      </w:r>
      <w:r w:rsidR="005B59C7" w:rsidRPr="006F767C">
        <w:rPr>
          <w:color w:val="000000"/>
          <w:sz w:val="20"/>
          <w:szCs w:val="20"/>
        </w:rPr>
        <w:t xml:space="preserve">production </w:t>
      </w:r>
      <w:r w:rsidR="00BC21FE" w:rsidRPr="006F767C">
        <w:rPr>
          <w:color w:val="000000"/>
          <w:sz w:val="20"/>
          <w:szCs w:val="20"/>
        </w:rPr>
        <w:t>practices</w:t>
      </w:r>
      <w:r w:rsidR="0038556B" w:rsidRPr="006F767C">
        <w:rPr>
          <w:color w:val="000000"/>
          <w:sz w:val="20"/>
          <w:szCs w:val="20"/>
        </w:rPr>
        <w:t xml:space="preserve"> for subsistence</w:t>
      </w:r>
      <w:r w:rsidR="005736DF" w:rsidRPr="006F767C">
        <w:rPr>
          <w:color w:val="000000"/>
          <w:sz w:val="20"/>
          <w:szCs w:val="20"/>
        </w:rPr>
        <w:t xml:space="preserve"> and income-</w:t>
      </w:r>
      <w:r w:rsidR="00046877" w:rsidRPr="006F767C">
        <w:rPr>
          <w:color w:val="000000"/>
          <w:sz w:val="20"/>
          <w:szCs w:val="20"/>
        </w:rPr>
        <w:t>generating activities</w:t>
      </w:r>
      <w:r w:rsidR="00BC21FE" w:rsidRPr="006F767C">
        <w:rPr>
          <w:color w:val="000000"/>
          <w:sz w:val="20"/>
          <w:szCs w:val="20"/>
        </w:rPr>
        <w:t xml:space="preserve">. </w:t>
      </w:r>
      <w:r w:rsidR="00E1547B" w:rsidRPr="006F767C">
        <w:rPr>
          <w:color w:val="000000"/>
          <w:sz w:val="20"/>
          <w:szCs w:val="20"/>
        </w:rPr>
        <w:t>C</w:t>
      </w:r>
      <w:r w:rsidR="00185598" w:rsidRPr="006F767C">
        <w:rPr>
          <w:color w:val="000000"/>
          <w:sz w:val="20"/>
          <w:szCs w:val="20"/>
        </w:rPr>
        <w:t>ollective</w:t>
      </w:r>
      <w:r w:rsidR="00F8098C" w:rsidRPr="006F767C">
        <w:rPr>
          <w:color w:val="000000"/>
          <w:sz w:val="20"/>
          <w:szCs w:val="20"/>
        </w:rPr>
        <w:t xml:space="preserve"> and sustained</w:t>
      </w:r>
      <w:r w:rsidR="00C923CC" w:rsidRPr="006F767C">
        <w:rPr>
          <w:color w:val="000000"/>
          <w:sz w:val="20"/>
          <w:szCs w:val="20"/>
        </w:rPr>
        <w:t xml:space="preserve"> </w:t>
      </w:r>
      <w:r w:rsidR="00F8098C" w:rsidRPr="006F767C">
        <w:rPr>
          <w:color w:val="000000"/>
          <w:sz w:val="20"/>
          <w:szCs w:val="20"/>
        </w:rPr>
        <w:t>effort</w:t>
      </w:r>
      <w:r w:rsidR="00E33D64" w:rsidRPr="006F767C">
        <w:rPr>
          <w:color w:val="000000"/>
          <w:sz w:val="20"/>
          <w:szCs w:val="20"/>
        </w:rPr>
        <w:t>s</w:t>
      </w:r>
      <w:r w:rsidR="00F8098C" w:rsidRPr="006F767C">
        <w:rPr>
          <w:color w:val="000000"/>
          <w:sz w:val="20"/>
          <w:szCs w:val="20"/>
        </w:rPr>
        <w:t xml:space="preserve"> </w:t>
      </w:r>
      <w:r w:rsidR="00E33D64" w:rsidRPr="006F767C">
        <w:rPr>
          <w:color w:val="000000"/>
          <w:sz w:val="20"/>
          <w:szCs w:val="20"/>
        </w:rPr>
        <w:t xml:space="preserve">are </w:t>
      </w:r>
      <w:r w:rsidR="00BC21FE" w:rsidRPr="006F767C">
        <w:rPr>
          <w:color w:val="000000"/>
          <w:sz w:val="20"/>
          <w:szCs w:val="20"/>
        </w:rPr>
        <w:t xml:space="preserve">needed to </w:t>
      </w:r>
      <w:r w:rsidR="003142A3" w:rsidRPr="006F767C">
        <w:rPr>
          <w:color w:val="000000"/>
          <w:sz w:val="20"/>
          <w:szCs w:val="20"/>
        </w:rPr>
        <w:t>scale-</w:t>
      </w:r>
      <w:r w:rsidR="00C923CC" w:rsidRPr="006F767C">
        <w:rPr>
          <w:color w:val="000000"/>
          <w:sz w:val="20"/>
          <w:szCs w:val="20"/>
        </w:rPr>
        <w:t xml:space="preserve">up </w:t>
      </w:r>
      <w:r w:rsidR="005832A2" w:rsidRPr="006F767C">
        <w:rPr>
          <w:color w:val="000000"/>
          <w:sz w:val="20"/>
          <w:szCs w:val="20"/>
        </w:rPr>
        <w:t>adaptation practices</w:t>
      </w:r>
      <w:r w:rsidR="002A6409" w:rsidRPr="006F767C">
        <w:rPr>
          <w:color w:val="000000"/>
          <w:sz w:val="20"/>
          <w:szCs w:val="20"/>
        </w:rPr>
        <w:t xml:space="preserve"> that have </w:t>
      </w:r>
      <w:r w:rsidR="006E0B1F">
        <w:rPr>
          <w:color w:val="000000"/>
          <w:sz w:val="20"/>
          <w:szCs w:val="20"/>
        </w:rPr>
        <w:t>resulted from</w:t>
      </w:r>
      <w:r w:rsidR="00E33D64" w:rsidRPr="006F767C">
        <w:rPr>
          <w:color w:val="000000"/>
          <w:sz w:val="20"/>
          <w:szCs w:val="20"/>
        </w:rPr>
        <w:t xml:space="preserve"> </w:t>
      </w:r>
      <w:r w:rsidR="00D7527E" w:rsidRPr="006F767C">
        <w:rPr>
          <w:color w:val="000000"/>
          <w:sz w:val="20"/>
          <w:szCs w:val="20"/>
        </w:rPr>
        <w:t xml:space="preserve">bilateral </w:t>
      </w:r>
      <w:r w:rsidR="006E0B1F">
        <w:rPr>
          <w:color w:val="000000"/>
          <w:sz w:val="20"/>
          <w:szCs w:val="20"/>
        </w:rPr>
        <w:t>partner financing</w:t>
      </w:r>
      <w:r w:rsidR="00D7527E" w:rsidRPr="006F767C">
        <w:rPr>
          <w:color w:val="000000"/>
          <w:sz w:val="20"/>
          <w:szCs w:val="20"/>
        </w:rPr>
        <w:t>,</w:t>
      </w:r>
      <w:r w:rsidR="00C302EB" w:rsidRPr="006F767C">
        <w:rPr>
          <w:color w:val="000000"/>
          <w:sz w:val="20"/>
          <w:szCs w:val="20"/>
        </w:rPr>
        <w:t xml:space="preserve"> </w:t>
      </w:r>
      <w:r w:rsidR="00E60EC5" w:rsidRPr="006F767C">
        <w:rPr>
          <w:color w:val="000000"/>
          <w:sz w:val="20"/>
          <w:szCs w:val="20"/>
        </w:rPr>
        <w:t xml:space="preserve">and </w:t>
      </w:r>
      <w:r w:rsidR="002A6409" w:rsidRPr="006F767C">
        <w:rPr>
          <w:color w:val="000000"/>
          <w:sz w:val="20"/>
          <w:szCs w:val="20"/>
        </w:rPr>
        <w:t xml:space="preserve">Adaptation and Global Environment </w:t>
      </w:r>
      <w:r w:rsidR="005E3A2D" w:rsidRPr="006F767C">
        <w:rPr>
          <w:color w:val="000000"/>
          <w:sz w:val="20"/>
          <w:szCs w:val="20"/>
        </w:rPr>
        <w:t xml:space="preserve">Facility (GEF) </w:t>
      </w:r>
      <w:r w:rsidR="00D7527E" w:rsidRPr="006F767C">
        <w:rPr>
          <w:color w:val="000000"/>
          <w:sz w:val="20"/>
          <w:szCs w:val="20"/>
        </w:rPr>
        <w:t>funds</w:t>
      </w:r>
      <w:r w:rsidR="00E60EC5" w:rsidRPr="006F767C">
        <w:rPr>
          <w:color w:val="000000"/>
          <w:sz w:val="20"/>
          <w:szCs w:val="20"/>
        </w:rPr>
        <w:t>.</w:t>
      </w:r>
      <w:r w:rsidR="002A6409" w:rsidRPr="006F767C">
        <w:rPr>
          <w:color w:val="000000"/>
          <w:sz w:val="20"/>
          <w:szCs w:val="20"/>
        </w:rPr>
        <w:t xml:space="preserve"> </w:t>
      </w:r>
      <w:r w:rsidR="00E60EC5" w:rsidRPr="006F767C">
        <w:rPr>
          <w:color w:val="000000"/>
          <w:sz w:val="20"/>
          <w:szCs w:val="20"/>
        </w:rPr>
        <w:t>Doing so will</w:t>
      </w:r>
      <w:r w:rsidR="00BC21FE" w:rsidRPr="006F767C">
        <w:rPr>
          <w:color w:val="000000"/>
          <w:sz w:val="20"/>
          <w:szCs w:val="20"/>
        </w:rPr>
        <w:t xml:space="preserve"> support communities</w:t>
      </w:r>
      <w:r w:rsidR="00196C36" w:rsidRPr="006F767C">
        <w:rPr>
          <w:color w:val="000000"/>
          <w:sz w:val="20"/>
          <w:szCs w:val="20"/>
        </w:rPr>
        <w:t>, in particular women and youth,</w:t>
      </w:r>
      <w:r w:rsidR="00800C66" w:rsidRPr="006F767C">
        <w:rPr>
          <w:color w:val="000000"/>
          <w:sz w:val="20"/>
          <w:szCs w:val="20"/>
        </w:rPr>
        <w:t xml:space="preserve"> to be active</w:t>
      </w:r>
      <w:r w:rsidR="00871DF3" w:rsidRPr="006F767C">
        <w:rPr>
          <w:color w:val="000000"/>
          <w:sz w:val="20"/>
          <w:szCs w:val="20"/>
        </w:rPr>
        <w:t xml:space="preserve"> </w:t>
      </w:r>
      <w:r w:rsidR="00F8098C" w:rsidRPr="006F767C">
        <w:rPr>
          <w:color w:val="000000"/>
          <w:sz w:val="20"/>
          <w:szCs w:val="20"/>
        </w:rPr>
        <w:t>beneficiaries</w:t>
      </w:r>
      <w:r w:rsidR="00E60EC5" w:rsidRPr="006F767C">
        <w:rPr>
          <w:color w:val="000000"/>
          <w:sz w:val="20"/>
          <w:szCs w:val="20"/>
        </w:rPr>
        <w:t xml:space="preserve"> </w:t>
      </w:r>
      <w:r w:rsidR="00F8098C" w:rsidRPr="006F767C">
        <w:rPr>
          <w:color w:val="000000"/>
          <w:sz w:val="20"/>
          <w:szCs w:val="20"/>
        </w:rPr>
        <w:t xml:space="preserve">and </w:t>
      </w:r>
      <w:r w:rsidR="00E60EC5" w:rsidRPr="006F767C">
        <w:rPr>
          <w:color w:val="000000"/>
          <w:sz w:val="20"/>
          <w:szCs w:val="20"/>
        </w:rPr>
        <w:t xml:space="preserve">leaders </w:t>
      </w:r>
      <w:r w:rsidR="009E1668" w:rsidRPr="006F767C">
        <w:rPr>
          <w:color w:val="000000"/>
          <w:sz w:val="20"/>
          <w:szCs w:val="20"/>
        </w:rPr>
        <w:t xml:space="preserve">of </w:t>
      </w:r>
      <w:r w:rsidR="00800C66" w:rsidRPr="006F767C">
        <w:rPr>
          <w:color w:val="000000"/>
          <w:sz w:val="20"/>
          <w:szCs w:val="20"/>
        </w:rPr>
        <w:t xml:space="preserve">sustainable agro-silvo-pastoral </w:t>
      </w:r>
      <w:r w:rsidR="00CC6E45" w:rsidRPr="006F767C">
        <w:rPr>
          <w:color w:val="000000"/>
          <w:sz w:val="20"/>
          <w:szCs w:val="20"/>
        </w:rPr>
        <w:t xml:space="preserve">production </w:t>
      </w:r>
      <w:r w:rsidR="00800C66" w:rsidRPr="006F767C">
        <w:rPr>
          <w:color w:val="000000"/>
          <w:sz w:val="20"/>
          <w:szCs w:val="20"/>
        </w:rPr>
        <w:t>systems</w:t>
      </w:r>
      <w:r w:rsidR="002F57E3">
        <w:rPr>
          <w:rStyle w:val="FootnoteReference"/>
          <w:color w:val="000000"/>
          <w:sz w:val="20"/>
          <w:szCs w:val="20"/>
        </w:rPr>
        <w:footnoteReference w:id="7"/>
      </w:r>
      <w:r w:rsidR="00800C66" w:rsidRPr="006F767C">
        <w:rPr>
          <w:color w:val="000000"/>
          <w:sz w:val="20"/>
          <w:szCs w:val="20"/>
        </w:rPr>
        <w:t xml:space="preserve">. </w:t>
      </w:r>
    </w:p>
    <w:p w14:paraId="669A5354" w14:textId="3DE96B35" w:rsidR="00783BBA" w:rsidRPr="006F767C" w:rsidRDefault="00E60EC5" w:rsidP="00F95CAC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t xml:space="preserve">The population of </w:t>
      </w:r>
      <w:r w:rsidR="00800C66" w:rsidRPr="006F767C">
        <w:rPr>
          <w:color w:val="000000"/>
          <w:sz w:val="20"/>
          <w:szCs w:val="20"/>
        </w:rPr>
        <w:t xml:space="preserve">Burkina </w:t>
      </w:r>
      <w:r w:rsidR="00235209" w:rsidRPr="006F767C">
        <w:rPr>
          <w:color w:val="000000"/>
          <w:sz w:val="20"/>
          <w:szCs w:val="20"/>
        </w:rPr>
        <w:t>F</w:t>
      </w:r>
      <w:r w:rsidR="00800C66" w:rsidRPr="006F767C">
        <w:rPr>
          <w:color w:val="000000"/>
          <w:sz w:val="20"/>
          <w:szCs w:val="20"/>
        </w:rPr>
        <w:t>aso</w:t>
      </w:r>
      <w:r w:rsidR="00F00848" w:rsidRPr="006F767C">
        <w:rPr>
          <w:color w:val="000000"/>
          <w:sz w:val="20"/>
          <w:szCs w:val="20"/>
        </w:rPr>
        <w:t xml:space="preserve"> </w:t>
      </w:r>
      <w:r w:rsidRPr="006F767C">
        <w:rPr>
          <w:color w:val="000000"/>
          <w:sz w:val="20"/>
          <w:szCs w:val="20"/>
        </w:rPr>
        <w:t>is vulnerable</w:t>
      </w:r>
      <w:r w:rsidR="008B633C" w:rsidRPr="006F767C">
        <w:rPr>
          <w:color w:val="000000"/>
          <w:sz w:val="20"/>
          <w:szCs w:val="20"/>
        </w:rPr>
        <w:t xml:space="preserve"> to the triple threat of</w:t>
      </w:r>
      <w:r w:rsidRPr="006F767C">
        <w:rPr>
          <w:color w:val="000000"/>
          <w:sz w:val="20"/>
          <w:szCs w:val="20"/>
        </w:rPr>
        <w:t>:</w:t>
      </w:r>
      <w:r w:rsidR="008B633C" w:rsidRPr="006F767C">
        <w:rPr>
          <w:color w:val="000000"/>
          <w:sz w:val="20"/>
          <w:szCs w:val="20"/>
        </w:rPr>
        <w:t xml:space="preserve"> </w:t>
      </w:r>
      <w:r w:rsidR="00235209" w:rsidRPr="006F767C">
        <w:rPr>
          <w:color w:val="000000"/>
          <w:sz w:val="20"/>
          <w:szCs w:val="20"/>
        </w:rPr>
        <w:t xml:space="preserve">i) </w:t>
      </w:r>
      <w:r w:rsidR="00730ED5" w:rsidRPr="006F767C">
        <w:rPr>
          <w:color w:val="000000"/>
          <w:sz w:val="20"/>
          <w:szCs w:val="20"/>
        </w:rPr>
        <w:t xml:space="preserve">competition </w:t>
      </w:r>
      <w:r w:rsidR="00921D4F" w:rsidRPr="006F767C">
        <w:rPr>
          <w:color w:val="000000"/>
          <w:sz w:val="20"/>
          <w:szCs w:val="20"/>
        </w:rPr>
        <w:t>for land</w:t>
      </w:r>
      <w:r w:rsidR="000B5B52" w:rsidRPr="006F767C">
        <w:rPr>
          <w:color w:val="000000"/>
          <w:sz w:val="20"/>
          <w:szCs w:val="20"/>
        </w:rPr>
        <w:t>-</w:t>
      </w:r>
      <w:r w:rsidR="00921D4F" w:rsidRPr="006F767C">
        <w:rPr>
          <w:color w:val="000000"/>
          <w:sz w:val="20"/>
          <w:szCs w:val="20"/>
        </w:rPr>
        <w:t xml:space="preserve">use </w:t>
      </w:r>
      <w:r w:rsidR="00730ED5" w:rsidRPr="006F767C">
        <w:rPr>
          <w:color w:val="000000"/>
          <w:sz w:val="20"/>
          <w:szCs w:val="20"/>
        </w:rPr>
        <w:t xml:space="preserve">and </w:t>
      </w:r>
      <w:r w:rsidR="00235209" w:rsidRPr="006F767C">
        <w:rPr>
          <w:color w:val="000000"/>
          <w:sz w:val="20"/>
          <w:szCs w:val="20"/>
        </w:rPr>
        <w:t xml:space="preserve">potential </w:t>
      </w:r>
      <w:r w:rsidR="00730ED5" w:rsidRPr="006F767C">
        <w:rPr>
          <w:color w:val="000000"/>
          <w:sz w:val="20"/>
          <w:szCs w:val="20"/>
        </w:rPr>
        <w:t>conflict over access to natural resources</w:t>
      </w:r>
      <w:r w:rsidRPr="006F767C">
        <w:rPr>
          <w:color w:val="000000"/>
          <w:sz w:val="20"/>
          <w:szCs w:val="20"/>
        </w:rPr>
        <w:t>,</w:t>
      </w:r>
      <w:r w:rsidR="00730ED5" w:rsidRPr="006F767C">
        <w:rPr>
          <w:color w:val="000000"/>
          <w:sz w:val="20"/>
          <w:szCs w:val="20"/>
        </w:rPr>
        <w:t xml:space="preserve"> </w:t>
      </w:r>
      <w:r w:rsidR="005F5B0B" w:rsidRPr="006F767C">
        <w:rPr>
          <w:color w:val="000000"/>
          <w:sz w:val="20"/>
          <w:szCs w:val="20"/>
        </w:rPr>
        <w:t>i</w:t>
      </w:r>
      <w:r w:rsidR="00235209" w:rsidRPr="006F767C">
        <w:rPr>
          <w:color w:val="000000"/>
          <w:sz w:val="20"/>
          <w:szCs w:val="20"/>
        </w:rPr>
        <w:t>i) i</w:t>
      </w:r>
      <w:r w:rsidR="00730ED5" w:rsidRPr="006F767C">
        <w:rPr>
          <w:color w:val="000000"/>
          <w:sz w:val="20"/>
          <w:szCs w:val="20"/>
        </w:rPr>
        <w:t>nstability resulting from lack of employment opportunities for rural youth</w:t>
      </w:r>
      <w:r w:rsidRPr="006F767C">
        <w:rPr>
          <w:color w:val="000000"/>
          <w:sz w:val="20"/>
          <w:szCs w:val="20"/>
        </w:rPr>
        <w:t>,</w:t>
      </w:r>
      <w:r w:rsidR="00B92B40" w:rsidRPr="006F767C">
        <w:rPr>
          <w:color w:val="000000"/>
          <w:sz w:val="20"/>
          <w:szCs w:val="20"/>
        </w:rPr>
        <w:t xml:space="preserve"> and</w:t>
      </w:r>
      <w:r w:rsidR="00235209" w:rsidRPr="006F767C">
        <w:rPr>
          <w:color w:val="000000"/>
          <w:sz w:val="20"/>
          <w:szCs w:val="20"/>
        </w:rPr>
        <w:t xml:space="preserve"> iii) </w:t>
      </w:r>
      <w:r w:rsidRPr="006F767C">
        <w:rPr>
          <w:color w:val="000000"/>
          <w:sz w:val="20"/>
          <w:szCs w:val="20"/>
        </w:rPr>
        <w:t xml:space="preserve">the </w:t>
      </w:r>
      <w:r w:rsidR="00730ED5" w:rsidRPr="006F767C">
        <w:rPr>
          <w:color w:val="000000"/>
          <w:sz w:val="20"/>
          <w:szCs w:val="20"/>
        </w:rPr>
        <w:t xml:space="preserve">risk of </w:t>
      </w:r>
      <w:r w:rsidRPr="006F767C">
        <w:rPr>
          <w:color w:val="000000"/>
          <w:sz w:val="20"/>
          <w:szCs w:val="20"/>
        </w:rPr>
        <w:t xml:space="preserve">people being </w:t>
      </w:r>
      <w:r w:rsidR="00585AB3" w:rsidRPr="006F767C">
        <w:rPr>
          <w:color w:val="000000"/>
          <w:sz w:val="20"/>
          <w:szCs w:val="20"/>
        </w:rPr>
        <w:t>radicaliz</w:t>
      </w:r>
      <w:r w:rsidRPr="006F767C">
        <w:rPr>
          <w:color w:val="000000"/>
          <w:sz w:val="20"/>
          <w:szCs w:val="20"/>
        </w:rPr>
        <w:t xml:space="preserve">ed due to </w:t>
      </w:r>
      <w:r w:rsidR="00730ED5" w:rsidRPr="006F767C">
        <w:rPr>
          <w:color w:val="000000"/>
          <w:sz w:val="20"/>
          <w:szCs w:val="20"/>
        </w:rPr>
        <w:t xml:space="preserve">social and economic </w:t>
      </w:r>
      <w:r w:rsidR="00235209" w:rsidRPr="006F767C">
        <w:rPr>
          <w:color w:val="000000"/>
          <w:sz w:val="20"/>
          <w:szCs w:val="20"/>
        </w:rPr>
        <w:t>disenfranchisement</w:t>
      </w:r>
      <w:r w:rsidR="00730ED5" w:rsidRPr="006F767C">
        <w:rPr>
          <w:color w:val="000000"/>
          <w:sz w:val="20"/>
          <w:szCs w:val="20"/>
        </w:rPr>
        <w:t>.</w:t>
      </w:r>
      <w:r w:rsidR="00755614" w:rsidRPr="006F767C">
        <w:rPr>
          <w:color w:val="000000"/>
          <w:sz w:val="20"/>
          <w:szCs w:val="20"/>
        </w:rPr>
        <w:t xml:space="preserve"> </w:t>
      </w:r>
      <w:r w:rsidR="00052DFA">
        <w:rPr>
          <w:color w:val="000000"/>
          <w:sz w:val="20"/>
          <w:szCs w:val="20"/>
        </w:rPr>
        <w:t>L</w:t>
      </w:r>
      <w:r w:rsidR="00A77A3E" w:rsidRPr="006F767C">
        <w:rPr>
          <w:color w:val="000000"/>
          <w:sz w:val="20"/>
          <w:szCs w:val="20"/>
        </w:rPr>
        <w:t xml:space="preserve">imited </w:t>
      </w:r>
      <w:r w:rsidR="007820A3" w:rsidRPr="006F767C">
        <w:rPr>
          <w:color w:val="000000"/>
          <w:sz w:val="20"/>
          <w:szCs w:val="20"/>
        </w:rPr>
        <w:t xml:space="preserve">access to modern energy services </w:t>
      </w:r>
      <w:r w:rsidR="00052DFA">
        <w:rPr>
          <w:color w:val="000000"/>
          <w:sz w:val="20"/>
          <w:szCs w:val="20"/>
        </w:rPr>
        <w:t>has</w:t>
      </w:r>
      <w:r w:rsidR="009C7AFB" w:rsidRPr="006F767C">
        <w:rPr>
          <w:color w:val="000000"/>
          <w:sz w:val="20"/>
          <w:szCs w:val="20"/>
        </w:rPr>
        <w:t xml:space="preserve"> created problems</w:t>
      </w:r>
      <w:r w:rsidR="00DB2749" w:rsidRPr="006F767C">
        <w:rPr>
          <w:color w:val="000000"/>
          <w:sz w:val="20"/>
          <w:szCs w:val="20"/>
        </w:rPr>
        <w:t xml:space="preserve"> that </w:t>
      </w:r>
      <w:r w:rsidR="00477C1D" w:rsidRPr="006F767C">
        <w:rPr>
          <w:color w:val="000000"/>
          <w:sz w:val="20"/>
          <w:szCs w:val="20"/>
        </w:rPr>
        <w:t xml:space="preserve">undermine </w:t>
      </w:r>
      <w:r w:rsidR="00B80158" w:rsidRPr="006F767C">
        <w:rPr>
          <w:color w:val="000000"/>
          <w:sz w:val="20"/>
          <w:szCs w:val="20"/>
        </w:rPr>
        <w:t>the effectiveness of government</w:t>
      </w:r>
      <w:r w:rsidR="003176DE" w:rsidRPr="006F767C">
        <w:rPr>
          <w:color w:val="000000"/>
          <w:sz w:val="20"/>
          <w:szCs w:val="20"/>
        </w:rPr>
        <w:t xml:space="preserve"> </w:t>
      </w:r>
      <w:r w:rsidR="00477C1D" w:rsidRPr="006F767C">
        <w:rPr>
          <w:color w:val="000000"/>
          <w:sz w:val="20"/>
          <w:szCs w:val="20"/>
        </w:rPr>
        <w:t>policies for</w:t>
      </w:r>
      <w:r w:rsidR="009C7AFB" w:rsidRPr="006F767C">
        <w:rPr>
          <w:color w:val="000000"/>
          <w:sz w:val="20"/>
          <w:szCs w:val="20"/>
        </w:rPr>
        <w:t xml:space="preserve"> the</w:t>
      </w:r>
      <w:r w:rsidR="00DB2749" w:rsidRPr="006F767C">
        <w:rPr>
          <w:color w:val="000000"/>
          <w:sz w:val="20"/>
          <w:szCs w:val="20"/>
        </w:rPr>
        <w:t xml:space="preserve"> sustainable management of </w:t>
      </w:r>
      <w:r w:rsidR="007820A3" w:rsidRPr="006F767C">
        <w:rPr>
          <w:color w:val="000000"/>
          <w:sz w:val="20"/>
          <w:szCs w:val="20"/>
        </w:rPr>
        <w:t>environmental resource</w:t>
      </w:r>
      <w:r w:rsidR="00C57AC7" w:rsidRPr="006F767C">
        <w:rPr>
          <w:color w:val="000000"/>
          <w:sz w:val="20"/>
          <w:szCs w:val="20"/>
        </w:rPr>
        <w:t>s</w:t>
      </w:r>
      <w:r w:rsidR="00D12EEC" w:rsidRPr="006F767C">
        <w:rPr>
          <w:color w:val="000000"/>
          <w:sz w:val="20"/>
          <w:szCs w:val="20"/>
        </w:rPr>
        <w:t xml:space="preserve"> and forest</w:t>
      </w:r>
      <w:r w:rsidR="007D136D" w:rsidRPr="006F767C">
        <w:rPr>
          <w:color w:val="000000"/>
          <w:sz w:val="20"/>
          <w:szCs w:val="20"/>
        </w:rPr>
        <w:t>s, including</w:t>
      </w:r>
      <w:r w:rsidR="00D12EEC" w:rsidRPr="006F767C">
        <w:rPr>
          <w:color w:val="000000"/>
          <w:sz w:val="20"/>
          <w:szCs w:val="20"/>
        </w:rPr>
        <w:t xml:space="preserve"> </w:t>
      </w:r>
      <w:r w:rsidR="00C57AC7" w:rsidRPr="006F767C">
        <w:rPr>
          <w:color w:val="000000"/>
          <w:sz w:val="20"/>
          <w:szCs w:val="20"/>
        </w:rPr>
        <w:t>bio-diversity</w:t>
      </w:r>
      <w:r w:rsidR="00D12EEC" w:rsidRPr="006F767C">
        <w:rPr>
          <w:color w:val="000000"/>
          <w:sz w:val="20"/>
          <w:szCs w:val="20"/>
        </w:rPr>
        <w:t xml:space="preserve"> conservation</w:t>
      </w:r>
      <w:r w:rsidR="00DB2749" w:rsidRPr="006F767C">
        <w:rPr>
          <w:color w:val="000000"/>
          <w:sz w:val="20"/>
          <w:szCs w:val="20"/>
        </w:rPr>
        <w:t>.</w:t>
      </w:r>
      <w:r w:rsidR="00477C1D" w:rsidRPr="006F767C">
        <w:rPr>
          <w:color w:val="000000"/>
          <w:sz w:val="20"/>
          <w:szCs w:val="20"/>
        </w:rPr>
        <w:t xml:space="preserve"> </w:t>
      </w:r>
      <w:r w:rsidR="00A77A3E" w:rsidRPr="006F767C">
        <w:rPr>
          <w:color w:val="000000"/>
          <w:sz w:val="20"/>
          <w:szCs w:val="20"/>
        </w:rPr>
        <w:t>Nationally, some 18</w:t>
      </w:r>
      <w:r w:rsidR="00AB52DF" w:rsidRPr="006F767C">
        <w:rPr>
          <w:color w:val="000000"/>
          <w:sz w:val="20"/>
          <w:szCs w:val="20"/>
        </w:rPr>
        <w:t>.</w:t>
      </w:r>
      <w:r w:rsidR="00A77A3E" w:rsidRPr="006F767C">
        <w:rPr>
          <w:color w:val="000000"/>
          <w:sz w:val="20"/>
          <w:szCs w:val="20"/>
        </w:rPr>
        <w:t>8</w:t>
      </w:r>
      <w:r w:rsidR="009C7AFB" w:rsidRPr="006F767C">
        <w:rPr>
          <w:color w:val="000000"/>
          <w:sz w:val="20"/>
          <w:szCs w:val="20"/>
        </w:rPr>
        <w:t xml:space="preserve"> per cent</w:t>
      </w:r>
      <w:r w:rsidR="00A77A3E" w:rsidRPr="006F767C">
        <w:rPr>
          <w:color w:val="000000"/>
          <w:sz w:val="20"/>
          <w:szCs w:val="20"/>
        </w:rPr>
        <w:t xml:space="preserve"> of the population has access to</w:t>
      </w:r>
      <w:r w:rsidR="00082ED9" w:rsidRPr="006F767C">
        <w:rPr>
          <w:color w:val="000000"/>
          <w:sz w:val="20"/>
          <w:szCs w:val="20"/>
        </w:rPr>
        <w:t xml:space="preserve"> electricity</w:t>
      </w:r>
      <w:r w:rsidR="009C7AFB" w:rsidRPr="006F767C">
        <w:rPr>
          <w:color w:val="000000"/>
          <w:sz w:val="20"/>
          <w:szCs w:val="20"/>
        </w:rPr>
        <w:t>.</w:t>
      </w:r>
      <w:r w:rsidR="0069588A" w:rsidRPr="006F767C">
        <w:rPr>
          <w:color w:val="000000"/>
          <w:sz w:val="20"/>
          <w:szCs w:val="20"/>
          <w:vertAlign w:val="superscript"/>
        </w:rPr>
        <w:footnoteReference w:id="8"/>
      </w:r>
      <w:r w:rsidR="00AB52DF" w:rsidRPr="006F767C">
        <w:rPr>
          <w:color w:val="000000"/>
          <w:sz w:val="20"/>
          <w:szCs w:val="20"/>
        </w:rPr>
        <w:t xml:space="preserve"> </w:t>
      </w:r>
      <w:r w:rsidR="009C7AFB" w:rsidRPr="006F767C">
        <w:rPr>
          <w:color w:val="000000"/>
          <w:sz w:val="20"/>
          <w:szCs w:val="20"/>
        </w:rPr>
        <w:t>This number is only</w:t>
      </w:r>
      <w:r w:rsidR="00DC344B" w:rsidRPr="006F767C">
        <w:rPr>
          <w:color w:val="000000"/>
          <w:sz w:val="20"/>
          <w:szCs w:val="20"/>
        </w:rPr>
        <w:t xml:space="preserve"> </w:t>
      </w:r>
      <w:r w:rsidR="007820A3" w:rsidRPr="006F767C">
        <w:rPr>
          <w:color w:val="000000"/>
          <w:sz w:val="20"/>
          <w:szCs w:val="20"/>
        </w:rPr>
        <w:t>3</w:t>
      </w:r>
      <w:r w:rsidR="009C7AFB" w:rsidRPr="006F767C">
        <w:rPr>
          <w:color w:val="000000"/>
          <w:sz w:val="20"/>
          <w:szCs w:val="20"/>
        </w:rPr>
        <w:t xml:space="preserve"> per cent</w:t>
      </w:r>
      <w:r w:rsidR="007820A3" w:rsidRPr="006F767C">
        <w:rPr>
          <w:color w:val="000000"/>
          <w:sz w:val="20"/>
          <w:szCs w:val="20"/>
        </w:rPr>
        <w:t xml:space="preserve"> </w:t>
      </w:r>
      <w:r w:rsidR="00DC344B" w:rsidRPr="006F767C">
        <w:rPr>
          <w:color w:val="000000"/>
          <w:sz w:val="20"/>
          <w:szCs w:val="20"/>
        </w:rPr>
        <w:t xml:space="preserve">for </w:t>
      </w:r>
      <w:r w:rsidR="007820A3" w:rsidRPr="006F767C">
        <w:rPr>
          <w:color w:val="000000"/>
          <w:sz w:val="20"/>
          <w:szCs w:val="20"/>
        </w:rPr>
        <w:t>rural population</w:t>
      </w:r>
      <w:r w:rsidR="00AB52DF" w:rsidRPr="006F767C">
        <w:rPr>
          <w:color w:val="000000"/>
          <w:sz w:val="20"/>
          <w:szCs w:val="20"/>
        </w:rPr>
        <w:t>s</w:t>
      </w:r>
      <w:r w:rsidR="007820A3" w:rsidRPr="006F767C">
        <w:rPr>
          <w:color w:val="000000"/>
          <w:sz w:val="20"/>
          <w:szCs w:val="20"/>
        </w:rPr>
        <w:t xml:space="preserve"> </w:t>
      </w:r>
      <w:r w:rsidR="009C7AFB" w:rsidRPr="006F767C">
        <w:rPr>
          <w:color w:val="000000"/>
          <w:sz w:val="20"/>
          <w:szCs w:val="20"/>
        </w:rPr>
        <w:t xml:space="preserve">that, </w:t>
      </w:r>
      <w:r w:rsidR="00DC344B" w:rsidRPr="006F767C">
        <w:rPr>
          <w:color w:val="000000"/>
          <w:sz w:val="20"/>
          <w:szCs w:val="20"/>
        </w:rPr>
        <w:t>in addition</w:t>
      </w:r>
      <w:r w:rsidR="000B5B52" w:rsidRPr="006F767C">
        <w:rPr>
          <w:color w:val="000000"/>
          <w:sz w:val="20"/>
          <w:szCs w:val="20"/>
        </w:rPr>
        <w:t>,</w:t>
      </w:r>
      <w:r w:rsidR="00DC344B" w:rsidRPr="006F767C">
        <w:rPr>
          <w:color w:val="000000"/>
          <w:sz w:val="20"/>
          <w:szCs w:val="20"/>
        </w:rPr>
        <w:t xml:space="preserve"> have </w:t>
      </w:r>
      <w:r w:rsidR="0041543B" w:rsidRPr="006F767C">
        <w:rPr>
          <w:color w:val="000000"/>
          <w:sz w:val="20"/>
          <w:szCs w:val="20"/>
        </w:rPr>
        <w:t xml:space="preserve">no access </w:t>
      </w:r>
      <w:r w:rsidR="000B5B52" w:rsidRPr="006F767C">
        <w:rPr>
          <w:color w:val="000000"/>
          <w:sz w:val="20"/>
          <w:szCs w:val="20"/>
        </w:rPr>
        <w:t xml:space="preserve">to </w:t>
      </w:r>
      <w:r w:rsidR="007820A3" w:rsidRPr="006F767C">
        <w:rPr>
          <w:color w:val="000000"/>
          <w:sz w:val="20"/>
          <w:szCs w:val="20"/>
        </w:rPr>
        <w:t xml:space="preserve">other forms of modern energy </w:t>
      </w:r>
      <w:r w:rsidR="0079296E" w:rsidRPr="006F767C">
        <w:rPr>
          <w:color w:val="000000"/>
          <w:sz w:val="20"/>
          <w:szCs w:val="20"/>
        </w:rPr>
        <w:t>services</w:t>
      </w:r>
      <w:r w:rsidR="00ED04EE">
        <w:rPr>
          <w:color w:val="000000"/>
          <w:sz w:val="20"/>
          <w:szCs w:val="20"/>
        </w:rPr>
        <w:t>.</w:t>
      </w:r>
      <w:r w:rsidR="0079296E" w:rsidRPr="006F767C">
        <w:rPr>
          <w:color w:val="000000"/>
          <w:sz w:val="20"/>
          <w:szCs w:val="20"/>
        </w:rPr>
        <w:t xml:space="preserve"> </w:t>
      </w:r>
      <w:r w:rsidR="00DA097C" w:rsidRPr="006F767C">
        <w:rPr>
          <w:color w:val="000000"/>
          <w:sz w:val="20"/>
          <w:szCs w:val="20"/>
        </w:rPr>
        <w:t>Because women and young girls are expected</w:t>
      </w:r>
      <w:r w:rsidR="0001545D" w:rsidRPr="006F767C">
        <w:rPr>
          <w:color w:val="000000"/>
          <w:sz w:val="20"/>
          <w:szCs w:val="20"/>
        </w:rPr>
        <w:t xml:space="preserve"> </w:t>
      </w:r>
      <w:r w:rsidR="00DA097C" w:rsidRPr="006F767C">
        <w:rPr>
          <w:color w:val="000000"/>
          <w:sz w:val="20"/>
          <w:szCs w:val="20"/>
        </w:rPr>
        <w:t xml:space="preserve">to </w:t>
      </w:r>
      <w:r w:rsidR="00870D24" w:rsidRPr="006F767C">
        <w:rPr>
          <w:color w:val="000000"/>
          <w:sz w:val="20"/>
          <w:szCs w:val="20"/>
        </w:rPr>
        <w:t>gather</w:t>
      </w:r>
      <w:r w:rsidR="0001545D" w:rsidRPr="006F767C">
        <w:rPr>
          <w:color w:val="000000"/>
          <w:sz w:val="20"/>
          <w:szCs w:val="20"/>
        </w:rPr>
        <w:t xml:space="preserve"> fuel</w:t>
      </w:r>
      <w:r w:rsidR="00DA097C" w:rsidRPr="006F767C">
        <w:rPr>
          <w:color w:val="000000"/>
          <w:sz w:val="20"/>
          <w:szCs w:val="20"/>
        </w:rPr>
        <w:t>,</w:t>
      </w:r>
      <w:r w:rsidR="00870D24" w:rsidRPr="006F767C">
        <w:rPr>
          <w:color w:val="000000"/>
          <w:sz w:val="20"/>
          <w:szCs w:val="20"/>
        </w:rPr>
        <w:t xml:space="preserve"> and </w:t>
      </w:r>
      <w:r w:rsidR="00DA097C" w:rsidRPr="006F767C">
        <w:rPr>
          <w:color w:val="000000"/>
          <w:sz w:val="20"/>
          <w:szCs w:val="20"/>
        </w:rPr>
        <w:t>carry</w:t>
      </w:r>
      <w:r w:rsidR="002D19EA" w:rsidRPr="006F767C">
        <w:rPr>
          <w:color w:val="000000"/>
          <w:sz w:val="20"/>
          <w:szCs w:val="20"/>
        </w:rPr>
        <w:t xml:space="preserve"> out </w:t>
      </w:r>
      <w:r w:rsidR="0001545D" w:rsidRPr="006F767C">
        <w:rPr>
          <w:color w:val="000000"/>
          <w:sz w:val="20"/>
          <w:szCs w:val="20"/>
        </w:rPr>
        <w:t xml:space="preserve">tasks </w:t>
      </w:r>
      <w:r w:rsidR="00DA097C" w:rsidRPr="006F767C">
        <w:rPr>
          <w:color w:val="000000"/>
          <w:sz w:val="20"/>
          <w:szCs w:val="20"/>
        </w:rPr>
        <w:t xml:space="preserve">that </w:t>
      </w:r>
      <w:r w:rsidR="0001545D" w:rsidRPr="006F767C">
        <w:rPr>
          <w:color w:val="000000"/>
          <w:sz w:val="20"/>
          <w:szCs w:val="20"/>
        </w:rPr>
        <w:t>require</w:t>
      </w:r>
      <w:r w:rsidR="00870D24" w:rsidRPr="006F767C">
        <w:rPr>
          <w:color w:val="000000"/>
          <w:sz w:val="20"/>
          <w:szCs w:val="20"/>
        </w:rPr>
        <w:t xml:space="preserve"> mechanical</w:t>
      </w:r>
      <w:r w:rsidR="000B5B52" w:rsidRPr="006F767C">
        <w:rPr>
          <w:color w:val="000000"/>
          <w:sz w:val="20"/>
          <w:szCs w:val="20"/>
        </w:rPr>
        <w:t>/</w:t>
      </w:r>
      <w:r w:rsidR="00F61541" w:rsidRPr="006F767C">
        <w:rPr>
          <w:color w:val="000000"/>
          <w:sz w:val="20"/>
          <w:szCs w:val="20"/>
        </w:rPr>
        <w:t xml:space="preserve">modern energy sources, </w:t>
      </w:r>
      <w:r w:rsidR="00DA097C" w:rsidRPr="006F767C">
        <w:rPr>
          <w:color w:val="000000"/>
          <w:sz w:val="20"/>
          <w:szCs w:val="20"/>
        </w:rPr>
        <w:t>it takes</w:t>
      </w:r>
      <w:r w:rsidR="00AB52DF" w:rsidRPr="006F767C">
        <w:rPr>
          <w:color w:val="000000"/>
          <w:sz w:val="20"/>
          <w:szCs w:val="20"/>
        </w:rPr>
        <w:t xml:space="preserve"> them</w:t>
      </w:r>
      <w:r w:rsidR="008D46B1" w:rsidRPr="006F767C">
        <w:rPr>
          <w:color w:val="000000"/>
          <w:sz w:val="20"/>
          <w:szCs w:val="20"/>
        </w:rPr>
        <w:t xml:space="preserve"> away </w:t>
      </w:r>
      <w:r w:rsidR="00AB52DF" w:rsidRPr="006F767C">
        <w:rPr>
          <w:color w:val="000000"/>
          <w:sz w:val="20"/>
          <w:szCs w:val="20"/>
        </w:rPr>
        <w:t>from</w:t>
      </w:r>
      <w:r w:rsidR="008D46B1" w:rsidRPr="006F767C">
        <w:rPr>
          <w:color w:val="000000"/>
          <w:sz w:val="20"/>
          <w:szCs w:val="20"/>
        </w:rPr>
        <w:t xml:space="preserve"> </w:t>
      </w:r>
      <w:r w:rsidR="00DA097C" w:rsidRPr="006F767C">
        <w:rPr>
          <w:color w:val="000000"/>
          <w:sz w:val="20"/>
          <w:szCs w:val="20"/>
        </w:rPr>
        <w:t xml:space="preserve">other </w:t>
      </w:r>
      <w:r w:rsidR="008D46B1" w:rsidRPr="006F767C">
        <w:rPr>
          <w:color w:val="000000"/>
          <w:sz w:val="20"/>
          <w:szCs w:val="20"/>
        </w:rPr>
        <w:t>productive activities and</w:t>
      </w:r>
      <w:r w:rsidR="00DA097C" w:rsidRPr="006F767C">
        <w:rPr>
          <w:color w:val="000000"/>
          <w:sz w:val="20"/>
          <w:szCs w:val="20"/>
        </w:rPr>
        <w:t>/or opportunities for</w:t>
      </w:r>
      <w:r w:rsidR="008D46B1" w:rsidRPr="006F767C">
        <w:rPr>
          <w:color w:val="000000"/>
          <w:sz w:val="20"/>
          <w:szCs w:val="20"/>
        </w:rPr>
        <w:t xml:space="preserve"> education. </w:t>
      </w:r>
      <w:r w:rsidR="008B1CCB" w:rsidRPr="006F767C">
        <w:rPr>
          <w:color w:val="000000"/>
          <w:sz w:val="20"/>
          <w:szCs w:val="20"/>
        </w:rPr>
        <w:t>A</w:t>
      </w:r>
      <w:r w:rsidR="006E0C87" w:rsidRPr="006F767C">
        <w:rPr>
          <w:color w:val="000000"/>
          <w:sz w:val="20"/>
          <w:szCs w:val="20"/>
        </w:rPr>
        <w:t xml:space="preserve">ccess to electricity and </w:t>
      </w:r>
      <w:r w:rsidR="004811B4" w:rsidRPr="006F767C">
        <w:rPr>
          <w:color w:val="000000"/>
          <w:sz w:val="20"/>
          <w:szCs w:val="20"/>
        </w:rPr>
        <w:t>modern energy services from sustainable so</w:t>
      </w:r>
      <w:r w:rsidR="00F44386" w:rsidRPr="006F767C">
        <w:rPr>
          <w:color w:val="000000"/>
          <w:sz w:val="20"/>
          <w:szCs w:val="20"/>
        </w:rPr>
        <w:t>urces</w:t>
      </w:r>
      <w:r w:rsidR="006E0C87" w:rsidRPr="006F767C">
        <w:rPr>
          <w:color w:val="000000"/>
          <w:sz w:val="20"/>
          <w:szCs w:val="20"/>
        </w:rPr>
        <w:t xml:space="preserve"> </w:t>
      </w:r>
      <w:r w:rsidR="00693715" w:rsidRPr="006F767C">
        <w:rPr>
          <w:color w:val="000000"/>
          <w:sz w:val="20"/>
          <w:szCs w:val="20"/>
        </w:rPr>
        <w:t xml:space="preserve">is </w:t>
      </w:r>
      <w:r w:rsidR="004811B4" w:rsidRPr="006F767C">
        <w:rPr>
          <w:color w:val="000000"/>
          <w:sz w:val="20"/>
          <w:szCs w:val="20"/>
        </w:rPr>
        <w:t>a priority</w:t>
      </w:r>
      <w:r w:rsidR="006E0C87" w:rsidRPr="006F767C">
        <w:rPr>
          <w:color w:val="000000"/>
          <w:sz w:val="20"/>
          <w:szCs w:val="20"/>
        </w:rPr>
        <w:t xml:space="preserve"> </w:t>
      </w:r>
      <w:r w:rsidR="00326579" w:rsidRPr="006F767C">
        <w:rPr>
          <w:color w:val="000000"/>
          <w:sz w:val="20"/>
          <w:szCs w:val="20"/>
        </w:rPr>
        <w:t xml:space="preserve">in the </w:t>
      </w:r>
      <w:r w:rsidR="0017484D" w:rsidRPr="006F767C">
        <w:rPr>
          <w:color w:val="000000"/>
          <w:sz w:val="20"/>
          <w:szCs w:val="20"/>
        </w:rPr>
        <w:t>N</w:t>
      </w:r>
      <w:r w:rsidR="00637D36" w:rsidRPr="006F767C">
        <w:rPr>
          <w:color w:val="000000"/>
          <w:sz w:val="20"/>
          <w:szCs w:val="20"/>
        </w:rPr>
        <w:t>E</w:t>
      </w:r>
      <w:r w:rsidR="0017484D" w:rsidRPr="006F767C">
        <w:rPr>
          <w:color w:val="000000"/>
          <w:sz w:val="20"/>
          <w:szCs w:val="20"/>
        </w:rPr>
        <w:t>SD</w:t>
      </w:r>
      <w:r w:rsidR="00637D36" w:rsidRPr="006F767C">
        <w:rPr>
          <w:color w:val="000000"/>
          <w:sz w:val="20"/>
          <w:szCs w:val="20"/>
        </w:rPr>
        <w:t>P</w:t>
      </w:r>
      <w:r w:rsidR="0017484D" w:rsidRPr="006F767C">
        <w:rPr>
          <w:color w:val="000000"/>
          <w:sz w:val="20"/>
          <w:szCs w:val="20"/>
        </w:rPr>
        <w:t>.</w:t>
      </w:r>
      <w:r w:rsidR="00C2050D" w:rsidRPr="006F767C">
        <w:rPr>
          <w:color w:val="000000"/>
          <w:sz w:val="20"/>
          <w:szCs w:val="20"/>
        </w:rPr>
        <w:t xml:space="preserve"> </w:t>
      </w:r>
      <w:r w:rsidR="000B5B52" w:rsidRPr="006F767C">
        <w:rPr>
          <w:color w:val="000000"/>
          <w:sz w:val="20"/>
          <w:szCs w:val="20"/>
        </w:rPr>
        <w:t>Consequently</w:t>
      </w:r>
      <w:r w:rsidR="005F428B" w:rsidRPr="006F767C">
        <w:rPr>
          <w:color w:val="000000"/>
          <w:sz w:val="20"/>
          <w:szCs w:val="20"/>
        </w:rPr>
        <w:t xml:space="preserve">, </w:t>
      </w:r>
      <w:r w:rsidR="00DA097C" w:rsidRPr="006F767C">
        <w:rPr>
          <w:color w:val="000000"/>
          <w:sz w:val="20"/>
          <w:szCs w:val="20"/>
        </w:rPr>
        <w:t xml:space="preserve">the </w:t>
      </w:r>
      <w:r w:rsidR="005F428B" w:rsidRPr="006F767C">
        <w:rPr>
          <w:color w:val="000000"/>
          <w:sz w:val="20"/>
          <w:szCs w:val="20"/>
        </w:rPr>
        <w:t>g</w:t>
      </w:r>
      <w:r w:rsidR="00C2050D" w:rsidRPr="006F767C">
        <w:rPr>
          <w:color w:val="000000"/>
          <w:sz w:val="20"/>
          <w:szCs w:val="20"/>
        </w:rPr>
        <w:t>overnment</w:t>
      </w:r>
      <w:r w:rsidR="00DA097C" w:rsidRPr="006F767C">
        <w:rPr>
          <w:color w:val="000000"/>
          <w:sz w:val="20"/>
          <w:szCs w:val="20"/>
        </w:rPr>
        <w:t>,</w:t>
      </w:r>
      <w:r w:rsidR="00C2050D" w:rsidRPr="006F767C">
        <w:rPr>
          <w:color w:val="000000"/>
          <w:sz w:val="20"/>
          <w:szCs w:val="20"/>
        </w:rPr>
        <w:t xml:space="preserve"> </w:t>
      </w:r>
      <w:r w:rsidR="00642BBA" w:rsidRPr="006F767C">
        <w:rPr>
          <w:color w:val="000000"/>
          <w:sz w:val="20"/>
          <w:szCs w:val="20"/>
        </w:rPr>
        <w:t xml:space="preserve">with </w:t>
      </w:r>
      <w:r w:rsidR="00DA097C" w:rsidRPr="006F767C">
        <w:rPr>
          <w:color w:val="000000"/>
          <w:sz w:val="20"/>
          <w:szCs w:val="20"/>
        </w:rPr>
        <w:t xml:space="preserve">support from </w:t>
      </w:r>
      <w:r w:rsidR="000B5B52" w:rsidRPr="006F767C">
        <w:rPr>
          <w:color w:val="000000"/>
          <w:sz w:val="20"/>
          <w:szCs w:val="20"/>
        </w:rPr>
        <w:t xml:space="preserve">UNDP and </w:t>
      </w:r>
      <w:r w:rsidR="00DA097C" w:rsidRPr="006F767C">
        <w:rPr>
          <w:color w:val="000000"/>
          <w:sz w:val="20"/>
          <w:szCs w:val="20"/>
        </w:rPr>
        <w:t>the United Nations Capital Development Fund (</w:t>
      </w:r>
      <w:r w:rsidR="000B5B52" w:rsidRPr="006F767C">
        <w:rPr>
          <w:color w:val="000000"/>
          <w:sz w:val="20"/>
          <w:szCs w:val="20"/>
        </w:rPr>
        <w:t>UNCDF</w:t>
      </w:r>
      <w:r w:rsidR="00DA097C" w:rsidRPr="006F767C">
        <w:rPr>
          <w:color w:val="000000"/>
          <w:sz w:val="20"/>
          <w:szCs w:val="20"/>
        </w:rPr>
        <w:t>)</w:t>
      </w:r>
      <w:r w:rsidR="00642BBA" w:rsidRPr="006F767C">
        <w:rPr>
          <w:color w:val="000000"/>
          <w:sz w:val="20"/>
          <w:szCs w:val="20"/>
        </w:rPr>
        <w:t>,</w:t>
      </w:r>
      <w:r w:rsidR="00DA097C" w:rsidRPr="006F767C">
        <w:rPr>
          <w:color w:val="000000"/>
          <w:sz w:val="20"/>
          <w:szCs w:val="20"/>
        </w:rPr>
        <w:t xml:space="preserve"> formulated</w:t>
      </w:r>
      <w:r w:rsidR="00642BBA" w:rsidRPr="006F767C">
        <w:rPr>
          <w:color w:val="000000"/>
          <w:sz w:val="20"/>
          <w:szCs w:val="20"/>
        </w:rPr>
        <w:t xml:space="preserve"> </w:t>
      </w:r>
      <w:r w:rsidR="008E4CA9" w:rsidRPr="006F767C">
        <w:rPr>
          <w:color w:val="000000"/>
          <w:sz w:val="20"/>
          <w:szCs w:val="20"/>
        </w:rPr>
        <w:t xml:space="preserve">an </w:t>
      </w:r>
      <w:r w:rsidR="005B3269" w:rsidRPr="006F767C">
        <w:rPr>
          <w:color w:val="000000"/>
          <w:sz w:val="20"/>
          <w:szCs w:val="20"/>
        </w:rPr>
        <w:t>integrated</w:t>
      </w:r>
      <w:r w:rsidR="00ED04EE">
        <w:rPr>
          <w:color w:val="000000"/>
          <w:sz w:val="20"/>
          <w:szCs w:val="20"/>
        </w:rPr>
        <w:t xml:space="preserve"> local economic</w:t>
      </w:r>
      <w:r w:rsidR="005B3269" w:rsidRPr="006F767C">
        <w:rPr>
          <w:color w:val="000000"/>
          <w:sz w:val="20"/>
          <w:szCs w:val="20"/>
        </w:rPr>
        <w:t xml:space="preserve"> </w:t>
      </w:r>
      <w:r w:rsidR="00FA3F00" w:rsidRPr="006F767C">
        <w:rPr>
          <w:color w:val="000000"/>
          <w:sz w:val="20"/>
          <w:szCs w:val="20"/>
        </w:rPr>
        <w:t>program</w:t>
      </w:r>
      <w:r w:rsidR="00693715" w:rsidRPr="006F767C">
        <w:rPr>
          <w:color w:val="000000"/>
          <w:sz w:val="20"/>
          <w:szCs w:val="20"/>
        </w:rPr>
        <w:t>me</w:t>
      </w:r>
      <w:r w:rsidR="00DE530B" w:rsidRPr="006F767C">
        <w:rPr>
          <w:color w:val="000000"/>
          <w:sz w:val="20"/>
          <w:szCs w:val="20"/>
        </w:rPr>
        <w:t xml:space="preserve"> </w:t>
      </w:r>
      <w:r w:rsidR="00DD0F5B" w:rsidRPr="006F767C">
        <w:rPr>
          <w:color w:val="000000"/>
          <w:sz w:val="20"/>
          <w:szCs w:val="20"/>
        </w:rPr>
        <w:t>(</w:t>
      </w:r>
      <w:r w:rsidR="00DE530B" w:rsidRPr="006F767C">
        <w:rPr>
          <w:color w:val="000000"/>
          <w:sz w:val="20"/>
          <w:szCs w:val="20"/>
        </w:rPr>
        <w:t>PADEL</w:t>
      </w:r>
      <w:r w:rsidR="00DD0F5B" w:rsidRPr="006F767C">
        <w:rPr>
          <w:color w:val="000000"/>
          <w:sz w:val="20"/>
          <w:szCs w:val="20"/>
        </w:rPr>
        <w:t>)</w:t>
      </w:r>
      <w:r w:rsidR="00ED04EE">
        <w:rPr>
          <w:color w:val="000000"/>
          <w:sz w:val="20"/>
          <w:szCs w:val="20"/>
        </w:rPr>
        <w:t xml:space="preserve"> </w:t>
      </w:r>
      <w:r w:rsidR="00DE530B" w:rsidRPr="006F767C">
        <w:rPr>
          <w:color w:val="000000"/>
          <w:sz w:val="20"/>
          <w:szCs w:val="20"/>
        </w:rPr>
        <w:t>to</w:t>
      </w:r>
      <w:r w:rsidR="00FA3F00" w:rsidRPr="006F767C">
        <w:rPr>
          <w:color w:val="000000"/>
          <w:sz w:val="20"/>
          <w:szCs w:val="20"/>
        </w:rPr>
        <w:t xml:space="preserve"> address inequality and </w:t>
      </w:r>
      <w:r w:rsidR="000B5C76" w:rsidRPr="006F767C">
        <w:rPr>
          <w:color w:val="000000"/>
          <w:sz w:val="20"/>
          <w:szCs w:val="20"/>
        </w:rPr>
        <w:t>ex</w:t>
      </w:r>
      <w:r w:rsidR="00FA3F00" w:rsidRPr="006F767C">
        <w:rPr>
          <w:color w:val="000000"/>
          <w:sz w:val="20"/>
          <w:szCs w:val="20"/>
        </w:rPr>
        <w:t>clusion</w:t>
      </w:r>
      <w:r w:rsidR="00511FBF" w:rsidRPr="006F767C">
        <w:rPr>
          <w:color w:val="000000"/>
          <w:sz w:val="20"/>
          <w:szCs w:val="20"/>
        </w:rPr>
        <w:t>.</w:t>
      </w:r>
      <w:r w:rsidR="007668B8" w:rsidRPr="006F767C">
        <w:rPr>
          <w:color w:val="000000"/>
          <w:sz w:val="20"/>
          <w:szCs w:val="20"/>
        </w:rPr>
        <w:t xml:space="preserve"> </w:t>
      </w:r>
      <w:r w:rsidR="00DA097C" w:rsidRPr="006F767C">
        <w:rPr>
          <w:color w:val="000000"/>
          <w:sz w:val="20"/>
          <w:szCs w:val="20"/>
        </w:rPr>
        <w:t>P</w:t>
      </w:r>
      <w:r w:rsidR="00511FBF" w:rsidRPr="006F767C">
        <w:rPr>
          <w:color w:val="000000"/>
          <w:sz w:val="20"/>
          <w:szCs w:val="20"/>
        </w:rPr>
        <w:t>rogram</w:t>
      </w:r>
      <w:r w:rsidR="00693715" w:rsidRPr="006F767C">
        <w:rPr>
          <w:color w:val="000000"/>
          <w:sz w:val="20"/>
          <w:szCs w:val="20"/>
        </w:rPr>
        <w:t>me</w:t>
      </w:r>
      <w:r w:rsidR="00511FBF" w:rsidRPr="006F767C">
        <w:rPr>
          <w:color w:val="000000"/>
          <w:sz w:val="20"/>
          <w:szCs w:val="20"/>
        </w:rPr>
        <w:t xml:space="preserve"> goals are to</w:t>
      </w:r>
      <w:r w:rsidR="00DA097C" w:rsidRPr="006F767C">
        <w:rPr>
          <w:color w:val="000000"/>
          <w:sz w:val="20"/>
          <w:szCs w:val="20"/>
        </w:rPr>
        <w:t>:</w:t>
      </w:r>
      <w:r w:rsidR="00511FBF" w:rsidRPr="006F767C">
        <w:rPr>
          <w:color w:val="000000"/>
          <w:sz w:val="20"/>
          <w:szCs w:val="20"/>
        </w:rPr>
        <w:t xml:space="preserve"> </w:t>
      </w:r>
      <w:r w:rsidR="00642BBA" w:rsidRPr="006F767C">
        <w:rPr>
          <w:color w:val="000000"/>
          <w:sz w:val="20"/>
          <w:szCs w:val="20"/>
        </w:rPr>
        <w:t xml:space="preserve">i) </w:t>
      </w:r>
      <w:r w:rsidR="00247BC5" w:rsidRPr="006F767C">
        <w:rPr>
          <w:color w:val="000000"/>
          <w:sz w:val="20"/>
          <w:szCs w:val="20"/>
        </w:rPr>
        <w:t xml:space="preserve">increase </w:t>
      </w:r>
      <w:r w:rsidR="00762B75">
        <w:rPr>
          <w:color w:val="000000"/>
          <w:sz w:val="20"/>
          <w:szCs w:val="20"/>
        </w:rPr>
        <w:t>poor household</w:t>
      </w:r>
      <w:r w:rsidR="00642BBA" w:rsidRPr="006F767C">
        <w:rPr>
          <w:color w:val="000000"/>
          <w:sz w:val="20"/>
          <w:szCs w:val="20"/>
        </w:rPr>
        <w:t xml:space="preserve"> and rural</w:t>
      </w:r>
      <w:r w:rsidR="0064155E" w:rsidRPr="006F767C">
        <w:rPr>
          <w:color w:val="000000"/>
          <w:sz w:val="20"/>
          <w:szCs w:val="20"/>
        </w:rPr>
        <w:t xml:space="preserve"> </w:t>
      </w:r>
      <w:r w:rsidR="00762B75">
        <w:rPr>
          <w:color w:val="000000"/>
          <w:sz w:val="20"/>
          <w:szCs w:val="20"/>
        </w:rPr>
        <w:t>community access</w:t>
      </w:r>
      <w:r w:rsidR="00642BBA" w:rsidRPr="006F767C">
        <w:rPr>
          <w:color w:val="000000"/>
          <w:sz w:val="20"/>
          <w:szCs w:val="20"/>
        </w:rPr>
        <w:t xml:space="preserve"> to </w:t>
      </w:r>
      <w:r w:rsidR="001E70CA" w:rsidRPr="006F767C">
        <w:rPr>
          <w:color w:val="000000"/>
          <w:sz w:val="20"/>
          <w:szCs w:val="20"/>
        </w:rPr>
        <w:t xml:space="preserve">modern </w:t>
      </w:r>
      <w:r w:rsidR="00642BBA" w:rsidRPr="006F767C">
        <w:rPr>
          <w:color w:val="000000"/>
          <w:sz w:val="20"/>
          <w:szCs w:val="20"/>
        </w:rPr>
        <w:t>energy services</w:t>
      </w:r>
      <w:r w:rsidR="00DA097C" w:rsidRPr="006F767C">
        <w:rPr>
          <w:color w:val="000000"/>
          <w:sz w:val="20"/>
          <w:szCs w:val="20"/>
        </w:rPr>
        <w:t>,</w:t>
      </w:r>
      <w:r w:rsidR="00247BC5" w:rsidRPr="006F767C">
        <w:rPr>
          <w:color w:val="000000"/>
          <w:sz w:val="20"/>
          <w:szCs w:val="20"/>
        </w:rPr>
        <w:t xml:space="preserve"> </w:t>
      </w:r>
      <w:r w:rsidR="00642BBA" w:rsidRPr="006F767C">
        <w:rPr>
          <w:color w:val="000000"/>
          <w:sz w:val="20"/>
          <w:szCs w:val="20"/>
        </w:rPr>
        <w:t xml:space="preserve">ii) </w:t>
      </w:r>
      <w:r w:rsidR="00C2050D" w:rsidRPr="006F767C">
        <w:rPr>
          <w:color w:val="000000"/>
          <w:sz w:val="20"/>
          <w:szCs w:val="20"/>
        </w:rPr>
        <w:t>accelerate</w:t>
      </w:r>
      <w:r w:rsidR="00CF3BE8" w:rsidRPr="006F767C">
        <w:rPr>
          <w:color w:val="000000"/>
          <w:sz w:val="20"/>
          <w:szCs w:val="20"/>
        </w:rPr>
        <w:t xml:space="preserve"> </w:t>
      </w:r>
      <w:r w:rsidR="004E17CF" w:rsidRPr="006F767C">
        <w:rPr>
          <w:color w:val="000000"/>
          <w:sz w:val="20"/>
          <w:szCs w:val="20"/>
        </w:rPr>
        <w:t xml:space="preserve">local </w:t>
      </w:r>
      <w:r w:rsidR="00EF4DA0" w:rsidRPr="006F767C">
        <w:rPr>
          <w:color w:val="000000"/>
          <w:sz w:val="20"/>
          <w:szCs w:val="20"/>
        </w:rPr>
        <w:t xml:space="preserve">economic </w:t>
      </w:r>
      <w:r w:rsidR="00CF3BE8" w:rsidRPr="006F767C">
        <w:rPr>
          <w:color w:val="000000"/>
          <w:sz w:val="20"/>
          <w:szCs w:val="20"/>
        </w:rPr>
        <w:t>development</w:t>
      </w:r>
      <w:r w:rsidR="00DA097C" w:rsidRPr="006F767C">
        <w:rPr>
          <w:color w:val="000000"/>
          <w:sz w:val="20"/>
          <w:szCs w:val="20"/>
        </w:rPr>
        <w:t>,</w:t>
      </w:r>
      <w:r w:rsidR="00AA1D6A" w:rsidRPr="006F767C">
        <w:rPr>
          <w:color w:val="000000"/>
          <w:sz w:val="20"/>
          <w:szCs w:val="20"/>
        </w:rPr>
        <w:t xml:space="preserve"> </w:t>
      </w:r>
      <w:r w:rsidR="004E17CF" w:rsidRPr="006F767C">
        <w:rPr>
          <w:color w:val="000000"/>
          <w:sz w:val="20"/>
          <w:szCs w:val="20"/>
        </w:rPr>
        <w:t xml:space="preserve">and </w:t>
      </w:r>
      <w:r w:rsidR="00642BBA" w:rsidRPr="006F767C">
        <w:rPr>
          <w:color w:val="000000"/>
          <w:sz w:val="20"/>
          <w:szCs w:val="20"/>
        </w:rPr>
        <w:t>i</w:t>
      </w:r>
      <w:r w:rsidR="00AA1D6A" w:rsidRPr="006F767C">
        <w:rPr>
          <w:color w:val="000000"/>
          <w:sz w:val="20"/>
          <w:szCs w:val="20"/>
        </w:rPr>
        <w:t>ii</w:t>
      </w:r>
      <w:r w:rsidR="00642BBA" w:rsidRPr="006F767C">
        <w:rPr>
          <w:color w:val="000000"/>
          <w:sz w:val="20"/>
          <w:szCs w:val="20"/>
        </w:rPr>
        <w:t xml:space="preserve">) </w:t>
      </w:r>
      <w:r w:rsidR="00C2050D" w:rsidRPr="006F767C">
        <w:rPr>
          <w:color w:val="000000"/>
          <w:sz w:val="20"/>
          <w:szCs w:val="20"/>
        </w:rPr>
        <w:t xml:space="preserve">ensure </w:t>
      </w:r>
      <w:r w:rsidR="004E17CF" w:rsidRPr="006F767C">
        <w:rPr>
          <w:color w:val="000000"/>
          <w:sz w:val="20"/>
          <w:szCs w:val="20"/>
        </w:rPr>
        <w:t xml:space="preserve">social </w:t>
      </w:r>
      <w:r w:rsidR="00EF4DA0" w:rsidRPr="006F767C">
        <w:rPr>
          <w:color w:val="000000"/>
          <w:sz w:val="20"/>
          <w:szCs w:val="20"/>
        </w:rPr>
        <w:t>protectio</w:t>
      </w:r>
      <w:r w:rsidR="00B1006D" w:rsidRPr="006F767C">
        <w:rPr>
          <w:color w:val="000000"/>
          <w:sz w:val="20"/>
          <w:szCs w:val="20"/>
        </w:rPr>
        <w:t>n.</w:t>
      </w:r>
      <w:r w:rsidR="007668B8" w:rsidRPr="006F767C">
        <w:rPr>
          <w:color w:val="000000"/>
          <w:sz w:val="20"/>
          <w:szCs w:val="20"/>
        </w:rPr>
        <w:t xml:space="preserve"> </w:t>
      </w:r>
      <w:r w:rsidR="00DA097C" w:rsidRPr="006F767C">
        <w:rPr>
          <w:color w:val="000000"/>
          <w:sz w:val="20"/>
          <w:szCs w:val="20"/>
        </w:rPr>
        <w:t>To effectively implement the</w:t>
      </w:r>
      <w:r w:rsidR="00B1006D" w:rsidRPr="006F767C">
        <w:rPr>
          <w:color w:val="000000"/>
          <w:sz w:val="20"/>
          <w:szCs w:val="20"/>
        </w:rPr>
        <w:t xml:space="preserve"> </w:t>
      </w:r>
      <w:r w:rsidR="00895B58">
        <w:rPr>
          <w:color w:val="000000"/>
          <w:sz w:val="20"/>
          <w:szCs w:val="20"/>
        </w:rPr>
        <w:t>programme</w:t>
      </w:r>
      <w:r w:rsidR="005767FE">
        <w:rPr>
          <w:color w:val="000000"/>
          <w:sz w:val="20"/>
          <w:szCs w:val="20"/>
        </w:rPr>
        <w:t>,</w:t>
      </w:r>
      <w:r w:rsidR="00DA097C" w:rsidRPr="006F767C">
        <w:rPr>
          <w:color w:val="000000"/>
          <w:sz w:val="20"/>
          <w:szCs w:val="20"/>
        </w:rPr>
        <w:t xml:space="preserve"> </w:t>
      </w:r>
      <w:r w:rsidR="00B91FE0" w:rsidRPr="006F767C">
        <w:rPr>
          <w:color w:val="000000"/>
          <w:sz w:val="20"/>
          <w:szCs w:val="20"/>
        </w:rPr>
        <w:t>institutional capacity</w:t>
      </w:r>
      <w:r w:rsidR="00B1006D" w:rsidRPr="006F767C">
        <w:rPr>
          <w:color w:val="000000"/>
          <w:sz w:val="20"/>
          <w:szCs w:val="20"/>
        </w:rPr>
        <w:t xml:space="preserve"> support</w:t>
      </w:r>
      <w:r w:rsidR="004F5C17" w:rsidRPr="006F767C">
        <w:rPr>
          <w:color w:val="000000"/>
          <w:sz w:val="20"/>
          <w:szCs w:val="20"/>
        </w:rPr>
        <w:t xml:space="preserve"> and accelerat</w:t>
      </w:r>
      <w:r w:rsidR="00693715" w:rsidRPr="006F767C">
        <w:rPr>
          <w:color w:val="000000"/>
          <w:sz w:val="20"/>
          <w:szCs w:val="20"/>
        </w:rPr>
        <w:t>ed delivery</w:t>
      </w:r>
      <w:r w:rsidR="004F5C17" w:rsidRPr="006F767C">
        <w:rPr>
          <w:color w:val="000000"/>
          <w:sz w:val="20"/>
          <w:szCs w:val="20"/>
        </w:rPr>
        <w:t xml:space="preserve"> measures</w:t>
      </w:r>
      <w:r w:rsidR="00B1006D" w:rsidRPr="006F767C">
        <w:rPr>
          <w:color w:val="000000"/>
          <w:sz w:val="20"/>
          <w:szCs w:val="20"/>
        </w:rPr>
        <w:t xml:space="preserve"> </w:t>
      </w:r>
      <w:r w:rsidR="00DA097C" w:rsidRPr="006F767C">
        <w:rPr>
          <w:color w:val="000000"/>
          <w:sz w:val="20"/>
          <w:szCs w:val="20"/>
        </w:rPr>
        <w:t>are required because</w:t>
      </w:r>
      <w:r w:rsidR="00B1006D" w:rsidRPr="006F767C">
        <w:rPr>
          <w:color w:val="000000"/>
          <w:sz w:val="20"/>
          <w:szCs w:val="20"/>
        </w:rPr>
        <w:t xml:space="preserve"> of demand and</w:t>
      </w:r>
      <w:r w:rsidR="00B91FE0" w:rsidRPr="006F767C">
        <w:rPr>
          <w:color w:val="000000"/>
          <w:sz w:val="20"/>
          <w:szCs w:val="20"/>
        </w:rPr>
        <w:t xml:space="preserve"> </w:t>
      </w:r>
      <w:r w:rsidR="00B1006D" w:rsidRPr="006F767C">
        <w:rPr>
          <w:color w:val="000000"/>
          <w:sz w:val="20"/>
          <w:szCs w:val="20"/>
        </w:rPr>
        <w:t xml:space="preserve">limited capacities at </w:t>
      </w:r>
      <w:r w:rsidR="00DA097C" w:rsidRPr="006F767C">
        <w:rPr>
          <w:color w:val="000000"/>
          <w:sz w:val="20"/>
          <w:szCs w:val="20"/>
        </w:rPr>
        <w:t xml:space="preserve">the </w:t>
      </w:r>
      <w:r w:rsidR="00B1006D" w:rsidRPr="006F767C">
        <w:rPr>
          <w:color w:val="000000"/>
          <w:sz w:val="20"/>
          <w:szCs w:val="20"/>
        </w:rPr>
        <w:t>local levels</w:t>
      </w:r>
      <w:r w:rsidR="007668B8" w:rsidRPr="006F767C">
        <w:rPr>
          <w:color w:val="000000"/>
          <w:sz w:val="20"/>
          <w:szCs w:val="20"/>
        </w:rPr>
        <w:t>.</w:t>
      </w:r>
      <w:r w:rsidR="00AC3B7E" w:rsidRPr="006F767C">
        <w:rPr>
          <w:color w:val="000000"/>
          <w:sz w:val="20"/>
          <w:szCs w:val="20"/>
        </w:rPr>
        <w:t xml:space="preserve"> </w:t>
      </w:r>
    </w:p>
    <w:p w14:paraId="497BB5A0" w14:textId="44401D0B" w:rsidR="007D2662" w:rsidRPr="006F767C" w:rsidRDefault="00DA097C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t>Because it is located</w:t>
      </w:r>
      <w:r w:rsidR="008C119F" w:rsidRPr="006F767C">
        <w:rPr>
          <w:color w:val="000000"/>
          <w:sz w:val="20"/>
          <w:szCs w:val="20"/>
        </w:rPr>
        <w:t xml:space="preserve"> at the center of the </w:t>
      </w:r>
      <w:r w:rsidRPr="006F767C">
        <w:rPr>
          <w:color w:val="000000"/>
          <w:sz w:val="20"/>
          <w:szCs w:val="20"/>
        </w:rPr>
        <w:t>S</w:t>
      </w:r>
      <w:r w:rsidR="008C119F" w:rsidRPr="006F767C">
        <w:rPr>
          <w:color w:val="000000"/>
          <w:sz w:val="20"/>
          <w:szCs w:val="20"/>
        </w:rPr>
        <w:t>udano-</w:t>
      </w:r>
      <w:r w:rsidRPr="006F767C">
        <w:rPr>
          <w:color w:val="000000"/>
          <w:sz w:val="20"/>
          <w:szCs w:val="20"/>
        </w:rPr>
        <w:t>S</w:t>
      </w:r>
      <w:r w:rsidR="008C119F" w:rsidRPr="006F767C">
        <w:rPr>
          <w:color w:val="000000"/>
          <w:sz w:val="20"/>
          <w:szCs w:val="20"/>
        </w:rPr>
        <w:t>aheli</w:t>
      </w:r>
      <w:r w:rsidR="001D780E">
        <w:rPr>
          <w:color w:val="000000"/>
          <w:sz w:val="20"/>
          <w:szCs w:val="20"/>
        </w:rPr>
        <w:t>a</w:t>
      </w:r>
      <w:r w:rsidR="008C119F" w:rsidRPr="006F767C">
        <w:rPr>
          <w:color w:val="000000"/>
          <w:sz w:val="20"/>
          <w:szCs w:val="20"/>
        </w:rPr>
        <w:t xml:space="preserve">n region, </w:t>
      </w:r>
      <w:r w:rsidRPr="006F767C">
        <w:rPr>
          <w:color w:val="000000"/>
          <w:sz w:val="20"/>
          <w:szCs w:val="20"/>
        </w:rPr>
        <w:t>Burkina Faso is</w:t>
      </w:r>
      <w:r w:rsidR="008C119F" w:rsidRPr="006F767C">
        <w:rPr>
          <w:color w:val="000000"/>
          <w:sz w:val="20"/>
          <w:szCs w:val="20"/>
        </w:rPr>
        <w:t xml:space="preserve"> </w:t>
      </w:r>
      <w:r w:rsidRPr="006F767C">
        <w:rPr>
          <w:color w:val="000000"/>
          <w:sz w:val="20"/>
          <w:szCs w:val="20"/>
        </w:rPr>
        <w:t>susceptible</w:t>
      </w:r>
      <w:r w:rsidR="008C119F" w:rsidRPr="006F767C">
        <w:rPr>
          <w:color w:val="000000"/>
          <w:sz w:val="20"/>
          <w:szCs w:val="20"/>
        </w:rPr>
        <w:t xml:space="preserve"> to </w:t>
      </w:r>
      <w:r w:rsidRPr="006F767C">
        <w:rPr>
          <w:color w:val="000000"/>
          <w:sz w:val="20"/>
          <w:szCs w:val="20"/>
        </w:rPr>
        <w:t xml:space="preserve">variations in </w:t>
      </w:r>
      <w:r w:rsidR="008C119F" w:rsidRPr="006F767C">
        <w:rPr>
          <w:color w:val="000000"/>
          <w:sz w:val="20"/>
          <w:szCs w:val="20"/>
        </w:rPr>
        <w:t xml:space="preserve">climate and </w:t>
      </w:r>
      <w:r w:rsidR="00E159C1" w:rsidRPr="006F767C">
        <w:rPr>
          <w:color w:val="000000"/>
          <w:sz w:val="20"/>
          <w:szCs w:val="20"/>
        </w:rPr>
        <w:t>prone</w:t>
      </w:r>
      <w:r w:rsidR="008C119F" w:rsidRPr="006F767C">
        <w:rPr>
          <w:color w:val="000000"/>
          <w:sz w:val="20"/>
          <w:szCs w:val="20"/>
        </w:rPr>
        <w:t xml:space="preserve"> to recurrent cycles of drought and floods</w:t>
      </w:r>
      <w:r w:rsidR="00C23493" w:rsidRPr="006F767C">
        <w:rPr>
          <w:color w:val="000000"/>
          <w:sz w:val="20"/>
          <w:szCs w:val="20"/>
        </w:rPr>
        <w:t>.</w:t>
      </w:r>
      <w:r w:rsidR="004D5BF3" w:rsidRPr="006F767C">
        <w:rPr>
          <w:color w:val="000000"/>
          <w:sz w:val="20"/>
          <w:szCs w:val="20"/>
        </w:rPr>
        <w:t xml:space="preserve"> The worst recorded flood</w:t>
      </w:r>
      <w:r w:rsidR="00494BFF" w:rsidRPr="006F767C">
        <w:rPr>
          <w:color w:val="000000"/>
          <w:sz w:val="20"/>
          <w:szCs w:val="20"/>
        </w:rPr>
        <w:t>s date</w:t>
      </w:r>
      <w:r w:rsidR="004D5BF3" w:rsidRPr="006F767C">
        <w:rPr>
          <w:color w:val="000000"/>
          <w:sz w:val="20"/>
          <w:szCs w:val="20"/>
        </w:rPr>
        <w:t xml:space="preserve"> back to 2009</w:t>
      </w:r>
      <w:r w:rsidR="00C86AFE" w:rsidRPr="006F767C">
        <w:rPr>
          <w:color w:val="000000"/>
          <w:sz w:val="20"/>
          <w:szCs w:val="20"/>
        </w:rPr>
        <w:t>,</w:t>
      </w:r>
      <w:r w:rsidR="00494BFF" w:rsidRPr="006F767C">
        <w:rPr>
          <w:color w:val="000000"/>
          <w:sz w:val="20"/>
          <w:szCs w:val="20"/>
        </w:rPr>
        <w:t xml:space="preserve"> </w:t>
      </w:r>
      <w:r w:rsidR="00C86AFE" w:rsidRPr="006F767C">
        <w:rPr>
          <w:color w:val="000000"/>
          <w:sz w:val="20"/>
          <w:szCs w:val="20"/>
        </w:rPr>
        <w:t>causing</w:t>
      </w:r>
      <w:r w:rsidR="00494BFF" w:rsidRPr="006F767C">
        <w:rPr>
          <w:color w:val="000000"/>
          <w:sz w:val="20"/>
          <w:szCs w:val="20"/>
        </w:rPr>
        <w:t xml:space="preserve"> </w:t>
      </w:r>
      <w:r w:rsidR="000A2370" w:rsidRPr="006F767C">
        <w:rPr>
          <w:color w:val="000000"/>
          <w:sz w:val="20"/>
          <w:szCs w:val="20"/>
        </w:rPr>
        <w:t>$102</w:t>
      </w:r>
      <w:r w:rsidR="00666168" w:rsidRPr="006F767C">
        <w:rPr>
          <w:color w:val="000000"/>
          <w:sz w:val="20"/>
          <w:szCs w:val="20"/>
        </w:rPr>
        <w:t xml:space="preserve"> </w:t>
      </w:r>
      <w:r w:rsidR="007127F3" w:rsidRPr="006F767C">
        <w:rPr>
          <w:color w:val="000000"/>
          <w:sz w:val="20"/>
          <w:szCs w:val="20"/>
        </w:rPr>
        <w:t>million</w:t>
      </w:r>
      <w:r w:rsidR="00C86AFE" w:rsidRPr="006F767C">
        <w:rPr>
          <w:color w:val="000000"/>
          <w:sz w:val="20"/>
          <w:szCs w:val="20"/>
        </w:rPr>
        <w:t xml:space="preserve"> US dollars</w:t>
      </w:r>
      <w:r w:rsidR="007127F3" w:rsidRPr="006F767C">
        <w:rPr>
          <w:color w:val="000000"/>
          <w:sz w:val="20"/>
          <w:szCs w:val="20"/>
        </w:rPr>
        <w:t xml:space="preserve"> </w:t>
      </w:r>
      <w:r w:rsidR="006400DD" w:rsidRPr="006F767C">
        <w:rPr>
          <w:color w:val="000000"/>
          <w:sz w:val="20"/>
          <w:szCs w:val="20"/>
        </w:rPr>
        <w:t xml:space="preserve">in damage </w:t>
      </w:r>
      <w:r w:rsidR="006735E0" w:rsidRPr="006F767C">
        <w:rPr>
          <w:color w:val="000000"/>
          <w:sz w:val="20"/>
          <w:szCs w:val="20"/>
        </w:rPr>
        <w:t>and $120 million</w:t>
      </w:r>
      <w:r w:rsidR="00C86AFE" w:rsidRPr="006F767C">
        <w:rPr>
          <w:color w:val="000000"/>
          <w:sz w:val="20"/>
          <w:szCs w:val="20"/>
        </w:rPr>
        <w:t xml:space="preserve"> US dollars</w:t>
      </w:r>
      <w:r w:rsidR="006400DD" w:rsidRPr="006F767C">
        <w:rPr>
          <w:color w:val="000000"/>
          <w:sz w:val="20"/>
          <w:szCs w:val="20"/>
        </w:rPr>
        <w:t xml:space="preserve"> in reconstruction</w:t>
      </w:r>
      <w:r w:rsidR="00C86AFE" w:rsidRPr="006F767C">
        <w:rPr>
          <w:color w:val="000000"/>
          <w:sz w:val="20"/>
          <w:szCs w:val="20"/>
        </w:rPr>
        <w:t>.</w:t>
      </w:r>
      <w:r w:rsidR="006400DD" w:rsidRPr="006F767C">
        <w:rPr>
          <w:color w:val="000000"/>
          <w:sz w:val="20"/>
          <w:szCs w:val="20"/>
          <w:vertAlign w:val="superscript"/>
        </w:rPr>
        <w:footnoteReference w:id="9"/>
      </w:r>
      <w:r w:rsidR="00B71EA5" w:rsidRPr="006F767C">
        <w:rPr>
          <w:color w:val="000000"/>
          <w:sz w:val="20"/>
          <w:szCs w:val="20"/>
        </w:rPr>
        <w:t xml:space="preserve"> </w:t>
      </w:r>
      <w:r w:rsidR="00AE778D" w:rsidRPr="006F767C">
        <w:rPr>
          <w:color w:val="000000"/>
          <w:sz w:val="20"/>
          <w:szCs w:val="20"/>
        </w:rPr>
        <w:t xml:space="preserve">Despite </w:t>
      </w:r>
      <w:r w:rsidR="006735E0" w:rsidRPr="006F767C">
        <w:rPr>
          <w:color w:val="000000"/>
          <w:sz w:val="20"/>
          <w:szCs w:val="20"/>
        </w:rPr>
        <w:t xml:space="preserve">joint early recovery </w:t>
      </w:r>
      <w:r w:rsidR="00AE778D" w:rsidRPr="006F767C">
        <w:rPr>
          <w:color w:val="000000"/>
          <w:sz w:val="20"/>
          <w:szCs w:val="20"/>
        </w:rPr>
        <w:t>efforts</w:t>
      </w:r>
      <w:r w:rsidR="0089648F" w:rsidRPr="006F767C">
        <w:rPr>
          <w:color w:val="000000"/>
          <w:sz w:val="20"/>
          <w:szCs w:val="20"/>
        </w:rPr>
        <w:t>,</w:t>
      </w:r>
      <w:r w:rsidR="006735E0" w:rsidRPr="006F767C">
        <w:rPr>
          <w:color w:val="000000"/>
          <w:sz w:val="20"/>
          <w:szCs w:val="20"/>
        </w:rPr>
        <w:t xml:space="preserve"> </w:t>
      </w:r>
      <w:r w:rsidR="001A3803" w:rsidRPr="006F767C">
        <w:rPr>
          <w:color w:val="000000"/>
          <w:sz w:val="20"/>
          <w:szCs w:val="20"/>
        </w:rPr>
        <w:t xml:space="preserve">affected </w:t>
      </w:r>
      <w:r w:rsidR="006735E0" w:rsidRPr="006F767C">
        <w:rPr>
          <w:color w:val="000000"/>
          <w:sz w:val="20"/>
          <w:szCs w:val="20"/>
        </w:rPr>
        <w:t>po</w:t>
      </w:r>
      <w:r w:rsidR="00597981" w:rsidRPr="006F767C">
        <w:rPr>
          <w:color w:val="000000"/>
          <w:sz w:val="20"/>
          <w:szCs w:val="20"/>
        </w:rPr>
        <w:t xml:space="preserve">pulations </w:t>
      </w:r>
      <w:r w:rsidR="00707416" w:rsidRPr="006F767C">
        <w:rPr>
          <w:color w:val="000000"/>
          <w:sz w:val="20"/>
          <w:szCs w:val="20"/>
        </w:rPr>
        <w:t>continue to struggle</w:t>
      </w:r>
      <w:r w:rsidR="00597981" w:rsidRPr="006F767C">
        <w:rPr>
          <w:color w:val="000000"/>
          <w:sz w:val="20"/>
          <w:szCs w:val="20"/>
        </w:rPr>
        <w:t xml:space="preserve">. </w:t>
      </w:r>
      <w:r w:rsidR="00707416" w:rsidRPr="006F767C">
        <w:rPr>
          <w:color w:val="000000"/>
          <w:sz w:val="20"/>
          <w:szCs w:val="20"/>
        </w:rPr>
        <w:t>F</w:t>
      </w:r>
      <w:r w:rsidR="001A3803" w:rsidRPr="006F767C">
        <w:rPr>
          <w:color w:val="000000"/>
          <w:sz w:val="20"/>
          <w:szCs w:val="20"/>
        </w:rPr>
        <w:t>rom</w:t>
      </w:r>
      <w:r w:rsidR="00FF7E24" w:rsidRPr="006F767C">
        <w:rPr>
          <w:color w:val="000000"/>
          <w:sz w:val="20"/>
          <w:szCs w:val="20"/>
        </w:rPr>
        <w:t xml:space="preserve"> 2011</w:t>
      </w:r>
      <w:r w:rsidR="001A3803" w:rsidRPr="006F767C">
        <w:rPr>
          <w:color w:val="000000"/>
          <w:sz w:val="20"/>
          <w:szCs w:val="20"/>
        </w:rPr>
        <w:t xml:space="preserve"> to </w:t>
      </w:r>
      <w:r w:rsidR="00FF7E24" w:rsidRPr="006F767C">
        <w:rPr>
          <w:color w:val="000000"/>
          <w:sz w:val="20"/>
          <w:szCs w:val="20"/>
        </w:rPr>
        <w:t>2016</w:t>
      </w:r>
      <w:r w:rsidR="006F6CC1" w:rsidRPr="006F767C">
        <w:rPr>
          <w:color w:val="000000"/>
          <w:sz w:val="20"/>
          <w:szCs w:val="20"/>
        </w:rPr>
        <w:t xml:space="preserve"> </w:t>
      </w:r>
      <w:r w:rsidR="00E159C1" w:rsidRPr="006F767C">
        <w:rPr>
          <w:color w:val="000000"/>
          <w:sz w:val="20"/>
          <w:szCs w:val="20"/>
        </w:rPr>
        <w:t>Burkina Faso</w:t>
      </w:r>
      <w:r w:rsidR="006F6CC1" w:rsidRPr="006F767C">
        <w:rPr>
          <w:color w:val="000000"/>
          <w:sz w:val="20"/>
          <w:szCs w:val="20"/>
        </w:rPr>
        <w:t xml:space="preserve"> </w:t>
      </w:r>
      <w:r w:rsidR="00707416" w:rsidRPr="006F767C">
        <w:rPr>
          <w:color w:val="000000"/>
          <w:sz w:val="20"/>
          <w:szCs w:val="20"/>
        </w:rPr>
        <w:t>suffered the consequences of</w:t>
      </w:r>
      <w:r w:rsidR="00666168" w:rsidRPr="006F767C">
        <w:rPr>
          <w:color w:val="000000"/>
          <w:sz w:val="20"/>
          <w:szCs w:val="20"/>
        </w:rPr>
        <w:t xml:space="preserve"> </w:t>
      </w:r>
      <w:r w:rsidR="004D67D7" w:rsidRPr="006F767C">
        <w:rPr>
          <w:color w:val="000000"/>
          <w:sz w:val="20"/>
          <w:szCs w:val="20"/>
        </w:rPr>
        <w:t>climate</w:t>
      </w:r>
      <w:r w:rsidR="00624D3E" w:rsidRPr="006F767C">
        <w:rPr>
          <w:color w:val="000000"/>
          <w:sz w:val="20"/>
          <w:szCs w:val="20"/>
        </w:rPr>
        <w:t>-</w:t>
      </w:r>
      <w:r w:rsidR="007D27D4" w:rsidRPr="006F767C">
        <w:rPr>
          <w:color w:val="000000"/>
          <w:sz w:val="20"/>
          <w:szCs w:val="20"/>
        </w:rPr>
        <w:t>related hazards</w:t>
      </w:r>
      <w:r w:rsidR="006F6CC1" w:rsidRPr="006F767C">
        <w:rPr>
          <w:color w:val="000000"/>
          <w:sz w:val="20"/>
          <w:szCs w:val="20"/>
        </w:rPr>
        <w:t xml:space="preserve"> </w:t>
      </w:r>
      <w:r w:rsidR="00AE778D" w:rsidRPr="006F767C">
        <w:rPr>
          <w:color w:val="000000"/>
          <w:sz w:val="20"/>
          <w:szCs w:val="20"/>
        </w:rPr>
        <w:t xml:space="preserve">linked to the </w:t>
      </w:r>
      <w:r w:rsidR="007D27D4" w:rsidRPr="006F767C">
        <w:rPr>
          <w:color w:val="000000"/>
          <w:sz w:val="20"/>
          <w:szCs w:val="20"/>
        </w:rPr>
        <w:t>unsustainable</w:t>
      </w:r>
      <w:r w:rsidR="007127F3" w:rsidRPr="006F767C">
        <w:rPr>
          <w:color w:val="000000"/>
          <w:sz w:val="20"/>
          <w:szCs w:val="20"/>
        </w:rPr>
        <w:t xml:space="preserve"> use of environmental resources</w:t>
      </w:r>
      <w:r w:rsidR="00FB6EDD" w:rsidRPr="006F767C">
        <w:rPr>
          <w:color w:val="000000"/>
          <w:sz w:val="20"/>
          <w:szCs w:val="20"/>
        </w:rPr>
        <w:t xml:space="preserve">. </w:t>
      </w:r>
      <w:r w:rsidR="006F6CC1" w:rsidRPr="006F767C">
        <w:rPr>
          <w:color w:val="000000"/>
          <w:sz w:val="20"/>
          <w:szCs w:val="20"/>
        </w:rPr>
        <w:t xml:space="preserve">According to the Permanent Secretariat </w:t>
      </w:r>
      <w:r w:rsidR="005211F9" w:rsidRPr="006F767C">
        <w:rPr>
          <w:color w:val="000000"/>
          <w:sz w:val="20"/>
          <w:szCs w:val="20"/>
        </w:rPr>
        <w:t>in charge of Emergency Preparedness and</w:t>
      </w:r>
      <w:r w:rsidR="007D27D4" w:rsidRPr="006F767C">
        <w:rPr>
          <w:color w:val="000000"/>
          <w:sz w:val="20"/>
          <w:szCs w:val="20"/>
        </w:rPr>
        <w:t xml:space="preserve"> </w:t>
      </w:r>
      <w:r w:rsidR="005211F9" w:rsidRPr="006F767C">
        <w:rPr>
          <w:color w:val="000000"/>
          <w:sz w:val="20"/>
          <w:szCs w:val="20"/>
        </w:rPr>
        <w:t xml:space="preserve">Response </w:t>
      </w:r>
      <w:r w:rsidR="006F6CC1" w:rsidRPr="006F767C">
        <w:rPr>
          <w:color w:val="000000"/>
          <w:sz w:val="20"/>
          <w:szCs w:val="20"/>
        </w:rPr>
        <w:t>(</w:t>
      </w:r>
      <w:r w:rsidR="006F6CC1" w:rsidRPr="00734453">
        <w:rPr>
          <w:color w:val="000000"/>
          <w:sz w:val="20"/>
          <w:szCs w:val="20"/>
        </w:rPr>
        <w:t>SP/CONASUR</w:t>
      </w:r>
      <w:r w:rsidR="006F6CC1" w:rsidRPr="006F767C">
        <w:rPr>
          <w:color w:val="000000"/>
          <w:sz w:val="20"/>
          <w:szCs w:val="20"/>
        </w:rPr>
        <w:t>)</w:t>
      </w:r>
      <w:r w:rsidR="00FA71AC" w:rsidRPr="006F767C">
        <w:rPr>
          <w:color w:val="000000"/>
          <w:sz w:val="20"/>
          <w:szCs w:val="20"/>
        </w:rPr>
        <w:t>,</w:t>
      </w:r>
      <w:r w:rsidR="006F6CC1" w:rsidRPr="006F767C">
        <w:rPr>
          <w:color w:val="000000"/>
          <w:sz w:val="20"/>
          <w:szCs w:val="20"/>
        </w:rPr>
        <w:t xml:space="preserve"> between May 2012 and April 2017</w:t>
      </w:r>
      <w:r w:rsidR="00AE778D" w:rsidRPr="006F767C">
        <w:rPr>
          <w:color w:val="000000"/>
          <w:sz w:val="20"/>
          <w:szCs w:val="20"/>
        </w:rPr>
        <w:t xml:space="preserve"> floods and violent winds in all 13 regions affected</w:t>
      </w:r>
      <w:r w:rsidR="006F6CC1" w:rsidRPr="006F767C">
        <w:rPr>
          <w:color w:val="000000"/>
          <w:sz w:val="20"/>
          <w:szCs w:val="20"/>
        </w:rPr>
        <w:t xml:space="preserve"> 264,177 people</w:t>
      </w:r>
      <w:r w:rsidR="00AE778D" w:rsidRPr="006F767C">
        <w:rPr>
          <w:color w:val="000000"/>
          <w:sz w:val="20"/>
          <w:szCs w:val="20"/>
        </w:rPr>
        <w:t>. Eighty-three people were killed,</w:t>
      </w:r>
      <w:r w:rsidR="006F6CC1" w:rsidRPr="006F767C">
        <w:rPr>
          <w:color w:val="000000"/>
          <w:sz w:val="20"/>
          <w:szCs w:val="20"/>
        </w:rPr>
        <w:t xml:space="preserve"> 384 injured</w:t>
      </w:r>
      <w:r w:rsidR="00AE778D" w:rsidRPr="006F767C">
        <w:rPr>
          <w:color w:val="000000"/>
          <w:sz w:val="20"/>
          <w:szCs w:val="20"/>
        </w:rPr>
        <w:t>,</w:t>
      </w:r>
      <w:r w:rsidR="006F6CC1" w:rsidRPr="006F767C">
        <w:rPr>
          <w:color w:val="000000"/>
          <w:sz w:val="20"/>
          <w:szCs w:val="20"/>
        </w:rPr>
        <w:t xml:space="preserve"> and</w:t>
      </w:r>
      <w:r w:rsidR="00FA71AC" w:rsidRPr="006F767C">
        <w:rPr>
          <w:color w:val="000000"/>
          <w:sz w:val="20"/>
          <w:szCs w:val="20"/>
        </w:rPr>
        <w:t xml:space="preserve"> </w:t>
      </w:r>
      <w:r w:rsidR="006F6CC1" w:rsidRPr="006F767C">
        <w:rPr>
          <w:color w:val="000000"/>
          <w:sz w:val="20"/>
          <w:szCs w:val="20"/>
        </w:rPr>
        <w:t>17</w:t>
      </w:r>
      <w:r w:rsidR="00624D3E" w:rsidRPr="006F767C">
        <w:rPr>
          <w:color w:val="000000"/>
          <w:sz w:val="20"/>
          <w:szCs w:val="20"/>
        </w:rPr>
        <w:t>,</w:t>
      </w:r>
      <w:r w:rsidR="006F6CC1" w:rsidRPr="006F767C">
        <w:rPr>
          <w:color w:val="000000"/>
          <w:sz w:val="20"/>
          <w:szCs w:val="20"/>
        </w:rPr>
        <w:t xml:space="preserve">393 </w:t>
      </w:r>
      <w:r w:rsidR="00AE778D" w:rsidRPr="006F767C">
        <w:rPr>
          <w:color w:val="000000"/>
          <w:sz w:val="20"/>
          <w:szCs w:val="20"/>
        </w:rPr>
        <w:t>were left</w:t>
      </w:r>
      <w:r w:rsidR="007D27D4" w:rsidRPr="006F767C">
        <w:rPr>
          <w:color w:val="000000"/>
          <w:sz w:val="20"/>
          <w:szCs w:val="20"/>
        </w:rPr>
        <w:t xml:space="preserve"> </w:t>
      </w:r>
      <w:r w:rsidR="006F6CC1" w:rsidRPr="006F767C">
        <w:rPr>
          <w:color w:val="000000"/>
          <w:sz w:val="20"/>
          <w:szCs w:val="20"/>
        </w:rPr>
        <w:t xml:space="preserve">homeless. </w:t>
      </w:r>
      <w:r w:rsidR="00AE778D" w:rsidRPr="006F767C">
        <w:rPr>
          <w:color w:val="000000"/>
          <w:sz w:val="20"/>
          <w:szCs w:val="20"/>
        </w:rPr>
        <w:t>Women and girls have been</w:t>
      </w:r>
      <w:r w:rsidR="00624D3E" w:rsidRPr="006F767C">
        <w:rPr>
          <w:color w:val="000000"/>
          <w:sz w:val="20"/>
          <w:szCs w:val="20"/>
        </w:rPr>
        <w:t xml:space="preserve"> </w:t>
      </w:r>
      <w:r w:rsidR="0066088D" w:rsidRPr="006F767C">
        <w:rPr>
          <w:color w:val="000000"/>
          <w:sz w:val="20"/>
          <w:szCs w:val="20"/>
        </w:rPr>
        <w:t xml:space="preserve">more </w:t>
      </w:r>
      <w:r w:rsidR="00624D3E" w:rsidRPr="006F767C">
        <w:rPr>
          <w:color w:val="000000"/>
          <w:sz w:val="20"/>
          <w:szCs w:val="20"/>
        </w:rPr>
        <w:t>acutely</w:t>
      </w:r>
      <w:r w:rsidR="0066088D" w:rsidRPr="006F767C">
        <w:rPr>
          <w:color w:val="000000"/>
          <w:sz w:val="20"/>
          <w:szCs w:val="20"/>
        </w:rPr>
        <w:t xml:space="preserve"> </w:t>
      </w:r>
      <w:r w:rsidR="005767FE">
        <w:rPr>
          <w:color w:val="000000"/>
          <w:sz w:val="20"/>
          <w:szCs w:val="20"/>
        </w:rPr>
        <w:t xml:space="preserve">affected by such </w:t>
      </w:r>
      <w:r w:rsidR="00567CEF">
        <w:rPr>
          <w:color w:val="000000"/>
          <w:sz w:val="20"/>
          <w:szCs w:val="20"/>
        </w:rPr>
        <w:t>crises,</w:t>
      </w:r>
      <w:r w:rsidR="00AE778D" w:rsidRPr="006F767C">
        <w:rPr>
          <w:color w:val="000000"/>
          <w:sz w:val="20"/>
          <w:szCs w:val="20"/>
        </w:rPr>
        <w:t xml:space="preserve"> as they</w:t>
      </w:r>
      <w:r w:rsidR="0066088D" w:rsidRPr="006F767C">
        <w:rPr>
          <w:color w:val="000000"/>
          <w:sz w:val="20"/>
          <w:szCs w:val="20"/>
        </w:rPr>
        <w:t xml:space="preserve"> have to walk longer distances to draw water. </w:t>
      </w:r>
      <w:r w:rsidR="00AE778D" w:rsidRPr="006F767C">
        <w:rPr>
          <w:color w:val="000000"/>
          <w:sz w:val="20"/>
          <w:szCs w:val="20"/>
        </w:rPr>
        <w:t xml:space="preserve">The </w:t>
      </w:r>
      <w:r w:rsidR="0066088D" w:rsidRPr="006F767C">
        <w:rPr>
          <w:color w:val="000000"/>
          <w:sz w:val="20"/>
          <w:szCs w:val="20"/>
        </w:rPr>
        <w:t xml:space="preserve">situation </w:t>
      </w:r>
      <w:r w:rsidR="00AE778D" w:rsidRPr="006F767C">
        <w:rPr>
          <w:color w:val="000000"/>
          <w:sz w:val="20"/>
          <w:szCs w:val="20"/>
        </w:rPr>
        <w:t xml:space="preserve">has been </w:t>
      </w:r>
      <w:r w:rsidR="0066088D" w:rsidRPr="006F767C">
        <w:rPr>
          <w:color w:val="000000"/>
          <w:sz w:val="20"/>
          <w:szCs w:val="20"/>
        </w:rPr>
        <w:t xml:space="preserve">exacerbated by the destruction of </w:t>
      </w:r>
      <w:r w:rsidR="00AE778D" w:rsidRPr="006F767C">
        <w:rPr>
          <w:color w:val="000000"/>
          <w:sz w:val="20"/>
          <w:szCs w:val="20"/>
        </w:rPr>
        <w:t xml:space="preserve">485 </w:t>
      </w:r>
      <w:r w:rsidR="0066088D" w:rsidRPr="006F767C">
        <w:rPr>
          <w:color w:val="000000"/>
          <w:sz w:val="20"/>
          <w:szCs w:val="20"/>
        </w:rPr>
        <w:t>toilets</w:t>
      </w:r>
      <w:r w:rsidR="00AE778D" w:rsidRPr="006F767C">
        <w:rPr>
          <w:color w:val="000000"/>
          <w:sz w:val="20"/>
          <w:szCs w:val="20"/>
        </w:rPr>
        <w:t xml:space="preserve"> i</w:t>
      </w:r>
      <w:r w:rsidR="0066088D" w:rsidRPr="006F767C">
        <w:rPr>
          <w:color w:val="000000"/>
          <w:sz w:val="20"/>
          <w:szCs w:val="20"/>
        </w:rPr>
        <w:t xml:space="preserve">n the five </w:t>
      </w:r>
      <w:r w:rsidR="00624D3E" w:rsidRPr="006F767C">
        <w:rPr>
          <w:color w:val="000000"/>
          <w:sz w:val="20"/>
          <w:szCs w:val="20"/>
        </w:rPr>
        <w:t xml:space="preserve">most-affected </w:t>
      </w:r>
      <w:r w:rsidR="0066088D" w:rsidRPr="006F767C">
        <w:rPr>
          <w:color w:val="000000"/>
          <w:sz w:val="20"/>
          <w:szCs w:val="20"/>
        </w:rPr>
        <w:t>regions</w:t>
      </w:r>
      <w:r w:rsidR="00AE778D" w:rsidRPr="006F767C">
        <w:rPr>
          <w:color w:val="000000"/>
          <w:sz w:val="20"/>
          <w:szCs w:val="20"/>
        </w:rPr>
        <w:t xml:space="preserve"> over </w:t>
      </w:r>
      <w:r w:rsidR="0066088D" w:rsidRPr="006F767C">
        <w:rPr>
          <w:color w:val="000000"/>
          <w:sz w:val="20"/>
          <w:szCs w:val="20"/>
        </w:rPr>
        <w:t xml:space="preserve">the last five years. </w:t>
      </w:r>
      <w:r w:rsidR="000B5B52" w:rsidRPr="006F767C">
        <w:rPr>
          <w:color w:val="000000"/>
          <w:sz w:val="20"/>
          <w:szCs w:val="20"/>
        </w:rPr>
        <w:t>W</w:t>
      </w:r>
      <w:r w:rsidR="0066088D" w:rsidRPr="006F767C">
        <w:rPr>
          <w:color w:val="000000"/>
          <w:sz w:val="20"/>
          <w:szCs w:val="20"/>
        </w:rPr>
        <w:t>omen and girls</w:t>
      </w:r>
      <w:r w:rsidR="000B5B52" w:rsidRPr="006F767C">
        <w:rPr>
          <w:color w:val="000000"/>
          <w:sz w:val="20"/>
          <w:szCs w:val="20"/>
        </w:rPr>
        <w:t xml:space="preserve"> have</w:t>
      </w:r>
      <w:r w:rsidR="0066088D" w:rsidRPr="006F767C">
        <w:rPr>
          <w:color w:val="000000"/>
          <w:sz w:val="20"/>
          <w:szCs w:val="20"/>
        </w:rPr>
        <w:t xml:space="preserve"> </w:t>
      </w:r>
      <w:r w:rsidR="00AE778D" w:rsidRPr="006F767C">
        <w:rPr>
          <w:color w:val="000000"/>
          <w:sz w:val="20"/>
          <w:szCs w:val="20"/>
        </w:rPr>
        <w:t xml:space="preserve">to resort </w:t>
      </w:r>
      <w:r w:rsidR="0066088D" w:rsidRPr="006F767C">
        <w:rPr>
          <w:color w:val="000000"/>
          <w:sz w:val="20"/>
          <w:szCs w:val="20"/>
        </w:rPr>
        <w:t>to</w:t>
      </w:r>
      <w:r w:rsidR="00AE778D" w:rsidRPr="006F767C">
        <w:rPr>
          <w:color w:val="000000"/>
          <w:sz w:val="20"/>
          <w:szCs w:val="20"/>
        </w:rPr>
        <w:t xml:space="preserve"> makeshift toilets in</w:t>
      </w:r>
      <w:r w:rsidR="0066088D" w:rsidRPr="006F767C">
        <w:rPr>
          <w:color w:val="000000"/>
          <w:sz w:val="20"/>
          <w:szCs w:val="20"/>
        </w:rPr>
        <w:t xml:space="preserve"> </w:t>
      </w:r>
      <w:r w:rsidR="00AE778D" w:rsidRPr="006F767C">
        <w:rPr>
          <w:color w:val="000000"/>
          <w:sz w:val="20"/>
          <w:szCs w:val="20"/>
        </w:rPr>
        <w:t xml:space="preserve">places </w:t>
      </w:r>
      <w:r w:rsidR="0066088D" w:rsidRPr="006F767C">
        <w:rPr>
          <w:color w:val="000000"/>
          <w:sz w:val="20"/>
          <w:szCs w:val="20"/>
        </w:rPr>
        <w:t xml:space="preserve">that do not offer protection </w:t>
      </w:r>
      <w:r w:rsidR="00AE778D" w:rsidRPr="006F767C">
        <w:rPr>
          <w:color w:val="000000"/>
          <w:sz w:val="20"/>
          <w:szCs w:val="20"/>
        </w:rPr>
        <w:t>or</w:t>
      </w:r>
      <w:r w:rsidR="0066088D" w:rsidRPr="006F767C">
        <w:rPr>
          <w:color w:val="000000"/>
          <w:sz w:val="20"/>
          <w:szCs w:val="20"/>
        </w:rPr>
        <w:t xml:space="preserve"> dignity. It is imperative that prevention and </w:t>
      </w:r>
      <w:r w:rsidR="000538FA" w:rsidRPr="006F767C">
        <w:rPr>
          <w:color w:val="000000"/>
          <w:sz w:val="20"/>
          <w:szCs w:val="20"/>
        </w:rPr>
        <w:t xml:space="preserve">risk </w:t>
      </w:r>
      <w:r w:rsidR="0066088D" w:rsidRPr="006F767C">
        <w:rPr>
          <w:color w:val="000000"/>
          <w:sz w:val="20"/>
          <w:szCs w:val="20"/>
        </w:rPr>
        <w:t>management</w:t>
      </w:r>
      <w:r w:rsidR="00AE778D" w:rsidRPr="006F767C">
        <w:rPr>
          <w:color w:val="000000"/>
          <w:sz w:val="20"/>
          <w:szCs w:val="20"/>
        </w:rPr>
        <w:t xml:space="preserve"> responses </w:t>
      </w:r>
      <w:r w:rsidR="0066088D" w:rsidRPr="006F767C">
        <w:rPr>
          <w:color w:val="000000"/>
          <w:sz w:val="20"/>
          <w:szCs w:val="20"/>
        </w:rPr>
        <w:t xml:space="preserve">take into account gender </w:t>
      </w:r>
      <w:r w:rsidR="00AE778D" w:rsidRPr="006F767C">
        <w:rPr>
          <w:color w:val="000000"/>
          <w:sz w:val="20"/>
          <w:szCs w:val="20"/>
        </w:rPr>
        <w:t>aspects</w:t>
      </w:r>
      <w:r w:rsidR="0066088D" w:rsidRPr="006F767C">
        <w:rPr>
          <w:color w:val="000000"/>
          <w:sz w:val="20"/>
          <w:szCs w:val="20"/>
        </w:rPr>
        <w:t>. The 2016 and 2017 Risk Inform</w:t>
      </w:r>
      <w:r w:rsidR="00EA4F81" w:rsidRPr="006F767C">
        <w:rPr>
          <w:color w:val="000000"/>
          <w:sz w:val="20"/>
          <w:szCs w:val="20"/>
          <w:vertAlign w:val="superscript"/>
        </w:rPr>
        <w:footnoteReference w:id="10"/>
      </w:r>
      <w:r w:rsidR="0066088D" w:rsidRPr="006F767C">
        <w:rPr>
          <w:color w:val="000000"/>
          <w:sz w:val="20"/>
          <w:szCs w:val="20"/>
          <w:vertAlign w:val="superscript"/>
        </w:rPr>
        <w:t xml:space="preserve"> </w:t>
      </w:r>
      <w:r w:rsidR="0066088D" w:rsidRPr="006F767C">
        <w:rPr>
          <w:color w:val="000000"/>
          <w:sz w:val="20"/>
          <w:szCs w:val="20"/>
        </w:rPr>
        <w:t>ind</w:t>
      </w:r>
      <w:r w:rsidR="00AB27DB" w:rsidRPr="006F767C">
        <w:rPr>
          <w:color w:val="000000"/>
          <w:sz w:val="20"/>
          <w:szCs w:val="20"/>
        </w:rPr>
        <w:t>ices</w:t>
      </w:r>
      <w:r w:rsidR="0066088D" w:rsidRPr="006F767C">
        <w:rPr>
          <w:color w:val="000000"/>
          <w:sz w:val="20"/>
          <w:szCs w:val="20"/>
        </w:rPr>
        <w:t xml:space="preserve"> show the coping capacity of populations </w:t>
      </w:r>
      <w:r w:rsidR="00435D30" w:rsidRPr="006F767C">
        <w:rPr>
          <w:color w:val="000000"/>
          <w:sz w:val="20"/>
          <w:szCs w:val="20"/>
        </w:rPr>
        <w:t xml:space="preserve">is </w:t>
      </w:r>
      <w:r w:rsidR="0066088D" w:rsidRPr="006F767C">
        <w:rPr>
          <w:color w:val="000000"/>
          <w:sz w:val="20"/>
          <w:szCs w:val="20"/>
        </w:rPr>
        <w:t xml:space="preserve">relatively weak </w:t>
      </w:r>
      <w:r w:rsidR="00AE778D" w:rsidRPr="006F767C">
        <w:rPr>
          <w:color w:val="000000"/>
          <w:sz w:val="20"/>
          <w:szCs w:val="20"/>
        </w:rPr>
        <w:t>(</w:t>
      </w:r>
      <w:r w:rsidR="0066088D" w:rsidRPr="006F767C">
        <w:rPr>
          <w:color w:val="000000"/>
          <w:sz w:val="20"/>
          <w:szCs w:val="20"/>
        </w:rPr>
        <w:t>6.2</w:t>
      </w:r>
      <w:r w:rsidR="00C93DEC" w:rsidRPr="006F767C">
        <w:rPr>
          <w:color w:val="000000"/>
          <w:sz w:val="20"/>
          <w:szCs w:val="20"/>
        </w:rPr>
        <w:t xml:space="preserve"> out of</w:t>
      </w:r>
      <w:r w:rsidR="00DF3830" w:rsidRPr="006F767C">
        <w:rPr>
          <w:color w:val="000000"/>
          <w:sz w:val="20"/>
          <w:szCs w:val="20"/>
        </w:rPr>
        <w:t xml:space="preserve"> 10</w:t>
      </w:r>
      <w:r w:rsidR="00AE778D" w:rsidRPr="006F767C">
        <w:rPr>
          <w:color w:val="000000"/>
          <w:sz w:val="20"/>
          <w:szCs w:val="20"/>
        </w:rPr>
        <w:t>)</w:t>
      </w:r>
      <w:r w:rsidR="00DF3830" w:rsidRPr="006F767C">
        <w:rPr>
          <w:color w:val="000000"/>
          <w:sz w:val="20"/>
          <w:szCs w:val="20"/>
        </w:rPr>
        <w:t xml:space="preserve"> </w:t>
      </w:r>
      <w:r w:rsidR="00C93DEC" w:rsidRPr="006F767C">
        <w:rPr>
          <w:color w:val="000000"/>
          <w:sz w:val="20"/>
          <w:szCs w:val="20"/>
        </w:rPr>
        <w:t>and immediate risks are security and climate</w:t>
      </w:r>
      <w:r w:rsidR="000538FA" w:rsidRPr="006F767C">
        <w:rPr>
          <w:color w:val="000000"/>
          <w:sz w:val="20"/>
          <w:szCs w:val="20"/>
        </w:rPr>
        <w:t>-</w:t>
      </w:r>
      <w:r w:rsidR="00C93DEC" w:rsidRPr="006F767C">
        <w:rPr>
          <w:color w:val="000000"/>
          <w:sz w:val="20"/>
          <w:szCs w:val="20"/>
        </w:rPr>
        <w:t xml:space="preserve">related, with the Sahel region </w:t>
      </w:r>
      <w:r w:rsidR="00AE778D" w:rsidRPr="006F767C">
        <w:rPr>
          <w:color w:val="000000"/>
          <w:sz w:val="20"/>
          <w:szCs w:val="20"/>
        </w:rPr>
        <w:t xml:space="preserve">being the </w:t>
      </w:r>
      <w:r w:rsidR="00C93DEC" w:rsidRPr="006F767C">
        <w:rPr>
          <w:color w:val="000000"/>
          <w:sz w:val="20"/>
          <w:szCs w:val="20"/>
        </w:rPr>
        <w:t xml:space="preserve">most exposed to multiple hazards. </w:t>
      </w:r>
    </w:p>
    <w:p w14:paraId="29F39B7C" w14:textId="77777777" w:rsidR="00AE778D" w:rsidRPr="001B6A23" w:rsidRDefault="00AE778D" w:rsidP="00B63C20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01A0AE28" w14:textId="26775982" w:rsidR="007D2662" w:rsidRPr="006F767C" w:rsidRDefault="001B64C4" w:rsidP="00F95CAC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t>An i</w:t>
      </w:r>
      <w:r w:rsidR="00D37477" w:rsidRPr="006F767C">
        <w:rPr>
          <w:color w:val="000000"/>
          <w:sz w:val="20"/>
          <w:szCs w:val="20"/>
        </w:rPr>
        <w:t xml:space="preserve">ndependent </w:t>
      </w:r>
      <w:r w:rsidR="000B5AC7" w:rsidRPr="006F767C">
        <w:rPr>
          <w:color w:val="000000"/>
          <w:sz w:val="20"/>
          <w:szCs w:val="20"/>
        </w:rPr>
        <w:t xml:space="preserve">review </w:t>
      </w:r>
      <w:r w:rsidR="00D37477" w:rsidRPr="006F767C">
        <w:rPr>
          <w:color w:val="000000"/>
          <w:sz w:val="20"/>
          <w:szCs w:val="20"/>
        </w:rPr>
        <w:t xml:space="preserve">of the </w:t>
      </w:r>
      <w:r w:rsidR="00DF2EFB" w:rsidRPr="006F767C">
        <w:rPr>
          <w:color w:val="000000"/>
          <w:sz w:val="20"/>
          <w:szCs w:val="20"/>
        </w:rPr>
        <w:t>current cycle</w:t>
      </w:r>
      <w:r w:rsidR="00215ED8" w:rsidRPr="006F767C">
        <w:rPr>
          <w:sz w:val="20"/>
          <w:szCs w:val="20"/>
          <w:vertAlign w:val="superscript"/>
        </w:rPr>
        <w:footnoteReference w:id="11"/>
      </w:r>
      <w:r w:rsidR="006519BD" w:rsidRPr="006F767C">
        <w:rPr>
          <w:color w:val="000000"/>
          <w:sz w:val="20"/>
          <w:szCs w:val="20"/>
        </w:rPr>
        <w:t xml:space="preserve"> reveal</w:t>
      </w:r>
      <w:r w:rsidR="00681AE3" w:rsidRPr="006F767C">
        <w:rPr>
          <w:color w:val="000000"/>
          <w:sz w:val="20"/>
          <w:szCs w:val="20"/>
        </w:rPr>
        <w:t>s</w:t>
      </w:r>
      <w:r w:rsidR="008173C5" w:rsidRPr="006F767C">
        <w:rPr>
          <w:color w:val="000000"/>
          <w:sz w:val="20"/>
          <w:szCs w:val="20"/>
        </w:rPr>
        <w:t xml:space="preserve"> that </w:t>
      </w:r>
      <w:r w:rsidR="004B7C27" w:rsidRPr="006F767C">
        <w:rPr>
          <w:color w:val="000000"/>
          <w:sz w:val="20"/>
          <w:szCs w:val="20"/>
        </w:rPr>
        <w:t xml:space="preserve">UNDP enjoys the trust of major stakeholders and </w:t>
      </w:r>
      <w:r w:rsidR="00AE778D" w:rsidRPr="006F767C">
        <w:rPr>
          <w:color w:val="000000"/>
          <w:sz w:val="20"/>
          <w:szCs w:val="20"/>
        </w:rPr>
        <w:t>partners</w:t>
      </w:r>
      <w:r w:rsidR="008173C5" w:rsidRPr="006F767C">
        <w:rPr>
          <w:color w:val="000000"/>
          <w:sz w:val="20"/>
          <w:szCs w:val="20"/>
        </w:rPr>
        <w:t xml:space="preserve"> at all levels</w:t>
      </w:r>
      <w:r w:rsidR="00AE778D" w:rsidRPr="006F767C">
        <w:rPr>
          <w:color w:val="000000"/>
          <w:sz w:val="20"/>
          <w:szCs w:val="20"/>
        </w:rPr>
        <w:t xml:space="preserve">. This includes </w:t>
      </w:r>
      <w:r w:rsidR="008E4774" w:rsidRPr="006F767C">
        <w:rPr>
          <w:color w:val="000000"/>
          <w:sz w:val="20"/>
          <w:szCs w:val="20"/>
        </w:rPr>
        <w:t>civil society, academic institutions</w:t>
      </w:r>
      <w:r w:rsidR="00AE778D" w:rsidRPr="006F767C">
        <w:rPr>
          <w:color w:val="000000"/>
          <w:sz w:val="20"/>
          <w:szCs w:val="20"/>
        </w:rPr>
        <w:t>, religious organizations,</w:t>
      </w:r>
      <w:r w:rsidR="008E4774" w:rsidRPr="006F767C">
        <w:rPr>
          <w:color w:val="000000"/>
          <w:sz w:val="20"/>
          <w:szCs w:val="20"/>
        </w:rPr>
        <w:t xml:space="preserve"> as well as youth</w:t>
      </w:r>
      <w:r w:rsidR="00AE778D" w:rsidRPr="006F767C">
        <w:rPr>
          <w:color w:val="000000"/>
          <w:sz w:val="20"/>
          <w:szCs w:val="20"/>
        </w:rPr>
        <w:t xml:space="preserve"> and</w:t>
      </w:r>
      <w:r w:rsidR="008E4774" w:rsidRPr="006F767C">
        <w:rPr>
          <w:color w:val="000000"/>
          <w:sz w:val="20"/>
          <w:szCs w:val="20"/>
        </w:rPr>
        <w:t xml:space="preserve"> women</w:t>
      </w:r>
      <w:r w:rsidR="00AE778D" w:rsidRPr="006F767C">
        <w:rPr>
          <w:color w:val="000000"/>
          <w:sz w:val="20"/>
          <w:szCs w:val="20"/>
        </w:rPr>
        <w:t>’s groups</w:t>
      </w:r>
      <w:r w:rsidR="00DE2070" w:rsidRPr="006F767C">
        <w:rPr>
          <w:color w:val="000000"/>
          <w:sz w:val="20"/>
          <w:szCs w:val="20"/>
        </w:rPr>
        <w:t xml:space="preserve">. </w:t>
      </w:r>
      <w:r w:rsidR="00B54662" w:rsidRPr="006F767C">
        <w:rPr>
          <w:color w:val="000000"/>
          <w:sz w:val="20"/>
          <w:szCs w:val="20"/>
        </w:rPr>
        <w:t xml:space="preserve">The </w:t>
      </w:r>
      <w:r w:rsidR="000B5AC7" w:rsidRPr="006F767C">
        <w:rPr>
          <w:color w:val="000000"/>
          <w:sz w:val="20"/>
          <w:szCs w:val="20"/>
        </w:rPr>
        <w:t xml:space="preserve">review </w:t>
      </w:r>
      <w:r w:rsidR="008D70A4" w:rsidRPr="006F767C">
        <w:rPr>
          <w:color w:val="000000"/>
          <w:sz w:val="20"/>
          <w:szCs w:val="20"/>
        </w:rPr>
        <w:t>found</w:t>
      </w:r>
      <w:r w:rsidR="00BF268A" w:rsidRPr="006F767C">
        <w:rPr>
          <w:color w:val="000000"/>
          <w:sz w:val="20"/>
          <w:szCs w:val="20"/>
        </w:rPr>
        <w:t xml:space="preserve"> </w:t>
      </w:r>
      <w:r w:rsidR="00F4710A" w:rsidRPr="006F767C">
        <w:rPr>
          <w:color w:val="000000"/>
          <w:sz w:val="20"/>
          <w:szCs w:val="20"/>
        </w:rPr>
        <w:t>UNDP</w:t>
      </w:r>
      <w:r w:rsidR="00AE778D" w:rsidRPr="006F767C">
        <w:rPr>
          <w:color w:val="000000"/>
          <w:sz w:val="20"/>
          <w:szCs w:val="20"/>
        </w:rPr>
        <w:t xml:space="preserve"> has a</w:t>
      </w:r>
      <w:r w:rsidR="00F4710A" w:rsidRPr="006F767C">
        <w:rPr>
          <w:color w:val="000000"/>
          <w:sz w:val="20"/>
          <w:szCs w:val="20"/>
        </w:rPr>
        <w:t xml:space="preserve"> </w:t>
      </w:r>
      <w:r w:rsidR="00D80853" w:rsidRPr="006F767C">
        <w:rPr>
          <w:color w:val="000000"/>
          <w:sz w:val="20"/>
          <w:szCs w:val="20"/>
        </w:rPr>
        <w:lastRenderedPageBreak/>
        <w:t>unique c</w:t>
      </w:r>
      <w:r w:rsidR="003E399F" w:rsidRPr="006F767C">
        <w:rPr>
          <w:color w:val="000000"/>
          <w:sz w:val="20"/>
          <w:szCs w:val="20"/>
        </w:rPr>
        <w:t>apacity to convene a broad range of partners</w:t>
      </w:r>
      <w:r w:rsidR="00AE778D" w:rsidRPr="006F767C">
        <w:rPr>
          <w:color w:val="000000"/>
          <w:sz w:val="20"/>
          <w:szCs w:val="20"/>
        </w:rPr>
        <w:t xml:space="preserve"> and </w:t>
      </w:r>
      <w:r w:rsidR="00E8517B" w:rsidRPr="006F767C">
        <w:rPr>
          <w:color w:val="000000"/>
          <w:sz w:val="20"/>
          <w:szCs w:val="20"/>
        </w:rPr>
        <w:t>was instrumental</w:t>
      </w:r>
      <w:r w:rsidR="0016370E" w:rsidRPr="006F767C">
        <w:rPr>
          <w:color w:val="000000"/>
          <w:sz w:val="20"/>
          <w:szCs w:val="20"/>
        </w:rPr>
        <w:t xml:space="preserve"> during the transition</w:t>
      </w:r>
      <w:r w:rsidR="00AE778D" w:rsidRPr="006F767C">
        <w:rPr>
          <w:color w:val="000000"/>
          <w:sz w:val="20"/>
          <w:szCs w:val="20"/>
        </w:rPr>
        <w:t>al</w:t>
      </w:r>
      <w:r w:rsidR="0016370E" w:rsidRPr="006F767C">
        <w:rPr>
          <w:color w:val="000000"/>
          <w:sz w:val="20"/>
          <w:szCs w:val="20"/>
        </w:rPr>
        <w:t xml:space="preserve"> period</w:t>
      </w:r>
      <w:r w:rsidR="00A71E32">
        <w:rPr>
          <w:color w:val="000000"/>
          <w:sz w:val="20"/>
          <w:szCs w:val="20"/>
        </w:rPr>
        <w:t>,</w:t>
      </w:r>
      <w:r w:rsidR="0016370E" w:rsidRPr="006F767C">
        <w:rPr>
          <w:color w:val="000000"/>
          <w:sz w:val="20"/>
          <w:szCs w:val="20"/>
        </w:rPr>
        <w:t xml:space="preserve"> </w:t>
      </w:r>
      <w:r w:rsidR="00A835F7" w:rsidRPr="006F767C">
        <w:rPr>
          <w:color w:val="000000"/>
          <w:sz w:val="20"/>
          <w:szCs w:val="20"/>
        </w:rPr>
        <w:t xml:space="preserve">and </w:t>
      </w:r>
      <w:r w:rsidR="00AE778D" w:rsidRPr="006F767C">
        <w:rPr>
          <w:color w:val="000000"/>
          <w:sz w:val="20"/>
          <w:szCs w:val="20"/>
        </w:rPr>
        <w:t xml:space="preserve">in the run </w:t>
      </w:r>
      <w:r w:rsidR="0016370E" w:rsidRPr="006F767C">
        <w:rPr>
          <w:color w:val="000000"/>
          <w:sz w:val="20"/>
          <w:szCs w:val="20"/>
        </w:rPr>
        <w:t>up to the presidential elections.</w:t>
      </w:r>
      <w:r w:rsidR="006519BD" w:rsidRPr="006F767C">
        <w:rPr>
          <w:color w:val="000000"/>
          <w:sz w:val="20"/>
          <w:szCs w:val="20"/>
        </w:rPr>
        <w:t xml:space="preserve"> The 2016 </w:t>
      </w:r>
      <w:r w:rsidR="0064155E" w:rsidRPr="006F767C">
        <w:rPr>
          <w:color w:val="000000"/>
          <w:sz w:val="20"/>
          <w:szCs w:val="20"/>
        </w:rPr>
        <w:t xml:space="preserve">UNDP </w:t>
      </w:r>
      <w:r w:rsidR="006519BD" w:rsidRPr="006F767C">
        <w:rPr>
          <w:color w:val="000000"/>
          <w:sz w:val="20"/>
          <w:szCs w:val="20"/>
        </w:rPr>
        <w:t>partner</w:t>
      </w:r>
      <w:r w:rsidR="0064155E" w:rsidRPr="006F767C">
        <w:rPr>
          <w:color w:val="000000"/>
          <w:sz w:val="20"/>
          <w:szCs w:val="20"/>
        </w:rPr>
        <w:t>ship</w:t>
      </w:r>
      <w:r w:rsidR="006519BD" w:rsidRPr="006F767C">
        <w:rPr>
          <w:color w:val="000000"/>
          <w:sz w:val="20"/>
          <w:szCs w:val="20"/>
        </w:rPr>
        <w:t xml:space="preserve"> survey confirm</w:t>
      </w:r>
      <w:r w:rsidR="00AE778D" w:rsidRPr="006F767C">
        <w:rPr>
          <w:color w:val="000000"/>
          <w:sz w:val="20"/>
          <w:szCs w:val="20"/>
        </w:rPr>
        <w:t>ed</w:t>
      </w:r>
      <w:r w:rsidR="006519BD" w:rsidRPr="006F767C">
        <w:rPr>
          <w:color w:val="000000"/>
          <w:sz w:val="20"/>
          <w:szCs w:val="20"/>
        </w:rPr>
        <w:t xml:space="preserve"> UNDP is recognized for</w:t>
      </w:r>
      <w:r w:rsidR="008679AD">
        <w:rPr>
          <w:color w:val="000000"/>
          <w:sz w:val="20"/>
          <w:szCs w:val="20"/>
        </w:rPr>
        <w:t xml:space="preserve"> its</w:t>
      </w:r>
      <w:r w:rsidR="00AE778D" w:rsidRPr="006F767C">
        <w:rPr>
          <w:color w:val="000000"/>
          <w:sz w:val="20"/>
          <w:szCs w:val="20"/>
        </w:rPr>
        <w:t>:</w:t>
      </w:r>
      <w:r w:rsidR="006519BD" w:rsidRPr="006F767C">
        <w:rPr>
          <w:color w:val="000000"/>
          <w:sz w:val="20"/>
          <w:szCs w:val="20"/>
        </w:rPr>
        <w:t xml:space="preserve"> </w:t>
      </w:r>
      <w:r w:rsidR="008D70A4" w:rsidRPr="006F767C">
        <w:rPr>
          <w:color w:val="000000"/>
          <w:sz w:val="20"/>
          <w:szCs w:val="20"/>
        </w:rPr>
        <w:t xml:space="preserve">i) </w:t>
      </w:r>
      <w:r w:rsidR="00B54662" w:rsidRPr="006F767C">
        <w:rPr>
          <w:color w:val="000000"/>
          <w:sz w:val="20"/>
          <w:szCs w:val="20"/>
        </w:rPr>
        <w:t>competence</w:t>
      </w:r>
      <w:r w:rsidR="00FA495A" w:rsidRPr="006F767C">
        <w:rPr>
          <w:color w:val="000000"/>
          <w:sz w:val="20"/>
          <w:szCs w:val="20"/>
        </w:rPr>
        <w:t xml:space="preserve"> and </w:t>
      </w:r>
      <w:r w:rsidR="004C615D" w:rsidRPr="006F767C">
        <w:rPr>
          <w:color w:val="000000"/>
          <w:sz w:val="20"/>
          <w:szCs w:val="20"/>
        </w:rPr>
        <w:t xml:space="preserve">expertise </w:t>
      </w:r>
      <w:r w:rsidR="00AE778D" w:rsidRPr="006F767C">
        <w:rPr>
          <w:color w:val="000000"/>
          <w:sz w:val="20"/>
          <w:szCs w:val="20"/>
        </w:rPr>
        <w:t xml:space="preserve">in </w:t>
      </w:r>
      <w:r w:rsidR="003B41F3" w:rsidRPr="006F767C">
        <w:rPr>
          <w:color w:val="000000"/>
          <w:sz w:val="20"/>
          <w:szCs w:val="20"/>
        </w:rPr>
        <w:t>provid</w:t>
      </w:r>
      <w:r w:rsidR="00AE778D" w:rsidRPr="006F767C">
        <w:rPr>
          <w:color w:val="000000"/>
          <w:sz w:val="20"/>
          <w:szCs w:val="20"/>
        </w:rPr>
        <w:t>ing</w:t>
      </w:r>
      <w:r w:rsidR="003B41F3" w:rsidRPr="006F767C">
        <w:rPr>
          <w:color w:val="000000"/>
          <w:sz w:val="20"/>
          <w:szCs w:val="20"/>
        </w:rPr>
        <w:t xml:space="preserve"> evidence</w:t>
      </w:r>
      <w:r w:rsidR="00FE51C6" w:rsidRPr="006F767C">
        <w:rPr>
          <w:color w:val="000000"/>
          <w:sz w:val="20"/>
          <w:szCs w:val="20"/>
        </w:rPr>
        <w:t>-</w:t>
      </w:r>
      <w:r w:rsidR="003B41F3" w:rsidRPr="006F767C">
        <w:rPr>
          <w:color w:val="000000"/>
          <w:sz w:val="20"/>
          <w:szCs w:val="20"/>
        </w:rPr>
        <w:t>based</w:t>
      </w:r>
      <w:r w:rsidR="00AE778D" w:rsidRPr="006F767C">
        <w:rPr>
          <w:color w:val="000000"/>
          <w:sz w:val="20"/>
          <w:szCs w:val="20"/>
        </w:rPr>
        <w:t xml:space="preserve"> and</w:t>
      </w:r>
      <w:r w:rsidR="00FE51C6" w:rsidRPr="006F767C">
        <w:rPr>
          <w:color w:val="000000"/>
          <w:sz w:val="20"/>
          <w:szCs w:val="20"/>
        </w:rPr>
        <w:t xml:space="preserve"> </w:t>
      </w:r>
      <w:r w:rsidR="00593264" w:rsidRPr="006F767C">
        <w:rPr>
          <w:color w:val="000000"/>
          <w:sz w:val="20"/>
          <w:szCs w:val="20"/>
        </w:rPr>
        <w:t>context</w:t>
      </w:r>
      <w:r w:rsidR="00FE51C6" w:rsidRPr="006F767C">
        <w:rPr>
          <w:color w:val="000000"/>
          <w:sz w:val="20"/>
          <w:szCs w:val="20"/>
        </w:rPr>
        <w:t>-</w:t>
      </w:r>
      <w:r w:rsidR="00593264" w:rsidRPr="006F767C">
        <w:rPr>
          <w:color w:val="000000"/>
          <w:sz w:val="20"/>
          <w:szCs w:val="20"/>
        </w:rPr>
        <w:t xml:space="preserve">specific policy </w:t>
      </w:r>
      <w:r w:rsidR="003B41F3" w:rsidRPr="006F767C">
        <w:rPr>
          <w:color w:val="000000"/>
          <w:sz w:val="20"/>
          <w:szCs w:val="20"/>
        </w:rPr>
        <w:t>advice</w:t>
      </w:r>
      <w:r w:rsidR="00AE778D" w:rsidRPr="006F767C">
        <w:rPr>
          <w:color w:val="000000"/>
          <w:sz w:val="20"/>
          <w:szCs w:val="20"/>
        </w:rPr>
        <w:t>,</w:t>
      </w:r>
      <w:r w:rsidR="00593264" w:rsidRPr="006F767C">
        <w:rPr>
          <w:color w:val="000000"/>
          <w:sz w:val="20"/>
          <w:szCs w:val="20"/>
        </w:rPr>
        <w:t xml:space="preserve"> and strategic</w:t>
      </w:r>
      <w:r w:rsidR="006C7B54" w:rsidRPr="006F767C">
        <w:rPr>
          <w:color w:val="000000"/>
          <w:sz w:val="20"/>
          <w:szCs w:val="20"/>
        </w:rPr>
        <w:t xml:space="preserve"> </w:t>
      </w:r>
      <w:r w:rsidR="00593264" w:rsidRPr="006F767C">
        <w:rPr>
          <w:color w:val="000000"/>
          <w:sz w:val="20"/>
          <w:szCs w:val="20"/>
        </w:rPr>
        <w:t>technical support</w:t>
      </w:r>
      <w:r w:rsidR="00AE778D" w:rsidRPr="006F767C">
        <w:rPr>
          <w:color w:val="000000"/>
          <w:sz w:val="20"/>
          <w:szCs w:val="20"/>
        </w:rPr>
        <w:t>;</w:t>
      </w:r>
      <w:r w:rsidR="003B41F3" w:rsidRPr="006F767C">
        <w:rPr>
          <w:color w:val="000000"/>
          <w:sz w:val="20"/>
          <w:szCs w:val="20"/>
        </w:rPr>
        <w:t xml:space="preserve"> </w:t>
      </w:r>
      <w:r w:rsidR="008D70A4" w:rsidRPr="006F767C">
        <w:rPr>
          <w:color w:val="000000"/>
          <w:sz w:val="20"/>
          <w:szCs w:val="20"/>
        </w:rPr>
        <w:t xml:space="preserve">ii) </w:t>
      </w:r>
      <w:r w:rsidR="003B41F3" w:rsidRPr="006F767C">
        <w:rPr>
          <w:color w:val="000000"/>
          <w:sz w:val="20"/>
          <w:szCs w:val="20"/>
        </w:rPr>
        <w:t xml:space="preserve">contribution </w:t>
      </w:r>
      <w:r w:rsidR="004E11DB" w:rsidRPr="006F767C">
        <w:rPr>
          <w:color w:val="000000"/>
          <w:sz w:val="20"/>
          <w:szCs w:val="20"/>
        </w:rPr>
        <w:t xml:space="preserve">to </w:t>
      </w:r>
      <w:r w:rsidR="003B41F3" w:rsidRPr="006F767C">
        <w:rPr>
          <w:color w:val="000000"/>
          <w:sz w:val="20"/>
          <w:szCs w:val="20"/>
        </w:rPr>
        <w:t>governance and</w:t>
      </w:r>
      <w:r w:rsidR="00593264" w:rsidRPr="006F767C">
        <w:rPr>
          <w:color w:val="000000"/>
          <w:sz w:val="20"/>
          <w:szCs w:val="20"/>
        </w:rPr>
        <w:t xml:space="preserve"> </w:t>
      </w:r>
      <w:r w:rsidR="000B0FF4" w:rsidRPr="006F767C">
        <w:rPr>
          <w:color w:val="000000"/>
          <w:sz w:val="20"/>
          <w:szCs w:val="20"/>
        </w:rPr>
        <w:t>national capacity development</w:t>
      </w:r>
      <w:r w:rsidR="00593264" w:rsidRPr="006F767C">
        <w:rPr>
          <w:color w:val="000000"/>
          <w:sz w:val="20"/>
          <w:szCs w:val="20"/>
        </w:rPr>
        <w:t xml:space="preserve"> efforts</w:t>
      </w:r>
      <w:r w:rsidR="00AE778D" w:rsidRPr="006F767C">
        <w:rPr>
          <w:color w:val="000000"/>
          <w:sz w:val="20"/>
          <w:szCs w:val="20"/>
        </w:rPr>
        <w:t>;</w:t>
      </w:r>
      <w:r w:rsidR="002A3C6E" w:rsidRPr="006F767C">
        <w:rPr>
          <w:color w:val="000000"/>
          <w:sz w:val="20"/>
          <w:szCs w:val="20"/>
        </w:rPr>
        <w:t xml:space="preserve"> </w:t>
      </w:r>
      <w:r w:rsidR="00775B24" w:rsidRPr="006F767C">
        <w:rPr>
          <w:color w:val="000000"/>
          <w:sz w:val="20"/>
          <w:szCs w:val="20"/>
        </w:rPr>
        <w:t>iii</w:t>
      </w:r>
      <w:r w:rsidR="008D70A4" w:rsidRPr="006F767C">
        <w:rPr>
          <w:color w:val="000000"/>
          <w:sz w:val="20"/>
          <w:szCs w:val="20"/>
        </w:rPr>
        <w:t xml:space="preserve">) </w:t>
      </w:r>
      <w:r w:rsidR="004C615D" w:rsidRPr="006F767C">
        <w:rPr>
          <w:color w:val="000000"/>
          <w:sz w:val="20"/>
          <w:szCs w:val="20"/>
        </w:rPr>
        <w:t>unique ability</w:t>
      </w:r>
      <w:r w:rsidR="008D70A4" w:rsidRPr="006F767C">
        <w:rPr>
          <w:color w:val="000000"/>
          <w:sz w:val="20"/>
          <w:szCs w:val="20"/>
        </w:rPr>
        <w:t xml:space="preserve"> </w:t>
      </w:r>
      <w:r w:rsidR="006519BD" w:rsidRPr="006F767C">
        <w:rPr>
          <w:color w:val="000000"/>
          <w:sz w:val="20"/>
          <w:szCs w:val="20"/>
        </w:rPr>
        <w:t>to facilitate inclusive multi-stakeholder dialogues</w:t>
      </w:r>
      <w:r w:rsidR="00AE778D" w:rsidRPr="006F767C">
        <w:rPr>
          <w:color w:val="000000"/>
          <w:sz w:val="20"/>
          <w:szCs w:val="20"/>
        </w:rPr>
        <w:t>,</w:t>
      </w:r>
      <w:r w:rsidR="006519BD" w:rsidRPr="006F767C">
        <w:rPr>
          <w:color w:val="000000"/>
          <w:sz w:val="20"/>
          <w:szCs w:val="20"/>
        </w:rPr>
        <w:t xml:space="preserve"> </w:t>
      </w:r>
      <w:r w:rsidR="000B0FF4" w:rsidRPr="006F767C">
        <w:rPr>
          <w:color w:val="000000"/>
          <w:sz w:val="20"/>
          <w:szCs w:val="20"/>
        </w:rPr>
        <w:t>and</w:t>
      </w:r>
      <w:r w:rsidR="002A3C6E" w:rsidRPr="006F767C">
        <w:rPr>
          <w:color w:val="000000"/>
          <w:sz w:val="20"/>
          <w:szCs w:val="20"/>
        </w:rPr>
        <w:t xml:space="preserve"> iv) neutrality</w:t>
      </w:r>
      <w:r w:rsidR="000B0FF4" w:rsidRPr="006F767C">
        <w:rPr>
          <w:color w:val="000000"/>
          <w:sz w:val="20"/>
          <w:szCs w:val="20"/>
        </w:rPr>
        <w:t xml:space="preserve"> </w:t>
      </w:r>
      <w:r w:rsidR="00502F0D" w:rsidRPr="006F767C">
        <w:rPr>
          <w:color w:val="000000"/>
          <w:sz w:val="20"/>
          <w:szCs w:val="20"/>
        </w:rPr>
        <w:t xml:space="preserve">in </w:t>
      </w:r>
      <w:r w:rsidR="000B0FF4" w:rsidRPr="006F767C">
        <w:rPr>
          <w:color w:val="000000"/>
          <w:sz w:val="20"/>
          <w:szCs w:val="20"/>
        </w:rPr>
        <w:t>lead</w:t>
      </w:r>
      <w:r w:rsidR="00502F0D" w:rsidRPr="006F767C">
        <w:rPr>
          <w:color w:val="000000"/>
          <w:sz w:val="20"/>
          <w:szCs w:val="20"/>
        </w:rPr>
        <w:t>ing</w:t>
      </w:r>
      <w:r w:rsidR="000B0FF4" w:rsidRPr="006F767C">
        <w:rPr>
          <w:color w:val="000000"/>
          <w:sz w:val="20"/>
          <w:szCs w:val="20"/>
        </w:rPr>
        <w:t xml:space="preserve"> high</w:t>
      </w:r>
      <w:r w:rsidR="00FE51C6" w:rsidRPr="006F767C">
        <w:rPr>
          <w:color w:val="000000"/>
          <w:sz w:val="20"/>
          <w:szCs w:val="20"/>
        </w:rPr>
        <w:t>-</w:t>
      </w:r>
      <w:r w:rsidR="000B0FF4" w:rsidRPr="006F767C">
        <w:rPr>
          <w:color w:val="000000"/>
          <w:sz w:val="20"/>
          <w:szCs w:val="20"/>
        </w:rPr>
        <w:t>level political dialogue</w:t>
      </w:r>
      <w:r w:rsidR="00502F0D" w:rsidRPr="006F767C">
        <w:rPr>
          <w:color w:val="000000"/>
          <w:sz w:val="20"/>
          <w:szCs w:val="20"/>
        </w:rPr>
        <w:t>s</w:t>
      </w:r>
      <w:r w:rsidR="000B0FF4" w:rsidRPr="006F767C">
        <w:rPr>
          <w:color w:val="000000"/>
          <w:sz w:val="20"/>
          <w:szCs w:val="20"/>
        </w:rPr>
        <w:t>.</w:t>
      </w:r>
      <w:r w:rsidR="00F950DC" w:rsidRPr="006F767C">
        <w:rPr>
          <w:color w:val="000000"/>
          <w:sz w:val="20"/>
          <w:szCs w:val="20"/>
        </w:rPr>
        <w:t xml:space="preserve"> </w:t>
      </w:r>
    </w:p>
    <w:p w14:paraId="0C45DA4C" w14:textId="5E55724E" w:rsidR="007D2662" w:rsidRPr="006F767C" w:rsidRDefault="00F950DC" w:rsidP="00F95CAC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t xml:space="preserve">At </w:t>
      </w:r>
      <w:r w:rsidR="00502F0D" w:rsidRPr="006F767C">
        <w:rPr>
          <w:color w:val="000000"/>
          <w:sz w:val="20"/>
          <w:szCs w:val="20"/>
        </w:rPr>
        <w:t xml:space="preserve">the </w:t>
      </w:r>
      <w:r w:rsidRPr="006F767C">
        <w:rPr>
          <w:color w:val="000000"/>
          <w:sz w:val="20"/>
          <w:szCs w:val="20"/>
        </w:rPr>
        <w:t>decentralized</w:t>
      </w:r>
      <w:r w:rsidR="000F0436" w:rsidRPr="006F767C">
        <w:rPr>
          <w:color w:val="000000"/>
          <w:sz w:val="20"/>
          <w:szCs w:val="20"/>
        </w:rPr>
        <w:t xml:space="preserve"> and community</w:t>
      </w:r>
      <w:r w:rsidRPr="006F767C">
        <w:rPr>
          <w:color w:val="000000"/>
          <w:sz w:val="20"/>
          <w:szCs w:val="20"/>
        </w:rPr>
        <w:t xml:space="preserve"> levels, </w:t>
      </w:r>
      <w:r w:rsidR="00E73FAA" w:rsidRPr="006F767C">
        <w:rPr>
          <w:color w:val="000000"/>
          <w:sz w:val="20"/>
          <w:szCs w:val="20"/>
        </w:rPr>
        <w:t xml:space="preserve">GEF evaluations </w:t>
      </w:r>
      <w:r w:rsidR="00502F0D" w:rsidRPr="006F767C">
        <w:rPr>
          <w:color w:val="000000"/>
          <w:sz w:val="20"/>
          <w:szCs w:val="20"/>
        </w:rPr>
        <w:t xml:space="preserve">showed </w:t>
      </w:r>
      <w:r w:rsidR="007A72DF" w:rsidRPr="006F767C">
        <w:rPr>
          <w:color w:val="000000"/>
          <w:sz w:val="20"/>
          <w:szCs w:val="20"/>
        </w:rPr>
        <w:t xml:space="preserve">that </w:t>
      </w:r>
      <w:r w:rsidRPr="006F767C">
        <w:rPr>
          <w:color w:val="000000"/>
          <w:sz w:val="20"/>
          <w:szCs w:val="20"/>
        </w:rPr>
        <w:t xml:space="preserve">projects </w:t>
      </w:r>
      <w:r w:rsidR="007A72DF" w:rsidRPr="006F767C">
        <w:rPr>
          <w:color w:val="000000"/>
          <w:sz w:val="20"/>
          <w:szCs w:val="20"/>
        </w:rPr>
        <w:t>formulated and</w:t>
      </w:r>
      <w:r w:rsidRPr="006F767C">
        <w:rPr>
          <w:color w:val="000000"/>
          <w:sz w:val="20"/>
          <w:szCs w:val="20"/>
        </w:rPr>
        <w:t xml:space="preserve"> </w:t>
      </w:r>
      <w:r w:rsidR="007A72DF" w:rsidRPr="006F767C">
        <w:rPr>
          <w:color w:val="000000"/>
          <w:sz w:val="20"/>
          <w:szCs w:val="20"/>
        </w:rPr>
        <w:t xml:space="preserve">implemented with UNDP support </w:t>
      </w:r>
      <w:r w:rsidR="00502F0D" w:rsidRPr="006F767C">
        <w:rPr>
          <w:color w:val="000000"/>
          <w:sz w:val="20"/>
          <w:szCs w:val="20"/>
        </w:rPr>
        <w:t>were</w:t>
      </w:r>
      <w:r w:rsidRPr="006F767C">
        <w:rPr>
          <w:color w:val="000000"/>
          <w:sz w:val="20"/>
          <w:szCs w:val="20"/>
        </w:rPr>
        <w:t xml:space="preserve"> used to</w:t>
      </w:r>
      <w:r w:rsidR="00F671FE" w:rsidRPr="006F767C">
        <w:rPr>
          <w:color w:val="000000"/>
          <w:sz w:val="20"/>
          <w:szCs w:val="20"/>
        </w:rPr>
        <w:t xml:space="preserve"> generate evidence to</w:t>
      </w:r>
      <w:r w:rsidRPr="006F767C">
        <w:rPr>
          <w:color w:val="000000"/>
          <w:sz w:val="20"/>
          <w:szCs w:val="20"/>
        </w:rPr>
        <w:t xml:space="preserve"> inform </w:t>
      </w:r>
      <w:r w:rsidR="005264CC" w:rsidRPr="006F767C">
        <w:rPr>
          <w:color w:val="000000"/>
          <w:sz w:val="20"/>
          <w:szCs w:val="20"/>
        </w:rPr>
        <w:t>the design of the national program</w:t>
      </w:r>
      <w:r w:rsidR="00153C2F" w:rsidRPr="006F767C">
        <w:rPr>
          <w:color w:val="000000"/>
          <w:sz w:val="20"/>
          <w:szCs w:val="20"/>
        </w:rPr>
        <w:t>me</w:t>
      </w:r>
      <w:r w:rsidR="005264CC" w:rsidRPr="006F767C">
        <w:rPr>
          <w:color w:val="000000"/>
          <w:sz w:val="20"/>
          <w:szCs w:val="20"/>
        </w:rPr>
        <w:t xml:space="preserve"> on </w:t>
      </w:r>
      <w:r w:rsidR="004528EB" w:rsidRPr="00B63C20">
        <w:rPr>
          <w:color w:val="000000"/>
          <w:sz w:val="20"/>
          <w:szCs w:val="20"/>
        </w:rPr>
        <w:t>community</w:t>
      </w:r>
      <w:r w:rsidR="006C3672" w:rsidRPr="00B63C20">
        <w:rPr>
          <w:color w:val="000000"/>
          <w:sz w:val="20"/>
          <w:szCs w:val="20"/>
        </w:rPr>
        <w:t>-</w:t>
      </w:r>
      <w:r w:rsidR="004528EB" w:rsidRPr="00B63C20">
        <w:rPr>
          <w:color w:val="000000"/>
          <w:sz w:val="20"/>
          <w:szCs w:val="20"/>
        </w:rPr>
        <w:t xml:space="preserve">based </w:t>
      </w:r>
      <w:r w:rsidR="00130E26" w:rsidRPr="00B63C20">
        <w:rPr>
          <w:color w:val="000000"/>
          <w:sz w:val="20"/>
          <w:szCs w:val="20"/>
        </w:rPr>
        <w:t>adaptation</w:t>
      </w:r>
      <w:r w:rsidR="00B54662" w:rsidRPr="00B63C20">
        <w:rPr>
          <w:color w:val="000000"/>
          <w:sz w:val="20"/>
          <w:szCs w:val="20"/>
        </w:rPr>
        <w:t xml:space="preserve"> approaches</w:t>
      </w:r>
      <w:r w:rsidR="00130E26" w:rsidRPr="00B63C20">
        <w:rPr>
          <w:color w:val="000000"/>
          <w:sz w:val="20"/>
          <w:szCs w:val="20"/>
        </w:rPr>
        <w:t xml:space="preserve"> to climate change</w:t>
      </w:r>
      <w:r w:rsidR="00982814" w:rsidRPr="00B63C20">
        <w:rPr>
          <w:color w:val="000000"/>
          <w:sz w:val="20"/>
          <w:szCs w:val="20"/>
        </w:rPr>
        <w:t xml:space="preserve">. </w:t>
      </w:r>
      <w:r w:rsidR="00186E7B" w:rsidRPr="00B63C20">
        <w:rPr>
          <w:color w:val="000000"/>
          <w:sz w:val="20"/>
          <w:szCs w:val="20"/>
        </w:rPr>
        <w:t xml:space="preserve">Furthermore, </w:t>
      </w:r>
      <w:r w:rsidR="00592D47" w:rsidRPr="00B63C20">
        <w:rPr>
          <w:color w:val="000000"/>
          <w:sz w:val="20"/>
          <w:szCs w:val="20"/>
        </w:rPr>
        <w:t>scaling</w:t>
      </w:r>
      <w:r w:rsidR="00BC6724" w:rsidRPr="00B63C20">
        <w:rPr>
          <w:color w:val="000000"/>
          <w:sz w:val="20"/>
          <w:szCs w:val="20"/>
        </w:rPr>
        <w:t>-</w:t>
      </w:r>
      <w:r w:rsidR="00592D47" w:rsidRPr="00A71E32">
        <w:rPr>
          <w:color w:val="000000"/>
          <w:sz w:val="20"/>
          <w:szCs w:val="20"/>
        </w:rPr>
        <w:t>up</w:t>
      </w:r>
      <w:r w:rsidR="00A71E32">
        <w:rPr>
          <w:color w:val="000000"/>
          <w:sz w:val="20"/>
          <w:szCs w:val="20"/>
        </w:rPr>
        <w:t xml:space="preserve"> village-level</w:t>
      </w:r>
      <w:r w:rsidR="00592D47" w:rsidRPr="00A71E32">
        <w:rPr>
          <w:color w:val="000000"/>
          <w:sz w:val="20"/>
          <w:szCs w:val="20"/>
        </w:rPr>
        <w:t xml:space="preserve"> </w:t>
      </w:r>
      <w:r w:rsidR="00D1280D" w:rsidRPr="006F767C">
        <w:rPr>
          <w:color w:val="000000"/>
          <w:sz w:val="20"/>
          <w:szCs w:val="20"/>
        </w:rPr>
        <w:t>energy enterprises</w:t>
      </w:r>
      <w:r w:rsidR="00A12358" w:rsidRPr="006F767C">
        <w:rPr>
          <w:color w:val="000000"/>
          <w:sz w:val="20"/>
          <w:szCs w:val="20"/>
        </w:rPr>
        <w:t xml:space="preserve"> </w:t>
      </w:r>
      <w:r w:rsidR="00502F0D" w:rsidRPr="006F767C">
        <w:rPr>
          <w:color w:val="000000"/>
          <w:sz w:val="20"/>
          <w:szCs w:val="20"/>
        </w:rPr>
        <w:t xml:space="preserve">by way of </w:t>
      </w:r>
      <w:r w:rsidR="00A12358" w:rsidRPr="006F767C">
        <w:rPr>
          <w:color w:val="000000"/>
          <w:sz w:val="20"/>
          <w:szCs w:val="20"/>
        </w:rPr>
        <w:t>multifunctional platforms</w:t>
      </w:r>
      <w:r w:rsidR="00366FA2">
        <w:rPr>
          <w:color w:val="000000"/>
          <w:sz w:val="20"/>
          <w:szCs w:val="20"/>
        </w:rPr>
        <w:t xml:space="preserve"> - </w:t>
      </w:r>
      <w:r w:rsidR="0075539E" w:rsidRPr="006F767C">
        <w:rPr>
          <w:color w:val="000000"/>
          <w:sz w:val="20"/>
          <w:szCs w:val="20"/>
        </w:rPr>
        <w:t>which have benefit</w:t>
      </w:r>
      <w:r w:rsidR="006C3672" w:rsidRPr="006F767C">
        <w:rPr>
          <w:color w:val="000000"/>
          <w:sz w:val="20"/>
          <w:szCs w:val="20"/>
        </w:rPr>
        <w:t>ted</w:t>
      </w:r>
      <w:r w:rsidR="0075539E" w:rsidRPr="006F767C">
        <w:rPr>
          <w:color w:val="000000"/>
          <w:sz w:val="20"/>
          <w:szCs w:val="20"/>
        </w:rPr>
        <w:t xml:space="preserve"> women</w:t>
      </w:r>
      <w:r w:rsidR="00A12358" w:rsidRPr="006F767C">
        <w:rPr>
          <w:color w:val="000000"/>
          <w:sz w:val="20"/>
          <w:szCs w:val="20"/>
        </w:rPr>
        <w:t xml:space="preserve"> and young girls</w:t>
      </w:r>
      <w:r w:rsidR="0075539E" w:rsidRPr="006F767C">
        <w:rPr>
          <w:color w:val="000000"/>
          <w:sz w:val="20"/>
          <w:szCs w:val="20"/>
        </w:rPr>
        <w:t xml:space="preserve"> </w:t>
      </w:r>
      <w:r w:rsidR="00A12358" w:rsidRPr="006F767C">
        <w:rPr>
          <w:color w:val="000000"/>
          <w:sz w:val="20"/>
          <w:szCs w:val="20"/>
        </w:rPr>
        <w:t>by reducing the</w:t>
      </w:r>
      <w:r w:rsidR="00502F0D" w:rsidRPr="006F767C">
        <w:rPr>
          <w:color w:val="000000"/>
          <w:sz w:val="20"/>
          <w:szCs w:val="20"/>
        </w:rPr>
        <w:t>ir</w:t>
      </w:r>
      <w:r w:rsidR="00A12358" w:rsidRPr="006F767C">
        <w:rPr>
          <w:color w:val="000000"/>
          <w:sz w:val="20"/>
          <w:szCs w:val="20"/>
        </w:rPr>
        <w:t xml:space="preserve"> burden of chores by 70</w:t>
      </w:r>
      <w:r w:rsidR="00502F0D" w:rsidRPr="006F767C">
        <w:rPr>
          <w:color w:val="000000"/>
          <w:sz w:val="20"/>
          <w:szCs w:val="20"/>
        </w:rPr>
        <w:t xml:space="preserve"> per cent</w:t>
      </w:r>
      <w:r w:rsidR="00A12358" w:rsidRPr="006F767C">
        <w:rPr>
          <w:color w:val="000000"/>
          <w:sz w:val="20"/>
          <w:szCs w:val="20"/>
        </w:rPr>
        <w:t xml:space="preserve"> </w:t>
      </w:r>
      <w:r w:rsidR="00CF7489">
        <w:rPr>
          <w:color w:val="000000"/>
          <w:sz w:val="20"/>
          <w:szCs w:val="20"/>
        </w:rPr>
        <w:t>(</w:t>
      </w:r>
      <w:r w:rsidR="00A12358" w:rsidRPr="006F767C">
        <w:rPr>
          <w:color w:val="000000"/>
          <w:sz w:val="20"/>
          <w:szCs w:val="20"/>
        </w:rPr>
        <w:t>and distance travelled by 36.5</w:t>
      </w:r>
      <w:r w:rsidR="00502F0D" w:rsidRPr="006F767C">
        <w:rPr>
          <w:color w:val="000000"/>
          <w:sz w:val="20"/>
          <w:szCs w:val="20"/>
        </w:rPr>
        <w:t xml:space="preserve"> per cent</w:t>
      </w:r>
      <w:r w:rsidR="00CF7489">
        <w:rPr>
          <w:color w:val="000000"/>
          <w:sz w:val="20"/>
          <w:szCs w:val="20"/>
        </w:rPr>
        <w:t>)</w:t>
      </w:r>
      <w:r w:rsidR="00A12358" w:rsidRPr="006F767C">
        <w:rPr>
          <w:sz w:val="20"/>
          <w:szCs w:val="20"/>
          <w:vertAlign w:val="superscript"/>
        </w:rPr>
        <w:footnoteReference w:id="12"/>
      </w:r>
      <w:r w:rsidR="00A12358" w:rsidRPr="006F767C">
        <w:rPr>
          <w:color w:val="000000"/>
          <w:sz w:val="20"/>
          <w:szCs w:val="20"/>
        </w:rPr>
        <w:t xml:space="preserve"> </w:t>
      </w:r>
      <w:r w:rsidR="00502F0D" w:rsidRPr="006F767C">
        <w:rPr>
          <w:color w:val="000000"/>
          <w:sz w:val="20"/>
          <w:szCs w:val="20"/>
        </w:rPr>
        <w:t xml:space="preserve">all </w:t>
      </w:r>
      <w:r w:rsidR="00A12358" w:rsidRPr="006F767C">
        <w:rPr>
          <w:color w:val="000000"/>
          <w:sz w:val="20"/>
          <w:szCs w:val="20"/>
        </w:rPr>
        <w:t>while increasing their</w:t>
      </w:r>
      <w:r w:rsidR="00502F0D" w:rsidRPr="006F767C">
        <w:rPr>
          <w:color w:val="000000"/>
          <w:sz w:val="20"/>
          <w:szCs w:val="20"/>
        </w:rPr>
        <w:t xml:space="preserve"> overall</w:t>
      </w:r>
      <w:r w:rsidR="00A12358" w:rsidRPr="006F767C">
        <w:rPr>
          <w:color w:val="000000"/>
          <w:sz w:val="20"/>
          <w:szCs w:val="20"/>
        </w:rPr>
        <w:t xml:space="preserve"> incom</w:t>
      </w:r>
      <w:r w:rsidR="00A71E32">
        <w:rPr>
          <w:color w:val="000000"/>
          <w:sz w:val="20"/>
          <w:szCs w:val="20"/>
        </w:rPr>
        <w:t>e</w:t>
      </w:r>
      <w:r w:rsidR="00366FA2">
        <w:rPr>
          <w:color w:val="000000"/>
          <w:sz w:val="20"/>
          <w:szCs w:val="20"/>
        </w:rPr>
        <w:t xml:space="preserve"> - </w:t>
      </w:r>
      <w:r w:rsidR="00982814" w:rsidRPr="006F767C">
        <w:rPr>
          <w:color w:val="000000"/>
          <w:sz w:val="20"/>
          <w:szCs w:val="20"/>
        </w:rPr>
        <w:t xml:space="preserve">is </w:t>
      </w:r>
      <w:r w:rsidR="00377EF7" w:rsidRPr="006F767C">
        <w:rPr>
          <w:color w:val="000000"/>
          <w:sz w:val="20"/>
          <w:szCs w:val="20"/>
        </w:rPr>
        <w:t xml:space="preserve">considered </w:t>
      </w:r>
      <w:r w:rsidR="00502F0D" w:rsidRPr="006F767C">
        <w:rPr>
          <w:color w:val="000000"/>
          <w:sz w:val="20"/>
          <w:szCs w:val="20"/>
        </w:rPr>
        <w:t xml:space="preserve">to be </w:t>
      </w:r>
      <w:r w:rsidR="00377EF7" w:rsidRPr="006F767C">
        <w:rPr>
          <w:color w:val="000000"/>
          <w:sz w:val="20"/>
          <w:szCs w:val="20"/>
        </w:rPr>
        <w:t>one of the most successful program</w:t>
      </w:r>
      <w:r w:rsidR="006C3672" w:rsidRPr="006F767C">
        <w:rPr>
          <w:color w:val="000000"/>
          <w:sz w:val="20"/>
          <w:szCs w:val="20"/>
        </w:rPr>
        <w:t>me</w:t>
      </w:r>
      <w:r w:rsidR="00377EF7" w:rsidRPr="006F767C">
        <w:rPr>
          <w:color w:val="000000"/>
          <w:sz w:val="20"/>
          <w:szCs w:val="20"/>
        </w:rPr>
        <w:t>s</w:t>
      </w:r>
      <w:r w:rsidR="00B214E7" w:rsidRPr="006F767C">
        <w:rPr>
          <w:color w:val="000000"/>
          <w:sz w:val="20"/>
          <w:szCs w:val="20"/>
        </w:rPr>
        <w:t xml:space="preserve"> </w:t>
      </w:r>
      <w:r w:rsidR="00502F0D" w:rsidRPr="006F767C">
        <w:rPr>
          <w:color w:val="000000"/>
          <w:sz w:val="20"/>
          <w:szCs w:val="20"/>
        </w:rPr>
        <w:t>in the country. It is part of the reason why the</w:t>
      </w:r>
      <w:r w:rsidR="00B214E7" w:rsidRPr="006F767C">
        <w:rPr>
          <w:color w:val="000000"/>
          <w:sz w:val="20"/>
          <w:szCs w:val="20"/>
        </w:rPr>
        <w:t xml:space="preserve"> government</w:t>
      </w:r>
      <w:r w:rsidR="00502F0D" w:rsidRPr="006F767C">
        <w:rPr>
          <w:color w:val="000000"/>
          <w:sz w:val="20"/>
          <w:szCs w:val="20"/>
        </w:rPr>
        <w:t xml:space="preserve"> has pushed to </w:t>
      </w:r>
      <w:r w:rsidR="00B214E7" w:rsidRPr="006F767C">
        <w:rPr>
          <w:color w:val="000000"/>
          <w:sz w:val="20"/>
          <w:szCs w:val="20"/>
        </w:rPr>
        <w:t>increas</w:t>
      </w:r>
      <w:r w:rsidR="00502F0D" w:rsidRPr="006F767C">
        <w:rPr>
          <w:color w:val="000000"/>
          <w:sz w:val="20"/>
          <w:szCs w:val="20"/>
        </w:rPr>
        <w:t>e</w:t>
      </w:r>
      <w:r w:rsidR="00B214E7" w:rsidRPr="006F767C">
        <w:rPr>
          <w:color w:val="000000"/>
          <w:sz w:val="20"/>
          <w:szCs w:val="20"/>
        </w:rPr>
        <w:t xml:space="preserve"> access to energy services</w:t>
      </w:r>
      <w:r w:rsidR="00B54662" w:rsidRPr="006F767C">
        <w:rPr>
          <w:color w:val="000000"/>
          <w:sz w:val="20"/>
          <w:szCs w:val="20"/>
        </w:rPr>
        <w:t>.</w:t>
      </w:r>
    </w:p>
    <w:p w14:paraId="6ED45E10" w14:textId="48F8FA19" w:rsidR="00DF023A" w:rsidRPr="006F767C" w:rsidRDefault="00484000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6F767C">
        <w:rPr>
          <w:color w:val="000000"/>
          <w:sz w:val="20"/>
          <w:szCs w:val="20"/>
        </w:rPr>
        <w:t xml:space="preserve">Despite </w:t>
      </w:r>
      <w:r w:rsidR="00B93C30" w:rsidRPr="006F767C">
        <w:rPr>
          <w:color w:val="000000"/>
          <w:sz w:val="20"/>
          <w:szCs w:val="20"/>
        </w:rPr>
        <w:t>positive</w:t>
      </w:r>
      <w:r w:rsidR="005A3537" w:rsidRPr="006F767C">
        <w:rPr>
          <w:color w:val="000000"/>
          <w:sz w:val="20"/>
          <w:szCs w:val="20"/>
        </w:rPr>
        <w:t xml:space="preserve"> </w:t>
      </w:r>
      <w:r w:rsidRPr="006F767C">
        <w:rPr>
          <w:color w:val="000000"/>
          <w:sz w:val="20"/>
          <w:szCs w:val="20"/>
        </w:rPr>
        <w:t xml:space="preserve">results, </w:t>
      </w:r>
      <w:r w:rsidR="00502F0D" w:rsidRPr="006F767C">
        <w:rPr>
          <w:color w:val="000000"/>
          <w:sz w:val="20"/>
          <w:szCs w:val="20"/>
        </w:rPr>
        <w:t>there has been a shortfall in</w:t>
      </w:r>
      <w:r w:rsidR="00F16B66" w:rsidRPr="006F767C">
        <w:rPr>
          <w:color w:val="000000"/>
          <w:sz w:val="20"/>
          <w:szCs w:val="20"/>
        </w:rPr>
        <w:t xml:space="preserve"> </w:t>
      </w:r>
      <w:r w:rsidR="00502F0D" w:rsidRPr="006F767C">
        <w:rPr>
          <w:color w:val="000000"/>
          <w:sz w:val="20"/>
          <w:szCs w:val="20"/>
        </w:rPr>
        <w:t>reaching marginalized populations</w:t>
      </w:r>
      <w:r w:rsidR="00F16B66" w:rsidRPr="006F767C">
        <w:rPr>
          <w:color w:val="000000"/>
          <w:sz w:val="20"/>
          <w:szCs w:val="20"/>
        </w:rPr>
        <w:t xml:space="preserve">, </w:t>
      </w:r>
      <w:r w:rsidR="00E90856" w:rsidRPr="006F767C">
        <w:rPr>
          <w:color w:val="000000"/>
          <w:sz w:val="20"/>
          <w:szCs w:val="20"/>
        </w:rPr>
        <w:t>systemic</w:t>
      </w:r>
      <w:r w:rsidR="00502F0D" w:rsidRPr="006F767C">
        <w:rPr>
          <w:color w:val="000000"/>
          <w:sz w:val="20"/>
          <w:szCs w:val="20"/>
        </w:rPr>
        <w:t>ally</w:t>
      </w:r>
      <w:r w:rsidR="00F16B66" w:rsidRPr="006F767C">
        <w:rPr>
          <w:color w:val="000000"/>
          <w:sz w:val="20"/>
          <w:szCs w:val="20"/>
        </w:rPr>
        <w:t xml:space="preserve"> integrati</w:t>
      </w:r>
      <w:r w:rsidR="00502F0D" w:rsidRPr="006F767C">
        <w:rPr>
          <w:color w:val="000000"/>
          <w:sz w:val="20"/>
          <w:szCs w:val="20"/>
        </w:rPr>
        <w:t>ng</w:t>
      </w:r>
      <w:r w:rsidR="00E90856" w:rsidRPr="006F767C">
        <w:rPr>
          <w:color w:val="000000"/>
          <w:sz w:val="20"/>
          <w:szCs w:val="20"/>
        </w:rPr>
        <w:t xml:space="preserve"> </w:t>
      </w:r>
      <w:r w:rsidR="00F16B66" w:rsidRPr="006F767C">
        <w:rPr>
          <w:color w:val="000000"/>
          <w:sz w:val="20"/>
          <w:szCs w:val="20"/>
        </w:rPr>
        <w:t>gender</w:t>
      </w:r>
      <w:r w:rsidR="00EC5E53" w:rsidRPr="006F767C">
        <w:rPr>
          <w:color w:val="000000"/>
          <w:sz w:val="20"/>
          <w:szCs w:val="20"/>
        </w:rPr>
        <w:t xml:space="preserve"> considerations</w:t>
      </w:r>
      <w:r w:rsidR="00915A3D">
        <w:rPr>
          <w:color w:val="000000"/>
          <w:sz w:val="20"/>
          <w:szCs w:val="20"/>
        </w:rPr>
        <w:t>,</w:t>
      </w:r>
      <w:r w:rsidR="007E167A" w:rsidRPr="006F767C">
        <w:rPr>
          <w:color w:val="000000"/>
          <w:sz w:val="20"/>
          <w:szCs w:val="20"/>
        </w:rPr>
        <w:t xml:space="preserve"> </w:t>
      </w:r>
      <w:r w:rsidR="00E90856" w:rsidRPr="006F767C">
        <w:rPr>
          <w:color w:val="000000"/>
          <w:sz w:val="20"/>
          <w:szCs w:val="20"/>
        </w:rPr>
        <w:t xml:space="preserve">and formulating </w:t>
      </w:r>
      <w:r w:rsidR="00F16B66" w:rsidRPr="006F767C">
        <w:rPr>
          <w:color w:val="000000"/>
          <w:sz w:val="20"/>
          <w:szCs w:val="20"/>
        </w:rPr>
        <w:t>exit strategies</w:t>
      </w:r>
      <w:r w:rsidR="00E90856" w:rsidRPr="006F767C">
        <w:rPr>
          <w:color w:val="000000"/>
          <w:sz w:val="20"/>
          <w:szCs w:val="20"/>
        </w:rPr>
        <w:t xml:space="preserve">. </w:t>
      </w:r>
      <w:r w:rsidR="00707416" w:rsidRPr="006F767C">
        <w:rPr>
          <w:color w:val="000000"/>
          <w:sz w:val="20"/>
          <w:szCs w:val="20"/>
        </w:rPr>
        <w:t>This is because i</w:t>
      </w:r>
      <w:r w:rsidR="00BF0B8A" w:rsidRPr="006F767C">
        <w:rPr>
          <w:color w:val="000000"/>
          <w:sz w:val="20"/>
          <w:szCs w:val="20"/>
        </w:rPr>
        <w:t xml:space="preserve">ndicators </w:t>
      </w:r>
      <w:r w:rsidR="00A71E32">
        <w:rPr>
          <w:color w:val="000000"/>
          <w:sz w:val="20"/>
          <w:szCs w:val="20"/>
        </w:rPr>
        <w:t>were</w:t>
      </w:r>
      <w:r w:rsidR="00707416" w:rsidRPr="006F767C">
        <w:rPr>
          <w:color w:val="000000"/>
          <w:sz w:val="20"/>
          <w:szCs w:val="20"/>
        </w:rPr>
        <w:t xml:space="preserve"> </w:t>
      </w:r>
      <w:r w:rsidR="00BF0B8A" w:rsidRPr="006F767C">
        <w:rPr>
          <w:color w:val="000000"/>
          <w:sz w:val="20"/>
          <w:szCs w:val="20"/>
        </w:rPr>
        <w:t>weakly defined</w:t>
      </w:r>
      <w:r w:rsidR="00707416" w:rsidRPr="006F767C">
        <w:rPr>
          <w:color w:val="000000"/>
          <w:sz w:val="20"/>
          <w:szCs w:val="20"/>
        </w:rPr>
        <w:t>,</w:t>
      </w:r>
      <w:r w:rsidR="00BF0B8A" w:rsidRPr="006F767C">
        <w:rPr>
          <w:color w:val="000000"/>
          <w:sz w:val="20"/>
          <w:szCs w:val="20"/>
        </w:rPr>
        <w:t xml:space="preserve"> and improving institutional performance </w:t>
      </w:r>
      <w:r w:rsidR="00502F0D" w:rsidRPr="006F767C">
        <w:rPr>
          <w:color w:val="000000"/>
          <w:sz w:val="20"/>
          <w:szCs w:val="20"/>
        </w:rPr>
        <w:t xml:space="preserve">is </w:t>
      </w:r>
      <w:r w:rsidR="00BF0B8A" w:rsidRPr="006F767C">
        <w:rPr>
          <w:color w:val="000000"/>
          <w:sz w:val="20"/>
          <w:szCs w:val="20"/>
        </w:rPr>
        <w:t>difficult to measure.</w:t>
      </w:r>
      <w:r w:rsidR="00BF0B8A" w:rsidRPr="006F767C">
        <w:rPr>
          <w:sz w:val="20"/>
          <w:szCs w:val="20"/>
          <w:vertAlign w:val="superscript"/>
        </w:rPr>
        <w:footnoteReference w:id="13"/>
      </w:r>
      <w:r w:rsidR="00BF0B8A" w:rsidRPr="006F767C">
        <w:rPr>
          <w:color w:val="000000"/>
          <w:sz w:val="20"/>
          <w:szCs w:val="20"/>
        </w:rPr>
        <w:t xml:space="preserve"> Specific recommendations </w:t>
      </w:r>
      <w:r w:rsidR="009D0668" w:rsidRPr="006F767C">
        <w:rPr>
          <w:color w:val="000000"/>
          <w:sz w:val="20"/>
          <w:szCs w:val="20"/>
        </w:rPr>
        <w:t xml:space="preserve">on resilience </w:t>
      </w:r>
      <w:r w:rsidR="00BF0B8A" w:rsidRPr="006F767C">
        <w:rPr>
          <w:color w:val="000000"/>
          <w:sz w:val="20"/>
          <w:szCs w:val="20"/>
        </w:rPr>
        <w:t xml:space="preserve">were made </w:t>
      </w:r>
      <w:r w:rsidR="009D0668" w:rsidRPr="006F767C">
        <w:rPr>
          <w:color w:val="000000"/>
          <w:sz w:val="20"/>
          <w:szCs w:val="20"/>
        </w:rPr>
        <w:t>to</w:t>
      </w:r>
      <w:r w:rsidR="00BF0B8A" w:rsidRPr="006F767C">
        <w:rPr>
          <w:color w:val="000000"/>
          <w:sz w:val="20"/>
          <w:szCs w:val="20"/>
        </w:rPr>
        <w:t xml:space="preserve"> UNDP</w:t>
      </w:r>
      <w:r w:rsidR="00A71E32">
        <w:rPr>
          <w:color w:val="000000"/>
          <w:sz w:val="20"/>
          <w:szCs w:val="20"/>
        </w:rPr>
        <w:t>, urging the organization</w:t>
      </w:r>
      <w:r w:rsidR="00BF0B8A" w:rsidRPr="006F767C">
        <w:rPr>
          <w:color w:val="000000"/>
          <w:sz w:val="20"/>
          <w:szCs w:val="20"/>
        </w:rPr>
        <w:t xml:space="preserve"> to collaborate with </w:t>
      </w:r>
      <w:r w:rsidR="00502F0D" w:rsidRPr="006F767C">
        <w:rPr>
          <w:color w:val="000000"/>
          <w:sz w:val="20"/>
          <w:szCs w:val="20"/>
        </w:rPr>
        <w:t>the Food and Agriculture Organization (</w:t>
      </w:r>
      <w:r w:rsidR="00BF0B8A" w:rsidRPr="006F767C">
        <w:rPr>
          <w:color w:val="000000"/>
          <w:sz w:val="20"/>
          <w:szCs w:val="20"/>
        </w:rPr>
        <w:t>FAO</w:t>
      </w:r>
      <w:r w:rsidR="00502F0D" w:rsidRPr="006F767C">
        <w:rPr>
          <w:color w:val="000000"/>
          <w:sz w:val="20"/>
          <w:szCs w:val="20"/>
        </w:rPr>
        <w:t>)</w:t>
      </w:r>
      <w:r w:rsidR="00BF0B8A" w:rsidRPr="006F767C">
        <w:rPr>
          <w:color w:val="000000"/>
          <w:sz w:val="20"/>
          <w:szCs w:val="20"/>
        </w:rPr>
        <w:t>,</w:t>
      </w:r>
      <w:r w:rsidR="00502F0D" w:rsidRPr="006F767C">
        <w:rPr>
          <w:color w:val="000000"/>
          <w:sz w:val="20"/>
          <w:szCs w:val="20"/>
        </w:rPr>
        <w:t xml:space="preserve"> the World Food Programme</w:t>
      </w:r>
      <w:r w:rsidR="00BF0B8A" w:rsidRPr="006F767C">
        <w:rPr>
          <w:color w:val="000000"/>
          <w:sz w:val="20"/>
          <w:szCs w:val="20"/>
        </w:rPr>
        <w:t xml:space="preserve"> </w:t>
      </w:r>
      <w:r w:rsidR="00502F0D" w:rsidRPr="006F767C">
        <w:rPr>
          <w:color w:val="000000"/>
          <w:sz w:val="20"/>
          <w:szCs w:val="20"/>
        </w:rPr>
        <w:t>(</w:t>
      </w:r>
      <w:r w:rsidR="00BF0B8A" w:rsidRPr="006F767C">
        <w:rPr>
          <w:color w:val="000000"/>
          <w:sz w:val="20"/>
          <w:szCs w:val="20"/>
        </w:rPr>
        <w:t>WFP</w:t>
      </w:r>
      <w:r w:rsidR="00502F0D" w:rsidRPr="006F767C">
        <w:rPr>
          <w:color w:val="000000"/>
          <w:sz w:val="20"/>
          <w:szCs w:val="20"/>
        </w:rPr>
        <w:t>)</w:t>
      </w:r>
      <w:r w:rsidR="00BF0B8A" w:rsidRPr="006F767C">
        <w:rPr>
          <w:color w:val="000000"/>
          <w:sz w:val="20"/>
          <w:szCs w:val="20"/>
        </w:rPr>
        <w:t xml:space="preserve"> and </w:t>
      </w:r>
      <w:r w:rsidR="00502F0D" w:rsidRPr="006F767C">
        <w:rPr>
          <w:color w:val="000000"/>
          <w:sz w:val="20"/>
          <w:szCs w:val="20"/>
        </w:rPr>
        <w:t>the United Nations Children’s Fund (</w:t>
      </w:r>
      <w:r w:rsidR="00BF0B8A" w:rsidRPr="006F767C">
        <w:rPr>
          <w:color w:val="000000"/>
          <w:sz w:val="20"/>
          <w:szCs w:val="20"/>
        </w:rPr>
        <w:t>UNICEF</w:t>
      </w:r>
      <w:r w:rsidR="00502F0D" w:rsidRPr="006F767C">
        <w:rPr>
          <w:color w:val="000000"/>
          <w:sz w:val="20"/>
          <w:szCs w:val="20"/>
        </w:rPr>
        <w:t>)</w:t>
      </w:r>
      <w:r w:rsidR="009D0668" w:rsidRPr="006F767C">
        <w:rPr>
          <w:color w:val="000000"/>
          <w:sz w:val="20"/>
          <w:szCs w:val="20"/>
        </w:rPr>
        <w:t xml:space="preserve"> </w:t>
      </w:r>
      <w:r w:rsidR="009822CC" w:rsidRPr="006F767C">
        <w:rPr>
          <w:color w:val="000000"/>
          <w:sz w:val="20"/>
          <w:szCs w:val="20"/>
        </w:rPr>
        <w:t>to prioritize</w:t>
      </w:r>
      <w:r w:rsidR="00092F03" w:rsidRPr="006F767C">
        <w:rPr>
          <w:color w:val="000000"/>
          <w:sz w:val="20"/>
          <w:szCs w:val="20"/>
        </w:rPr>
        <w:t xml:space="preserve"> investments in </w:t>
      </w:r>
      <w:r w:rsidR="00BF0B8A" w:rsidRPr="006F767C">
        <w:rPr>
          <w:color w:val="000000"/>
          <w:sz w:val="20"/>
          <w:szCs w:val="20"/>
        </w:rPr>
        <w:t>local level approaches and</w:t>
      </w:r>
      <w:r w:rsidR="009D0668" w:rsidRPr="006F767C">
        <w:rPr>
          <w:color w:val="000000"/>
          <w:sz w:val="20"/>
          <w:szCs w:val="20"/>
        </w:rPr>
        <w:t xml:space="preserve"> the</w:t>
      </w:r>
      <w:r w:rsidR="00BF0B8A" w:rsidRPr="006F767C">
        <w:rPr>
          <w:color w:val="000000"/>
          <w:sz w:val="20"/>
          <w:szCs w:val="20"/>
        </w:rPr>
        <w:t xml:space="preserve"> </w:t>
      </w:r>
      <w:r w:rsidR="00092F03" w:rsidRPr="006F767C">
        <w:rPr>
          <w:color w:val="000000"/>
          <w:sz w:val="20"/>
          <w:szCs w:val="20"/>
        </w:rPr>
        <w:t>active engagement of</w:t>
      </w:r>
      <w:r w:rsidR="00BF0B8A" w:rsidRPr="006F767C">
        <w:rPr>
          <w:color w:val="000000"/>
          <w:sz w:val="20"/>
          <w:szCs w:val="20"/>
        </w:rPr>
        <w:t xml:space="preserve"> communities. </w:t>
      </w:r>
    </w:p>
    <w:p w14:paraId="642989F4" w14:textId="77777777" w:rsidR="00DF023A" w:rsidRPr="005C05B8" w:rsidRDefault="00DF023A" w:rsidP="00307DE8">
      <w:pPr>
        <w:tabs>
          <w:tab w:val="left" w:pos="1530"/>
        </w:tabs>
        <w:ind w:left="1170"/>
        <w:jc w:val="both"/>
        <w:rPr>
          <w:color w:val="000000"/>
        </w:rPr>
      </w:pPr>
    </w:p>
    <w:p w14:paraId="289E3AB8" w14:textId="77777777" w:rsidR="00A6337F" w:rsidRPr="009A79C1" w:rsidRDefault="00816CFE" w:rsidP="00F95CAC">
      <w:pPr>
        <w:tabs>
          <w:tab w:val="left" w:pos="1530"/>
        </w:tabs>
        <w:ind w:left="1170" w:hanging="450"/>
        <w:rPr>
          <w:b/>
          <w:sz w:val="28"/>
        </w:rPr>
      </w:pPr>
      <w:r w:rsidRPr="009A79C1">
        <w:rPr>
          <w:b/>
          <w:sz w:val="28"/>
        </w:rPr>
        <w:t>II.</w:t>
      </w:r>
      <w:r w:rsidR="00F95CAC" w:rsidRPr="009A79C1">
        <w:rPr>
          <w:b/>
          <w:sz w:val="28"/>
        </w:rPr>
        <w:tab/>
      </w:r>
      <w:r w:rsidRPr="009A79C1">
        <w:rPr>
          <w:b/>
          <w:sz w:val="28"/>
        </w:rPr>
        <w:t>Pr</w:t>
      </w:r>
      <w:r w:rsidR="00582867" w:rsidRPr="009A79C1">
        <w:rPr>
          <w:b/>
          <w:sz w:val="28"/>
        </w:rPr>
        <w:t>ogram</w:t>
      </w:r>
      <w:r w:rsidR="00186712" w:rsidRPr="009A79C1">
        <w:rPr>
          <w:b/>
          <w:sz w:val="28"/>
        </w:rPr>
        <w:t>me</w:t>
      </w:r>
      <w:r w:rsidR="0033731E" w:rsidRPr="009A79C1">
        <w:rPr>
          <w:b/>
          <w:sz w:val="28"/>
        </w:rPr>
        <w:t xml:space="preserve"> </w:t>
      </w:r>
      <w:r w:rsidR="00F95CAC" w:rsidRPr="009A79C1">
        <w:rPr>
          <w:b/>
          <w:sz w:val="28"/>
        </w:rPr>
        <w:t>p</w:t>
      </w:r>
      <w:r w:rsidR="0033731E" w:rsidRPr="009A79C1">
        <w:rPr>
          <w:b/>
          <w:sz w:val="28"/>
        </w:rPr>
        <w:t xml:space="preserve">riorities and </w:t>
      </w:r>
      <w:r w:rsidR="00F95CAC" w:rsidRPr="009A79C1">
        <w:rPr>
          <w:b/>
          <w:sz w:val="28"/>
        </w:rPr>
        <w:t>p</w:t>
      </w:r>
      <w:r w:rsidR="0033731E" w:rsidRPr="009A79C1">
        <w:rPr>
          <w:b/>
          <w:sz w:val="28"/>
        </w:rPr>
        <w:t xml:space="preserve">artnerships </w:t>
      </w:r>
    </w:p>
    <w:p w14:paraId="593F7FF5" w14:textId="77777777" w:rsidR="007D2662" w:rsidRPr="002343C7" w:rsidRDefault="007D2662" w:rsidP="00307DE8">
      <w:pPr>
        <w:pStyle w:val="ListParagraph"/>
        <w:tabs>
          <w:tab w:val="left" w:pos="1530"/>
        </w:tabs>
        <w:ind w:left="1170"/>
        <w:jc w:val="both"/>
        <w:rPr>
          <w:b/>
          <w:color w:val="000000"/>
        </w:rPr>
      </w:pPr>
    </w:p>
    <w:p w14:paraId="741CAF0B" w14:textId="592BED80" w:rsidR="007D2662" w:rsidRPr="009A79C1" w:rsidRDefault="00BF7229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The overarching goal of the </w:t>
      </w:r>
      <w:r w:rsidR="00052A1C" w:rsidRPr="009A79C1">
        <w:rPr>
          <w:color w:val="000000"/>
          <w:sz w:val="20"/>
          <w:szCs w:val="20"/>
        </w:rPr>
        <w:t>country program</w:t>
      </w:r>
      <w:r w:rsidR="0041153C" w:rsidRPr="009A79C1">
        <w:rPr>
          <w:color w:val="000000"/>
          <w:sz w:val="20"/>
          <w:szCs w:val="20"/>
        </w:rPr>
        <w:t>me</w:t>
      </w:r>
      <w:r w:rsidR="00052A1C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is to contribute</w:t>
      </w:r>
      <w:r w:rsidR="007228B8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to an inclusive, peaceful, climate</w:t>
      </w:r>
      <w:r w:rsidR="0041153C" w:rsidRPr="009A79C1">
        <w:rPr>
          <w:color w:val="000000"/>
          <w:sz w:val="20"/>
          <w:szCs w:val="20"/>
        </w:rPr>
        <w:t>-</w:t>
      </w:r>
      <w:r w:rsidRPr="009A79C1">
        <w:rPr>
          <w:color w:val="000000"/>
          <w:sz w:val="20"/>
          <w:szCs w:val="20"/>
        </w:rPr>
        <w:t xml:space="preserve">resilient society </w:t>
      </w:r>
      <w:r w:rsidR="009D0668" w:rsidRPr="009A79C1">
        <w:rPr>
          <w:color w:val="000000"/>
          <w:sz w:val="20"/>
          <w:szCs w:val="20"/>
        </w:rPr>
        <w:t xml:space="preserve">that is </w:t>
      </w:r>
      <w:r w:rsidR="00291266" w:rsidRPr="009A79C1">
        <w:rPr>
          <w:color w:val="000000"/>
          <w:sz w:val="20"/>
          <w:szCs w:val="20"/>
        </w:rPr>
        <w:t xml:space="preserve">on </w:t>
      </w:r>
      <w:r w:rsidRPr="009A79C1">
        <w:rPr>
          <w:color w:val="000000"/>
          <w:sz w:val="20"/>
          <w:szCs w:val="20"/>
        </w:rPr>
        <w:t xml:space="preserve">a </w:t>
      </w:r>
      <w:r w:rsidR="009D0668" w:rsidRPr="009A79C1">
        <w:rPr>
          <w:color w:val="000000"/>
          <w:sz w:val="20"/>
          <w:szCs w:val="20"/>
        </w:rPr>
        <w:t xml:space="preserve">path to </w:t>
      </w:r>
      <w:r w:rsidRPr="009A79C1">
        <w:rPr>
          <w:color w:val="000000"/>
          <w:sz w:val="20"/>
          <w:szCs w:val="20"/>
        </w:rPr>
        <w:t>sustainable economic growth.</w:t>
      </w:r>
      <w:r w:rsidR="00052A1C" w:rsidRPr="009A79C1">
        <w:rPr>
          <w:color w:val="000000"/>
          <w:sz w:val="20"/>
          <w:szCs w:val="20"/>
        </w:rPr>
        <w:t xml:space="preserve"> It </w:t>
      </w:r>
      <w:r w:rsidR="009116AE" w:rsidRPr="009A79C1">
        <w:rPr>
          <w:color w:val="000000"/>
          <w:sz w:val="20"/>
          <w:szCs w:val="20"/>
        </w:rPr>
        <w:t>is aligned with</w:t>
      </w:r>
      <w:r w:rsidR="002E6EB0" w:rsidRPr="009A79C1">
        <w:rPr>
          <w:color w:val="000000"/>
          <w:sz w:val="20"/>
          <w:szCs w:val="20"/>
        </w:rPr>
        <w:t xml:space="preserve"> </w:t>
      </w:r>
      <w:r w:rsidR="009D0668" w:rsidRPr="009A79C1">
        <w:rPr>
          <w:color w:val="000000"/>
          <w:sz w:val="20"/>
          <w:szCs w:val="20"/>
        </w:rPr>
        <w:t xml:space="preserve">the </w:t>
      </w:r>
      <w:r w:rsidR="002E6EB0" w:rsidRPr="009A79C1">
        <w:rPr>
          <w:color w:val="000000"/>
          <w:sz w:val="20"/>
          <w:szCs w:val="20"/>
        </w:rPr>
        <w:t>2016</w:t>
      </w:r>
      <w:r w:rsidR="002E6EB0" w:rsidRPr="009A79C1">
        <w:rPr>
          <w:rFonts w:hint="eastAsia"/>
          <w:color w:val="000000"/>
          <w:sz w:val="20"/>
          <w:szCs w:val="20"/>
        </w:rPr>
        <w:t>–</w:t>
      </w:r>
      <w:r w:rsidR="002E6EB0" w:rsidRPr="009A79C1">
        <w:rPr>
          <w:color w:val="000000"/>
          <w:sz w:val="20"/>
          <w:szCs w:val="20"/>
        </w:rPr>
        <w:t>2020</w:t>
      </w:r>
      <w:r w:rsidR="00394735" w:rsidRPr="009A79C1">
        <w:rPr>
          <w:color w:val="000000"/>
          <w:sz w:val="20"/>
          <w:szCs w:val="20"/>
        </w:rPr>
        <w:t xml:space="preserve"> N</w:t>
      </w:r>
      <w:r w:rsidR="00B14DA8" w:rsidRPr="009A79C1">
        <w:rPr>
          <w:color w:val="000000"/>
          <w:sz w:val="20"/>
          <w:szCs w:val="20"/>
        </w:rPr>
        <w:t>E</w:t>
      </w:r>
      <w:r w:rsidR="00394735" w:rsidRPr="009A79C1">
        <w:rPr>
          <w:color w:val="000000"/>
          <w:sz w:val="20"/>
          <w:szCs w:val="20"/>
        </w:rPr>
        <w:t>SD</w:t>
      </w:r>
      <w:r w:rsidR="00B14DA8" w:rsidRPr="009A79C1">
        <w:rPr>
          <w:color w:val="000000"/>
          <w:sz w:val="20"/>
          <w:szCs w:val="20"/>
        </w:rPr>
        <w:t>P</w:t>
      </w:r>
      <w:r w:rsidR="00394735" w:rsidRPr="009A79C1">
        <w:rPr>
          <w:color w:val="000000"/>
          <w:sz w:val="20"/>
          <w:szCs w:val="20"/>
        </w:rPr>
        <w:t xml:space="preserve">, </w:t>
      </w:r>
      <w:r w:rsidR="00A5746F" w:rsidRPr="009A79C1">
        <w:rPr>
          <w:color w:val="000000"/>
          <w:sz w:val="20"/>
          <w:szCs w:val="20"/>
        </w:rPr>
        <w:t xml:space="preserve">which is </w:t>
      </w:r>
      <w:r w:rsidR="00BE6186" w:rsidRPr="009A79C1">
        <w:rPr>
          <w:color w:val="000000"/>
          <w:sz w:val="20"/>
          <w:szCs w:val="20"/>
        </w:rPr>
        <w:t>anchored in</w:t>
      </w:r>
      <w:r w:rsidR="00A5746F" w:rsidRPr="009A79C1">
        <w:rPr>
          <w:color w:val="000000"/>
          <w:sz w:val="20"/>
          <w:szCs w:val="20"/>
        </w:rPr>
        <w:t xml:space="preserve"> the </w:t>
      </w:r>
      <w:r w:rsidR="009D0668" w:rsidRPr="009A79C1">
        <w:rPr>
          <w:color w:val="000000"/>
          <w:sz w:val="20"/>
          <w:szCs w:val="20"/>
        </w:rPr>
        <w:t>Sustainable Development Goal</w:t>
      </w:r>
      <w:r w:rsidR="000F7A90">
        <w:rPr>
          <w:color w:val="000000"/>
          <w:sz w:val="20"/>
          <w:szCs w:val="20"/>
        </w:rPr>
        <w:t>s</w:t>
      </w:r>
      <w:r w:rsidR="009D0668" w:rsidRPr="009A79C1">
        <w:rPr>
          <w:color w:val="000000"/>
          <w:sz w:val="20"/>
          <w:szCs w:val="20"/>
        </w:rPr>
        <w:t xml:space="preserve"> (</w:t>
      </w:r>
      <w:r w:rsidR="00A5746F" w:rsidRPr="009A79C1">
        <w:rPr>
          <w:color w:val="000000"/>
          <w:sz w:val="20"/>
          <w:szCs w:val="20"/>
        </w:rPr>
        <w:t>SDG</w:t>
      </w:r>
      <w:r w:rsidR="009D0668" w:rsidRPr="009A79C1">
        <w:rPr>
          <w:color w:val="000000"/>
          <w:sz w:val="20"/>
          <w:szCs w:val="20"/>
        </w:rPr>
        <w:t>)</w:t>
      </w:r>
      <w:r w:rsidR="00A5746F" w:rsidRPr="009A79C1">
        <w:rPr>
          <w:color w:val="000000"/>
          <w:sz w:val="20"/>
          <w:szCs w:val="20"/>
        </w:rPr>
        <w:t xml:space="preserve"> framework and 2063 Agenda. </w:t>
      </w:r>
      <w:r w:rsidR="00925609" w:rsidRPr="009A79C1">
        <w:rPr>
          <w:color w:val="000000"/>
          <w:sz w:val="20"/>
          <w:szCs w:val="20"/>
        </w:rPr>
        <w:t>P</w:t>
      </w:r>
      <w:r w:rsidR="00C61586" w:rsidRPr="009A79C1">
        <w:rPr>
          <w:color w:val="000000"/>
          <w:sz w:val="20"/>
          <w:szCs w:val="20"/>
        </w:rPr>
        <w:t>rogram</w:t>
      </w:r>
      <w:r w:rsidR="005303F5" w:rsidRPr="009A79C1">
        <w:rPr>
          <w:color w:val="000000"/>
          <w:sz w:val="20"/>
          <w:szCs w:val="20"/>
        </w:rPr>
        <w:t>me</w:t>
      </w:r>
      <w:r w:rsidR="00C61586" w:rsidRPr="009A79C1">
        <w:rPr>
          <w:color w:val="000000"/>
          <w:sz w:val="20"/>
          <w:szCs w:val="20"/>
        </w:rPr>
        <w:t xml:space="preserve"> p</w:t>
      </w:r>
      <w:r w:rsidR="00DD0998" w:rsidRPr="009A79C1">
        <w:rPr>
          <w:color w:val="000000"/>
          <w:sz w:val="20"/>
          <w:szCs w:val="20"/>
        </w:rPr>
        <w:t xml:space="preserve">riorities are </w:t>
      </w:r>
      <w:r w:rsidR="009D0668" w:rsidRPr="009A79C1">
        <w:rPr>
          <w:color w:val="000000"/>
          <w:sz w:val="20"/>
          <w:szCs w:val="20"/>
        </w:rPr>
        <w:t xml:space="preserve">tied to </w:t>
      </w:r>
      <w:r w:rsidR="004403CF" w:rsidRPr="009A79C1">
        <w:rPr>
          <w:color w:val="000000"/>
          <w:sz w:val="20"/>
          <w:szCs w:val="20"/>
        </w:rPr>
        <w:t>the</w:t>
      </w:r>
      <w:r w:rsidR="00C37EEA" w:rsidRPr="009A79C1">
        <w:rPr>
          <w:color w:val="000000"/>
          <w:sz w:val="20"/>
          <w:szCs w:val="20"/>
        </w:rPr>
        <w:t xml:space="preserve"> principle of </w:t>
      </w:r>
      <w:r w:rsidR="009D0668" w:rsidRPr="009A79C1">
        <w:rPr>
          <w:color w:val="000000"/>
          <w:sz w:val="20"/>
          <w:szCs w:val="20"/>
        </w:rPr>
        <w:t>“</w:t>
      </w:r>
      <w:r w:rsidR="00C37EEA" w:rsidRPr="009A79C1">
        <w:rPr>
          <w:color w:val="000000"/>
          <w:sz w:val="20"/>
          <w:szCs w:val="20"/>
        </w:rPr>
        <w:t>leaving no-one behind,</w:t>
      </w:r>
      <w:r w:rsidR="009D0668" w:rsidRPr="009A79C1">
        <w:rPr>
          <w:color w:val="000000"/>
          <w:sz w:val="20"/>
          <w:szCs w:val="20"/>
        </w:rPr>
        <w:t>” as well as</w:t>
      </w:r>
      <w:r w:rsidR="00C37EEA" w:rsidRPr="009A79C1">
        <w:rPr>
          <w:color w:val="000000"/>
          <w:sz w:val="20"/>
          <w:szCs w:val="20"/>
        </w:rPr>
        <w:t xml:space="preserve"> the urgency to </w:t>
      </w:r>
      <w:r w:rsidR="006F3F98" w:rsidRPr="009A79C1">
        <w:rPr>
          <w:color w:val="000000"/>
          <w:sz w:val="20"/>
          <w:szCs w:val="20"/>
        </w:rPr>
        <w:t xml:space="preserve">deepen </w:t>
      </w:r>
      <w:r w:rsidR="009762BD" w:rsidRPr="009A79C1">
        <w:rPr>
          <w:color w:val="000000"/>
          <w:sz w:val="20"/>
          <w:szCs w:val="20"/>
        </w:rPr>
        <w:t>the democratic process</w:t>
      </w:r>
      <w:r w:rsidR="009D0668" w:rsidRPr="009A79C1">
        <w:rPr>
          <w:color w:val="000000"/>
          <w:sz w:val="20"/>
          <w:szCs w:val="20"/>
        </w:rPr>
        <w:t xml:space="preserve">. Other priorities </w:t>
      </w:r>
      <w:r w:rsidR="006C6FFB" w:rsidRPr="009A79C1">
        <w:rPr>
          <w:color w:val="000000"/>
          <w:sz w:val="20"/>
          <w:szCs w:val="20"/>
        </w:rPr>
        <w:t>include accelerating</w:t>
      </w:r>
      <w:r w:rsidR="00C37EEA" w:rsidRPr="009A79C1">
        <w:rPr>
          <w:color w:val="000000"/>
          <w:sz w:val="20"/>
          <w:szCs w:val="20"/>
        </w:rPr>
        <w:t xml:space="preserve"> delivery of basi</w:t>
      </w:r>
      <w:r w:rsidR="0084223B" w:rsidRPr="009A79C1">
        <w:rPr>
          <w:color w:val="000000"/>
          <w:sz w:val="20"/>
          <w:szCs w:val="20"/>
        </w:rPr>
        <w:t>c</w:t>
      </w:r>
      <w:r w:rsidR="00C37EEA" w:rsidRPr="009A79C1">
        <w:rPr>
          <w:color w:val="000000"/>
          <w:sz w:val="20"/>
          <w:szCs w:val="20"/>
        </w:rPr>
        <w:t xml:space="preserve"> social services</w:t>
      </w:r>
      <w:r w:rsidR="0086201B" w:rsidRPr="009A79C1">
        <w:rPr>
          <w:color w:val="000000"/>
          <w:sz w:val="20"/>
          <w:szCs w:val="20"/>
        </w:rPr>
        <w:t xml:space="preserve">, </w:t>
      </w:r>
      <w:r w:rsidR="00872323" w:rsidRPr="009A79C1">
        <w:rPr>
          <w:color w:val="000000"/>
          <w:sz w:val="20"/>
          <w:szCs w:val="20"/>
        </w:rPr>
        <w:t>extend</w:t>
      </w:r>
      <w:r w:rsidR="0086201B" w:rsidRPr="009A79C1">
        <w:rPr>
          <w:color w:val="000000"/>
          <w:sz w:val="20"/>
          <w:szCs w:val="20"/>
        </w:rPr>
        <w:t>ing</w:t>
      </w:r>
      <w:r w:rsidR="00872323" w:rsidRPr="009A79C1">
        <w:rPr>
          <w:color w:val="000000"/>
          <w:sz w:val="20"/>
          <w:szCs w:val="20"/>
        </w:rPr>
        <w:t xml:space="preserve"> development benefits to marginalized communities</w:t>
      </w:r>
      <w:r w:rsidR="002D226D" w:rsidRPr="009A79C1">
        <w:rPr>
          <w:color w:val="000000"/>
          <w:sz w:val="20"/>
          <w:szCs w:val="20"/>
        </w:rPr>
        <w:t>,</w:t>
      </w:r>
      <w:r w:rsidR="0084223B" w:rsidRPr="009A79C1">
        <w:rPr>
          <w:color w:val="000000"/>
          <w:sz w:val="20"/>
          <w:szCs w:val="20"/>
        </w:rPr>
        <w:t xml:space="preserve"> and build</w:t>
      </w:r>
      <w:r w:rsidR="009D0668" w:rsidRPr="009A79C1">
        <w:rPr>
          <w:color w:val="000000"/>
          <w:sz w:val="20"/>
          <w:szCs w:val="20"/>
        </w:rPr>
        <w:t>ing community</w:t>
      </w:r>
      <w:r w:rsidR="0084223B" w:rsidRPr="009A79C1">
        <w:rPr>
          <w:color w:val="000000"/>
          <w:sz w:val="20"/>
          <w:szCs w:val="20"/>
        </w:rPr>
        <w:t xml:space="preserve"> resilience</w:t>
      </w:r>
      <w:r w:rsidR="009D0668" w:rsidRPr="009A79C1">
        <w:rPr>
          <w:color w:val="000000"/>
          <w:sz w:val="20"/>
          <w:szCs w:val="20"/>
        </w:rPr>
        <w:t xml:space="preserve"> to</w:t>
      </w:r>
      <w:r w:rsidR="00833672" w:rsidRPr="009A79C1">
        <w:rPr>
          <w:color w:val="000000"/>
          <w:sz w:val="20"/>
          <w:szCs w:val="20"/>
        </w:rPr>
        <w:t xml:space="preserve"> </w:t>
      </w:r>
      <w:r w:rsidR="0084223B" w:rsidRPr="009A79C1">
        <w:rPr>
          <w:color w:val="000000"/>
          <w:sz w:val="20"/>
          <w:szCs w:val="20"/>
        </w:rPr>
        <w:t>prevent, anticipate and mitigate risk</w:t>
      </w:r>
      <w:r w:rsidR="00872323" w:rsidRPr="009A79C1">
        <w:rPr>
          <w:color w:val="000000"/>
          <w:sz w:val="20"/>
          <w:szCs w:val="20"/>
        </w:rPr>
        <w:t>.</w:t>
      </w:r>
      <w:r w:rsidR="00EE3BFE" w:rsidRPr="009A79C1">
        <w:rPr>
          <w:color w:val="000000"/>
          <w:sz w:val="20"/>
          <w:szCs w:val="20"/>
        </w:rPr>
        <w:t xml:space="preserve"> </w:t>
      </w:r>
      <w:r w:rsidR="009D0668" w:rsidRPr="009A79C1">
        <w:rPr>
          <w:color w:val="000000"/>
          <w:sz w:val="20"/>
          <w:szCs w:val="20"/>
        </w:rPr>
        <w:t>T</w:t>
      </w:r>
      <w:r w:rsidR="00170CB7" w:rsidRPr="009A79C1">
        <w:rPr>
          <w:color w:val="000000"/>
          <w:sz w:val="20"/>
          <w:szCs w:val="20"/>
        </w:rPr>
        <w:t xml:space="preserve">ransformational </w:t>
      </w:r>
      <w:r w:rsidR="008968D9" w:rsidRPr="009A79C1">
        <w:rPr>
          <w:color w:val="000000"/>
          <w:sz w:val="20"/>
          <w:szCs w:val="20"/>
        </w:rPr>
        <w:t>pathways</w:t>
      </w:r>
      <w:r w:rsidR="00872612" w:rsidRPr="009A79C1">
        <w:rPr>
          <w:color w:val="000000"/>
          <w:sz w:val="20"/>
          <w:szCs w:val="20"/>
        </w:rPr>
        <w:t xml:space="preserve"> </w:t>
      </w:r>
      <w:r w:rsidR="004403CF" w:rsidRPr="009A79C1">
        <w:rPr>
          <w:color w:val="000000"/>
          <w:sz w:val="20"/>
          <w:szCs w:val="20"/>
        </w:rPr>
        <w:t>are</w:t>
      </w:r>
      <w:r w:rsidR="00EE23C1" w:rsidRPr="009A79C1">
        <w:rPr>
          <w:color w:val="000000"/>
          <w:sz w:val="20"/>
          <w:szCs w:val="20"/>
        </w:rPr>
        <w:t xml:space="preserve"> </w:t>
      </w:r>
      <w:r w:rsidR="000C2442" w:rsidRPr="009A79C1">
        <w:rPr>
          <w:color w:val="000000"/>
          <w:sz w:val="20"/>
          <w:szCs w:val="20"/>
        </w:rPr>
        <w:t xml:space="preserve">premised </w:t>
      </w:r>
      <w:r w:rsidR="006C6FFB" w:rsidRPr="009A79C1">
        <w:rPr>
          <w:color w:val="000000"/>
          <w:sz w:val="20"/>
          <w:szCs w:val="20"/>
        </w:rPr>
        <w:t>on building</w:t>
      </w:r>
      <w:r w:rsidR="00B63C20">
        <w:rPr>
          <w:color w:val="000000"/>
          <w:sz w:val="20"/>
          <w:szCs w:val="20"/>
        </w:rPr>
        <w:t xml:space="preserve"> the capacity</w:t>
      </w:r>
      <w:r w:rsidR="00B63C20" w:rsidRPr="009A79C1">
        <w:rPr>
          <w:color w:val="000000"/>
          <w:sz w:val="20"/>
          <w:szCs w:val="20"/>
        </w:rPr>
        <w:t xml:space="preserve"> </w:t>
      </w:r>
      <w:r w:rsidR="00EE23C1" w:rsidRPr="009A79C1">
        <w:rPr>
          <w:color w:val="000000"/>
          <w:sz w:val="20"/>
          <w:szCs w:val="20"/>
        </w:rPr>
        <w:t xml:space="preserve">of </w:t>
      </w:r>
      <w:r w:rsidR="00966E0E" w:rsidRPr="009A79C1">
        <w:rPr>
          <w:color w:val="000000"/>
          <w:sz w:val="20"/>
          <w:szCs w:val="20"/>
        </w:rPr>
        <w:t>institution</w:t>
      </w:r>
      <w:r w:rsidR="001A475B" w:rsidRPr="009A79C1">
        <w:rPr>
          <w:color w:val="000000"/>
          <w:sz w:val="20"/>
          <w:szCs w:val="20"/>
        </w:rPr>
        <w:t xml:space="preserve">s for development </w:t>
      </w:r>
      <w:r w:rsidR="00BD188C" w:rsidRPr="009A79C1">
        <w:rPr>
          <w:color w:val="000000"/>
          <w:sz w:val="20"/>
          <w:szCs w:val="20"/>
        </w:rPr>
        <w:t xml:space="preserve">and </w:t>
      </w:r>
      <w:r w:rsidR="00CF5BEF" w:rsidRPr="009A79C1">
        <w:rPr>
          <w:color w:val="000000"/>
          <w:sz w:val="20"/>
          <w:szCs w:val="20"/>
        </w:rPr>
        <w:t>accountability</w:t>
      </w:r>
      <w:r w:rsidR="001A475B" w:rsidRPr="009A79C1">
        <w:rPr>
          <w:color w:val="000000"/>
          <w:sz w:val="20"/>
          <w:szCs w:val="20"/>
        </w:rPr>
        <w:t>,</w:t>
      </w:r>
      <w:r w:rsidR="001C2C8D" w:rsidRPr="009A79C1">
        <w:rPr>
          <w:color w:val="000000"/>
          <w:sz w:val="20"/>
          <w:szCs w:val="20"/>
        </w:rPr>
        <w:t xml:space="preserve"> </w:t>
      </w:r>
      <w:r w:rsidR="00630540" w:rsidRPr="009A79C1">
        <w:rPr>
          <w:color w:val="000000"/>
          <w:sz w:val="20"/>
          <w:szCs w:val="20"/>
        </w:rPr>
        <w:t xml:space="preserve">accompanied by </w:t>
      </w:r>
      <w:r w:rsidR="00831782" w:rsidRPr="009A79C1">
        <w:rPr>
          <w:color w:val="000000"/>
          <w:sz w:val="20"/>
          <w:szCs w:val="20"/>
        </w:rPr>
        <w:t>scaling-</w:t>
      </w:r>
      <w:r w:rsidR="00170CB7" w:rsidRPr="009A79C1">
        <w:rPr>
          <w:color w:val="000000"/>
          <w:sz w:val="20"/>
          <w:szCs w:val="20"/>
        </w:rPr>
        <w:t xml:space="preserve">up </w:t>
      </w:r>
      <w:r w:rsidR="009D0668" w:rsidRPr="009A79C1">
        <w:rPr>
          <w:color w:val="000000"/>
          <w:sz w:val="20"/>
          <w:szCs w:val="20"/>
        </w:rPr>
        <w:t xml:space="preserve">successful interventions </w:t>
      </w:r>
      <w:r w:rsidR="00773B3E" w:rsidRPr="009A79C1">
        <w:rPr>
          <w:color w:val="000000"/>
          <w:sz w:val="20"/>
          <w:szCs w:val="20"/>
        </w:rPr>
        <w:t>from the previous programme</w:t>
      </w:r>
      <w:r w:rsidR="009D0668" w:rsidRPr="009A79C1">
        <w:rPr>
          <w:color w:val="000000"/>
          <w:sz w:val="20"/>
          <w:szCs w:val="20"/>
        </w:rPr>
        <w:t>,</w:t>
      </w:r>
      <w:r w:rsidR="00773B3E" w:rsidRPr="009A79C1">
        <w:rPr>
          <w:color w:val="000000"/>
          <w:sz w:val="20"/>
          <w:szCs w:val="20"/>
        </w:rPr>
        <w:t xml:space="preserve"> </w:t>
      </w:r>
      <w:r w:rsidR="00170CB7" w:rsidRPr="009A79C1">
        <w:rPr>
          <w:color w:val="000000"/>
          <w:sz w:val="20"/>
          <w:szCs w:val="20"/>
        </w:rPr>
        <w:t xml:space="preserve">and </w:t>
      </w:r>
      <w:r w:rsidR="00114F80" w:rsidRPr="009A79C1">
        <w:rPr>
          <w:color w:val="000000"/>
          <w:sz w:val="20"/>
          <w:szCs w:val="20"/>
        </w:rPr>
        <w:t>increas</w:t>
      </w:r>
      <w:r w:rsidR="00BE4525" w:rsidRPr="009A79C1">
        <w:rPr>
          <w:color w:val="000000"/>
          <w:sz w:val="20"/>
          <w:szCs w:val="20"/>
        </w:rPr>
        <w:t>e</w:t>
      </w:r>
      <w:r w:rsidR="00114F80" w:rsidRPr="009A79C1">
        <w:rPr>
          <w:color w:val="000000"/>
          <w:sz w:val="20"/>
          <w:szCs w:val="20"/>
        </w:rPr>
        <w:t xml:space="preserve"> </w:t>
      </w:r>
      <w:r w:rsidR="009D0668" w:rsidRPr="009A79C1">
        <w:rPr>
          <w:color w:val="000000"/>
          <w:sz w:val="20"/>
          <w:szCs w:val="20"/>
        </w:rPr>
        <w:t xml:space="preserve">the </w:t>
      </w:r>
      <w:r w:rsidR="00114F80" w:rsidRPr="009A79C1">
        <w:rPr>
          <w:color w:val="000000"/>
          <w:sz w:val="20"/>
          <w:szCs w:val="20"/>
        </w:rPr>
        <w:t xml:space="preserve">access </w:t>
      </w:r>
      <w:r w:rsidR="009D0668" w:rsidRPr="009A79C1">
        <w:rPr>
          <w:color w:val="000000"/>
          <w:sz w:val="20"/>
          <w:szCs w:val="20"/>
        </w:rPr>
        <w:t>rural</w:t>
      </w:r>
      <w:r w:rsidR="009F4863" w:rsidRPr="009A79C1">
        <w:rPr>
          <w:color w:val="000000"/>
          <w:sz w:val="20"/>
          <w:szCs w:val="20"/>
        </w:rPr>
        <w:t xml:space="preserve"> population</w:t>
      </w:r>
      <w:r w:rsidR="009D0668" w:rsidRPr="009A79C1">
        <w:rPr>
          <w:color w:val="000000"/>
          <w:sz w:val="20"/>
          <w:szCs w:val="20"/>
        </w:rPr>
        <w:t xml:space="preserve">s have </w:t>
      </w:r>
      <w:r w:rsidR="00114F80" w:rsidRPr="009A79C1">
        <w:rPr>
          <w:color w:val="000000"/>
          <w:sz w:val="20"/>
          <w:szCs w:val="20"/>
        </w:rPr>
        <w:t xml:space="preserve">to </w:t>
      </w:r>
      <w:r w:rsidR="00BC14B1" w:rsidRPr="009A79C1">
        <w:rPr>
          <w:color w:val="000000"/>
          <w:sz w:val="20"/>
          <w:szCs w:val="20"/>
        </w:rPr>
        <w:t xml:space="preserve">modern </w:t>
      </w:r>
      <w:r w:rsidR="009F4863" w:rsidRPr="009A79C1">
        <w:rPr>
          <w:color w:val="000000"/>
          <w:sz w:val="20"/>
          <w:szCs w:val="20"/>
        </w:rPr>
        <w:t>energy services</w:t>
      </w:r>
      <w:r w:rsidR="00094FDC" w:rsidRPr="009A79C1">
        <w:rPr>
          <w:color w:val="000000"/>
          <w:sz w:val="20"/>
          <w:szCs w:val="20"/>
        </w:rPr>
        <w:t>. Such measures can</w:t>
      </w:r>
      <w:r w:rsidR="0000797C" w:rsidRPr="009A79C1">
        <w:rPr>
          <w:color w:val="000000"/>
          <w:sz w:val="20"/>
          <w:szCs w:val="20"/>
        </w:rPr>
        <w:t xml:space="preserve"> </w:t>
      </w:r>
      <w:r w:rsidR="00966E0E" w:rsidRPr="009A79C1">
        <w:rPr>
          <w:color w:val="000000"/>
          <w:sz w:val="20"/>
          <w:szCs w:val="20"/>
        </w:rPr>
        <w:t>stimulat</w:t>
      </w:r>
      <w:r w:rsidR="0000797C" w:rsidRPr="009A79C1">
        <w:rPr>
          <w:color w:val="000000"/>
          <w:sz w:val="20"/>
          <w:szCs w:val="20"/>
        </w:rPr>
        <w:t xml:space="preserve">e </w:t>
      </w:r>
      <w:r w:rsidR="009179B3" w:rsidRPr="009A79C1">
        <w:rPr>
          <w:color w:val="000000"/>
          <w:sz w:val="20"/>
          <w:szCs w:val="20"/>
        </w:rPr>
        <w:t xml:space="preserve">rural economies and </w:t>
      </w:r>
      <w:r w:rsidR="0000797C" w:rsidRPr="009A79C1">
        <w:rPr>
          <w:color w:val="000000"/>
          <w:sz w:val="20"/>
          <w:szCs w:val="20"/>
        </w:rPr>
        <w:t>private sector</w:t>
      </w:r>
      <w:r w:rsidR="00831782" w:rsidRPr="009A79C1">
        <w:rPr>
          <w:color w:val="000000"/>
          <w:sz w:val="20"/>
          <w:szCs w:val="20"/>
        </w:rPr>
        <w:t xml:space="preserve"> engagement, expand opportunities for women, and </w:t>
      </w:r>
      <w:r w:rsidR="00094FDC" w:rsidRPr="009A79C1">
        <w:rPr>
          <w:color w:val="000000"/>
          <w:sz w:val="20"/>
          <w:szCs w:val="20"/>
        </w:rPr>
        <w:t>prevent the</w:t>
      </w:r>
      <w:r w:rsidR="0000797C" w:rsidRPr="009A79C1">
        <w:rPr>
          <w:color w:val="000000"/>
          <w:sz w:val="20"/>
          <w:szCs w:val="20"/>
        </w:rPr>
        <w:t xml:space="preserve"> unsustainable use of natural resources</w:t>
      </w:r>
      <w:r w:rsidR="00480841" w:rsidRPr="009A79C1">
        <w:rPr>
          <w:color w:val="000000"/>
          <w:sz w:val="20"/>
          <w:szCs w:val="20"/>
        </w:rPr>
        <w:t>.</w:t>
      </w:r>
      <w:r w:rsidR="001A475B" w:rsidRPr="009A79C1">
        <w:rPr>
          <w:color w:val="000000"/>
          <w:sz w:val="20"/>
          <w:szCs w:val="20"/>
        </w:rPr>
        <w:t xml:space="preserve"> </w:t>
      </w:r>
    </w:p>
    <w:p w14:paraId="0B743F6C" w14:textId="77777777" w:rsidR="007D2662" w:rsidRPr="00BA657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05B1C09E" w14:textId="65AEC774" w:rsidR="007D2662" w:rsidRPr="009A79C1" w:rsidRDefault="008B4A6C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The </w:t>
      </w:r>
      <w:r w:rsidR="0041153C" w:rsidRPr="009A79C1">
        <w:rPr>
          <w:color w:val="000000"/>
          <w:sz w:val="20"/>
          <w:szCs w:val="20"/>
        </w:rPr>
        <w:t xml:space="preserve">programme </w:t>
      </w:r>
      <w:r w:rsidR="00094FDC" w:rsidRPr="009A79C1">
        <w:rPr>
          <w:color w:val="000000"/>
          <w:sz w:val="20"/>
          <w:szCs w:val="20"/>
        </w:rPr>
        <w:t>for</w:t>
      </w:r>
      <w:r w:rsidR="007F5AC3" w:rsidRPr="009A79C1">
        <w:rPr>
          <w:color w:val="000000"/>
          <w:sz w:val="20"/>
          <w:szCs w:val="20"/>
        </w:rPr>
        <w:t xml:space="preserve"> Burkina </w:t>
      </w:r>
      <w:r w:rsidR="00C604C0" w:rsidRPr="009A79C1">
        <w:rPr>
          <w:color w:val="000000"/>
          <w:sz w:val="20"/>
          <w:szCs w:val="20"/>
        </w:rPr>
        <w:t>Faso</w:t>
      </w:r>
      <w:r w:rsidR="00094FDC" w:rsidRPr="009A79C1">
        <w:rPr>
          <w:color w:val="000000"/>
          <w:sz w:val="20"/>
          <w:szCs w:val="20"/>
        </w:rPr>
        <w:t xml:space="preserve"> is</w:t>
      </w:r>
      <w:r w:rsidR="00231AC0" w:rsidRPr="009A79C1">
        <w:rPr>
          <w:color w:val="000000"/>
          <w:sz w:val="20"/>
          <w:szCs w:val="20"/>
        </w:rPr>
        <w:t xml:space="preserve"> </w:t>
      </w:r>
      <w:r w:rsidR="00094FDC" w:rsidRPr="009A79C1">
        <w:rPr>
          <w:color w:val="000000"/>
          <w:sz w:val="20"/>
          <w:szCs w:val="20"/>
        </w:rPr>
        <w:t xml:space="preserve">outlined </w:t>
      </w:r>
      <w:r w:rsidR="007F5AC3" w:rsidRPr="009A79C1">
        <w:rPr>
          <w:color w:val="000000"/>
          <w:sz w:val="20"/>
          <w:szCs w:val="20"/>
        </w:rPr>
        <w:t>in the U</w:t>
      </w:r>
      <w:r w:rsidR="00094FDC" w:rsidRPr="009A79C1">
        <w:rPr>
          <w:color w:val="000000"/>
          <w:sz w:val="20"/>
          <w:szCs w:val="20"/>
        </w:rPr>
        <w:t xml:space="preserve">nited </w:t>
      </w:r>
      <w:r w:rsidR="007F5AC3" w:rsidRPr="009A79C1">
        <w:rPr>
          <w:color w:val="000000"/>
          <w:sz w:val="20"/>
          <w:szCs w:val="20"/>
        </w:rPr>
        <w:t>N</w:t>
      </w:r>
      <w:r w:rsidR="00094FDC" w:rsidRPr="009A79C1">
        <w:rPr>
          <w:color w:val="000000"/>
          <w:sz w:val="20"/>
          <w:szCs w:val="20"/>
        </w:rPr>
        <w:t>ations</w:t>
      </w:r>
      <w:r w:rsidR="007F5AC3" w:rsidRPr="009A79C1">
        <w:rPr>
          <w:color w:val="000000"/>
          <w:sz w:val="20"/>
          <w:szCs w:val="20"/>
        </w:rPr>
        <w:t xml:space="preserve"> </w:t>
      </w:r>
      <w:r w:rsidR="0041153C" w:rsidRPr="009A79C1">
        <w:rPr>
          <w:color w:val="000000"/>
          <w:sz w:val="20"/>
          <w:szCs w:val="20"/>
        </w:rPr>
        <w:t>Development Assistance F</w:t>
      </w:r>
      <w:r w:rsidR="008664DC" w:rsidRPr="009A79C1">
        <w:rPr>
          <w:color w:val="000000"/>
          <w:sz w:val="20"/>
          <w:szCs w:val="20"/>
        </w:rPr>
        <w:t>ramework</w:t>
      </w:r>
      <w:r w:rsidR="00094FDC" w:rsidRPr="009A79C1">
        <w:rPr>
          <w:color w:val="000000"/>
          <w:sz w:val="20"/>
          <w:szCs w:val="20"/>
        </w:rPr>
        <w:t xml:space="preserve"> (UNDAF) for</w:t>
      </w:r>
      <w:r w:rsidR="008664DC" w:rsidRPr="009A79C1">
        <w:rPr>
          <w:color w:val="000000"/>
          <w:sz w:val="20"/>
          <w:szCs w:val="20"/>
        </w:rPr>
        <w:t xml:space="preserve"> </w:t>
      </w:r>
      <w:r w:rsidR="007F5AC3" w:rsidRPr="009A79C1">
        <w:rPr>
          <w:color w:val="000000"/>
          <w:sz w:val="20"/>
          <w:szCs w:val="20"/>
        </w:rPr>
        <w:t>2018</w:t>
      </w:r>
      <w:r w:rsidR="00094FDC" w:rsidRPr="009A79C1">
        <w:rPr>
          <w:color w:val="000000"/>
          <w:sz w:val="20"/>
          <w:szCs w:val="20"/>
        </w:rPr>
        <w:t xml:space="preserve"> to </w:t>
      </w:r>
      <w:r w:rsidR="007F5AC3" w:rsidRPr="009A79C1">
        <w:rPr>
          <w:color w:val="000000"/>
          <w:sz w:val="20"/>
          <w:szCs w:val="20"/>
        </w:rPr>
        <w:t>2020</w:t>
      </w:r>
      <w:r w:rsidR="00094FDC" w:rsidRPr="009A79C1">
        <w:rPr>
          <w:color w:val="000000"/>
          <w:sz w:val="20"/>
          <w:szCs w:val="20"/>
        </w:rPr>
        <w:t xml:space="preserve">. It </w:t>
      </w:r>
      <w:r w:rsidR="008E26F2" w:rsidRPr="009A79C1">
        <w:rPr>
          <w:color w:val="000000"/>
          <w:sz w:val="20"/>
          <w:szCs w:val="20"/>
        </w:rPr>
        <w:t>focuses on actions</w:t>
      </w:r>
      <w:r w:rsidR="006F6160" w:rsidRPr="009A79C1">
        <w:rPr>
          <w:color w:val="000000"/>
          <w:sz w:val="20"/>
          <w:szCs w:val="20"/>
        </w:rPr>
        <w:t xml:space="preserve"> required to </w:t>
      </w:r>
      <w:r w:rsidR="00094FDC" w:rsidRPr="009A79C1">
        <w:rPr>
          <w:color w:val="000000"/>
          <w:sz w:val="20"/>
          <w:szCs w:val="20"/>
        </w:rPr>
        <w:t xml:space="preserve">achieve </w:t>
      </w:r>
      <w:r w:rsidR="008F4E74" w:rsidRPr="009A79C1">
        <w:rPr>
          <w:color w:val="000000"/>
          <w:sz w:val="20"/>
          <w:szCs w:val="20"/>
        </w:rPr>
        <w:t>outcomes 1.1, 3.2</w:t>
      </w:r>
      <w:r w:rsidR="00094FDC" w:rsidRPr="009A79C1">
        <w:rPr>
          <w:color w:val="000000"/>
          <w:sz w:val="20"/>
          <w:szCs w:val="20"/>
        </w:rPr>
        <w:t>,</w:t>
      </w:r>
      <w:r w:rsidR="008F4E74" w:rsidRPr="009A79C1">
        <w:rPr>
          <w:color w:val="000000"/>
          <w:sz w:val="20"/>
          <w:szCs w:val="20"/>
        </w:rPr>
        <w:t xml:space="preserve"> and 4.2</w:t>
      </w:r>
      <w:r w:rsidR="000F4B8C" w:rsidRPr="009A79C1">
        <w:rPr>
          <w:color w:val="000000"/>
          <w:sz w:val="20"/>
          <w:szCs w:val="20"/>
        </w:rPr>
        <w:t>.</w:t>
      </w:r>
      <w:r w:rsidR="00BA168D" w:rsidRPr="009A79C1">
        <w:rPr>
          <w:color w:val="000000"/>
          <w:sz w:val="20"/>
          <w:szCs w:val="20"/>
        </w:rPr>
        <w:t xml:space="preserve"> </w:t>
      </w:r>
      <w:r w:rsidR="00094FDC" w:rsidRPr="009A79C1">
        <w:rPr>
          <w:color w:val="000000"/>
          <w:sz w:val="20"/>
          <w:szCs w:val="20"/>
        </w:rPr>
        <w:t xml:space="preserve">The programme </w:t>
      </w:r>
      <w:r w:rsidR="00BC6724" w:rsidRPr="009A79C1">
        <w:rPr>
          <w:color w:val="000000"/>
          <w:sz w:val="20"/>
          <w:szCs w:val="20"/>
        </w:rPr>
        <w:t>addresses</w:t>
      </w:r>
      <w:r w:rsidR="00BA168D" w:rsidRPr="009A79C1">
        <w:rPr>
          <w:color w:val="000000"/>
          <w:sz w:val="20"/>
          <w:szCs w:val="20"/>
        </w:rPr>
        <w:t xml:space="preserve"> </w:t>
      </w:r>
      <w:r w:rsidR="00204AD3" w:rsidRPr="009A79C1">
        <w:rPr>
          <w:color w:val="000000"/>
          <w:sz w:val="20"/>
          <w:szCs w:val="20"/>
        </w:rPr>
        <w:t xml:space="preserve">challenges </w:t>
      </w:r>
      <w:r w:rsidR="00094FDC" w:rsidRPr="009A79C1">
        <w:rPr>
          <w:color w:val="000000"/>
          <w:sz w:val="20"/>
          <w:szCs w:val="20"/>
        </w:rPr>
        <w:t xml:space="preserve">specific to </w:t>
      </w:r>
      <w:r w:rsidR="00204AD3" w:rsidRPr="009A79C1">
        <w:rPr>
          <w:color w:val="000000"/>
          <w:sz w:val="20"/>
          <w:szCs w:val="20"/>
        </w:rPr>
        <w:t>the Sahel region of Burkina Faso</w:t>
      </w:r>
      <w:r w:rsidR="009F09D2">
        <w:rPr>
          <w:color w:val="000000"/>
          <w:sz w:val="20"/>
          <w:szCs w:val="20"/>
        </w:rPr>
        <w:t>,</w:t>
      </w:r>
      <w:r w:rsidR="00BA168D" w:rsidRPr="009A79C1">
        <w:rPr>
          <w:color w:val="000000"/>
          <w:sz w:val="20"/>
          <w:szCs w:val="20"/>
        </w:rPr>
        <w:t xml:space="preserve"> </w:t>
      </w:r>
      <w:r w:rsidR="00094FDC" w:rsidRPr="009A79C1">
        <w:rPr>
          <w:color w:val="000000"/>
          <w:sz w:val="20"/>
          <w:szCs w:val="20"/>
        </w:rPr>
        <w:t>and relies on</w:t>
      </w:r>
      <w:r w:rsidR="00F7205F" w:rsidRPr="009A79C1">
        <w:rPr>
          <w:color w:val="000000"/>
          <w:sz w:val="20"/>
          <w:szCs w:val="20"/>
        </w:rPr>
        <w:t xml:space="preserve"> </w:t>
      </w:r>
      <w:r w:rsidR="0083522B" w:rsidRPr="009A79C1">
        <w:rPr>
          <w:color w:val="000000"/>
          <w:sz w:val="20"/>
          <w:szCs w:val="20"/>
        </w:rPr>
        <w:t>U</w:t>
      </w:r>
      <w:r w:rsidR="00094FDC" w:rsidRPr="009A79C1">
        <w:rPr>
          <w:color w:val="000000"/>
          <w:sz w:val="20"/>
          <w:szCs w:val="20"/>
        </w:rPr>
        <w:t xml:space="preserve">nited </w:t>
      </w:r>
      <w:r w:rsidR="0083522B" w:rsidRPr="009A79C1">
        <w:rPr>
          <w:color w:val="000000"/>
          <w:sz w:val="20"/>
          <w:szCs w:val="20"/>
        </w:rPr>
        <w:t>N</w:t>
      </w:r>
      <w:r w:rsidR="00094FDC" w:rsidRPr="009A79C1">
        <w:rPr>
          <w:color w:val="000000"/>
          <w:sz w:val="20"/>
          <w:szCs w:val="20"/>
        </w:rPr>
        <w:t>ations</w:t>
      </w:r>
      <w:r w:rsidR="0083522B" w:rsidRPr="009A79C1">
        <w:rPr>
          <w:color w:val="000000"/>
          <w:sz w:val="20"/>
          <w:szCs w:val="20"/>
        </w:rPr>
        <w:t xml:space="preserve"> coherence and </w:t>
      </w:r>
      <w:r w:rsidR="00F7205F" w:rsidRPr="009A79C1">
        <w:rPr>
          <w:color w:val="000000"/>
          <w:sz w:val="20"/>
          <w:szCs w:val="20"/>
        </w:rPr>
        <w:t>new partnerships</w:t>
      </w:r>
      <w:r w:rsidR="001F443D" w:rsidRPr="009A79C1">
        <w:rPr>
          <w:color w:val="000000"/>
          <w:sz w:val="20"/>
          <w:szCs w:val="20"/>
        </w:rPr>
        <w:t xml:space="preserve"> with the</w:t>
      </w:r>
      <w:r w:rsidR="007E6C6B" w:rsidRPr="009A79C1">
        <w:rPr>
          <w:color w:val="000000"/>
          <w:sz w:val="20"/>
          <w:szCs w:val="20"/>
        </w:rPr>
        <w:t xml:space="preserve"> </w:t>
      </w:r>
      <w:r w:rsidR="005634B7" w:rsidRPr="009A79C1">
        <w:rPr>
          <w:color w:val="000000"/>
          <w:sz w:val="20"/>
          <w:szCs w:val="20"/>
        </w:rPr>
        <w:t xml:space="preserve">World Bank </w:t>
      </w:r>
      <w:r w:rsidR="001F443D" w:rsidRPr="009A79C1">
        <w:rPr>
          <w:color w:val="000000"/>
          <w:sz w:val="20"/>
          <w:szCs w:val="20"/>
        </w:rPr>
        <w:t xml:space="preserve">and </w:t>
      </w:r>
      <w:r w:rsidR="008B7424" w:rsidRPr="009A79C1">
        <w:rPr>
          <w:color w:val="000000"/>
          <w:sz w:val="20"/>
          <w:szCs w:val="20"/>
        </w:rPr>
        <w:t>Islamic Development Bank</w:t>
      </w:r>
      <w:r w:rsidR="0032533F">
        <w:rPr>
          <w:color w:val="000000"/>
          <w:sz w:val="20"/>
          <w:szCs w:val="20"/>
        </w:rPr>
        <w:t xml:space="preserve"> </w:t>
      </w:r>
      <w:r w:rsidR="00C31922" w:rsidRPr="009A79C1">
        <w:rPr>
          <w:color w:val="000000"/>
          <w:sz w:val="20"/>
          <w:szCs w:val="20"/>
        </w:rPr>
        <w:t xml:space="preserve">to </w:t>
      </w:r>
      <w:r w:rsidR="00435D30" w:rsidRPr="009A79C1">
        <w:rPr>
          <w:color w:val="000000"/>
          <w:sz w:val="20"/>
          <w:szCs w:val="20"/>
        </w:rPr>
        <w:t xml:space="preserve">secure </w:t>
      </w:r>
      <w:r w:rsidR="004440FF" w:rsidRPr="009A79C1">
        <w:rPr>
          <w:color w:val="000000"/>
          <w:sz w:val="20"/>
          <w:szCs w:val="20"/>
        </w:rPr>
        <w:t>resources</w:t>
      </w:r>
      <w:r w:rsidR="00F7205F" w:rsidRPr="009A79C1">
        <w:rPr>
          <w:color w:val="000000"/>
          <w:sz w:val="20"/>
          <w:szCs w:val="20"/>
        </w:rPr>
        <w:t xml:space="preserve"> </w:t>
      </w:r>
      <w:r w:rsidR="008B7F09" w:rsidRPr="009A79C1">
        <w:rPr>
          <w:color w:val="000000"/>
          <w:sz w:val="20"/>
          <w:szCs w:val="20"/>
        </w:rPr>
        <w:t>required for prevention</w:t>
      </w:r>
      <w:r w:rsidR="00BA168D" w:rsidRPr="009A79C1">
        <w:rPr>
          <w:color w:val="000000"/>
          <w:sz w:val="20"/>
          <w:szCs w:val="20"/>
        </w:rPr>
        <w:t>.</w:t>
      </w:r>
      <w:r w:rsidR="004C7AA9" w:rsidRPr="009A79C1">
        <w:rPr>
          <w:color w:val="000000"/>
          <w:sz w:val="20"/>
          <w:szCs w:val="20"/>
        </w:rPr>
        <w:t xml:space="preserve"> </w:t>
      </w:r>
      <w:r w:rsidR="00094FDC" w:rsidRPr="009A79C1">
        <w:rPr>
          <w:color w:val="000000"/>
          <w:sz w:val="20"/>
          <w:szCs w:val="20"/>
        </w:rPr>
        <w:t xml:space="preserve">The UNDAF </w:t>
      </w:r>
      <w:r w:rsidR="00E15D32" w:rsidRPr="009A79C1">
        <w:rPr>
          <w:color w:val="000000"/>
          <w:sz w:val="20"/>
          <w:szCs w:val="20"/>
        </w:rPr>
        <w:t>support</w:t>
      </w:r>
      <w:r w:rsidR="005F7CEC" w:rsidRPr="009A79C1">
        <w:rPr>
          <w:color w:val="000000"/>
          <w:sz w:val="20"/>
          <w:szCs w:val="20"/>
        </w:rPr>
        <w:t>s</w:t>
      </w:r>
      <w:r w:rsidR="00094FDC" w:rsidRPr="009A79C1">
        <w:rPr>
          <w:color w:val="000000"/>
          <w:sz w:val="20"/>
          <w:szCs w:val="20"/>
        </w:rPr>
        <w:t xml:space="preserve"> the</w:t>
      </w:r>
      <w:r w:rsidR="00B27349" w:rsidRPr="009A79C1">
        <w:rPr>
          <w:color w:val="000000"/>
          <w:sz w:val="20"/>
          <w:szCs w:val="20"/>
        </w:rPr>
        <w:t xml:space="preserve"> </w:t>
      </w:r>
      <w:r w:rsidR="00094FDC" w:rsidRPr="009A79C1">
        <w:rPr>
          <w:color w:val="000000"/>
          <w:sz w:val="20"/>
          <w:szCs w:val="20"/>
        </w:rPr>
        <w:t xml:space="preserve">national </w:t>
      </w:r>
      <w:r w:rsidR="00803816" w:rsidRPr="009A79C1">
        <w:rPr>
          <w:color w:val="000000"/>
          <w:sz w:val="20"/>
          <w:szCs w:val="20"/>
        </w:rPr>
        <w:t>Emergency Program</w:t>
      </w:r>
      <w:r w:rsidR="00746C10" w:rsidRPr="009A79C1">
        <w:rPr>
          <w:color w:val="000000"/>
          <w:sz w:val="20"/>
          <w:szCs w:val="20"/>
        </w:rPr>
        <w:t>me</w:t>
      </w:r>
      <w:r w:rsidR="00803816" w:rsidRPr="009A79C1">
        <w:rPr>
          <w:color w:val="000000"/>
          <w:sz w:val="20"/>
          <w:szCs w:val="20"/>
        </w:rPr>
        <w:t xml:space="preserve"> for the Sahel</w:t>
      </w:r>
      <w:r w:rsidR="00094FDC" w:rsidRPr="009A79C1">
        <w:rPr>
          <w:color w:val="000000"/>
          <w:sz w:val="20"/>
          <w:szCs w:val="20"/>
        </w:rPr>
        <w:t>,</w:t>
      </w:r>
      <w:r w:rsidR="00803816" w:rsidRPr="009A79C1">
        <w:rPr>
          <w:color w:val="000000"/>
          <w:sz w:val="20"/>
          <w:szCs w:val="20"/>
        </w:rPr>
        <w:t xml:space="preserve"> and </w:t>
      </w:r>
      <w:r w:rsidR="005F7CEC" w:rsidRPr="009A79C1">
        <w:rPr>
          <w:color w:val="000000"/>
          <w:sz w:val="20"/>
          <w:szCs w:val="20"/>
        </w:rPr>
        <w:t xml:space="preserve">is aligned with </w:t>
      </w:r>
      <w:r w:rsidR="003B345D" w:rsidRPr="009A79C1">
        <w:rPr>
          <w:color w:val="000000"/>
          <w:sz w:val="20"/>
          <w:szCs w:val="20"/>
        </w:rPr>
        <w:t xml:space="preserve">the </w:t>
      </w:r>
      <w:r w:rsidR="00803816" w:rsidRPr="009A79C1">
        <w:rPr>
          <w:color w:val="000000"/>
          <w:sz w:val="20"/>
          <w:szCs w:val="20"/>
        </w:rPr>
        <w:t>U</w:t>
      </w:r>
      <w:r w:rsidR="00094FDC" w:rsidRPr="009A79C1">
        <w:rPr>
          <w:color w:val="000000"/>
          <w:sz w:val="20"/>
          <w:szCs w:val="20"/>
        </w:rPr>
        <w:t xml:space="preserve">nited </w:t>
      </w:r>
      <w:r w:rsidR="00803816" w:rsidRPr="009A79C1">
        <w:rPr>
          <w:color w:val="000000"/>
          <w:sz w:val="20"/>
          <w:szCs w:val="20"/>
        </w:rPr>
        <w:t>N</w:t>
      </w:r>
      <w:r w:rsidR="00094FDC" w:rsidRPr="009A79C1">
        <w:rPr>
          <w:color w:val="000000"/>
          <w:sz w:val="20"/>
          <w:szCs w:val="20"/>
        </w:rPr>
        <w:t>ations</w:t>
      </w:r>
      <w:r w:rsidR="00803816" w:rsidRPr="009A79C1">
        <w:rPr>
          <w:color w:val="000000"/>
          <w:sz w:val="20"/>
          <w:szCs w:val="20"/>
        </w:rPr>
        <w:t xml:space="preserve"> Integrated </w:t>
      </w:r>
      <w:r w:rsidR="00746C10" w:rsidRPr="009A79C1">
        <w:rPr>
          <w:color w:val="000000"/>
          <w:sz w:val="20"/>
          <w:szCs w:val="20"/>
        </w:rPr>
        <w:t xml:space="preserve">Sahel </w:t>
      </w:r>
      <w:r w:rsidR="00803816" w:rsidRPr="009A79C1">
        <w:rPr>
          <w:color w:val="000000"/>
          <w:sz w:val="20"/>
          <w:szCs w:val="20"/>
        </w:rPr>
        <w:t>Strategy</w:t>
      </w:r>
      <w:r w:rsidR="00547730" w:rsidRPr="009A79C1">
        <w:rPr>
          <w:color w:val="000000"/>
          <w:sz w:val="20"/>
          <w:szCs w:val="20"/>
        </w:rPr>
        <w:t xml:space="preserve">. </w:t>
      </w:r>
      <w:r w:rsidR="00ED4F96" w:rsidRPr="009A79C1">
        <w:rPr>
          <w:color w:val="000000"/>
          <w:sz w:val="20"/>
          <w:szCs w:val="20"/>
        </w:rPr>
        <w:t xml:space="preserve">UNDP will contribute to the </w:t>
      </w:r>
      <w:r w:rsidR="00094FDC" w:rsidRPr="009A79C1">
        <w:rPr>
          <w:color w:val="000000"/>
          <w:sz w:val="20"/>
          <w:szCs w:val="20"/>
        </w:rPr>
        <w:t>“</w:t>
      </w:r>
      <w:r w:rsidR="00ED4F96" w:rsidRPr="009A79C1">
        <w:rPr>
          <w:color w:val="000000"/>
          <w:sz w:val="20"/>
          <w:szCs w:val="20"/>
        </w:rPr>
        <w:t>New Way of Working</w:t>
      </w:r>
      <w:r w:rsidR="00094FDC" w:rsidRPr="009A79C1">
        <w:rPr>
          <w:color w:val="000000"/>
          <w:sz w:val="20"/>
          <w:szCs w:val="20"/>
        </w:rPr>
        <w:t>”</w:t>
      </w:r>
      <w:r w:rsidR="00ED4F96" w:rsidRPr="009A79C1">
        <w:rPr>
          <w:color w:val="000000"/>
          <w:sz w:val="20"/>
          <w:szCs w:val="20"/>
        </w:rPr>
        <w:t xml:space="preserve"> in the context of </w:t>
      </w:r>
      <w:r w:rsidR="00094FDC" w:rsidRPr="009A79C1">
        <w:rPr>
          <w:color w:val="000000"/>
          <w:sz w:val="20"/>
          <w:szCs w:val="20"/>
        </w:rPr>
        <w:t>“</w:t>
      </w:r>
      <w:r w:rsidR="00ED4F96" w:rsidRPr="009A79C1">
        <w:rPr>
          <w:color w:val="000000"/>
          <w:sz w:val="20"/>
          <w:szCs w:val="20"/>
        </w:rPr>
        <w:t>Delivering as One</w:t>
      </w:r>
      <w:r w:rsidR="00094FDC" w:rsidRPr="009A79C1">
        <w:rPr>
          <w:color w:val="000000"/>
          <w:sz w:val="20"/>
          <w:szCs w:val="20"/>
        </w:rPr>
        <w:t>”</w:t>
      </w:r>
      <w:r w:rsidR="00ED4F96" w:rsidRPr="009A79C1">
        <w:rPr>
          <w:color w:val="000000"/>
          <w:sz w:val="20"/>
          <w:szCs w:val="20"/>
        </w:rPr>
        <w:t xml:space="preserve"> </w:t>
      </w:r>
      <w:r w:rsidR="00C20DEA" w:rsidRPr="009A79C1">
        <w:rPr>
          <w:color w:val="000000"/>
          <w:sz w:val="20"/>
          <w:szCs w:val="20"/>
        </w:rPr>
        <w:t xml:space="preserve">in the Sahel </w:t>
      </w:r>
      <w:r w:rsidR="00ED4F96" w:rsidRPr="009A79C1">
        <w:rPr>
          <w:color w:val="000000"/>
          <w:sz w:val="20"/>
          <w:szCs w:val="20"/>
        </w:rPr>
        <w:t>by working along the humanitarian-peace and security-development continuum,</w:t>
      </w:r>
      <w:r w:rsidR="00044C7E" w:rsidRPr="009A79C1">
        <w:rPr>
          <w:color w:val="000000"/>
          <w:sz w:val="20"/>
          <w:szCs w:val="20"/>
        </w:rPr>
        <w:t xml:space="preserve"> </w:t>
      </w:r>
      <w:r w:rsidR="000D7D9E" w:rsidRPr="009A79C1">
        <w:rPr>
          <w:color w:val="000000"/>
          <w:sz w:val="20"/>
          <w:szCs w:val="20"/>
        </w:rPr>
        <w:t xml:space="preserve">which </w:t>
      </w:r>
      <w:r w:rsidR="009F09D2">
        <w:rPr>
          <w:color w:val="000000"/>
          <w:sz w:val="20"/>
          <w:szCs w:val="20"/>
        </w:rPr>
        <w:t>involves</w:t>
      </w:r>
      <w:r w:rsidR="000D7D9E" w:rsidRPr="009A79C1">
        <w:rPr>
          <w:color w:val="000000"/>
          <w:sz w:val="20"/>
          <w:szCs w:val="20"/>
        </w:rPr>
        <w:t xml:space="preserve"> </w:t>
      </w:r>
      <w:r w:rsidR="007326FD" w:rsidRPr="009A79C1">
        <w:rPr>
          <w:color w:val="000000"/>
          <w:sz w:val="20"/>
          <w:szCs w:val="20"/>
        </w:rPr>
        <w:t xml:space="preserve">strengthening partnerships </w:t>
      </w:r>
      <w:r w:rsidR="004C7AA9" w:rsidRPr="009A79C1">
        <w:rPr>
          <w:color w:val="000000"/>
          <w:sz w:val="20"/>
          <w:szCs w:val="20"/>
        </w:rPr>
        <w:t xml:space="preserve">with </w:t>
      </w:r>
      <w:r w:rsidR="000D7D9E" w:rsidRPr="009A79C1">
        <w:rPr>
          <w:color w:val="000000"/>
          <w:sz w:val="20"/>
          <w:szCs w:val="20"/>
        </w:rPr>
        <w:t>the United Nations Office on Drugs and Crime (</w:t>
      </w:r>
      <w:r w:rsidR="00ED4F96" w:rsidRPr="009A79C1">
        <w:rPr>
          <w:color w:val="000000"/>
          <w:sz w:val="20"/>
          <w:szCs w:val="20"/>
        </w:rPr>
        <w:t>UNODC</w:t>
      </w:r>
      <w:r w:rsidR="000D7D9E" w:rsidRPr="009A79C1">
        <w:rPr>
          <w:color w:val="000000"/>
          <w:sz w:val="20"/>
          <w:szCs w:val="20"/>
        </w:rPr>
        <w:t>)</w:t>
      </w:r>
      <w:r w:rsidR="007326FD" w:rsidRPr="009A79C1">
        <w:rPr>
          <w:color w:val="000000"/>
          <w:sz w:val="20"/>
          <w:szCs w:val="20"/>
        </w:rPr>
        <w:t xml:space="preserve"> </w:t>
      </w:r>
      <w:r w:rsidR="00ED4F96" w:rsidRPr="009A79C1">
        <w:rPr>
          <w:color w:val="000000"/>
          <w:sz w:val="20"/>
          <w:szCs w:val="20"/>
        </w:rPr>
        <w:t>on security and anti-corruption measures</w:t>
      </w:r>
      <w:r w:rsidR="007326FD" w:rsidRPr="009A79C1">
        <w:rPr>
          <w:color w:val="000000"/>
          <w:sz w:val="20"/>
          <w:szCs w:val="20"/>
        </w:rPr>
        <w:t xml:space="preserve"> along border areas</w:t>
      </w:r>
      <w:r w:rsidR="004C7AA9" w:rsidRPr="009A79C1">
        <w:rPr>
          <w:color w:val="000000"/>
          <w:sz w:val="20"/>
          <w:szCs w:val="20"/>
        </w:rPr>
        <w:t>.</w:t>
      </w:r>
      <w:r w:rsidR="006D2A21" w:rsidRPr="009A79C1">
        <w:rPr>
          <w:color w:val="000000"/>
          <w:sz w:val="20"/>
          <w:szCs w:val="20"/>
        </w:rPr>
        <w:t xml:space="preserve"> UNDP will support South</w:t>
      </w:r>
      <w:r w:rsidR="000B5C76" w:rsidRPr="009A79C1">
        <w:rPr>
          <w:color w:val="000000"/>
          <w:sz w:val="20"/>
          <w:szCs w:val="20"/>
        </w:rPr>
        <w:t>-</w:t>
      </w:r>
      <w:r w:rsidR="000D7D9E" w:rsidRPr="009A79C1">
        <w:rPr>
          <w:color w:val="000000"/>
          <w:sz w:val="20"/>
          <w:szCs w:val="20"/>
        </w:rPr>
        <w:t>S</w:t>
      </w:r>
      <w:r w:rsidR="006D2A21" w:rsidRPr="009A79C1">
        <w:rPr>
          <w:color w:val="000000"/>
          <w:sz w:val="20"/>
          <w:szCs w:val="20"/>
        </w:rPr>
        <w:t xml:space="preserve">outh </w:t>
      </w:r>
      <w:r w:rsidR="009607A4" w:rsidRPr="009A79C1">
        <w:rPr>
          <w:color w:val="000000"/>
          <w:sz w:val="20"/>
          <w:szCs w:val="20"/>
        </w:rPr>
        <w:t>cooperation</w:t>
      </w:r>
      <w:r w:rsidR="006D2A21" w:rsidRPr="009A79C1">
        <w:rPr>
          <w:color w:val="000000"/>
          <w:sz w:val="20"/>
          <w:szCs w:val="20"/>
        </w:rPr>
        <w:t xml:space="preserve"> initiatives in Liptako Gourma and G5 Sahel areas.</w:t>
      </w:r>
    </w:p>
    <w:p w14:paraId="53760635" w14:textId="1EE6EC38" w:rsidR="00FD6894" w:rsidRPr="009A79C1" w:rsidRDefault="00DA4D68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sz w:val="20"/>
          <w:szCs w:val="20"/>
        </w:rPr>
      </w:pPr>
      <w:r w:rsidRPr="009A79C1">
        <w:rPr>
          <w:color w:val="000000"/>
          <w:sz w:val="20"/>
          <w:szCs w:val="20"/>
        </w:rPr>
        <w:lastRenderedPageBreak/>
        <w:t>UNDP</w:t>
      </w:r>
      <w:r w:rsidR="00746C10" w:rsidRPr="009A79C1">
        <w:rPr>
          <w:color w:val="000000"/>
          <w:sz w:val="20"/>
          <w:szCs w:val="20"/>
        </w:rPr>
        <w:t xml:space="preserve"> will </w:t>
      </w:r>
      <w:r w:rsidR="00BF0580" w:rsidRPr="009A79C1">
        <w:rPr>
          <w:color w:val="000000"/>
          <w:sz w:val="20"/>
          <w:szCs w:val="20"/>
        </w:rPr>
        <w:t xml:space="preserve">use </w:t>
      </w:r>
      <w:r w:rsidR="00746C10" w:rsidRPr="009A79C1">
        <w:rPr>
          <w:color w:val="000000"/>
          <w:sz w:val="20"/>
          <w:szCs w:val="20"/>
        </w:rPr>
        <w:t>its position</w:t>
      </w:r>
      <w:r w:rsidR="00BF0580" w:rsidRPr="009A79C1">
        <w:rPr>
          <w:color w:val="000000"/>
          <w:sz w:val="20"/>
          <w:szCs w:val="20"/>
        </w:rPr>
        <w:t xml:space="preserve"> </w:t>
      </w:r>
      <w:r w:rsidR="00746C10" w:rsidRPr="009A79C1">
        <w:rPr>
          <w:color w:val="000000"/>
          <w:sz w:val="20"/>
          <w:szCs w:val="20"/>
        </w:rPr>
        <w:t xml:space="preserve">and </w:t>
      </w:r>
      <w:r w:rsidR="00597058" w:rsidRPr="009A79C1">
        <w:rPr>
          <w:color w:val="000000"/>
          <w:sz w:val="20"/>
          <w:szCs w:val="20"/>
        </w:rPr>
        <w:t>expertise</w:t>
      </w:r>
      <w:r w:rsidR="00746C10" w:rsidRPr="009A79C1">
        <w:rPr>
          <w:color w:val="000000"/>
          <w:sz w:val="20"/>
          <w:szCs w:val="20"/>
        </w:rPr>
        <w:t xml:space="preserve"> in capacity development and policy advice to </w:t>
      </w:r>
      <w:r w:rsidR="00597058" w:rsidRPr="009A79C1">
        <w:rPr>
          <w:color w:val="000000"/>
          <w:sz w:val="20"/>
          <w:szCs w:val="20"/>
        </w:rPr>
        <w:t>support efforts in</w:t>
      </w:r>
      <w:r w:rsidR="00BF0580" w:rsidRPr="009A79C1">
        <w:rPr>
          <w:color w:val="000000"/>
          <w:sz w:val="20"/>
          <w:szCs w:val="20"/>
        </w:rPr>
        <w:t xml:space="preserve"> Burkina Faso across</w:t>
      </w:r>
      <w:r w:rsidR="00597058" w:rsidRPr="009A79C1">
        <w:rPr>
          <w:color w:val="000000"/>
          <w:sz w:val="20"/>
          <w:szCs w:val="20"/>
        </w:rPr>
        <w:t xml:space="preserve"> three inter-dependent </w:t>
      </w:r>
      <w:r w:rsidR="000D4646" w:rsidRPr="009A79C1">
        <w:rPr>
          <w:color w:val="000000"/>
          <w:sz w:val="20"/>
          <w:szCs w:val="20"/>
        </w:rPr>
        <w:t>pillars</w:t>
      </w:r>
      <w:r w:rsidR="00256B74" w:rsidRPr="009A79C1">
        <w:rPr>
          <w:color w:val="000000"/>
          <w:sz w:val="20"/>
          <w:szCs w:val="20"/>
        </w:rPr>
        <w:t>:</w:t>
      </w:r>
      <w:r w:rsidR="00597058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i) institutional effectiveness, rule of law, social cohesion and security</w:t>
      </w:r>
      <w:r w:rsidR="00AD5975" w:rsidRPr="009A79C1">
        <w:rPr>
          <w:color w:val="000000"/>
          <w:sz w:val="20"/>
          <w:szCs w:val="20"/>
        </w:rPr>
        <w:t>,</w:t>
      </w:r>
      <w:r w:rsidRPr="009A79C1">
        <w:rPr>
          <w:color w:val="000000"/>
          <w:sz w:val="20"/>
          <w:szCs w:val="20"/>
        </w:rPr>
        <w:t xml:space="preserve"> ii) inclusive, sustainable</w:t>
      </w:r>
      <w:r w:rsidR="00597058" w:rsidRPr="009A79C1">
        <w:rPr>
          <w:color w:val="000000"/>
          <w:sz w:val="20"/>
          <w:szCs w:val="20"/>
        </w:rPr>
        <w:t>,</w:t>
      </w:r>
      <w:r w:rsidRPr="009A79C1">
        <w:rPr>
          <w:color w:val="000000"/>
          <w:sz w:val="20"/>
          <w:szCs w:val="20"/>
        </w:rPr>
        <w:t xml:space="preserve"> job</w:t>
      </w:r>
      <w:r w:rsidR="00597058" w:rsidRPr="009A79C1">
        <w:rPr>
          <w:color w:val="000000"/>
          <w:sz w:val="20"/>
          <w:szCs w:val="20"/>
        </w:rPr>
        <w:t>-</w:t>
      </w:r>
      <w:r w:rsidRPr="009A79C1">
        <w:rPr>
          <w:color w:val="000000"/>
          <w:sz w:val="20"/>
          <w:szCs w:val="20"/>
        </w:rPr>
        <w:t>inducing growth</w:t>
      </w:r>
      <w:r w:rsidR="00AD5975" w:rsidRPr="009A79C1">
        <w:rPr>
          <w:color w:val="000000"/>
          <w:sz w:val="20"/>
          <w:szCs w:val="20"/>
        </w:rPr>
        <w:t>,</w:t>
      </w:r>
      <w:r w:rsidRPr="009A79C1">
        <w:rPr>
          <w:color w:val="000000"/>
          <w:sz w:val="20"/>
          <w:szCs w:val="20"/>
        </w:rPr>
        <w:t xml:space="preserve"> and iii) resilience to climate shocks. </w:t>
      </w:r>
      <w:r w:rsidR="00E14C7E" w:rsidRPr="009A79C1">
        <w:rPr>
          <w:color w:val="000000"/>
          <w:sz w:val="20"/>
          <w:szCs w:val="20"/>
        </w:rPr>
        <w:t xml:space="preserve">UNDP </w:t>
      </w:r>
      <w:r w:rsidR="003822D1" w:rsidRPr="009A79C1">
        <w:rPr>
          <w:color w:val="000000"/>
          <w:sz w:val="20"/>
          <w:szCs w:val="20"/>
        </w:rPr>
        <w:t xml:space="preserve">will </w:t>
      </w:r>
      <w:r w:rsidR="002471B6" w:rsidRPr="009A79C1">
        <w:rPr>
          <w:sz w:val="20"/>
          <w:szCs w:val="20"/>
        </w:rPr>
        <w:t>offer upstream</w:t>
      </w:r>
      <w:r w:rsidR="00505C01" w:rsidRPr="009A79C1">
        <w:rPr>
          <w:sz w:val="20"/>
          <w:szCs w:val="20"/>
        </w:rPr>
        <w:t xml:space="preserve"> </w:t>
      </w:r>
      <w:r w:rsidR="00165F71" w:rsidRPr="009A79C1">
        <w:rPr>
          <w:sz w:val="20"/>
          <w:szCs w:val="20"/>
        </w:rPr>
        <w:t>poli</w:t>
      </w:r>
      <w:r w:rsidR="00F44CA8" w:rsidRPr="009A79C1">
        <w:rPr>
          <w:sz w:val="20"/>
          <w:szCs w:val="20"/>
        </w:rPr>
        <w:t xml:space="preserve">cy </w:t>
      </w:r>
      <w:r w:rsidR="006050E3" w:rsidRPr="009A79C1">
        <w:rPr>
          <w:sz w:val="20"/>
          <w:szCs w:val="20"/>
        </w:rPr>
        <w:t>advisory</w:t>
      </w:r>
      <w:r w:rsidR="00F67414" w:rsidRPr="009A79C1">
        <w:rPr>
          <w:sz w:val="20"/>
          <w:szCs w:val="20"/>
        </w:rPr>
        <w:t xml:space="preserve"> </w:t>
      </w:r>
      <w:r w:rsidR="003839E6" w:rsidRPr="009A79C1">
        <w:rPr>
          <w:sz w:val="20"/>
          <w:szCs w:val="20"/>
        </w:rPr>
        <w:t xml:space="preserve">services including through </w:t>
      </w:r>
      <w:r w:rsidR="00FA4454" w:rsidRPr="009A79C1">
        <w:rPr>
          <w:sz w:val="20"/>
          <w:szCs w:val="20"/>
        </w:rPr>
        <w:t>the</w:t>
      </w:r>
      <w:r w:rsidR="003839E6" w:rsidRPr="009A79C1">
        <w:rPr>
          <w:sz w:val="20"/>
          <w:szCs w:val="20"/>
        </w:rPr>
        <w:t xml:space="preserve"> U</w:t>
      </w:r>
      <w:r w:rsidR="00AD5975" w:rsidRPr="009A79C1">
        <w:rPr>
          <w:sz w:val="20"/>
          <w:szCs w:val="20"/>
        </w:rPr>
        <w:t xml:space="preserve">nited </w:t>
      </w:r>
      <w:r w:rsidR="003839E6" w:rsidRPr="009A79C1">
        <w:rPr>
          <w:sz w:val="20"/>
          <w:szCs w:val="20"/>
        </w:rPr>
        <w:t>N</w:t>
      </w:r>
      <w:r w:rsidR="00AD5975" w:rsidRPr="009A79C1">
        <w:rPr>
          <w:sz w:val="20"/>
          <w:szCs w:val="20"/>
        </w:rPr>
        <w:t>ations</w:t>
      </w:r>
      <w:r w:rsidR="003839E6" w:rsidRPr="009A79C1">
        <w:rPr>
          <w:sz w:val="20"/>
          <w:szCs w:val="20"/>
        </w:rPr>
        <w:t xml:space="preserve"> Development </w:t>
      </w:r>
      <w:r w:rsidR="00FA64B2" w:rsidRPr="009A79C1">
        <w:rPr>
          <w:sz w:val="20"/>
          <w:szCs w:val="20"/>
        </w:rPr>
        <w:t>System</w:t>
      </w:r>
      <w:r w:rsidR="003839E6" w:rsidRPr="009A79C1">
        <w:rPr>
          <w:sz w:val="20"/>
          <w:szCs w:val="20"/>
        </w:rPr>
        <w:t xml:space="preserve"> </w:t>
      </w:r>
      <w:r w:rsidR="00245EB2" w:rsidRPr="009A79C1">
        <w:rPr>
          <w:sz w:val="20"/>
          <w:szCs w:val="20"/>
        </w:rPr>
        <w:t>Mainstreaming</w:t>
      </w:r>
      <w:r w:rsidR="004F5626" w:rsidRPr="009A79C1">
        <w:rPr>
          <w:sz w:val="20"/>
          <w:szCs w:val="20"/>
        </w:rPr>
        <w:t xml:space="preserve"> Accelerating and Policy Support</w:t>
      </w:r>
      <w:r w:rsidR="009C1D2C" w:rsidRPr="009A79C1">
        <w:rPr>
          <w:sz w:val="20"/>
          <w:szCs w:val="20"/>
        </w:rPr>
        <w:t xml:space="preserve"> (MAPS) approach</w:t>
      </w:r>
      <w:r w:rsidR="00971D7F" w:rsidRPr="009A79C1">
        <w:rPr>
          <w:sz w:val="20"/>
          <w:szCs w:val="20"/>
        </w:rPr>
        <w:t>.</w:t>
      </w:r>
      <w:r w:rsidR="00E14C7E" w:rsidRPr="009A79C1">
        <w:rPr>
          <w:sz w:val="20"/>
          <w:szCs w:val="20"/>
        </w:rPr>
        <w:t xml:space="preserve"> UNDP will </w:t>
      </w:r>
      <w:r w:rsidR="00AD5975" w:rsidRPr="009A79C1">
        <w:rPr>
          <w:sz w:val="20"/>
          <w:szCs w:val="20"/>
        </w:rPr>
        <w:t>employ</w:t>
      </w:r>
      <w:r w:rsidR="00E14C7E" w:rsidRPr="009A79C1">
        <w:rPr>
          <w:sz w:val="20"/>
          <w:szCs w:val="20"/>
        </w:rPr>
        <w:t xml:space="preserve"> </w:t>
      </w:r>
      <w:r w:rsidR="003557AB" w:rsidRPr="009A79C1">
        <w:rPr>
          <w:sz w:val="20"/>
          <w:szCs w:val="20"/>
        </w:rPr>
        <w:t xml:space="preserve">technical support, tools and systems for strengthening </w:t>
      </w:r>
      <w:r w:rsidR="00AD5975" w:rsidRPr="009A79C1">
        <w:rPr>
          <w:sz w:val="20"/>
          <w:szCs w:val="20"/>
        </w:rPr>
        <w:t xml:space="preserve">the </w:t>
      </w:r>
      <w:r w:rsidR="003557AB" w:rsidRPr="009A79C1">
        <w:rPr>
          <w:sz w:val="20"/>
          <w:szCs w:val="20"/>
        </w:rPr>
        <w:t xml:space="preserve">capacity of a selected number of institutions </w:t>
      </w:r>
      <w:r w:rsidR="00FE7E9E" w:rsidRPr="009A79C1">
        <w:rPr>
          <w:sz w:val="20"/>
          <w:szCs w:val="20"/>
        </w:rPr>
        <w:t>(</w:t>
      </w:r>
      <w:r w:rsidR="003557AB" w:rsidRPr="009A79C1">
        <w:rPr>
          <w:sz w:val="20"/>
          <w:szCs w:val="20"/>
        </w:rPr>
        <w:t xml:space="preserve">public procurement, coordination </w:t>
      </w:r>
      <w:r w:rsidR="00971D7F" w:rsidRPr="009A79C1">
        <w:rPr>
          <w:sz w:val="20"/>
          <w:szCs w:val="20"/>
        </w:rPr>
        <w:t>and</w:t>
      </w:r>
      <w:r w:rsidR="003557AB" w:rsidRPr="009A79C1">
        <w:rPr>
          <w:sz w:val="20"/>
          <w:szCs w:val="20"/>
        </w:rPr>
        <w:t xml:space="preserve"> monitoring, oversight </w:t>
      </w:r>
      <w:r w:rsidR="00971D7F" w:rsidRPr="009A79C1">
        <w:rPr>
          <w:sz w:val="20"/>
          <w:szCs w:val="20"/>
        </w:rPr>
        <w:t>and</w:t>
      </w:r>
      <w:r w:rsidR="003557AB" w:rsidRPr="009A79C1">
        <w:rPr>
          <w:sz w:val="20"/>
          <w:szCs w:val="20"/>
        </w:rPr>
        <w:t xml:space="preserve"> accountability, anti-corruption</w:t>
      </w:r>
      <w:r w:rsidR="00FE7E9E" w:rsidRPr="009A79C1">
        <w:rPr>
          <w:sz w:val="20"/>
          <w:szCs w:val="20"/>
        </w:rPr>
        <w:t>)</w:t>
      </w:r>
      <w:r w:rsidR="00B258F8" w:rsidRPr="009A79C1">
        <w:rPr>
          <w:sz w:val="20"/>
          <w:szCs w:val="20"/>
        </w:rPr>
        <w:t xml:space="preserve">, </w:t>
      </w:r>
      <w:r w:rsidR="000F50E5" w:rsidRPr="009A79C1">
        <w:rPr>
          <w:sz w:val="20"/>
          <w:szCs w:val="20"/>
        </w:rPr>
        <w:t>provide</w:t>
      </w:r>
      <w:r w:rsidR="003557AB" w:rsidRPr="009A79C1">
        <w:rPr>
          <w:sz w:val="20"/>
          <w:szCs w:val="20"/>
        </w:rPr>
        <w:t xml:space="preserve"> implementation</w:t>
      </w:r>
      <w:r w:rsidR="00433B3B" w:rsidRPr="009A79C1">
        <w:rPr>
          <w:sz w:val="20"/>
          <w:szCs w:val="20"/>
        </w:rPr>
        <w:t xml:space="preserve"> </w:t>
      </w:r>
      <w:r w:rsidR="00FE62D2" w:rsidRPr="009A79C1">
        <w:rPr>
          <w:sz w:val="20"/>
          <w:szCs w:val="20"/>
        </w:rPr>
        <w:t xml:space="preserve">support </w:t>
      </w:r>
      <w:r w:rsidR="003557AB" w:rsidRPr="009A79C1">
        <w:rPr>
          <w:sz w:val="20"/>
          <w:szCs w:val="20"/>
        </w:rPr>
        <w:t>services</w:t>
      </w:r>
      <w:r w:rsidR="00AD5975" w:rsidRPr="009A79C1">
        <w:rPr>
          <w:sz w:val="20"/>
          <w:szCs w:val="20"/>
        </w:rPr>
        <w:t>,</w:t>
      </w:r>
      <w:r w:rsidR="00B258F8" w:rsidRPr="009A79C1">
        <w:rPr>
          <w:sz w:val="20"/>
          <w:szCs w:val="20"/>
        </w:rPr>
        <w:t xml:space="preserve"> and </w:t>
      </w:r>
      <w:r w:rsidR="002471B6" w:rsidRPr="009A79C1">
        <w:rPr>
          <w:sz w:val="20"/>
          <w:szCs w:val="20"/>
        </w:rPr>
        <w:t>facilitate the establishment of dialogue</w:t>
      </w:r>
      <w:r w:rsidR="00FA4454" w:rsidRPr="009A79C1">
        <w:rPr>
          <w:sz w:val="20"/>
          <w:szCs w:val="20"/>
        </w:rPr>
        <w:t xml:space="preserve"> platforms and multi-stakeholder engagement</w:t>
      </w:r>
      <w:r w:rsidR="00B258F8" w:rsidRPr="009A79C1">
        <w:rPr>
          <w:sz w:val="20"/>
          <w:szCs w:val="20"/>
        </w:rPr>
        <w:t>.</w:t>
      </w:r>
      <w:r w:rsidR="00283EBF" w:rsidRPr="009A79C1">
        <w:rPr>
          <w:sz w:val="20"/>
          <w:szCs w:val="20"/>
        </w:rPr>
        <w:t xml:space="preserve"> UNDP will</w:t>
      </w:r>
      <w:r w:rsidR="00731823" w:rsidRPr="009A79C1">
        <w:rPr>
          <w:sz w:val="20"/>
          <w:szCs w:val="20"/>
        </w:rPr>
        <w:t xml:space="preserve"> </w:t>
      </w:r>
      <w:r w:rsidR="00E527DE" w:rsidRPr="009A79C1">
        <w:rPr>
          <w:sz w:val="20"/>
          <w:szCs w:val="20"/>
        </w:rPr>
        <w:t>integrate</w:t>
      </w:r>
      <w:r w:rsidR="00731823" w:rsidRPr="009A79C1">
        <w:rPr>
          <w:sz w:val="20"/>
          <w:szCs w:val="20"/>
        </w:rPr>
        <w:t xml:space="preserve"> gender in all interventions through</w:t>
      </w:r>
      <w:r w:rsidR="00283EBF" w:rsidRPr="009A79C1">
        <w:rPr>
          <w:sz w:val="20"/>
          <w:szCs w:val="20"/>
        </w:rPr>
        <w:t xml:space="preserve"> </w:t>
      </w:r>
      <w:r w:rsidR="00AD5975" w:rsidRPr="009A79C1">
        <w:rPr>
          <w:sz w:val="20"/>
          <w:szCs w:val="20"/>
        </w:rPr>
        <w:t xml:space="preserve">use of </w:t>
      </w:r>
      <w:r w:rsidR="00283EBF" w:rsidRPr="009A79C1">
        <w:rPr>
          <w:sz w:val="20"/>
          <w:szCs w:val="20"/>
        </w:rPr>
        <w:t xml:space="preserve">the Gender Seal to create incentives for </w:t>
      </w:r>
      <w:r w:rsidR="00811EE6" w:rsidRPr="009A79C1">
        <w:rPr>
          <w:sz w:val="20"/>
          <w:szCs w:val="20"/>
        </w:rPr>
        <w:t>positive action</w:t>
      </w:r>
      <w:r w:rsidR="00283EBF" w:rsidRPr="009A79C1">
        <w:rPr>
          <w:sz w:val="20"/>
          <w:szCs w:val="20"/>
        </w:rPr>
        <w:t xml:space="preserve"> </w:t>
      </w:r>
      <w:r w:rsidR="00E527DE" w:rsidRPr="009A79C1">
        <w:rPr>
          <w:sz w:val="20"/>
          <w:szCs w:val="20"/>
        </w:rPr>
        <w:t xml:space="preserve">and the </w:t>
      </w:r>
      <w:r w:rsidR="00283EBF" w:rsidRPr="009A79C1">
        <w:rPr>
          <w:sz w:val="20"/>
          <w:szCs w:val="20"/>
        </w:rPr>
        <w:t>systematic integration of gender considerations.</w:t>
      </w:r>
      <w:r w:rsidR="000C1AF3" w:rsidRPr="009A79C1">
        <w:rPr>
          <w:sz w:val="20"/>
          <w:szCs w:val="20"/>
        </w:rPr>
        <w:t xml:space="preserve"> </w:t>
      </w:r>
      <w:r w:rsidR="00FD6894" w:rsidRPr="009A79C1" w:rsidDel="00FD6894">
        <w:rPr>
          <w:sz w:val="20"/>
          <w:szCs w:val="20"/>
        </w:rPr>
        <w:t xml:space="preserve"> </w:t>
      </w:r>
    </w:p>
    <w:p w14:paraId="71D8FA5D" w14:textId="77777777" w:rsidR="003C2DA6" w:rsidRPr="00A071A7" w:rsidRDefault="003C2DA6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2C09BD32" w14:textId="77777777" w:rsidR="00816CFE" w:rsidRPr="005D7DD8" w:rsidRDefault="00AD733A" w:rsidP="00307DE8">
      <w:pPr>
        <w:pStyle w:val="ListParagraph"/>
        <w:tabs>
          <w:tab w:val="left" w:pos="1530"/>
        </w:tabs>
        <w:ind w:left="1170"/>
        <w:jc w:val="both"/>
        <w:rPr>
          <w:b/>
          <w:color w:val="000000"/>
          <w:sz w:val="20"/>
          <w:szCs w:val="20"/>
        </w:rPr>
      </w:pPr>
      <w:r w:rsidRPr="005D7DD8">
        <w:rPr>
          <w:b/>
          <w:color w:val="000000"/>
          <w:sz w:val="20"/>
          <w:szCs w:val="20"/>
        </w:rPr>
        <w:t xml:space="preserve">Institutional </w:t>
      </w:r>
      <w:r w:rsidR="00E527DE" w:rsidRPr="005D7DD8">
        <w:rPr>
          <w:b/>
          <w:color w:val="000000"/>
          <w:sz w:val="20"/>
          <w:szCs w:val="20"/>
        </w:rPr>
        <w:t>e</w:t>
      </w:r>
      <w:r w:rsidRPr="005D7DD8">
        <w:rPr>
          <w:b/>
          <w:color w:val="000000"/>
          <w:sz w:val="20"/>
          <w:szCs w:val="20"/>
        </w:rPr>
        <w:t xml:space="preserve">fficiency, </w:t>
      </w:r>
      <w:r w:rsidR="00E527DE" w:rsidRPr="005D7DD8">
        <w:rPr>
          <w:b/>
          <w:color w:val="000000"/>
          <w:sz w:val="20"/>
          <w:szCs w:val="20"/>
        </w:rPr>
        <w:t>r</w:t>
      </w:r>
      <w:r w:rsidRPr="005D7DD8">
        <w:rPr>
          <w:b/>
          <w:color w:val="000000"/>
          <w:sz w:val="20"/>
          <w:szCs w:val="20"/>
        </w:rPr>
        <w:t xml:space="preserve">ule of </w:t>
      </w:r>
      <w:r w:rsidR="00E527DE" w:rsidRPr="005D7DD8">
        <w:rPr>
          <w:b/>
          <w:color w:val="000000"/>
          <w:sz w:val="20"/>
          <w:szCs w:val="20"/>
        </w:rPr>
        <w:t>l</w:t>
      </w:r>
      <w:r w:rsidRPr="005D7DD8">
        <w:rPr>
          <w:b/>
          <w:color w:val="000000"/>
          <w:sz w:val="20"/>
          <w:szCs w:val="20"/>
        </w:rPr>
        <w:t xml:space="preserve">aw, </w:t>
      </w:r>
      <w:r w:rsidR="00E527DE" w:rsidRPr="005D7DD8">
        <w:rPr>
          <w:b/>
          <w:color w:val="000000"/>
          <w:sz w:val="20"/>
          <w:szCs w:val="20"/>
        </w:rPr>
        <w:t>s</w:t>
      </w:r>
      <w:r w:rsidRPr="005D7DD8">
        <w:rPr>
          <w:b/>
          <w:color w:val="000000"/>
          <w:sz w:val="20"/>
          <w:szCs w:val="20"/>
        </w:rPr>
        <w:t xml:space="preserve">ocial </w:t>
      </w:r>
      <w:r w:rsidR="00E527DE" w:rsidRPr="005D7DD8">
        <w:rPr>
          <w:b/>
          <w:color w:val="000000"/>
          <w:sz w:val="20"/>
          <w:szCs w:val="20"/>
        </w:rPr>
        <w:t>c</w:t>
      </w:r>
      <w:r w:rsidRPr="005D7DD8">
        <w:rPr>
          <w:b/>
          <w:color w:val="000000"/>
          <w:sz w:val="20"/>
          <w:szCs w:val="20"/>
        </w:rPr>
        <w:t xml:space="preserve">ohesion, and </w:t>
      </w:r>
      <w:r w:rsidR="00E527DE" w:rsidRPr="005D7DD8">
        <w:rPr>
          <w:b/>
          <w:color w:val="000000"/>
          <w:sz w:val="20"/>
          <w:szCs w:val="20"/>
        </w:rPr>
        <w:t>s</w:t>
      </w:r>
      <w:r w:rsidRPr="005D7DD8">
        <w:rPr>
          <w:b/>
          <w:color w:val="000000"/>
          <w:sz w:val="20"/>
          <w:szCs w:val="20"/>
        </w:rPr>
        <w:t>ecurity</w:t>
      </w:r>
    </w:p>
    <w:p w14:paraId="0CABE0F0" w14:textId="77777777" w:rsidR="00DD1A57" w:rsidRPr="00A071A7" w:rsidRDefault="00DD1A57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38E10C63" w14:textId="087B87F8" w:rsidR="00E93FB8" w:rsidRPr="009A79C1" w:rsidRDefault="00707416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This programme component is imperative for helping the government deliver on its promises, and adopt a proactive approach to prevention and risk mitigation regarding factors that may undermine the pace of reforms or fuel social discontent. This component </w:t>
      </w:r>
      <w:r w:rsidR="00990019" w:rsidRPr="009A79C1">
        <w:rPr>
          <w:color w:val="000000"/>
          <w:sz w:val="20"/>
          <w:szCs w:val="20"/>
        </w:rPr>
        <w:t xml:space="preserve">supports the first pillar of </w:t>
      </w:r>
      <w:r w:rsidR="00E50B1A" w:rsidRPr="009A79C1">
        <w:rPr>
          <w:color w:val="000000"/>
          <w:sz w:val="20"/>
          <w:szCs w:val="20"/>
        </w:rPr>
        <w:t xml:space="preserve">the </w:t>
      </w:r>
      <w:r w:rsidR="006E723C" w:rsidRPr="009A79C1">
        <w:rPr>
          <w:color w:val="000000"/>
          <w:sz w:val="20"/>
          <w:szCs w:val="20"/>
        </w:rPr>
        <w:t>N</w:t>
      </w:r>
      <w:r w:rsidR="006C6EC8" w:rsidRPr="009A79C1">
        <w:rPr>
          <w:color w:val="000000"/>
          <w:sz w:val="20"/>
          <w:szCs w:val="20"/>
        </w:rPr>
        <w:t>E</w:t>
      </w:r>
      <w:r w:rsidR="006E723C" w:rsidRPr="009A79C1">
        <w:rPr>
          <w:color w:val="000000"/>
          <w:sz w:val="20"/>
          <w:szCs w:val="20"/>
        </w:rPr>
        <w:t>SD</w:t>
      </w:r>
      <w:r w:rsidR="006C6EC8" w:rsidRPr="009A79C1">
        <w:rPr>
          <w:color w:val="000000"/>
          <w:sz w:val="20"/>
          <w:szCs w:val="20"/>
        </w:rPr>
        <w:t>P</w:t>
      </w:r>
      <w:r w:rsidR="006E723C" w:rsidRPr="009A79C1">
        <w:rPr>
          <w:color w:val="000000"/>
          <w:sz w:val="20"/>
          <w:szCs w:val="20"/>
        </w:rPr>
        <w:t>,</w:t>
      </w:r>
      <w:r w:rsidR="00E527DE" w:rsidRPr="009A79C1">
        <w:rPr>
          <w:color w:val="000000"/>
          <w:sz w:val="20"/>
          <w:szCs w:val="20"/>
        </w:rPr>
        <w:t xml:space="preserve"> which is</w:t>
      </w:r>
      <w:r w:rsidR="006E723C" w:rsidRPr="009A79C1">
        <w:rPr>
          <w:color w:val="000000"/>
          <w:sz w:val="20"/>
          <w:szCs w:val="20"/>
        </w:rPr>
        <w:t xml:space="preserve"> </w:t>
      </w:r>
      <w:r w:rsidR="00990019" w:rsidRPr="009A79C1">
        <w:rPr>
          <w:color w:val="000000"/>
          <w:sz w:val="20"/>
          <w:szCs w:val="20"/>
        </w:rPr>
        <w:t xml:space="preserve">aimed at institutional reform and modernization of the </w:t>
      </w:r>
      <w:r w:rsidR="001F5A5A" w:rsidRPr="009A79C1">
        <w:rPr>
          <w:color w:val="000000"/>
          <w:sz w:val="20"/>
          <w:szCs w:val="20"/>
        </w:rPr>
        <w:t>state</w:t>
      </w:r>
      <w:r w:rsidR="00E527DE" w:rsidRPr="009A79C1">
        <w:rPr>
          <w:color w:val="000000"/>
          <w:sz w:val="20"/>
          <w:szCs w:val="20"/>
        </w:rPr>
        <w:t>,</w:t>
      </w:r>
      <w:r w:rsidR="001F5A5A" w:rsidRPr="009A79C1">
        <w:rPr>
          <w:color w:val="000000"/>
          <w:sz w:val="20"/>
          <w:szCs w:val="20"/>
        </w:rPr>
        <w:t xml:space="preserve"> and </w:t>
      </w:r>
      <w:r w:rsidR="00C42A7E" w:rsidRPr="009A79C1">
        <w:rPr>
          <w:color w:val="000000"/>
          <w:sz w:val="20"/>
          <w:szCs w:val="20"/>
        </w:rPr>
        <w:t xml:space="preserve">is anchored </w:t>
      </w:r>
      <w:r w:rsidR="00E527DE" w:rsidRPr="009A79C1">
        <w:rPr>
          <w:color w:val="000000"/>
          <w:sz w:val="20"/>
          <w:szCs w:val="20"/>
        </w:rPr>
        <w:t xml:space="preserve">to </w:t>
      </w:r>
      <w:r w:rsidR="00C42A7E" w:rsidRPr="009A79C1">
        <w:rPr>
          <w:color w:val="000000"/>
          <w:sz w:val="20"/>
          <w:szCs w:val="20"/>
        </w:rPr>
        <w:t xml:space="preserve">the </w:t>
      </w:r>
      <w:r w:rsidR="00E527DE" w:rsidRPr="009A79C1">
        <w:rPr>
          <w:color w:val="000000"/>
          <w:sz w:val="20"/>
          <w:szCs w:val="20"/>
        </w:rPr>
        <w:t>S</w:t>
      </w:r>
      <w:r w:rsidR="00C42A7E" w:rsidRPr="009A79C1">
        <w:rPr>
          <w:color w:val="000000"/>
          <w:sz w:val="20"/>
          <w:szCs w:val="20"/>
        </w:rPr>
        <w:t xml:space="preserve">ustaining </w:t>
      </w:r>
      <w:r w:rsidR="00E527DE" w:rsidRPr="009A79C1">
        <w:rPr>
          <w:color w:val="000000"/>
          <w:sz w:val="20"/>
          <w:szCs w:val="20"/>
        </w:rPr>
        <w:t>P</w:t>
      </w:r>
      <w:r w:rsidR="00C42A7E" w:rsidRPr="009A79C1">
        <w:rPr>
          <w:color w:val="000000"/>
          <w:sz w:val="20"/>
          <w:szCs w:val="20"/>
        </w:rPr>
        <w:t xml:space="preserve">eace </w:t>
      </w:r>
      <w:r w:rsidR="00E527DE" w:rsidRPr="009A79C1">
        <w:rPr>
          <w:color w:val="000000"/>
          <w:sz w:val="20"/>
          <w:szCs w:val="20"/>
        </w:rPr>
        <w:t>S</w:t>
      </w:r>
      <w:r w:rsidR="00C42A7E" w:rsidRPr="009A79C1">
        <w:rPr>
          <w:color w:val="000000"/>
          <w:sz w:val="20"/>
          <w:szCs w:val="20"/>
        </w:rPr>
        <w:t xml:space="preserve">trategy and </w:t>
      </w:r>
      <w:r w:rsidR="000F7A90">
        <w:rPr>
          <w:color w:val="000000"/>
          <w:sz w:val="20"/>
          <w:szCs w:val="20"/>
        </w:rPr>
        <w:t xml:space="preserve">SDG </w:t>
      </w:r>
      <w:r w:rsidR="000D7745" w:rsidRPr="009A79C1">
        <w:rPr>
          <w:color w:val="000000"/>
          <w:sz w:val="20"/>
          <w:szCs w:val="20"/>
        </w:rPr>
        <w:t>G</w:t>
      </w:r>
      <w:r w:rsidR="00C42A7E" w:rsidRPr="009A79C1">
        <w:rPr>
          <w:color w:val="000000"/>
          <w:sz w:val="20"/>
          <w:szCs w:val="20"/>
        </w:rPr>
        <w:t>oal 16.</w:t>
      </w:r>
      <w:r w:rsidR="004F0FC0" w:rsidRPr="009A79C1">
        <w:rPr>
          <w:color w:val="000000"/>
          <w:sz w:val="20"/>
          <w:szCs w:val="20"/>
        </w:rPr>
        <w:t xml:space="preserve"> </w:t>
      </w:r>
    </w:p>
    <w:p w14:paraId="2CA50A75" w14:textId="77777777" w:rsidR="007D2662" w:rsidRPr="001B6A23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528EF1D6" w14:textId="1C00E727" w:rsidR="007D2662" w:rsidRPr="009A79C1" w:rsidRDefault="00BF7848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Drawing on </w:t>
      </w:r>
      <w:r w:rsidR="00635E66" w:rsidRPr="009A79C1">
        <w:rPr>
          <w:color w:val="000000"/>
          <w:sz w:val="20"/>
          <w:szCs w:val="20"/>
        </w:rPr>
        <w:t xml:space="preserve">recommendations </w:t>
      </w:r>
      <w:r w:rsidR="00E527DE" w:rsidRPr="009A79C1">
        <w:rPr>
          <w:color w:val="000000"/>
          <w:sz w:val="20"/>
          <w:szCs w:val="20"/>
        </w:rPr>
        <w:t xml:space="preserve">from </w:t>
      </w:r>
      <w:r w:rsidR="00635E66" w:rsidRPr="009A79C1">
        <w:rPr>
          <w:color w:val="000000"/>
          <w:sz w:val="20"/>
          <w:szCs w:val="20"/>
        </w:rPr>
        <w:t>the inter-</w:t>
      </w:r>
      <w:r w:rsidR="00435D30" w:rsidRPr="009A79C1">
        <w:rPr>
          <w:color w:val="000000"/>
          <w:sz w:val="20"/>
          <w:szCs w:val="20"/>
        </w:rPr>
        <w:t xml:space="preserve">organizational </w:t>
      </w:r>
      <w:r w:rsidR="00635E66" w:rsidRPr="009A79C1">
        <w:rPr>
          <w:color w:val="000000"/>
          <w:sz w:val="20"/>
          <w:szCs w:val="20"/>
        </w:rPr>
        <w:t>mission on sustaining peace</w:t>
      </w:r>
      <w:r w:rsidR="00332F0A" w:rsidRPr="009A79C1">
        <w:rPr>
          <w:color w:val="000000"/>
          <w:sz w:val="20"/>
          <w:szCs w:val="20"/>
        </w:rPr>
        <w:t xml:space="preserve"> in Burkina Faso</w:t>
      </w:r>
      <w:r w:rsidR="00E527DE" w:rsidRPr="009A79C1">
        <w:rPr>
          <w:color w:val="000000"/>
          <w:sz w:val="20"/>
          <w:szCs w:val="20"/>
        </w:rPr>
        <w:t>,</w:t>
      </w:r>
      <w:r w:rsidR="004D634B" w:rsidRPr="009A79C1">
        <w:rPr>
          <w:color w:val="000000"/>
          <w:sz w:val="20"/>
          <w:szCs w:val="20"/>
        </w:rPr>
        <w:t xml:space="preserve"> and the Global F</w:t>
      </w:r>
      <w:r w:rsidR="00635E66" w:rsidRPr="009A79C1">
        <w:rPr>
          <w:color w:val="000000"/>
          <w:sz w:val="20"/>
          <w:szCs w:val="20"/>
        </w:rPr>
        <w:t xml:space="preserve">ocal </w:t>
      </w:r>
      <w:r w:rsidR="004D634B" w:rsidRPr="009A79C1">
        <w:rPr>
          <w:color w:val="000000"/>
          <w:sz w:val="20"/>
          <w:szCs w:val="20"/>
        </w:rPr>
        <w:t>P</w:t>
      </w:r>
      <w:r w:rsidR="00635E66" w:rsidRPr="009A79C1">
        <w:rPr>
          <w:color w:val="000000"/>
          <w:sz w:val="20"/>
          <w:szCs w:val="20"/>
        </w:rPr>
        <w:t xml:space="preserve">oint on Justice, </w:t>
      </w:r>
      <w:r w:rsidR="004D634B" w:rsidRPr="009A79C1">
        <w:rPr>
          <w:color w:val="000000"/>
          <w:sz w:val="20"/>
          <w:szCs w:val="20"/>
        </w:rPr>
        <w:t>P</w:t>
      </w:r>
      <w:r w:rsidR="00635E66" w:rsidRPr="009A79C1">
        <w:rPr>
          <w:color w:val="000000"/>
          <w:sz w:val="20"/>
          <w:szCs w:val="20"/>
        </w:rPr>
        <w:t xml:space="preserve">olice and </w:t>
      </w:r>
      <w:r w:rsidR="004D634B" w:rsidRPr="009A79C1">
        <w:rPr>
          <w:color w:val="000000"/>
          <w:sz w:val="20"/>
          <w:szCs w:val="20"/>
        </w:rPr>
        <w:t>C</w:t>
      </w:r>
      <w:r w:rsidR="00635E66" w:rsidRPr="009A79C1">
        <w:rPr>
          <w:color w:val="000000"/>
          <w:sz w:val="20"/>
          <w:szCs w:val="20"/>
        </w:rPr>
        <w:t xml:space="preserve">orrections, UNDP will </w:t>
      </w:r>
      <w:r w:rsidR="001C7D86" w:rsidRPr="009A79C1">
        <w:rPr>
          <w:color w:val="000000"/>
          <w:sz w:val="20"/>
          <w:szCs w:val="20"/>
        </w:rPr>
        <w:t>focus</w:t>
      </w:r>
      <w:r w:rsidR="00E84320" w:rsidRPr="009A79C1">
        <w:rPr>
          <w:color w:val="000000"/>
          <w:sz w:val="20"/>
          <w:szCs w:val="20"/>
        </w:rPr>
        <w:t xml:space="preserve"> </w:t>
      </w:r>
      <w:r w:rsidR="00775FB5" w:rsidRPr="009A79C1">
        <w:rPr>
          <w:color w:val="000000"/>
          <w:sz w:val="20"/>
          <w:szCs w:val="20"/>
        </w:rPr>
        <w:t xml:space="preserve">on </w:t>
      </w:r>
      <w:r w:rsidR="00E84320" w:rsidRPr="009A79C1">
        <w:rPr>
          <w:color w:val="000000"/>
          <w:sz w:val="20"/>
          <w:szCs w:val="20"/>
        </w:rPr>
        <w:t xml:space="preserve">strengthening </w:t>
      </w:r>
      <w:r w:rsidR="008F7468" w:rsidRPr="009A79C1">
        <w:rPr>
          <w:color w:val="000000"/>
          <w:sz w:val="20"/>
          <w:szCs w:val="20"/>
        </w:rPr>
        <w:t>opera</w:t>
      </w:r>
      <w:r w:rsidR="00457035" w:rsidRPr="009A79C1">
        <w:rPr>
          <w:color w:val="000000"/>
          <w:sz w:val="20"/>
          <w:szCs w:val="20"/>
        </w:rPr>
        <w:t xml:space="preserve">tional capacities for the </w:t>
      </w:r>
      <w:r w:rsidR="00B01B42" w:rsidRPr="009A79C1">
        <w:rPr>
          <w:color w:val="000000"/>
          <w:sz w:val="20"/>
          <w:szCs w:val="20"/>
        </w:rPr>
        <w:t>effective implementation of commit</w:t>
      </w:r>
      <w:r w:rsidR="008B4567" w:rsidRPr="009A79C1">
        <w:rPr>
          <w:color w:val="000000"/>
          <w:sz w:val="20"/>
          <w:szCs w:val="20"/>
        </w:rPr>
        <w:t>ments made during the transition, working directly</w:t>
      </w:r>
      <w:r w:rsidR="00BA0513" w:rsidRPr="009A79C1">
        <w:rPr>
          <w:color w:val="000000"/>
          <w:sz w:val="20"/>
          <w:szCs w:val="20"/>
        </w:rPr>
        <w:t xml:space="preserve"> to support rule of la</w:t>
      </w:r>
      <w:r w:rsidR="008B4567" w:rsidRPr="009A79C1">
        <w:rPr>
          <w:color w:val="000000"/>
          <w:sz w:val="20"/>
          <w:szCs w:val="20"/>
        </w:rPr>
        <w:t>w</w:t>
      </w:r>
      <w:r w:rsidR="00BA0513" w:rsidRPr="009A79C1">
        <w:rPr>
          <w:color w:val="000000"/>
          <w:sz w:val="20"/>
          <w:szCs w:val="20"/>
        </w:rPr>
        <w:t xml:space="preserve"> and governance </w:t>
      </w:r>
      <w:r w:rsidR="00EC3D1D" w:rsidRPr="009A79C1">
        <w:rPr>
          <w:color w:val="000000"/>
          <w:sz w:val="20"/>
          <w:szCs w:val="20"/>
        </w:rPr>
        <w:t xml:space="preserve">in </w:t>
      </w:r>
      <w:r w:rsidR="00BA0513" w:rsidRPr="009A79C1">
        <w:rPr>
          <w:color w:val="000000"/>
          <w:sz w:val="20"/>
          <w:szCs w:val="20"/>
        </w:rPr>
        <w:t>the security sector</w:t>
      </w:r>
      <w:r w:rsidR="00EC3D1D" w:rsidRPr="009A79C1">
        <w:rPr>
          <w:color w:val="000000"/>
          <w:sz w:val="20"/>
          <w:szCs w:val="20"/>
        </w:rPr>
        <w:t xml:space="preserve">. This will be done alongside supporting </w:t>
      </w:r>
      <w:r w:rsidR="00C75168" w:rsidRPr="009A79C1">
        <w:rPr>
          <w:color w:val="000000"/>
          <w:sz w:val="20"/>
          <w:szCs w:val="20"/>
        </w:rPr>
        <w:t>transitional justice</w:t>
      </w:r>
      <w:r w:rsidR="00F41B91" w:rsidRPr="009A79C1">
        <w:rPr>
          <w:color w:val="000000"/>
          <w:sz w:val="20"/>
          <w:szCs w:val="20"/>
        </w:rPr>
        <w:t xml:space="preserve"> and social cohesion, </w:t>
      </w:r>
      <w:r w:rsidR="00367F17" w:rsidRPr="009A79C1">
        <w:rPr>
          <w:color w:val="000000"/>
          <w:sz w:val="20"/>
          <w:szCs w:val="20"/>
        </w:rPr>
        <w:t xml:space="preserve">and </w:t>
      </w:r>
      <w:r w:rsidR="00921C99" w:rsidRPr="009A79C1">
        <w:rPr>
          <w:color w:val="000000"/>
          <w:sz w:val="20"/>
          <w:szCs w:val="20"/>
        </w:rPr>
        <w:t xml:space="preserve">transparency and </w:t>
      </w:r>
      <w:r w:rsidR="00C75168" w:rsidRPr="009A79C1">
        <w:rPr>
          <w:color w:val="000000"/>
          <w:sz w:val="20"/>
          <w:szCs w:val="20"/>
        </w:rPr>
        <w:t>accountability measures.</w:t>
      </w:r>
      <w:r w:rsidR="00905587" w:rsidRPr="009A79C1">
        <w:rPr>
          <w:color w:val="000000"/>
          <w:sz w:val="20"/>
          <w:szCs w:val="20"/>
        </w:rPr>
        <w:t xml:space="preserve"> </w:t>
      </w:r>
      <w:r w:rsidR="00C509F8" w:rsidRPr="009A79C1">
        <w:rPr>
          <w:color w:val="000000"/>
          <w:sz w:val="20"/>
          <w:szCs w:val="20"/>
        </w:rPr>
        <w:t xml:space="preserve">UNDP </w:t>
      </w:r>
      <w:r w:rsidR="00C42A7E" w:rsidRPr="009A79C1">
        <w:rPr>
          <w:color w:val="000000"/>
          <w:sz w:val="20"/>
          <w:szCs w:val="20"/>
        </w:rPr>
        <w:t xml:space="preserve">will </w:t>
      </w:r>
      <w:r w:rsidR="00905587" w:rsidRPr="009A79C1">
        <w:rPr>
          <w:color w:val="000000"/>
          <w:sz w:val="20"/>
          <w:szCs w:val="20"/>
        </w:rPr>
        <w:t xml:space="preserve">expand </w:t>
      </w:r>
      <w:r w:rsidR="00367F17" w:rsidRPr="009A79C1">
        <w:rPr>
          <w:color w:val="000000"/>
          <w:sz w:val="20"/>
          <w:szCs w:val="20"/>
        </w:rPr>
        <w:t>efforts related to</w:t>
      </w:r>
      <w:r w:rsidR="00905587" w:rsidRPr="009A79C1">
        <w:rPr>
          <w:color w:val="000000"/>
          <w:sz w:val="20"/>
          <w:szCs w:val="20"/>
        </w:rPr>
        <w:t xml:space="preserve"> legal </w:t>
      </w:r>
      <w:r w:rsidR="00F8711B" w:rsidRPr="009A79C1">
        <w:rPr>
          <w:color w:val="000000"/>
          <w:sz w:val="20"/>
          <w:szCs w:val="20"/>
        </w:rPr>
        <w:t>aid;</w:t>
      </w:r>
      <w:r w:rsidR="00905587" w:rsidRPr="009A79C1">
        <w:rPr>
          <w:color w:val="000000"/>
          <w:sz w:val="20"/>
          <w:szCs w:val="20"/>
        </w:rPr>
        <w:t xml:space="preserve"> ensuring </w:t>
      </w:r>
      <w:r w:rsidR="00367F17" w:rsidRPr="009A79C1">
        <w:rPr>
          <w:color w:val="000000"/>
          <w:sz w:val="20"/>
          <w:szCs w:val="20"/>
        </w:rPr>
        <w:t xml:space="preserve">communities have </w:t>
      </w:r>
      <w:r w:rsidR="00905587" w:rsidRPr="009A79C1">
        <w:rPr>
          <w:color w:val="000000"/>
          <w:sz w:val="20"/>
          <w:szCs w:val="20"/>
        </w:rPr>
        <w:t>increased a</w:t>
      </w:r>
      <w:r w:rsidR="006E2D10" w:rsidRPr="009A79C1">
        <w:rPr>
          <w:color w:val="000000"/>
          <w:sz w:val="20"/>
          <w:szCs w:val="20"/>
        </w:rPr>
        <w:t>ccess to justice</w:t>
      </w:r>
      <w:r w:rsidR="00226A6F" w:rsidRPr="009A79C1">
        <w:rPr>
          <w:color w:val="000000"/>
          <w:sz w:val="20"/>
          <w:szCs w:val="20"/>
        </w:rPr>
        <w:t xml:space="preserve">. </w:t>
      </w:r>
      <w:r w:rsidR="004D634B" w:rsidRPr="009A79C1">
        <w:rPr>
          <w:color w:val="000000"/>
          <w:sz w:val="20"/>
          <w:szCs w:val="20"/>
        </w:rPr>
        <w:t xml:space="preserve">UNDP will </w:t>
      </w:r>
      <w:r w:rsidR="00226A6F" w:rsidRPr="009A79C1">
        <w:rPr>
          <w:color w:val="000000"/>
          <w:sz w:val="20"/>
          <w:szCs w:val="20"/>
        </w:rPr>
        <w:t xml:space="preserve">provide </w:t>
      </w:r>
      <w:r w:rsidR="00585896" w:rsidRPr="009A79C1">
        <w:rPr>
          <w:color w:val="000000"/>
          <w:sz w:val="20"/>
          <w:szCs w:val="20"/>
        </w:rPr>
        <w:t xml:space="preserve">technical support to </w:t>
      </w:r>
      <w:r w:rsidR="00905587" w:rsidRPr="009A79C1">
        <w:rPr>
          <w:color w:val="000000"/>
          <w:sz w:val="20"/>
          <w:szCs w:val="20"/>
        </w:rPr>
        <w:t xml:space="preserve">the High Council on </w:t>
      </w:r>
      <w:r w:rsidR="00367F17" w:rsidRPr="009A79C1">
        <w:rPr>
          <w:color w:val="000000"/>
          <w:sz w:val="20"/>
          <w:szCs w:val="20"/>
        </w:rPr>
        <w:t>R</w:t>
      </w:r>
      <w:r w:rsidR="00CA1859" w:rsidRPr="009A79C1">
        <w:rPr>
          <w:color w:val="000000"/>
          <w:sz w:val="20"/>
          <w:szCs w:val="20"/>
        </w:rPr>
        <w:t xml:space="preserve">econciliation and </w:t>
      </w:r>
      <w:r w:rsidR="00367F17" w:rsidRPr="009A79C1">
        <w:rPr>
          <w:color w:val="000000"/>
          <w:sz w:val="20"/>
          <w:szCs w:val="20"/>
        </w:rPr>
        <w:t>N</w:t>
      </w:r>
      <w:r w:rsidR="00CA1859" w:rsidRPr="009A79C1">
        <w:rPr>
          <w:color w:val="000000"/>
          <w:sz w:val="20"/>
          <w:szCs w:val="20"/>
        </w:rPr>
        <w:t xml:space="preserve">ational </w:t>
      </w:r>
      <w:r w:rsidR="00367F17" w:rsidRPr="009A79C1">
        <w:rPr>
          <w:color w:val="000000"/>
          <w:sz w:val="20"/>
          <w:szCs w:val="20"/>
        </w:rPr>
        <w:t>U</w:t>
      </w:r>
      <w:r w:rsidR="00CA1859" w:rsidRPr="009A79C1">
        <w:rPr>
          <w:color w:val="000000"/>
          <w:sz w:val="20"/>
          <w:szCs w:val="20"/>
        </w:rPr>
        <w:t>nity</w:t>
      </w:r>
      <w:r w:rsidR="00843A22" w:rsidRPr="009A79C1">
        <w:rPr>
          <w:color w:val="000000"/>
          <w:sz w:val="20"/>
          <w:szCs w:val="20"/>
        </w:rPr>
        <w:t>, including</w:t>
      </w:r>
      <w:r w:rsidR="00705337" w:rsidRPr="009A79C1">
        <w:rPr>
          <w:color w:val="000000"/>
          <w:sz w:val="20"/>
          <w:szCs w:val="20"/>
        </w:rPr>
        <w:t xml:space="preserve"> advice on</w:t>
      </w:r>
      <w:r w:rsidR="00CE041A" w:rsidRPr="009A79C1">
        <w:rPr>
          <w:color w:val="000000"/>
          <w:sz w:val="20"/>
          <w:szCs w:val="20"/>
        </w:rPr>
        <w:t xml:space="preserve"> </w:t>
      </w:r>
      <w:r w:rsidR="00705337" w:rsidRPr="009A79C1">
        <w:rPr>
          <w:color w:val="000000"/>
          <w:sz w:val="20"/>
          <w:szCs w:val="20"/>
        </w:rPr>
        <w:t>transitional justice</w:t>
      </w:r>
      <w:r w:rsidR="00057813" w:rsidRPr="009A79C1">
        <w:rPr>
          <w:color w:val="000000"/>
          <w:sz w:val="20"/>
          <w:szCs w:val="20"/>
        </w:rPr>
        <w:t xml:space="preserve"> instruments and</w:t>
      </w:r>
      <w:r w:rsidR="00705337" w:rsidRPr="009A79C1">
        <w:rPr>
          <w:color w:val="000000"/>
          <w:sz w:val="20"/>
          <w:szCs w:val="20"/>
        </w:rPr>
        <w:t xml:space="preserve"> </w:t>
      </w:r>
      <w:r w:rsidR="001E2CAC" w:rsidRPr="009A79C1">
        <w:rPr>
          <w:color w:val="000000"/>
          <w:sz w:val="20"/>
          <w:szCs w:val="20"/>
        </w:rPr>
        <w:t>protection of families</w:t>
      </w:r>
      <w:r w:rsidR="00057813" w:rsidRPr="009A79C1">
        <w:rPr>
          <w:color w:val="000000"/>
          <w:sz w:val="20"/>
          <w:szCs w:val="20"/>
        </w:rPr>
        <w:t>.</w:t>
      </w:r>
      <w:r w:rsidR="00E0778F" w:rsidRPr="009A79C1">
        <w:rPr>
          <w:color w:val="000000"/>
          <w:sz w:val="20"/>
          <w:szCs w:val="20"/>
        </w:rPr>
        <w:t xml:space="preserve"> </w:t>
      </w:r>
      <w:r w:rsidR="00367F17" w:rsidRPr="009A79C1">
        <w:rPr>
          <w:color w:val="000000"/>
          <w:sz w:val="20"/>
          <w:szCs w:val="20"/>
        </w:rPr>
        <w:t>In addition, UNDP will facilitate</w:t>
      </w:r>
      <w:r w:rsidR="00057813" w:rsidRPr="009A79C1">
        <w:rPr>
          <w:color w:val="000000"/>
          <w:sz w:val="20"/>
          <w:szCs w:val="20"/>
        </w:rPr>
        <w:t xml:space="preserve"> inclusive dialogue platforms with civil society, youth</w:t>
      </w:r>
      <w:r w:rsidR="00367F17" w:rsidRPr="009A79C1">
        <w:rPr>
          <w:color w:val="000000"/>
          <w:sz w:val="20"/>
          <w:szCs w:val="20"/>
        </w:rPr>
        <w:t xml:space="preserve"> and </w:t>
      </w:r>
      <w:r w:rsidR="00057813" w:rsidRPr="009A79C1">
        <w:rPr>
          <w:color w:val="000000"/>
          <w:sz w:val="20"/>
          <w:szCs w:val="20"/>
        </w:rPr>
        <w:t>women</w:t>
      </w:r>
      <w:r w:rsidR="004D634B" w:rsidRPr="009A79C1">
        <w:rPr>
          <w:color w:val="000000"/>
          <w:sz w:val="20"/>
          <w:szCs w:val="20"/>
        </w:rPr>
        <w:t>’s</w:t>
      </w:r>
      <w:r w:rsidR="00057813" w:rsidRPr="009A79C1">
        <w:rPr>
          <w:color w:val="000000"/>
          <w:sz w:val="20"/>
          <w:szCs w:val="20"/>
        </w:rPr>
        <w:t xml:space="preserve"> </w:t>
      </w:r>
      <w:r w:rsidR="00E0778F" w:rsidRPr="009A79C1">
        <w:rPr>
          <w:color w:val="000000"/>
          <w:sz w:val="20"/>
          <w:szCs w:val="20"/>
        </w:rPr>
        <w:t>associations</w:t>
      </w:r>
      <w:r w:rsidR="00367F17" w:rsidRPr="009A79C1">
        <w:rPr>
          <w:color w:val="000000"/>
          <w:sz w:val="20"/>
          <w:szCs w:val="20"/>
        </w:rPr>
        <w:t>,</w:t>
      </w:r>
      <w:r w:rsidR="00E0778F" w:rsidRPr="009A79C1">
        <w:rPr>
          <w:color w:val="000000"/>
          <w:sz w:val="20"/>
          <w:szCs w:val="20"/>
        </w:rPr>
        <w:t xml:space="preserve"> </w:t>
      </w:r>
      <w:r w:rsidR="00057813" w:rsidRPr="009A79C1">
        <w:rPr>
          <w:color w:val="000000"/>
          <w:sz w:val="20"/>
          <w:szCs w:val="20"/>
        </w:rPr>
        <w:t>and religious</w:t>
      </w:r>
      <w:r w:rsidR="00E0778F" w:rsidRPr="009A79C1">
        <w:rPr>
          <w:color w:val="000000"/>
          <w:sz w:val="20"/>
          <w:szCs w:val="20"/>
        </w:rPr>
        <w:t xml:space="preserve"> leaders</w:t>
      </w:r>
      <w:r w:rsidR="001E2CAC" w:rsidRPr="009A79C1">
        <w:rPr>
          <w:color w:val="000000"/>
          <w:sz w:val="20"/>
          <w:szCs w:val="20"/>
        </w:rPr>
        <w:t xml:space="preserve">. </w:t>
      </w:r>
      <w:r w:rsidR="00367F17" w:rsidRPr="009A79C1">
        <w:rPr>
          <w:color w:val="000000"/>
          <w:sz w:val="20"/>
          <w:szCs w:val="20"/>
        </w:rPr>
        <w:t>With regards to</w:t>
      </w:r>
      <w:r w:rsidR="00C44D36" w:rsidRPr="009A79C1">
        <w:rPr>
          <w:color w:val="000000"/>
          <w:sz w:val="20"/>
          <w:szCs w:val="20"/>
        </w:rPr>
        <w:t xml:space="preserve"> governance </w:t>
      </w:r>
      <w:r w:rsidR="00367F17" w:rsidRPr="009A79C1">
        <w:rPr>
          <w:color w:val="000000"/>
          <w:sz w:val="20"/>
          <w:szCs w:val="20"/>
        </w:rPr>
        <w:t xml:space="preserve">in </w:t>
      </w:r>
      <w:r w:rsidR="00C44D36" w:rsidRPr="009A79C1">
        <w:rPr>
          <w:color w:val="000000"/>
          <w:sz w:val="20"/>
          <w:szCs w:val="20"/>
        </w:rPr>
        <w:t xml:space="preserve">the security sector, UNDP will </w:t>
      </w:r>
      <w:r w:rsidR="007E1F36" w:rsidRPr="009A79C1">
        <w:rPr>
          <w:color w:val="000000"/>
          <w:sz w:val="20"/>
          <w:szCs w:val="20"/>
        </w:rPr>
        <w:t xml:space="preserve">work with </w:t>
      </w:r>
      <w:r w:rsidR="00003CB8" w:rsidRPr="009A79C1">
        <w:rPr>
          <w:color w:val="000000"/>
          <w:sz w:val="20"/>
          <w:szCs w:val="20"/>
        </w:rPr>
        <w:t xml:space="preserve">state and non-state </w:t>
      </w:r>
      <w:r w:rsidR="007E1F36" w:rsidRPr="009A79C1">
        <w:rPr>
          <w:color w:val="000000"/>
          <w:sz w:val="20"/>
          <w:szCs w:val="20"/>
        </w:rPr>
        <w:t>bodies to</w:t>
      </w:r>
      <w:r w:rsidR="00C010B3" w:rsidRPr="009A79C1">
        <w:rPr>
          <w:color w:val="000000"/>
          <w:sz w:val="20"/>
          <w:szCs w:val="20"/>
        </w:rPr>
        <w:t xml:space="preserve"> </w:t>
      </w:r>
      <w:r w:rsidR="00843A22" w:rsidRPr="009A79C1">
        <w:rPr>
          <w:color w:val="000000"/>
          <w:sz w:val="20"/>
          <w:szCs w:val="20"/>
        </w:rPr>
        <w:t xml:space="preserve">strengthen </w:t>
      </w:r>
      <w:r w:rsidR="00C44D36" w:rsidRPr="009A79C1">
        <w:rPr>
          <w:color w:val="000000"/>
          <w:sz w:val="20"/>
          <w:szCs w:val="20"/>
        </w:rPr>
        <w:t>democratic and civilian oversight</w:t>
      </w:r>
      <w:r w:rsidR="00367F17" w:rsidRPr="009A79C1">
        <w:rPr>
          <w:color w:val="000000"/>
          <w:sz w:val="20"/>
          <w:szCs w:val="20"/>
        </w:rPr>
        <w:t xml:space="preserve"> mechanisms,</w:t>
      </w:r>
      <w:r w:rsidR="006A0559" w:rsidRPr="009A79C1">
        <w:rPr>
          <w:color w:val="000000"/>
          <w:sz w:val="20"/>
          <w:szCs w:val="20"/>
        </w:rPr>
        <w:t xml:space="preserve"> </w:t>
      </w:r>
      <w:r w:rsidR="00367F17" w:rsidRPr="009A79C1">
        <w:rPr>
          <w:color w:val="000000"/>
          <w:sz w:val="20"/>
          <w:szCs w:val="20"/>
        </w:rPr>
        <w:t>thereby</w:t>
      </w:r>
      <w:r w:rsidR="000D5DAA" w:rsidRPr="009A79C1">
        <w:rPr>
          <w:color w:val="000000"/>
          <w:sz w:val="20"/>
          <w:szCs w:val="20"/>
        </w:rPr>
        <w:t xml:space="preserve"> building confidence in institutions</w:t>
      </w:r>
      <w:r w:rsidR="007E1F36" w:rsidRPr="009A79C1">
        <w:rPr>
          <w:color w:val="000000"/>
          <w:sz w:val="20"/>
          <w:szCs w:val="20"/>
        </w:rPr>
        <w:t>.</w:t>
      </w:r>
      <w:r w:rsidR="00314A15" w:rsidRPr="009A79C1">
        <w:rPr>
          <w:color w:val="000000"/>
          <w:sz w:val="20"/>
          <w:szCs w:val="20"/>
        </w:rPr>
        <w:t xml:space="preserve"> </w:t>
      </w:r>
      <w:r w:rsidR="001D2EF1" w:rsidRPr="009A79C1">
        <w:rPr>
          <w:color w:val="000000"/>
          <w:sz w:val="20"/>
          <w:szCs w:val="20"/>
        </w:rPr>
        <w:t xml:space="preserve">In line with </w:t>
      </w:r>
      <w:r w:rsidR="00367F17" w:rsidRPr="009A79C1">
        <w:rPr>
          <w:color w:val="000000"/>
          <w:sz w:val="20"/>
          <w:szCs w:val="20"/>
        </w:rPr>
        <w:t>government-</w:t>
      </w:r>
      <w:r w:rsidR="003D0692" w:rsidRPr="009A79C1">
        <w:rPr>
          <w:color w:val="000000"/>
          <w:sz w:val="20"/>
          <w:szCs w:val="20"/>
        </w:rPr>
        <w:t xml:space="preserve">expressed </w:t>
      </w:r>
      <w:r w:rsidR="001D2EF1" w:rsidRPr="009A79C1">
        <w:rPr>
          <w:color w:val="000000"/>
          <w:sz w:val="20"/>
          <w:szCs w:val="20"/>
        </w:rPr>
        <w:t>commitment</w:t>
      </w:r>
      <w:r w:rsidR="00367F17" w:rsidRPr="009A79C1">
        <w:rPr>
          <w:color w:val="000000"/>
          <w:sz w:val="20"/>
          <w:szCs w:val="20"/>
        </w:rPr>
        <w:t>s</w:t>
      </w:r>
      <w:r w:rsidR="001D2EF1" w:rsidRPr="009A79C1">
        <w:rPr>
          <w:color w:val="000000"/>
          <w:sz w:val="20"/>
          <w:szCs w:val="20"/>
        </w:rPr>
        <w:t xml:space="preserve">, </w:t>
      </w:r>
      <w:r w:rsidR="00E03012" w:rsidRPr="009A79C1">
        <w:rPr>
          <w:color w:val="000000"/>
          <w:sz w:val="20"/>
          <w:szCs w:val="20"/>
        </w:rPr>
        <w:t>U</w:t>
      </w:r>
      <w:r w:rsidR="001D2EF1" w:rsidRPr="009A79C1">
        <w:rPr>
          <w:color w:val="000000"/>
          <w:sz w:val="20"/>
          <w:szCs w:val="20"/>
        </w:rPr>
        <w:t>NDP will</w:t>
      </w:r>
      <w:r w:rsidR="00A111DF" w:rsidRPr="009A79C1">
        <w:rPr>
          <w:color w:val="000000"/>
          <w:sz w:val="20"/>
          <w:szCs w:val="20"/>
        </w:rPr>
        <w:t xml:space="preserve"> support</w:t>
      </w:r>
      <w:r w:rsidR="00367F17" w:rsidRPr="009A79C1">
        <w:rPr>
          <w:color w:val="000000"/>
          <w:sz w:val="20"/>
          <w:szCs w:val="20"/>
        </w:rPr>
        <w:t xml:space="preserve"> the</w:t>
      </w:r>
      <w:r w:rsidR="00A111DF" w:rsidRPr="009A79C1">
        <w:rPr>
          <w:color w:val="000000"/>
          <w:sz w:val="20"/>
          <w:szCs w:val="20"/>
        </w:rPr>
        <w:t xml:space="preserve"> </w:t>
      </w:r>
      <w:r w:rsidR="001D2EF1" w:rsidRPr="009A79C1">
        <w:rPr>
          <w:color w:val="000000"/>
          <w:sz w:val="20"/>
          <w:szCs w:val="20"/>
        </w:rPr>
        <w:t xml:space="preserve">implementation </w:t>
      </w:r>
      <w:r w:rsidR="00843A22" w:rsidRPr="009A79C1">
        <w:rPr>
          <w:color w:val="000000"/>
          <w:sz w:val="20"/>
          <w:szCs w:val="20"/>
        </w:rPr>
        <w:t>of</w:t>
      </w:r>
      <w:r w:rsidR="00A111DF" w:rsidRPr="009A79C1">
        <w:rPr>
          <w:color w:val="000000"/>
          <w:sz w:val="20"/>
          <w:szCs w:val="20"/>
        </w:rPr>
        <w:t xml:space="preserve"> recommendations from the Universal Periodic Review </w:t>
      </w:r>
      <w:r w:rsidR="00367F17" w:rsidRPr="009A79C1">
        <w:rPr>
          <w:color w:val="000000"/>
          <w:sz w:val="20"/>
          <w:szCs w:val="20"/>
        </w:rPr>
        <w:t xml:space="preserve">to ensure </w:t>
      </w:r>
      <w:r w:rsidR="00A111DF" w:rsidRPr="009A79C1">
        <w:rPr>
          <w:color w:val="000000"/>
          <w:sz w:val="20"/>
          <w:szCs w:val="20"/>
        </w:rPr>
        <w:t>the legal environment is conducive to uphold and enforc</w:t>
      </w:r>
      <w:r w:rsidR="00367F17" w:rsidRPr="009A79C1">
        <w:rPr>
          <w:color w:val="000000"/>
          <w:sz w:val="20"/>
          <w:szCs w:val="20"/>
        </w:rPr>
        <w:t>e</w:t>
      </w:r>
      <w:r w:rsidR="00A111DF" w:rsidRPr="009A79C1">
        <w:rPr>
          <w:color w:val="000000"/>
          <w:sz w:val="20"/>
          <w:szCs w:val="20"/>
        </w:rPr>
        <w:t xml:space="preserve"> socio-economic, political and cultural rights</w:t>
      </w:r>
      <w:r w:rsidR="00367F17" w:rsidRPr="009A79C1">
        <w:rPr>
          <w:color w:val="000000"/>
          <w:sz w:val="20"/>
          <w:szCs w:val="20"/>
        </w:rPr>
        <w:t xml:space="preserve"> of all, marginalized </w:t>
      </w:r>
      <w:r w:rsidR="006C6FFB" w:rsidRPr="009A79C1">
        <w:rPr>
          <w:color w:val="000000"/>
          <w:sz w:val="20"/>
          <w:szCs w:val="20"/>
        </w:rPr>
        <w:t xml:space="preserve">populations, including </w:t>
      </w:r>
      <w:r w:rsidR="00A111DF" w:rsidRPr="009A79C1">
        <w:rPr>
          <w:color w:val="000000"/>
          <w:sz w:val="20"/>
          <w:szCs w:val="20"/>
        </w:rPr>
        <w:t xml:space="preserve">people living with HIV.  </w:t>
      </w:r>
    </w:p>
    <w:p w14:paraId="50E07595" w14:textId="77777777" w:rsidR="007D2662" w:rsidRPr="001B6A23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4E0BC2F9" w14:textId="5F6A3AC9" w:rsidR="007D2662" w:rsidRPr="009A79C1" w:rsidRDefault="00CB236C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Building on its expertise and capacity development mandate, </w:t>
      </w:r>
      <w:r w:rsidR="0005433D" w:rsidRPr="009A79C1">
        <w:rPr>
          <w:color w:val="000000"/>
          <w:sz w:val="20"/>
          <w:szCs w:val="20"/>
        </w:rPr>
        <w:t xml:space="preserve">UNDP will </w:t>
      </w:r>
      <w:r w:rsidR="000C1890" w:rsidRPr="009A79C1">
        <w:rPr>
          <w:color w:val="000000"/>
          <w:sz w:val="20"/>
          <w:szCs w:val="20"/>
        </w:rPr>
        <w:t xml:space="preserve">support </w:t>
      </w:r>
      <w:r w:rsidR="00DE1B3A" w:rsidRPr="009A79C1">
        <w:rPr>
          <w:color w:val="000000"/>
          <w:sz w:val="20"/>
          <w:szCs w:val="20"/>
        </w:rPr>
        <w:t xml:space="preserve">ministries and institutions </w:t>
      </w:r>
      <w:r w:rsidR="00AD1647" w:rsidRPr="009A79C1">
        <w:rPr>
          <w:color w:val="000000"/>
          <w:sz w:val="20"/>
          <w:szCs w:val="20"/>
        </w:rPr>
        <w:t xml:space="preserve">responsible for </w:t>
      </w:r>
      <w:r w:rsidR="0073707F" w:rsidRPr="009A79C1">
        <w:rPr>
          <w:color w:val="000000"/>
          <w:sz w:val="20"/>
          <w:szCs w:val="20"/>
        </w:rPr>
        <w:t xml:space="preserve">coordination and </w:t>
      </w:r>
      <w:r w:rsidR="00AD1647" w:rsidRPr="009A79C1">
        <w:rPr>
          <w:color w:val="000000"/>
          <w:sz w:val="20"/>
          <w:szCs w:val="20"/>
        </w:rPr>
        <w:t xml:space="preserve">public procurement </w:t>
      </w:r>
      <w:r w:rsidR="0073707F" w:rsidRPr="009A79C1">
        <w:rPr>
          <w:color w:val="000000"/>
          <w:sz w:val="20"/>
          <w:szCs w:val="20"/>
        </w:rPr>
        <w:t>with</w:t>
      </w:r>
      <w:r w:rsidR="00997BC7" w:rsidRPr="009A79C1">
        <w:rPr>
          <w:color w:val="000000"/>
          <w:sz w:val="20"/>
          <w:szCs w:val="20"/>
        </w:rPr>
        <w:t xml:space="preserve"> </w:t>
      </w:r>
      <w:r w:rsidR="00367F17" w:rsidRPr="009A79C1">
        <w:rPr>
          <w:color w:val="000000"/>
          <w:sz w:val="20"/>
          <w:szCs w:val="20"/>
        </w:rPr>
        <w:t xml:space="preserve">transparent </w:t>
      </w:r>
      <w:r w:rsidR="00997BC7" w:rsidRPr="009A79C1">
        <w:rPr>
          <w:color w:val="000000"/>
          <w:sz w:val="20"/>
          <w:szCs w:val="20"/>
        </w:rPr>
        <w:t>tools and</w:t>
      </w:r>
      <w:r w:rsidR="004B65CB" w:rsidRPr="009A79C1">
        <w:rPr>
          <w:color w:val="000000"/>
          <w:sz w:val="20"/>
          <w:szCs w:val="20"/>
        </w:rPr>
        <w:t xml:space="preserve"> </w:t>
      </w:r>
      <w:r w:rsidR="004F2B9D" w:rsidRPr="009A79C1">
        <w:rPr>
          <w:color w:val="000000"/>
          <w:sz w:val="20"/>
          <w:szCs w:val="20"/>
        </w:rPr>
        <w:t xml:space="preserve">systems to address corruption </w:t>
      </w:r>
      <w:r w:rsidR="00367F17" w:rsidRPr="009A79C1">
        <w:rPr>
          <w:color w:val="000000"/>
          <w:sz w:val="20"/>
          <w:szCs w:val="20"/>
        </w:rPr>
        <w:t xml:space="preserve">concerns </w:t>
      </w:r>
      <w:r w:rsidR="004F2B9D" w:rsidRPr="009A79C1">
        <w:rPr>
          <w:color w:val="000000"/>
          <w:sz w:val="20"/>
          <w:szCs w:val="20"/>
        </w:rPr>
        <w:t>and</w:t>
      </w:r>
      <w:r w:rsidR="00367F17" w:rsidRPr="009A79C1">
        <w:rPr>
          <w:color w:val="000000"/>
          <w:sz w:val="20"/>
          <w:szCs w:val="20"/>
        </w:rPr>
        <w:t xml:space="preserve"> the</w:t>
      </w:r>
      <w:r w:rsidR="004F2B9D" w:rsidRPr="009A79C1">
        <w:rPr>
          <w:color w:val="000000"/>
          <w:sz w:val="20"/>
          <w:szCs w:val="20"/>
        </w:rPr>
        <w:t xml:space="preserve"> deliver</w:t>
      </w:r>
      <w:r w:rsidR="00367F17" w:rsidRPr="009A79C1">
        <w:rPr>
          <w:color w:val="000000"/>
          <w:sz w:val="20"/>
          <w:szCs w:val="20"/>
        </w:rPr>
        <w:t>y of</w:t>
      </w:r>
      <w:r w:rsidR="004F2B9D" w:rsidRPr="009A79C1">
        <w:rPr>
          <w:color w:val="000000"/>
          <w:sz w:val="20"/>
          <w:szCs w:val="20"/>
        </w:rPr>
        <w:t xml:space="preserve"> </w:t>
      </w:r>
      <w:r w:rsidR="00CE4CBA" w:rsidRPr="009A79C1">
        <w:rPr>
          <w:color w:val="000000"/>
          <w:sz w:val="20"/>
          <w:szCs w:val="20"/>
        </w:rPr>
        <w:t xml:space="preserve">goods and </w:t>
      </w:r>
      <w:r w:rsidR="004F2B9D" w:rsidRPr="009A79C1">
        <w:rPr>
          <w:color w:val="000000"/>
          <w:sz w:val="20"/>
          <w:szCs w:val="20"/>
        </w:rPr>
        <w:t>services</w:t>
      </w:r>
      <w:r w:rsidR="00FA5864" w:rsidRPr="009A79C1">
        <w:rPr>
          <w:color w:val="000000"/>
          <w:sz w:val="20"/>
          <w:szCs w:val="20"/>
        </w:rPr>
        <w:t>.</w:t>
      </w:r>
      <w:r w:rsidR="002D2F45" w:rsidRPr="009A79C1">
        <w:rPr>
          <w:color w:val="000000"/>
          <w:sz w:val="20"/>
          <w:szCs w:val="20"/>
        </w:rPr>
        <w:t xml:space="preserve"> </w:t>
      </w:r>
      <w:r w:rsidR="00036C78" w:rsidRPr="009A79C1">
        <w:rPr>
          <w:color w:val="000000"/>
          <w:sz w:val="20"/>
          <w:szCs w:val="20"/>
        </w:rPr>
        <w:t xml:space="preserve">UNDP will draw on </w:t>
      </w:r>
      <w:r w:rsidR="00367F17" w:rsidRPr="009A79C1">
        <w:rPr>
          <w:color w:val="000000"/>
          <w:sz w:val="20"/>
          <w:szCs w:val="20"/>
        </w:rPr>
        <w:t xml:space="preserve">the </w:t>
      </w:r>
      <w:r w:rsidR="00036C78" w:rsidRPr="009A79C1">
        <w:rPr>
          <w:color w:val="000000"/>
          <w:sz w:val="20"/>
          <w:szCs w:val="20"/>
        </w:rPr>
        <w:t xml:space="preserve">government’s political will and an established culture of engagement with civil society, youth, </w:t>
      </w:r>
      <w:r w:rsidR="00367F17" w:rsidRPr="009A79C1">
        <w:rPr>
          <w:color w:val="000000"/>
          <w:sz w:val="20"/>
          <w:szCs w:val="20"/>
        </w:rPr>
        <w:t xml:space="preserve">the </w:t>
      </w:r>
      <w:r w:rsidR="00036C78" w:rsidRPr="009A79C1">
        <w:rPr>
          <w:color w:val="000000"/>
          <w:sz w:val="20"/>
          <w:szCs w:val="20"/>
        </w:rPr>
        <w:t>media</w:t>
      </w:r>
      <w:r w:rsidR="00367F17" w:rsidRPr="009A79C1">
        <w:rPr>
          <w:color w:val="000000"/>
          <w:sz w:val="20"/>
          <w:szCs w:val="20"/>
        </w:rPr>
        <w:t>,</w:t>
      </w:r>
      <w:r w:rsidR="00036C78" w:rsidRPr="009A79C1">
        <w:rPr>
          <w:color w:val="000000"/>
          <w:sz w:val="20"/>
          <w:szCs w:val="20"/>
        </w:rPr>
        <w:t xml:space="preserve"> and academic institutions </w:t>
      </w:r>
      <w:r w:rsidR="007F1980" w:rsidRPr="009A79C1">
        <w:rPr>
          <w:color w:val="000000"/>
          <w:sz w:val="20"/>
          <w:szCs w:val="20"/>
        </w:rPr>
        <w:t xml:space="preserve">to </w:t>
      </w:r>
      <w:r w:rsidR="00036C78" w:rsidRPr="009A79C1">
        <w:rPr>
          <w:color w:val="000000"/>
          <w:sz w:val="20"/>
          <w:szCs w:val="20"/>
        </w:rPr>
        <w:t xml:space="preserve">strengthen </w:t>
      </w:r>
      <w:r w:rsidR="00367F17" w:rsidRPr="009A79C1">
        <w:rPr>
          <w:color w:val="000000"/>
          <w:sz w:val="20"/>
          <w:szCs w:val="20"/>
        </w:rPr>
        <w:t xml:space="preserve">the </w:t>
      </w:r>
      <w:r w:rsidR="00036C78" w:rsidRPr="009A79C1">
        <w:rPr>
          <w:color w:val="000000"/>
          <w:sz w:val="20"/>
          <w:szCs w:val="20"/>
        </w:rPr>
        <w:t>capacities</w:t>
      </w:r>
      <w:r w:rsidR="00367F17" w:rsidRPr="009A79C1">
        <w:rPr>
          <w:color w:val="000000"/>
          <w:sz w:val="20"/>
          <w:szCs w:val="20"/>
        </w:rPr>
        <w:t xml:space="preserve"> and accountability</w:t>
      </w:r>
      <w:r w:rsidR="00036C78" w:rsidRPr="009A79C1">
        <w:rPr>
          <w:color w:val="000000"/>
          <w:sz w:val="20"/>
          <w:szCs w:val="20"/>
        </w:rPr>
        <w:t xml:space="preserve"> of</w:t>
      </w:r>
      <w:r w:rsidR="00212EAB" w:rsidRPr="009A79C1">
        <w:rPr>
          <w:color w:val="000000"/>
          <w:sz w:val="20"/>
          <w:szCs w:val="20"/>
        </w:rPr>
        <w:t xml:space="preserve"> </w:t>
      </w:r>
      <w:r w:rsidR="00C42A7E" w:rsidRPr="009A79C1">
        <w:rPr>
          <w:color w:val="000000"/>
          <w:sz w:val="20"/>
          <w:szCs w:val="20"/>
        </w:rPr>
        <w:t>state agenc</w:t>
      </w:r>
      <w:r w:rsidR="00367F17" w:rsidRPr="009A79C1">
        <w:rPr>
          <w:color w:val="000000"/>
          <w:sz w:val="20"/>
          <w:szCs w:val="20"/>
        </w:rPr>
        <w:t>ies</w:t>
      </w:r>
      <w:r w:rsidR="00C42A7E" w:rsidRPr="009A79C1">
        <w:rPr>
          <w:color w:val="000000"/>
          <w:sz w:val="20"/>
          <w:szCs w:val="20"/>
        </w:rPr>
        <w:t xml:space="preserve"> </w:t>
      </w:r>
      <w:r w:rsidR="00367F17" w:rsidRPr="009A79C1">
        <w:rPr>
          <w:color w:val="000000"/>
          <w:sz w:val="20"/>
          <w:szCs w:val="20"/>
        </w:rPr>
        <w:t xml:space="preserve">in battling </w:t>
      </w:r>
      <w:r w:rsidR="00C42A7E" w:rsidRPr="009A79C1">
        <w:rPr>
          <w:color w:val="000000"/>
          <w:sz w:val="20"/>
          <w:szCs w:val="20"/>
        </w:rPr>
        <w:t>corruption</w:t>
      </w:r>
      <w:r w:rsidR="008B4567" w:rsidRPr="009A79C1">
        <w:rPr>
          <w:color w:val="000000"/>
          <w:sz w:val="20"/>
          <w:szCs w:val="20"/>
        </w:rPr>
        <w:t>,</w:t>
      </w:r>
      <w:r w:rsidR="00212EAB" w:rsidRPr="009A79C1">
        <w:rPr>
          <w:color w:val="000000"/>
          <w:sz w:val="20"/>
          <w:szCs w:val="20"/>
        </w:rPr>
        <w:t xml:space="preserve"> </w:t>
      </w:r>
      <w:r w:rsidR="00C42A7E" w:rsidRPr="009A79C1">
        <w:rPr>
          <w:color w:val="000000"/>
          <w:sz w:val="20"/>
          <w:szCs w:val="20"/>
        </w:rPr>
        <w:t>oversight bodies</w:t>
      </w:r>
      <w:r w:rsidR="004B65CB" w:rsidRPr="009A79C1">
        <w:rPr>
          <w:color w:val="000000"/>
          <w:sz w:val="20"/>
          <w:szCs w:val="20"/>
        </w:rPr>
        <w:t>,</w:t>
      </w:r>
      <w:r w:rsidR="00C42A7E" w:rsidRPr="009A79C1">
        <w:rPr>
          <w:color w:val="000000"/>
          <w:sz w:val="20"/>
          <w:szCs w:val="20"/>
        </w:rPr>
        <w:t xml:space="preserve"> </w:t>
      </w:r>
      <w:r w:rsidR="007E1623">
        <w:rPr>
          <w:color w:val="000000"/>
          <w:sz w:val="20"/>
          <w:szCs w:val="20"/>
        </w:rPr>
        <w:t xml:space="preserve">and </w:t>
      </w:r>
      <w:r w:rsidR="00C42A7E" w:rsidRPr="009A79C1">
        <w:rPr>
          <w:color w:val="000000"/>
          <w:sz w:val="20"/>
          <w:szCs w:val="20"/>
        </w:rPr>
        <w:t>media</w:t>
      </w:r>
      <w:r w:rsidR="004B65CB" w:rsidRPr="009A79C1">
        <w:rPr>
          <w:color w:val="000000"/>
          <w:sz w:val="20"/>
          <w:szCs w:val="20"/>
        </w:rPr>
        <w:t xml:space="preserve"> and</w:t>
      </w:r>
      <w:r w:rsidR="00C42A7E" w:rsidRPr="009A79C1">
        <w:rPr>
          <w:color w:val="000000"/>
          <w:sz w:val="20"/>
          <w:szCs w:val="20"/>
        </w:rPr>
        <w:t xml:space="preserve"> civil society</w:t>
      </w:r>
      <w:r w:rsidR="004B65CB" w:rsidRPr="009A79C1">
        <w:rPr>
          <w:color w:val="000000"/>
          <w:sz w:val="20"/>
          <w:szCs w:val="20"/>
        </w:rPr>
        <w:t xml:space="preserve"> organizations</w:t>
      </w:r>
      <w:r w:rsidR="00D45FEE" w:rsidRPr="009A79C1">
        <w:rPr>
          <w:color w:val="000000"/>
          <w:sz w:val="20"/>
          <w:szCs w:val="20"/>
        </w:rPr>
        <w:t xml:space="preserve">. Media </w:t>
      </w:r>
      <w:r w:rsidR="007E1623">
        <w:rPr>
          <w:color w:val="000000"/>
          <w:sz w:val="20"/>
          <w:szCs w:val="20"/>
        </w:rPr>
        <w:t xml:space="preserve">outlets </w:t>
      </w:r>
      <w:r w:rsidR="00D45FEE" w:rsidRPr="009A79C1">
        <w:rPr>
          <w:color w:val="000000"/>
          <w:sz w:val="20"/>
          <w:szCs w:val="20"/>
        </w:rPr>
        <w:t xml:space="preserve">and </w:t>
      </w:r>
      <w:r w:rsidR="008C23FB">
        <w:rPr>
          <w:color w:val="000000"/>
          <w:sz w:val="20"/>
          <w:szCs w:val="20"/>
        </w:rPr>
        <w:t xml:space="preserve">members of </w:t>
      </w:r>
      <w:r w:rsidR="00D45FEE" w:rsidRPr="009A79C1">
        <w:rPr>
          <w:color w:val="000000"/>
          <w:sz w:val="20"/>
          <w:szCs w:val="20"/>
        </w:rPr>
        <w:t xml:space="preserve">civil society will be </w:t>
      </w:r>
      <w:r w:rsidR="00367F17" w:rsidRPr="009A79C1">
        <w:rPr>
          <w:color w:val="000000"/>
          <w:sz w:val="20"/>
          <w:szCs w:val="20"/>
        </w:rPr>
        <w:t xml:space="preserve">urged </w:t>
      </w:r>
      <w:r w:rsidR="00D45FEE" w:rsidRPr="009A79C1">
        <w:rPr>
          <w:color w:val="000000"/>
          <w:sz w:val="20"/>
          <w:szCs w:val="20"/>
        </w:rPr>
        <w:t xml:space="preserve">to </w:t>
      </w:r>
      <w:r w:rsidR="00BF1C3F" w:rsidRPr="009A79C1">
        <w:rPr>
          <w:color w:val="000000"/>
          <w:sz w:val="20"/>
          <w:szCs w:val="20"/>
        </w:rPr>
        <w:t xml:space="preserve">sensitize, </w:t>
      </w:r>
      <w:r w:rsidR="0055176B" w:rsidRPr="009A79C1">
        <w:rPr>
          <w:color w:val="000000"/>
          <w:sz w:val="20"/>
          <w:szCs w:val="20"/>
        </w:rPr>
        <w:t xml:space="preserve">engage and </w:t>
      </w:r>
      <w:r w:rsidR="00D45FEE" w:rsidRPr="009A79C1">
        <w:rPr>
          <w:color w:val="000000"/>
          <w:sz w:val="20"/>
          <w:szCs w:val="20"/>
        </w:rPr>
        <w:t xml:space="preserve">highlight </w:t>
      </w:r>
      <w:r w:rsidR="00063BAF" w:rsidRPr="009A79C1">
        <w:rPr>
          <w:color w:val="000000"/>
          <w:sz w:val="20"/>
          <w:szCs w:val="20"/>
        </w:rPr>
        <w:t>critical issues</w:t>
      </w:r>
      <w:r w:rsidR="00831709" w:rsidRPr="009A79C1">
        <w:rPr>
          <w:color w:val="000000"/>
          <w:sz w:val="20"/>
          <w:szCs w:val="20"/>
        </w:rPr>
        <w:t xml:space="preserve"> related to inclusion and rule of law.</w:t>
      </w:r>
    </w:p>
    <w:p w14:paraId="3443AF3D" w14:textId="77777777" w:rsidR="007D2662" w:rsidRPr="001B6A23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23A67667" w14:textId="4569C075" w:rsidR="00816CFE" w:rsidRPr="009A79C1" w:rsidRDefault="00C05CBD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bookmarkStart w:id="1" w:name="_Hlk494139124"/>
      <w:r w:rsidRPr="009A79C1">
        <w:rPr>
          <w:color w:val="000000"/>
          <w:sz w:val="20"/>
          <w:szCs w:val="20"/>
        </w:rPr>
        <w:t>UNDP</w:t>
      </w:r>
      <w:r w:rsidR="00A123E7" w:rsidRPr="009A79C1">
        <w:rPr>
          <w:color w:val="000000"/>
          <w:sz w:val="20"/>
          <w:szCs w:val="20"/>
        </w:rPr>
        <w:t xml:space="preserve"> wi</w:t>
      </w:r>
      <w:r w:rsidR="00A44675" w:rsidRPr="009A79C1">
        <w:rPr>
          <w:color w:val="000000"/>
          <w:sz w:val="20"/>
          <w:szCs w:val="20"/>
        </w:rPr>
        <w:t xml:space="preserve">ll </w:t>
      </w:r>
      <w:r w:rsidR="00367F17" w:rsidRPr="009A79C1">
        <w:rPr>
          <w:color w:val="000000"/>
          <w:sz w:val="20"/>
          <w:szCs w:val="20"/>
        </w:rPr>
        <w:t xml:space="preserve">provide </w:t>
      </w:r>
      <w:r w:rsidR="00FB1F11" w:rsidRPr="009A79C1">
        <w:rPr>
          <w:color w:val="000000"/>
          <w:sz w:val="20"/>
          <w:szCs w:val="20"/>
        </w:rPr>
        <w:t>a</w:t>
      </w:r>
      <w:r w:rsidRPr="009A79C1">
        <w:rPr>
          <w:color w:val="000000"/>
          <w:sz w:val="20"/>
          <w:szCs w:val="20"/>
        </w:rPr>
        <w:t xml:space="preserve"> </w:t>
      </w:r>
      <w:r w:rsidR="00A123E7" w:rsidRPr="009A79C1">
        <w:rPr>
          <w:color w:val="000000"/>
          <w:sz w:val="20"/>
          <w:szCs w:val="20"/>
        </w:rPr>
        <w:t xml:space="preserve">platform </w:t>
      </w:r>
      <w:r w:rsidR="00FB1F11" w:rsidRPr="009A79C1">
        <w:rPr>
          <w:color w:val="000000"/>
          <w:sz w:val="20"/>
          <w:szCs w:val="20"/>
        </w:rPr>
        <w:t>for</w:t>
      </w:r>
      <w:r w:rsidR="00D6476A" w:rsidRPr="009A79C1">
        <w:rPr>
          <w:color w:val="000000"/>
          <w:sz w:val="20"/>
          <w:szCs w:val="20"/>
        </w:rPr>
        <w:t xml:space="preserve"> channeling </w:t>
      </w:r>
      <w:r w:rsidR="00A44675" w:rsidRPr="009A79C1">
        <w:rPr>
          <w:color w:val="000000"/>
          <w:sz w:val="20"/>
          <w:szCs w:val="20"/>
        </w:rPr>
        <w:t>U</w:t>
      </w:r>
      <w:r w:rsidR="00367F17" w:rsidRPr="009A79C1">
        <w:rPr>
          <w:color w:val="000000"/>
          <w:sz w:val="20"/>
          <w:szCs w:val="20"/>
        </w:rPr>
        <w:t xml:space="preserve">nited </w:t>
      </w:r>
      <w:r w:rsidR="00A44675" w:rsidRPr="009A79C1">
        <w:rPr>
          <w:color w:val="000000"/>
          <w:sz w:val="20"/>
          <w:szCs w:val="20"/>
        </w:rPr>
        <w:t>N</w:t>
      </w:r>
      <w:r w:rsidR="00367F17" w:rsidRPr="009A79C1">
        <w:rPr>
          <w:color w:val="000000"/>
          <w:sz w:val="20"/>
          <w:szCs w:val="20"/>
        </w:rPr>
        <w:t>ations</w:t>
      </w:r>
      <w:r w:rsidR="00A44675" w:rsidRPr="009A79C1">
        <w:rPr>
          <w:color w:val="000000"/>
          <w:sz w:val="20"/>
          <w:szCs w:val="20"/>
        </w:rPr>
        <w:t xml:space="preserve"> system </w:t>
      </w:r>
      <w:r w:rsidR="00D6476A" w:rsidRPr="009A79C1">
        <w:rPr>
          <w:color w:val="000000"/>
          <w:sz w:val="20"/>
          <w:szCs w:val="20"/>
        </w:rPr>
        <w:t>support</w:t>
      </w:r>
      <w:r w:rsidR="00A44675" w:rsidRPr="009A79C1">
        <w:rPr>
          <w:color w:val="000000"/>
          <w:sz w:val="20"/>
          <w:szCs w:val="20"/>
        </w:rPr>
        <w:t xml:space="preserve"> for non-resident </w:t>
      </w:r>
      <w:r w:rsidR="00064F3F" w:rsidRPr="009A79C1">
        <w:rPr>
          <w:color w:val="000000"/>
          <w:sz w:val="20"/>
          <w:szCs w:val="20"/>
        </w:rPr>
        <w:t xml:space="preserve">organizations </w:t>
      </w:r>
      <w:r w:rsidR="00B35C3A" w:rsidRPr="009A79C1">
        <w:rPr>
          <w:color w:val="000000"/>
          <w:sz w:val="20"/>
          <w:szCs w:val="20"/>
        </w:rPr>
        <w:t xml:space="preserve">to the </w:t>
      </w:r>
      <w:r w:rsidR="005C079C" w:rsidRPr="009A79C1">
        <w:rPr>
          <w:color w:val="000000"/>
          <w:sz w:val="20"/>
          <w:szCs w:val="20"/>
        </w:rPr>
        <w:t xml:space="preserve">Sahel Emergency </w:t>
      </w:r>
      <w:r w:rsidR="002B258B" w:rsidRPr="009A79C1">
        <w:rPr>
          <w:color w:val="000000"/>
          <w:sz w:val="20"/>
          <w:szCs w:val="20"/>
        </w:rPr>
        <w:t>Program</w:t>
      </w:r>
      <w:r w:rsidR="00380D2A" w:rsidRPr="009A79C1">
        <w:rPr>
          <w:color w:val="000000"/>
          <w:sz w:val="20"/>
          <w:szCs w:val="20"/>
        </w:rPr>
        <w:t>me</w:t>
      </w:r>
      <w:r w:rsidR="002B258B" w:rsidRPr="009A79C1">
        <w:rPr>
          <w:color w:val="000000"/>
          <w:sz w:val="20"/>
          <w:szCs w:val="20"/>
        </w:rPr>
        <w:t xml:space="preserve"> </w:t>
      </w:r>
      <w:r w:rsidR="005C079C" w:rsidRPr="009A79C1">
        <w:rPr>
          <w:color w:val="000000"/>
          <w:sz w:val="20"/>
          <w:szCs w:val="20"/>
        </w:rPr>
        <w:t>and</w:t>
      </w:r>
      <w:r w:rsidR="003434A8" w:rsidRPr="009A79C1">
        <w:rPr>
          <w:color w:val="000000"/>
          <w:sz w:val="20"/>
          <w:szCs w:val="20"/>
        </w:rPr>
        <w:t xml:space="preserve"> border</w:t>
      </w:r>
      <w:r w:rsidR="00D6476A" w:rsidRPr="009A79C1">
        <w:rPr>
          <w:color w:val="000000"/>
          <w:sz w:val="20"/>
          <w:szCs w:val="20"/>
        </w:rPr>
        <w:t xml:space="preserve"> communities. </w:t>
      </w:r>
      <w:r w:rsidR="00C65224" w:rsidRPr="009A79C1">
        <w:rPr>
          <w:color w:val="000000"/>
          <w:sz w:val="20"/>
          <w:szCs w:val="20"/>
        </w:rPr>
        <w:t xml:space="preserve">UNDP will facilitate </w:t>
      </w:r>
      <w:r w:rsidR="003D1EAE" w:rsidRPr="009A79C1">
        <w:rPr>
          <w:color w:val="000000"/>
          <w:sz w:val="20"/>
          <w:szCs w:val="20"/>
        </w:rPr>
        <w:t xml:space="preserve">South-South cooperation </w:t>
      </w:r>
      <w:r w:rsidR="00E92FFF" w:rsidRPr="009A79C1">
        <w:rPr>
          <w:color w:val="000000"/>
          <w:sz w:val="20"/>
          <w:szCs w:val="20"/>
        </w:rPr>
        <w:t xml:space="preserve">on </w:t>
      </w:r>
      <w:r w:rsidR="003D1EAE" w:rsidRPr="009A79C1">
        <w:rPr>
          <w:color w:val="000000"/>
          <w:sz w:val="20"/>
          <w:szCs w:val="20"/>
        </w:rPr>
        <w:t xml:space="preserve">national reconciliation and transitional justice using </w:t>
      </w:r>
      <w:r w:rsidR="006055B9" w:rsidRPr="009A79C1">
        <w:rPr>
          <w:color w:val="000000"/>
          <w:sz w:val="20"/>
          <w:szCs w:val="20"/>
        </w:rPr>
        <w:t>experience</w:t>
      </w:r>
      <w:r w:rsidR="009546B6" w:rsidRPr="009A79C1">
        <w:rPr>
          <w:color w:val="000000"/>
          <w:sz w:val="20"/>
          <w:szCs w:val="20"/>
        </w:rPr>
        <w:t>s</w:t>
      </w:r>
      <w:r w:rsidR="006055B9" w:rsidRPr="009A79C1">
        <w:rPr>
          <w:color w:val="000000"/>
          <w:sz w:val="20"/>
          <w:szCs w:val="20"/>
        </w:rPr>
        <w:t xml:space="preserve"> from Togo, Tunisia, and</w:t>
      </w:r>
      <w:r w:rsidR="00816CFE" w:rsidRPr="009A79C1">
        <w:rPr>
          <w:color w:val="000000"/>
          <w:sz w:val="20"/>
          <w:szCs w:val="20"/>
        </w:rPr>
        <w:t xml:space="preserve"> Côte d’Ivoire</w:t>
      </w:r>
      <w:r w:rsidR="006055B9" w:rsidRPr="009A79C1">
        <w:rPr>
          <w:color w:val="000000"/>
          <w:sz w:val="20"/>
          <w:szCs w:val="20"/>
        </w:rPr>
        <w:t>.</w:t>
      </w:r>
      <w:r w:rsidR="00A123E7" w:rsidRPr="009A79C1">
        <w:rPr>
          <w:color w:val="000000"/>
          <w:sz w:val="20"/>
          <w:szCs w:val="20"/>
        </w:rPr>
        <w:t xml:space="preserve"> </w:t>
      </w:r>
      <w:r w:rsidR="00FF7C6B" w:rsidRPr="009A79C1">
        <w:rPr>
          <w:color w:val="000000"/>
          <w:sz w:val="20"/>
          <w:szCs w:val="20"/>
        </w:rPr>
        <w:t xml:space="preserve">In the </w:t>
      </w:r>
      <w:r w:rsidR="00631F13" w:rsidRPr="009A79C1">
        <w:rPr>
          <w:color w:val="000000"/>
          <w:sz w:val="20"/>
          <w:szCs w:val="20"/>
        </w:rPr>
        <w:t>S</w:t>
      </w:r>
      <w:r w:rsidR="00BC0BA7" w:rsidRPr="009A79C1">
        <w:rPr>
          <w:color w:val="000000"/>
          <w:sz w:val="20"/>
          <w:szCs w:val="20"/>
        </w:rPr>
        <w:t>ustaining</w:t>
      </w:r>
      <w:r w:rsidR="00FF7C6B" w:rsidRPr="009A79C1">
        <w:rPr>
          <w:color w:val="000000"/>
          <w:sz w:val="20"/>
          <w:szCs w:val="20"/>
        </w:rPr>
        <w:t xml:space="preserve"> </w:t>
      </w:r>
      <w:r w:rsidR="00631F13" w:rsidRPr="009A79C1">
        <w:rPr>
          <w:color w:val="000000"/>
          <w:sz w:val="20"/>
          <w:szCs w:val="20"/>
        </w:rPr>
        <w:t>P</w:t>
      </w:r>
      <w:r w:rsidR="00FF7C6B" w:rsidRPr="009A79C1">
        <w:rPr>
          <w:color w:val="000000"/>
          <w:sz w:val="20"/>
          <w:szCs w:val="20"/>
        </w:rPr>
        <w:t>eace</w:t>
      </w:r>
      <w:r w:rsidR="00631F13" w:rsidRPr="009A79C1">
        <w:rPr>
          <w:color w:val="000000"/>
          <w:sz w:val="20"/>
          <w:szCs w:val="20"/>
        </w:rPr>
        <w:t xml:space="preserve"> initiative</w:t>
      </w:r>
      <w:r w:rsidR="00F64757" w:rsidRPr="009A79C1">
        <w:rPr>
          <w:color w:val="000000"/>
          <w:sz w:val="20"/>
          <w:szCs w:val="20"/>
        </w:rPr>
        <w:t xml:space="preserve"> context</w:t>
      </w:r>
      <w:r w:rsidR="00FF7C6B" w:rsidRPr="009A79C1">
        <w:rPr>
          <w:color w:val="000000"/>
          <w:sz w:val="20"/>
          <w:szCs w:val="20"/>
        </w:rPr>
        <w:t xml:space="preserve">, </w:t>
      </w:r>
      <w:r w:rsidR="00F44A3F" w:rsidRPr="009A79C1">
        <w:rPr>
          <w:color w:val="000000"/>
          <w:sz w:val="20"/>
          <w:szCs w:val="20"/>
        </w:rPr>
        <w:t>UNDP will strengthen</w:t>
      </w:r>
      <w:r w:rsidR="001C38A3" w:rsidRPr="009A79C1">
        <w:rPr>
          <w:color w:val="000000"/>
          <w:sz w:val="20"/>
          <w:szCs w:val="20"/>
        </w:rPr>
        <w:t xml:space="preserve"> existing partnerships</w:t>
      </w:r>
      <w:r w:rsidR="00173955" w:rsidRPr="009A79C1">
        <w:rPr>
          <w:color w:val="000000"/>
          <w:sz w:val="20"/>
          <w:szCs w:val="20"/>
        </w:rPr>
        <w:t xml:space="preserve"> with </w:t>
      </w:r>
      <w:r w:rsidR="00181C11" w:rsidRPr="009A79C1">
        <w:rPr>
          <w:color w:val="000000"/>
          <w:sz w:val="20"/>
          <w:szCs w:val="20"/>
        </w:rPr>
        <w:t>the E</w:t>
      </w:r>
      <w:r w:rsidR="00C65224" w:rsidRPr="009A79C1">
        <w:rPr>
          <w:color w:val="000000"/>
          <w:sz w:val="20"/>
          <w:szCs w:val="20"/>
        </w:rPr>
        <w:t xml:space="preserve">uropean </w:t>
      </w:r>
      <w:r w:rsidR="00181C11" w:rsidRPr="009A79C1">
        <w:rPr>
          <w:color w:val="000000"/>
          <w:sz w:val="20"/>
          <w:szCs w:val="20"/>
        </w:rPr>
        <w:t>U</w:t>
      </w:r>
      <w:r w:rsidR="00C65224" w:rsidRPr="009A79C1">
        <w:rPr>
          <w:color w:val="000000"/>
          <w:sz w:val="20"/>
          <w:szCs w:val="20"/>
        </w:rPr>
        <w:t>nion</w:t>
      </w:r>
      <w:r w:rsidR="00181C11" w:rsidRPr="009A79C1">
        <w:rPr>
          <w:color w:val="000000"/>
          <w:sz w:val="20"/>
          <w:szCs w:val="20"/>
        </w:rPr>
        <w:t xml:space="preserve">, </w:t>
      </w:r>
      <w:r w:rsidR="00C65224" w:rsidRPr="009A79C1">
        <w:rPr>
          <w:color w:val="000000"/>
          <w:sz w:val="20"/>
          <w:szCs w:val="20"/>
        </w:rPr>
        <w:t xml:space="preserve">Government of </w:t>
      </w:r>
      <w:r w:rsidR="00173955" w:rsidRPr="009A79C1">
        <w:rPr>
          <w:color w:val="000000"/>
          <w:sz w:val="20"/>
          <w:szCs w:val="20"/>
        </w:rPr>
        <w:t>Japan</w:t>
      </w:r>
      <w:r w:rsidR="00C65224" w:rsidRPr="009A79C1">
        <w:rPr>
          <w:color w:val="000000"/>
          <w:sz w:val="20"/>
          <w:szCs w:val="20"/>
        </w:rPr>
        <w:t xml:space="preserve">, </w:t>
      </w:r>
      <w:r w:rsidR="00173955" w:rsidRPr="009A79C1">
        <w:rPr>
          <w:color w:val="000000"/>
          <w:sz w:val="20"/>
          <w:szCs w:val="20"/>
        </w:rPr>
        <w:t>and</w:t>
      </w:r>
      <w:r w:rsidR="002275C9" w:rsidRPr="009A79C1">
        <w:rPr>
          <w:color w:val="000000"/>
          <w:sz w:val="20"/>
          <w:szCs w:val="20"/>
        </w:rPr>
        <w:t xml:space="preserve"> </w:t>
      </w:r>
      <w:r w:rsidR="00B72E63" w:rsidRPr="009A79C1">
        <w:rPr>
          <w:color w:val="000000"/>
          <w:sz w:val="20"/>
          <w:szCs w:val="20"/>
        </w:rPr>
        <w:t>bilateral partners</w:t>
      </w:r>
      <w:r w:rsidR="00043BB4" w:rsidRPr="009A79C1">
        <w:rPr>
          <w:color w:val="000000"/>
          <w:sz w:val="20"/>
          <w:szCs w:val="20"/>
        </w:rPr>
        <w:t xml:space="preserve"> including </w:t>
      </w:r>
      <w:r w:rsidR="00C65224" w:rsidRPr="009A79C1">
        <w:rPr>
          <w:color w:val="000000"/>
          <w:sz w:val="20"/>
          <w:szCs w:val="20"/>
        </w:rPr>
        <w:t xml:space="preserve">the governments of </w:t>
      </w:r>
      <w:r w:rsidR="00043BB4" w:rsidRPr="009A79C1">
        <w:rPr>
          <w:color w:val="000000"/>
          <w:sz w:val="20"/>
          <w:szCs w:val="20"/>
        </w:rPr>
        <w:t>Sweden</w:t>
      </w:r>
      <w:r w:rsidR="00C65224" w:rsidRPr="009A79C1">
        <w:rPr>
          <w:color w:val="000000"/>
          <w:sz w:val="20"/>
          <w:szCs w:val="20"/>
        </w:rPr>
        <w:t xml:space="preserve">, </w:t>
      </w:r>
      <w:r w:rsidR="00043BB4" w:rsidRPr="009A79C1">
        <w:rPr>
          <w:color w:val="000000"/>
          <w:sz w:val="20"/>
          <w:szCs w:val="20"/>
        </w:rPr>
        <w:t>Denmark</w:t>
      </w:r>
      <w:r w:rsidR="008C789B" w:rsidRPr="009A79C1">
        <w:rPr>
          <w:color w:val="000000"/>
          <w:sz w:val="20"/>
          <w:szCs w:val="20"/>
        </w:rPr>
        <w:t>,</w:t>
      </w:r>
      <w:r w:rsidR="00242E1B" w:rsidRPr="009A79C1">
        <w:rPr>
          <w:color w:val="000000"/>
          <w:sz w:val="20"/>
          <w:szCs w:val="20"/>
        </w:rPr>
        <w:t xml:space="preserve"> </w:t>
      </w:r>
      <w:r w:rsidR="00043BB4" w:rsidRPr="009A79C1">
        <w:rPr>
          <w:color w:val="000000"/>
          <w:sz w:val="20"/>
          <w:szCs w:val="20"/>
        </w:rPr>
        <w:t>Austria</w:t>
      </w:r>
      <w:r w:rsidR="00F0118C" w:rsidRPr="009A79C1">
        <w:rPr>
          <w:color w:val="000000"/>
          <w:sz w:val="20"/>
          <w:szCs w:val="20"/>
        </w:rPr>
        <w:t xml:space="preserve"> </w:t>
      </w:r>
      <w:r w:rsidR="00043BB4" w:rsidRPr="009A79C1">
        <w:rPr>
          <w:color w:val="000000"/>
          <w:sz w:val="20"/>
          <w:szCs w:val="20"/>
        </w:rPr>
        <w:t>and Canada</w:t>
      </w:r>
      <w:r w:rsidR="00242E1B" w:rsidRPr="009A79C1">
        <w:rPr>
          <w:color w:val="000000"/>
          <w:sz w:val="20"/>
          <w:szCs w:val="20"/>
        </w:rPr>
        <w:t xml:space="preserve">. </w:t>
      </w:r>
      <w:r w:rsidR="006F7F46" w:rsidRPr="009A79C1">
        <w:rPr>
          <w:color w:val="000000"/>
          <w:sz w:val="20"/>
          <w:szCs w:val="20"/>
        </w:rPr>
        <w:t>Within the U</w:t>
      </w:r>
      <w:r w:rsidR="00C65224" w:rsidRPr="009A79C1">
        <w:rPr>
          <w:color w:val="000000"/>
          <w:sz w:val="20"/>
          <w:szCs w:val="20"/>
        </w:rPr>
        <w:t xml:space="preserve">nited </w:t>
      </w:r>
      <w:r w:rsidR="006F7F46" w:rsidRPr="009A79C1">
        <w:rPr>
          <w:color w:val="000000"/>
          <w:sz w:val="20"/>
          <w:szCs w:val="20"/>
        </w:rPr>
        <w:t>N</w:t>
      </w:r>
      <w:r w:rsidR="00C65224" w:rsidRPr="009A79C1">
        <w:rPr>
          <w:color w:val="000000"/>
          <w:sz w:val="20"/>
          <w:szCs w:val="20"/>
        </w:rPr>
        <w:t>ations</w:t>
      </w:r>
      <w:r w:rsidR="006F7F46" w:rsidRPr="009A79C1">
        <w:rPr>
          <w:color w:val="000000"/>
          <w:sz w:val="20"/>
          <w:szCs w:val="20"/>
        </w:rPr>
        <w:t xml:space="preserve"> system</w:t>
      </w:r>
      <w:r w:rsidR="005258CA" w:rsidRPr="009A79C1">
        <w:rPr>
          <w:color w:val="000000"/>
          <w:sz w:val="20"/>
          <w:szCs w:val="20"/>
        </w:rPr>
        <w:t>, UNDP</w:t>
      </w:r>
      <w:r w:rsidR="006F7F46" w:rsidRPr="009A79C1">
        <w:rPr>
          <w:color w:val="000000"/>
          <w:sz w:val="20"/>
          <w:szCs w:val="20"/>
        </w:rPr>
        <w:t xml:space="preserve"> </w:t>
      </w:r>
      <w:r w:rsidR="006055B9" w:rsidRPr="009A79C1">
        <w:rPr>
          <w:color w:val="000000"/>
          <w:sz w:val="20"/>
          <w:szCs w:val="20"/>
        </w:rPr>
        <w:t xml:space="preserve">will </w:t>
      </w:r>
      <w:r w:rsidR="00C65224" w:rsidRPr="009A79C1">
        <w:rPr>
          <w:color w:val="000000"/>
          <w:sz w:val="20"/>
          <w:szCs w:val="20"/>
        </w:rPr>
        <w:t xml:space="preserve">use </w:t>
      </w:r>
      <w:r w:rsidR="00E84720" w:rsidRPr="009A79C1">
        <w:rPr>
          <w:color w:val="000000"/>
          <w:sz w:val="20"/>
          <w:szCs w:val="20"/>
        </w:rPr>
        <w:t xml:space="preserve">the coherence and integration agenda to strengthen </w:t>
      </w:r>
      <w:r w:rsidR="00BC0BA7" w:rsidRPr="009A79C1">
        <w:rPr>
          <w:color w:val="000000"/>
          <w:sz w:val="20"/>
          <w:szCs w:val="20"/>
        </w:rPr>
        <w:t xml:space="preserve">relations </w:t>
      </w:r>
      <w:r w:rsidR="00E84720" w:rsidRPr="009A79C1">
        <w:rPr>
          <w:color w:val="000000"/>
          <w:sz w:val="20"/>
          <w:szCs w:val="20"/>
        </w:rPr>
        <w:t>with</w:t>
      </w:r>
      <w:r w:rsidR="001A7C3A" w:rsidRPr="009A79C1">
        <w:rPr>
          <w:color w:val="000000"/>
          <w:sz w:val="20"/>
          <w:szCs w:val="20"/>
        </w:rPr>
        <w:t xml:space="preserve"> </w:t>
      </w:r>
      <w:r w:rsidR="00C65224" w:rsidRPr="009A79C1">
        <w:rPr>
          <w:color w:val="000000"/>
          <w:sz w:val="20"/>
          <w:szCs w:val="20"/>
        </w:rPr>
        <w:t xml:space="preserve">United Nations Department of Economic and Social Affairs </w:t>
      </w:r>
      <w:r w:rsidR="001A7C3A" w:rsidRPr="009A79C1">
        <w:rPr>
          <w:color w:val="000000"/>
          <w:sz w:val="20"/>
          <w:szCs w:val="20"/>
        </w:rPr>
        <w:t>on youth,</w:t>
      </w:r>
      <w:r w:rsidR="00E84720" w:rsidRPr="009A79C1">
        <w:rPr>
          <w:color w:val="000000"/>
          <w:sz w:val="20"/>
          <w:szCs w:val="20"/>
        </w:rPr>
        <w:t xml:space="preserve"> the </w:t>
      </w:r>
      <w:r w:rsidR="00C65224" w:rsidRPr="009A79C1">
        <w:rPr>
          <w:color w:val="000000"/>
          <w:sz w:val="20"/>
          <w:szCs w:val="20"/>
        </w:rPr>
        <w:t xml:space="preserve">United Nations </w:t>
      </w:r>
      <w:r w:rsidR="00631F13" w:rsidRPr="009A79C1">
        <w:rPr>
          <w:color w:val="000000"/>
          <w:sz w:val="20"/>
          <w:szCs w:val="20"/>
        </w:rPr>
        <w:t xml:space="preserve">Department </w:t>
      </w:r>
      <w:r w:rsidR="00E84720" w:rsidRPr="009A79C1">
        <w:rPr>
          <w:color w:val="000000"/>
          <w:sz w:val="20"/>
          <w:szCs w:val="20"/>
        </w:rPr>
        <w:t>of Poli</w:t>
      </w:r>
      <w:r w:rsidR="00A8237E" w:rsidRPr="009A79C1">
        <w:rPr>
          <w:color w:val="000000"/>
          <w:sz w:val="20"/>
          <w:szCs w:val="20"/>
        </w:rPr>
        <w:t>tical</w:t>
      </w:r>
      <w:r w:rsidR="006055B9" w:rsidRPr="009A79C1">
        <w:rPr>
          <w:color w:val="000000"/>
          <w:sz w:val="20"/>
          <w:szCs w:val="20"/>
        </w:rPr>
        <w:t xml:space="preserve"> Affairs, the </w:t>
      </w:r>
      <w:r w:rsidR="00C65224" w:rsidRPr="009A79C1">
        <w:rPr>
          <w:color w:val="000000"/>
          <w:sz w:val="20"/>
          <w:szCs w:val="20"/>
        </w:rPr>
        <w:t xml:space="preserve">United Nations </w:t>
      </w:r>
      <w:r w:rsidR="006055B9" w:rsidRPr="009A79C1">
        <w:rPr>
          <w:color w:val="000000"/>
          <w:sz w:val="20"/>
          <w:szCs w:val="20"/>
        </w:rPr>
        <w:t>Department for Peace</w:t>
      </w:r>
      <w:r w:rsidR="00631F13" w:rsidRPr="009A79C1">
        <w:rPr>
          <w:color w:val="000000"/>
          <w:sz w:val="20"/>
          <w:szCs w:val="20"/>
        </w:rPr>
        <w:t>k</w:t>
      </w:r>
      <w:r w:rsidR="006055B9" w:rsidRPr="009A79C1">
        <w:rPr>
          <w:color w:val="000000"/>
          <w:sz w:val="20"/>
          <w:szCs w:val="20"/>
        </w:rPr>
        <w:t xml:space="preserve">eeping </w:t>
      </w:r>
      <w:r w:rsidR="006C6FFB" w:rsidRPr="009A79C1">
        <w:rPr>
          <w:color w:val="000000"/>
          <w:sz w:val="20"/>
          <w:szCs w:val="20"/>
        </w:rPr>
        <w:t>Operations,</w:t>
      </w:r>
      <w:r w:rsidR="006055B9" w:rsidRPr="009A79C1">
        <w:rPr>
          <w:color w:val="000000"/>
          <w:sz w:val="20"/>
          <w:szCs w:val="20"/>
        </w:rPr>
        <w:t xml:space="preserve"> </w:t>
      </w:r>
      <w:r w:rsidR="00C65224" w:rsidRPr="009A79C1">
        <w:rPr>
          <w:color w:val="000000"/>
          <w:sz w:val="20"/>
          <w:szCs w:val="20"/>
        </w:rPr>
        <w:t xml:space="preserve">and </w:t>
      </w:r>
      <w:r w:rsidR="006055B9" w:rsidRPr="009A79C1">
        <w:rPr>
          <w:color w:val="000000"/>
          <w:sz w:val="20"/>
          <w:szCs w:val="20"/>
        </w:rPr>
        <w:t>the United Nations Peacebuilding Support Office (PBSO</w:t>
      </w:r>
      <w:r w:rsidR="008C789B" w:rsidRPr="009A79C1">
        <w:rPr>
          <w:color w:val="000000"/>
          <w:sz w:val="20"/>
          <w:szCs w:val="20"/>
        </w:rPr>
        <w:t>)</w:t>
      </w:r>
      <w:r w:rsidR="00D35660" w:rsidRPr="009A79C1">
        <w:rPr>
          <w:color w:val="000000"/>
          <w:sz w:val="20"/>
          <w:szCs w:val="20"/>
        </w:rPr>
        <w:t xml:space="preserve">. </w:t>
      </w:r>
      <w:r w:rsidR="00C65224" w:rsidRPr="009A79C1">
        <w:rPr>
          <w:color w:val="000000"/>
          <w:sz w:val="20"/>
          <w:szCs w:val="20"/>
        </w:rPr>
        <w:t>To</w:t>
      </w:r>
      <w:r w:rsidR="00A17A83" w:rsidRPr="009A79C1">
        <w:rPr>
          <w:color w:val="000000"/>
          <w:sz w:val="20"/>
          <w:szCs w:val="20"/>
        </w:rPr>
        <w:t xml:space="preserve"> </w:t>
      </w:r>
      <w:r w:rsidR="00A17A83" w:rsidRPr="009A79C1">
        <w:rPr>
          <w:color w:val="000000"/>
          <w:sz w:val="20"/>
          <w:szCs w:val="20"/>
        </w:rPr>
        <w:lastRenderedPageBreak/>
        <w:t>prepare</w:t>
      </w:r>
      <w:r w:rsidR="00C65224" w:rsidRPr="009A79C1">
        <w:rPr>
          <w:color w:val="000000"/>
          <w:sz w:val="20"/>
          <w:szCs w:val="20"/>
        </w:rPr>
        <w:t xml:space="preserve"> Burkina Faso</w:t>
      </w:r>
      <w:r w:rsidR="00A17A83" w:rsidRPr="009A79C1">
        <w:rPr>
          <w:color w:val="000000"/>
          <w:sz w:val="20"/>
          <w:szCs w:val="20"/>
        </w:rPr>
        <w:t xml:space="preserve"> for </w:t>
      </w:r>
      <w:r w:rsidR="005258CA" w:rsidRPr="009A79C1">
        <w:rPr>
          <w:color w:val="000000"/>
          <w:sz w:val="20"/>
          <w:szCs w:val="20"/>
        </w:rPr>
        <w:t xml:space="preserve">voluntary </w:t>
      </w:r>
      <w:r w:rsidR="00194378" w:rsidRPr="009A79C1">
        <w:rPr>
          <w:color w:val="000000"/>
          <w:sz w:val="20"/>
          <w:szCs w:val="20"/>
        </w:rPr>
        <w:t xml:space="preserve">reporting, UNDP will </w:t>
      </w:r>
      <w:r w:rsidR="00F81CDE">
        <w:rPr>
          <w:color w:val="000000"/>
          <w:sz w:val="20"/>
          <w:szCs w:val="20"/>
        </w:rPr>
        <w:t>assess</w:t>
      </w:r>
      <w:r w:rsidR="00C65224" w:rsidRPr="009A79C1">
        <w:rPr>
          <w:color w:val="000000"/>
          <w:sz w:val="20"/>
          <w:szCs w:val="20"/>
        </w:rPr>
        <w:t xml:space="preserve"> ways the country can</w:t>
      </w:r>
      <w:r w:rsidR="00194378" w:rsidRPr="009A79C1">
        <w:rPr>
          <w:color w:val="000000"/>
          <w:sz w:val="20"/>
          <w:szCs w:val="20"/>
        </w:rPr>
        <w:t xml:space="preserve"> benefit from the Global Alliance on SDG</w:t>
      </w:r>
      <w:r w:rsidR="00631F13" w:rsidRPr="009A79C1">
        <w:rPr>
          <w:color w:val="000000"/>
          <w:sz w:val="20"/>
          <w:szCs w:val="20"/>
        </w:rPr>
        <w:t xml:space="preserve"> </w:t>
      </w:r>
      <w:r w:rsidR="00194378" w:rsidRPr="009A79C1">
        <w:rPr>
          <w:color w:val="000000"/>
          <w:sz w:val="20"/>
          <w:szCs w:val="20"/>
        </w:rPr>
        <w:t>16.</w:t>
      </w:r>
      <w:bookmarkEnd w:id="1"/>
    </w:p>
    <w:p w14:paraId="44190C95" w14:textId="77777777" w:rsidR="00811C01" w:rsidRPr="00A071A7" w:rsidRDefault="00811C01" w:rsidP="00307DE8">
      <w:pPr>
        <w:pStyle w:val="ListParagraph"/>
        <w:tabs>
          <w:tab w:val="left" w:pos="1530"/>
        </w:tabs>
        <w:ind w:left="1170"/>
        <w:jc w:val="both"/>
        <w:rPr>
          <w:b/>
          <w:color w:val="000000"/>
          <w:sz w:val="12"/>
          <w:szCs w:val="12"/>
        </w:rPr>
      </w:pPr>
    </w:p>
    <w:p w14:paraId="10048EB1" w14:textId="77777777" w:rsidR="00816CFE" w:rsidRPr="005D7DD8" w:rsidRDefault="008013C1" w:rsidP="00307DE8">
      <w:pPr>
        <w:pStyle w:val="ListParagraph"/>
        <w:tabs>
          <w:tab w:val="left" w:pos="1530"/>
        </w:tabs>
        <w:ind w:left="1170"/>
        <w:jc w:val="both"/>
        <w:rPr>
          <w:b/>
          <w:color w:val="000000"/>
          <w:sz w:val="20"/>
          <w:szCs w:val="20"/>
        </w:rPr>
      </w:pPr>
      <w:r w:rsidRPr="005D7DD8">
        <w:rPr>
          <w:b/>
          <w:color w:val="000000"/>
          <w:sz w:val="20"/>
          <w:szCs w:val="20"/>
        </w:rPr>
        <w:t xml:space="preserve">Inclusive and </w:t>
      </w:r>
      <w:r w:rsidR="00C65224" w:rsidRPr="005D7DD8">
        <w:rPr>
          <w:b/>
          <w:color w:val="000000"/>
          <w:sz w:val="20"/>
          <w:szCs w:val="20"/>
        </w:rPr>
        <w:t>s</w:t>
      </w:r>
      <w:r w:rsidRPr="005D7DD8">
        <w:rPr>
          <w:b/>
          <w:color w:val="000000"/>
          <w:sz w:val="20"/>
          <w:szCs w:val="20"/>
        </w:rPr>
        <w:t xml:space="preserve">ustainable </w:t>
      </w:r>
      <w:r w:rsidR="00C65224" w:rsidRPr="005D7DD8">
        <w:rPr>
          <w:b/>
          <w:color w:val="000000"/>
          <w:sz w:val="20"/>
          <w:szCs w:val="20"/>
        </w:rPr>
        <w:t>g</w:t>
      </w:r>
      <w:r w:rsidRPr="005D7DD8">
        <w:rPr>
          <w:b/>
          <w:color w:val="000000"/>
          <w:sz w:val="20"/>
          <w:szCs w:val="20"/>
        </w:rPr>
        <w:t xml:space="preserve">rowth, </w:t>
      </w:r>
      <w:r w:rsidR="00C65224" w:rsidRPr="005D7DD8">
        <w:rPr>
          <w:b/>
          <w:color w:val="000000"/>
          <w:sz w:val="20"/>
          <w:szCs w:val="20"/>
        </w:rPr>
        <w:t>d</w:t>
      </w:r>
      <w:r w:rsidRPr="005D7DD8">
        <w:rPr>
          <w:b/>
          <w:color w:val="000000"/>
          <w:sz w:val="20"/>
          <w:szCs w:val="20"/>
        </w:rPr>
        <w:t xml:space="preserve">ecent </w:t>
      </w:r>
      <w:r w:rsidR="00C65224" w:rsidRPr="005D7DD8">
        <w:rPr>
          <w:b/>
          <w:color w:val="000000"/>
          <w:sz w:val="20"/>
          <w:szCs w:val="20"/>
        </w:rPr>
        <w:t>w</w:t>
      </w:r>
      <w:r w:rsidRPr="005D7DD8">
        <w:rPr>
          <w:b/>
          <w:color w:val="000000"/>
          <w:sz w:val="20"/>
          <w:szCs w:val="20"/>
        </w:rPr>
        <w:t xml:space="preserve">ork and </w:t>
      </w:r>
      <w:r w:rsidR="00C65224" w:rsidRPr="005D7DD8">
        <w:rPr>
          <w:b/>
          <w:color w:val="000000"/>
          <w:sz w:val="20"/>
          <w:szCs w:val="20"/>
        </w:rPr>
        <w:t>f</w:t>
      </w:r>
      <w:r w:rsidRPr="005D7DD8">
        <w:rPr>
          <w:b/>
          <w:color w:val="000000"/>
          <w:sz w:val="20"/>
          <w:szCs w:val="20"/>
        </w:rPr>
        <w:t xml:space="preserve">ood </w:t>
      </w:r>
      <w:r w:rsidR="00C65224" w:rsidRPr="005D7DD8">
        <w:rPr>
          <w:b/>
          <w:color w:val="000000"/>
          <w:sz w:val="20"/>
          <w:szCs w:val="20"/>
        </w:rPr>
        <w:t>s</w:t>
      </w:r>
      <w:r w:rsidRPr="005D7DD8">
        <w:rPr>
          <w:b/>
          <w:color w:val="000000"/>
          <w:sz w:val="20"/>
          <w:szCs w:val="20"/>
        </w:rPr>
        <w:t>ecurity</w:t>
      </w:r>
    </w:p>
    <w:p w14:paraId="19E2D89F" w14:textId="77777777" w:rsidR="00816CFE" w:rsidRPr="00A071A7" w:rsidRDefault="00816CFE" w:rsidP="00307DE8">
      <w:pPr>
        <w:pStyle w:val="ListParagraph"/>
        <w:tabs>
          <w:tab w:val="left" w:pos="1530"/>
        </w:tabs>
        <w:ind w:left="1170"/>
        <w:jc w:val="both"/>
        <w:rPr>
          <w:b/>
          <w:color w:val="000000"/>
          <w:sz w:val="12"/>
          <w:szCs w:val="12"/>
        </w:rPr>
      </w:pPr>
    </w:p>
    <w:p w14:paraId="2E9D07B5" w14:textId="3F1D841D" w:rsidR="007D2662" w:rsidRPr="009A79C1" w:rsidRDefault="002446B6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This pillar contributes to SDGs 1, 5, 7, 8, 10, 12 and 13. </w:t>
      </w:r>
      <w:r w:rsidR="000D4646" w:rsidRPr="009A79C1">
        <w:rPr>
          <w:color w:val="000000"/>
          <w:sz w:val="20"/>
          <w:szCs w:val="20"/>
        </w:rPr>
        <w:t>The governance, security</w:t>
      </w:r>
      <w:r w:rsidR="00723053" w:rsidRPr="009A79C1">
        <w:rPr>
          <w:color w:val="000000"/>
          <w:sz w:val="20"/>
          <w:szCs w:val="20"/>
        </w:rPr>
        <w:t>,</w:t>
      </w:r>
      <w:r w:rsidR="000D4646" w:rsidRPr="009A79C1">
        <w:rPr>
          <w:color w:val="000000"/>
          <w:sz w:val="20"/>
          <w:szCs w:val="20"/>
        </w:rPr>
        <w:t xml:space="preserve"> and social cohesion aspects of the previous pillar will be </w:t>
      </w:r>
      <w:r w:rsidR="00395D41" w:rsidRPr="009A79C1">
        <w:rPr>
          <w:color w:val="000000"/>
          <w:sz w:val="20"/>
          <w:szCs w:val="20"/>
        </w:rPr>
        <w:t xml:space="preserve">integrated with </w:t>
      </w:r>
      <w:r w:rsidR="000D4646" w:rsidRPr="009A79C1">
        <w:rPr>
          <w:color w:val="000000"/>
          <w:sz w:val="20"/>
          <w:szCs w:val="20"/>
        </w:rPr>
        <w:t xml:space="preserve">UNDP </w:t>
      </w:r>
      <w:r w:rsidR="00723053" w:rsidRPr="009A79C1">
        <w:rPr>
          <w:color w:val="000000"/>
          <w:sz w:val="20"/>
          <w:szCs w:val="20"/>
        </w:rPr>
        <w:t xml:space="preserve">efforts </w:t>
      </w:r>
      <w:r w:rsidR="000D4646" w:rsidRPr="009A79C1">
        <w:rPr>
          <w:color w:val="000000"/>
          <w:sz w:val="20"/>
          <w:szCs w:val="20"/>
        </w:rPr>
        <w:t>on livelihoods (particularly for youth), growth</w:t>
      </w:r>
      <w:r w:rsidR="00723053" w:rsidRPr="009A79C1">
        <w:rPr>
          <w:color w:val="000000"/>
          <w:sz w:val="20"/>
          <w:szCs w:val="20"/>
        </w:rPr>
        <w:t>,</w:t>
      </w:r>
      <w:r w:rsidR="000D4646" w:rsidRPr="009A79C1">
        <w:rPr>
          <w:color w:val="000000"/>
          <w:sz w:val="20"/>
          <w:szCs w:val="20"/>
        </w:rPr>
        <w:t xml:space="preserve"> and food security. </w:t>
      </w:r>
      <w:r w:rsidR="005C5D4B" w:rsidRPr="009A79C1">
        <w:rPr>
          <w:color w:val="000000"/>
          <w:sz w:val="20"/>
          <w:szCs w:val="20"/>
        </w:rPr>
        <w:t xml:space="preserve">This </w:t>
      </w:r>
      <w:r w:rsidR="002551B8" w:rsidRPr="009A79C1">
        <w:rPr>
          <w:color w:val="000000"/>
          <w:sz w:val="20"/>
          <w:szCs w:val="20"/>
        </w:rPr>
        <w:t>supports</w:t>
      </w:r>
      <w:r w:rsidR="00723053" w:rsidRPr="009A79C1">
        <w:rPr>
          <w:color w:val="000000"/>
          <w:sz w:val="20"/>
          <w:szCs w:val="20"/>
        </w:rPr>
        <w:t xml:space="preserve"> the</w:t>
      </w:r>
      <w:r w:rsidR="005C5D4B" w:rsidRPr="009A79C1">
        <w:rPr>
          <w:color w:val="000000"/>
          <w:sz w:val="20"/>
          <w:szCs w:val="20"/>
        </w:rPr>
        <w:t xml:space="preserve"> government</w:t>
      </w:r>
      <w:r w:rsidR="00546F94" w:rsidRPr="009A79C1">
        <w:rPr>
          <w:color w:val="000000"/>
          <w:sz w:val="20"/>
          <w:szCs w:val="20"/>
        </w:rPr>
        <w:t xml:space="preserve"> strategy of </w:t>
      </w:r>
      <w:r w:rsidR="00990019" w:rsidRPr="009A79C1">
        <w:rPr>
          <w:color w:val="000000"/>
          <w:sz w:val="20"/>
          <w:szCs w:val="20"/>
        </w:rPr>
        <w:t xml:space="preserve">eradicating multi-dimensional </w:t>
      </w:r>
      <w:r w:rsidR="00D136D2" w:rsidRPr="009A79C1">
        <w:rPr>
          <w:color w:val="000000"/>
          <w:sz w:val="20"/>
          <w:szCs w:val="20"/>
        </w:rPr>
        <w:t>poverty</w:t>
      </w:r>
      <w:r w:rsidR="00884B18" w:rsidRPr="009A79C1">
        <w:rPr>
          <w:color w:val="000000"/>
          <w:sz w:val="20"/>
          <w:szCs w:val="20"/>
        </w:rPr>
        <w:t xml:space="preserve"> </w:t>
      </w:r>
      <w:r w:rsidR="00990019" w:rsidRPr="009A79C1">
        <w:rPr>
          <w:color w:val="000000"/>
          <w:sz w:val="20"/>
          <w:szCs w:val="20"/>
        </w:rPr>
        <w:t xml:space="preserve">and </w:t>
      </w:r>
      <w:r w:rsidR="005C5D4B" w:rsidRPr="009A79C1">
        <w:rPr>
          <w:color w:val="000000"/>
          <w:sz w:val="20"/>
          <w:szCs w:val="20"/>
        </w:rPr>
        <w:t>inequalities</w:t>
      </w:r>
      <w:r w:rsidR="00723053" w:rsidRPr="009A79C1">
        <w:rPr>
          <w:color w:val="000000"/>
          <w:sz w:val="20"/>
          <w:szCs w:val="20"/>
        </w:rPr>
        <w:t>,</w:t>
      </w:r>
      <w:r w:rsidR="0089778C" w:rsidRPr="009A79C1">
        <w:rPr>
          <w:color w:val="000000"/>
          <w:sz w:val="20"/>
          <w:szCs w:val="20"/>
        </w:rPr>
        <w:t xml:space="preserve"> and ensuring an </w:t>
      </w:r>
      <w:r w:rsidR="00C0551C" w:rsidRPr="009A79C1">
        <w:rPr>
          <w:color w:val="000000"/>
          <w:sz w:val="20"/>
          <w:szCs w:val="20"/>
        </w:rPr>
        <w:t>inclusive</w:t>
      </w:r>
      <w:r w:rsidR="0089778C" w:rsidRPr="009A79C1">
        <w:rPr>
          <w:color w:val="000000"/>
          <w:sz w:val="20"/>
          <w:szCs w:val="20"/>
        </w:rPr>
        <w:t xml:space="preserve"> sustainable</w:t>
      </w:r>
      <w:r w:rsidR="00C0551C" w:rsidRPr="009A79C1">
        <w:rPr>
          <w:color w:val="000000"/>
          <w:sz w:val="20"/>
          <w:szCs w:val="20"/>
        </w:rPr>
        <w:t xml:space="preserve"> growth trajectory</w:t>
      </w:r>
      <w:r w:rsidR="00884B18" w:rsidRPr="009A79C1">
        <w:rPr>
          <w:color w:val="000000"/>
          <w:sz w:val="20"/>
          <w:szCs w:val="20"/>
        </w:rPr>
        <w:t xml:space="preserve">. </w:t>
      </w:r>
      <w:r w:rsidR="004F5626" w:rsidRPr="009A79C1">
        <w:rPr>
          <w:color w:val="000000"/>
          <w:sz w:val="20"/>
          <w:szCs w:val="20"/>
        </w:rPr>
        <w:t xml:space="preserve">Interventions will </w:t>
      </w:r>
      <w:r w:rsidR="004B15B5" w:rsidRPr="009A79C1">
        <w:rPr>
          <w:color w:val="000000"/>
          <w:sz w:val="20"/>
          <w:szCs w:val="20"/>
        </w:rPr>
        <w:t>focus on</w:t>
      </w:r>
      <w:r w:rsidR="004C57B2" w:rsidRPr="009A79C1">
        <w:rPr>
          <w:color w:val="000000"/>
          <w:sz w:val="20"/>
          <w:szCs w:val="20"/>
        </w:rPr>
        <w:t xml:space="preserve"> </w:t>
      </w:r>
      <w:r w:rsidR="004F5626" w:rsidRPr="009A79C1">
        <w:rPr>
          <w:color w:val="000000"/>
          <w:sz w:val="20"/>
          <w:szCs w:val="20"/>
        </w:rPr>
        <w:t xml:space="preserve">policy support using </w:t>
      </w:r>
      <w:r w:rsidR="004B15B5" w:rsidRPr="009A79C1">
        <w:rPr>
          <w:color w:val="000000"/>
          <w:sz w:val="20"/>
          <w:szCs w:val="20"/>
        </w:rPr>
        <w:t xml:space="preserve">the </w:t>
      </w:r>
      <w:r w:rsidR="004F5626" w:rsidRPr="009A79C1">
        <w:rPr>
          <w:color w:val="000000"/>
          <w:sz w:val="20"/>
          <w:szCs w:val="20"/>
        </w:rPr>
        <w:t>MAPS</w:t>
      </w:r>
      <w:r w:rsidR="00057EB6" w:rsidRPr="009A79C1">
        <w:rPr>
          <w:color w:val="000000"/>
          <w:sz w:val="20"/>
          <w:szCs w:val="20"/>
        </w:rPr>
        <w:t xml:space="preserve"> approach</w:t>
      </w:r>
      <w:r w:rsidR="004F5626" w:rsidRPr="009A79C1">
        <w:rPr>
          <w:color w:val="000000"/>
          <w:sz w:val="20"/>
          <w:szCs w:val="20"/>
        </w:rPr>
        <w:t xml:space="preserve"> </w:t>
      </w:r>
      <w:r w:rsidR="00D7025E" w:rsidRPr="009A79C1">
        <w:rPr>
          <w:color w:val="000000"/>
          <w:sz w:val="20"/>
          <w:szCs w:val="20"/>
        </w:rPr>
        <w:t xml:space="preserve">to </w:t>
      </w:r>
      <w:r w:rsidR="00B23EE6" w:rsidRPr="009A79C1">
        <w:rPr>
          <w:color w:val="000000"/>
          <w:sz w:val="20"/>
          <w:szCs w:val="20"/>
        </w:rPr>
        <w:t xml:space="preserve">intensify </w:t>
      </w:r>
      <w:r w:rsidR="00E32E08" w:rsidRPr="009A79C1">
        <w:rPr>
          <w:color w:val="000000"/>
          <w:sz w:val="20"/>
          <w:szCs w:val="20"/>
        </w:rPr>
        <w:t>work already started</w:t>
      </w:r>
      <w:r w:rsidR="007D6709" w:rsidRPr="009A79C1">
        <w:rPr>
          <w:color w:val="000000"/>
          <w:sz w:val="20"/>
          <w:szCs w:val="20"/>
        </w:rPr>
        <w:t xml:space="preserve"> </w:t>
      </w:r>
      <w:r w:rsidR="001D08FB" w:rsidRPr="009A79C1">
        <w:rPr>
          <w:color w:val="000000"/>
          <w:sz w:val="20"/>
          <w:szCs w:val="20"/>
        </w:rPr>
        <w:t xml:space="preserve">on </w:t>
      </w:r>
      <w:r w:rsidR="00723053" w:rsidRPr="009A79C1">
        <w:rPr>
          <w:color w:val="000000"/>
          <w:sz w:val="20"/>
          <w:szCs w:val="20"/>
        </w:rPr>
        <w:t xml:space="preserve">the </w:t>
      </w:r>
      <w:r w:rsidR="001D08FB" w:rsidRPr="009A79C1">
        <w:rPr>
          <w:color w:val="000000"/>
          <w:sz w:val="20"/>
          <w:szCs w:val="20"/>
        </w:rPr>
        <w:t xml:space="preserve">SDGs </w:t>
      </w:r>
      <w:r w:rsidR="00723053" w:rsidRPr="009A79C1">
        <w:rPr>
          <w:color w:val="000000"/>
          <w:sz w:val="20"/>
          <w:szCs w:val="20"/>
        </w:rPr>
        <w:t xml:space="preserve">by </w:t>
      </w:r>
      <w:r w:rsidR="00B23EE6" w:rsidRPr="009A79C1">
        <w:rPr>
          <w:color w:val="000000"/>
          <w:sz w:val="20"/>
          <w:szCs w:val="20"/>
        </w:rPr>
        <w:t>help</w:t>
      </w:r>
      <w:r w:rsidR="00723053" w:rsidRPr="009A79C1">
        <w:rPr>
          <w:color w:val="000000"/>
          <w:sz w:val="20"/>
          <w:szCs w:val="20"/>
        </w:rPr>
        <w:t>ing</w:t>
      </w:r>
      <w:r w:rsidR="00B23EE6" w:rsidRPr="009A79C1">
        <w:rPr>
          <w:color w:val="000000"/>
          <w:sz w:val="20"/>
          <w:szCs w:val="20"/>
        </w:rPr>
        <w:t xml:space="preserve"> </w:t>
      </w:r>
      <w:r w:rsidR="00EF3962" w:rsidRPr="009A79C1">
        <w:rPr>
          <w:color w:val="000000"/>
          <w:sz w:val="20"/>
          <w:szCs w:val="20"/>
        </w:rPr>
        <w:t>government identify</w:t>
      </w:r>
      <w:r w:rsidR="004C57B2" w:rsidRPr="009A79C1">
        <w:rPr>
          <w:color w:val="000000"/>
          <w:sz w:val="20"/>
          <w:szCs w:val="20"/>
        </w:rPr>
        <w:t xml:space="preserve"> sectors with </w:t>
      </w:r>
      <w:r w:rsidR="00723053" w:rsidRPr="009A79C1">
        <w:rPr>
          <w:color w:val="000000"/>
          <w:sz w:val="20"/>
          <w:szCs w:val="20"/>
        </w:rPr>
        <w:t>strong potential,</w:t>
      </w:r>
      <w:r w:rsidR="003D01D7" w:rsidRPr="009A79C1">
        <w:rPr>
          <w:color w:val="000000"/>
          <w:sz w:val="20"/>
          <w:szCs w:val="20"/>
        </w:rPr>
        <w:t xml:space="preserve"> and to</w:t>
      </w:r>
      <w:r w:rsidR="00934BE7" w:rsidRPr="009A79C1">
        <w:rPr>
          <w:color w:val="000000"/>
          <w:sz w:val="20"/>
          <w:szCs w:val="20"/>
        </w:rPr>
        <w:t xml:space="preserve"> </w:t>
      </w:r>
      <w:r w:rsidR="00B23EE6" w:rsidRPr="009A79C1">
        <w:rPr>
          <w:color w:val="000000"/>
          <w:sz w:val="20"/>
          <w:szCs w:val="20"/>
        </w:rPr>
        <w:t>align</w:t>
      </w:r>
      <w:r w:rsidR="00057EB6" w:rsidRPr="009A79C1">
        <w:rPr>
          <w:color w:val="000000"/>
          <w:sz w:val="20"/>
          <w:szCs w:val="20"/>
        </w:rPr>
        <w:t xml:space="preserve"> the implementation of the </w:t>
      </w:r>
      <w:r w:rsidR="001D08FB" w:rsidRPr="009A79C1">
        <w:rPr>
          <w:color w:val="000000"/>
          <w:sz w:val="20"/>
          <w:szCs w:val="20"/>
        </w:rPr>
        <w:t>N</w:t>
      </w:r>
      <w:r w:rsidR="007A5081" w:rsidRPr="009A79C1">
        <w:rPr>
          <w:color w:val="000000"/>
          <w:sz w:val="20"/>
          <w:szCs w:val="20"/>
        </w:rPr>
        <w:t>E</w:t>
      </w:r>
      <w:r w:rsidR="001D08FB" w:rsidRPr="009A79C1">
        <w:rPr>
          <w:color w:val="000000"/>
          <w:sz w:val="20"/>
          <w:szCs w:val="20"/>
        </w:rPr>
        <w:t>SD</w:t>
      </w:r>
      <w:r w:rsidR="007A5081" w:rsidRPr="009A79C1">
        <w:rPr>
          <w:color w:val="000000"/>
          <w:sz w:val="20"/>
          <w:szCs w:val="20"/>
        </w:rPr>
        <w:t>P</w:t>
      </w:r>
      <w:r w:rsidR="001D08FB" w:rsidRPr="009A79C1">
        <w:rPr>
          <w:color w:val="000000"/>
          <w:sz w:val="20"/>
          <w:szCs w:val="20"/>
        </w:rPr>
        <w:t xml:space="preserve"> </w:t>
      </w:r>
      <w:r w:rsidR="00057EB6" w:rsidRPr="009A79C1">
        <w:rPr>
          <w:color w:val="000000"/>
          <w:sz w:val="20"/>
          <w:szCs w:val="20"/>
        </w:rPr>
        <w:t xml:space="preserve">with selected </w:t>
      </w:r>
      <w:r w:rsidR="00AE3565" w:rsidRPr="009A79C1">
        <w:rPr>
          <w:color w:val="000000"/>
          <w:sz w:val="20"/>
          <w:szCs w:val="20"/>
        </w:rPr>
        <w:t xml:space="preserve">priority </w:t>
      </w:r>
      <w:r w:rsidR="00202A5C" w:rsidRPr="009A79C1">
        <w:rPr>
          <w:color w:val="000000"/>
          <w:sz w:val="20"/>
          <w:szCs w:val="20"/>
        </w:rPr>
        <w:t>indicators</w:t>
      </w:r>
      <w:r w:rsidR="004B15B5" w:rsidRPr="009A79C1">
        <w:rPr>
          <w:color w:val="000000"/>
          <w:sz w:val="20"/>
          <w:szCs w:val="20"/>
        </w:rPr>
        <w:t>. Second</w:t>
      </w:r>
      <w:r w:rsidR="00723053" w:rsidRPr="009A79C1">
        <w:rPr>
          <w:color w:val="000000"/>
          <w:sz w:val="20"/>
          <w:szCs w:val="20"/>
        </w:rPr>
        <w:t>ly</w:t>
      </w:r>
      <w:r w:rsidR="004B15B5" w:rsidRPr="009A79C1">
        <w:rPr>
          <w:color w:val="000000"/>
          <w:sz w:val="20"/>
          <w:szCs w:val="20"/>
        </w:rPr>
        <w:t xml:space="preserve">, UNDP will provide </w:t>
      </w:r>
      <w:r w:rsidR="000E781F" w:rsidRPr="009A79C1">
        <w:rPr>
          <w:color w:val="000000"/>
          <w:sz w:val="20"/>
          <w:szCs w:val="20"/>
        </w:rPr>
        <w:t xml:space="preserve">implementation </w:t>
      </w:r>
      <w:r w:rsidR="00A630A8" w:rsidRPr="009A79C1">
        <w:rPr>
          <w:color w:val="000000"/>
          <w:sz w:val="20"/>
          <w:szCs w:val="20"/>
        </w:rPr>
        <w:t xml:space="preserve">support </w:t>
      </w:r>
      <w:r w:rsidR="000E781F" w:rsidRPr="009A79C1">
        <w:rPr>
          <w:color w:val="000000"/>
          <w:sz w:val="20"/>
          <w:szCs w:val="20"/>
        </w:rPr>
        <w:t xml:space="preserve">services for </w:t>
      </w:r>
      <w:r w:rsidR="00723053" w:rsidRPr="009A79C1">
        <w:rPr>
          <w:color w:val="000000"/>
          <w:sz w:val="20"/>
          <w:szCs w:val="20"/>
        </w:rPr>
        <w:t xml:space="preserve">the </w:t>
      </w:r>
      <w:r w:rsidR="000A6D36" w:rsidRPr="009A79C1">
        <w:rPr>
          <w:color w:val="000000"/>
          <w:sz w:val="20"/>
          <w:szCs w:val="20"/>
        </w:rPr>
        <w:t xml:space="preserve">delivery </w:t>
      </w:r>
      <w:r w:rsidR="00F568CA" w:rsidRPr="009A79C1">
        <w:rPr>
          <w:color w:val="000000"/>
          <w:sz w:val="20"/>
          <w:szCs w:val="20"/>
        </w:rPr>
        <w:t>of already</w:t>
      </w:r>
      <w:r w:rsidR="000A6D36" w:rsidRPr="009A79C1">
        <w:rPr>
          <w:color w:val="000000"/>
          <w:sz w:val="20"/>
          <w:szCs w:val="20"/>
        </w:rPr>
        <w:t xml:space="preserve"> approved program</w:t>
      </w:r>
      <w:r w:rsidR="004B15B5" w:rsidRPr="009A79C1">
        <w:rPr>
          <w:color w:val="000000"/>
          <w:sz w:val="20"/>
          <w:szCs w:val="20"/>
        </w:rPr>
        <w:t>me</w:t>
      </w:r>
      <w:r w:rsidR="00100EC9" w:rsidRPr="009A79C1">
        <w:rPr>
          <w:color w:val="000000"/>
          <w:sz w:val="20"/>
          <w:szCs w:val="20"/>
        </w:rPr>
        <w:t>s</w:t>
      </w:r>
      <w:r w:rsidR="000A6D36" w:rsidRPr="009A79C1">
        <w:rPr>
          <w:color w:val="000000"/>
          <w:sz w:val="20"/>
          <w:szCs w:val="20"/>
        </w:rPr>
        <w:t xml:space="preserve"> to </w:t>
      </w:r>
      <w:r w:rsidR="000E781F" w:rsidRPr="009A79C1">
        <w:rPr>
          <w:color w:val="000000"/>
          <w:sz w:val="20"/>
          <w:szCs w:val="20"/>
        </w:rPr>
        <w:t>add</w:t>
      </w:r>
      <w:r w:rsidR="000A6D36" w:rsidRPr="009A79C1">
        <w:rPr>
          <w:color w:val="000000"/>
          <w:sz w:val="20"/>
          <w:szCs w:val="20"/>
        </w:rPr>
        <w:t>ress</w:t>
      </w:r>
      <w:r w:rsidR="000E781F" w:rsidRPr="009A79C1">
        <w:rPr>
          <w:color w:val="000000"/>
          <w:sz w:val="20"/>
          <w:szCs w:val="20"/>
        </w:rPr>
        <w:t xml:space="preserve"> multi-dimensional poverty</w:t>
      </w:r>
      <w:r w:rsidR="003D01D7" w:rsidRPr="009A79C1">
        <w:rPr>
          <w:color w:val="000000"/>
          <w:sz w:val="20"/>
          <w:szCs w:val="20"/>
        </w:rPr>
        <w:t>.</w:t>
      </w:r>
      <w:r w:rsidR="00EE0891" w:rsidRPr="009A79C1">
        <w:rPr>
          <w:color w:val="000000"/>
          <w:sz w:val="20"/>
          <w:szCs w:val="20"/>
        </w:rPr>
        <w:t xml:space="preserve"> </w:t>
      </w:r>
      <w:r w:rsidR="004B15B5" w:rsidRPr="009A79C1">
        <w:rPr>
          <w:color w:val="000000"/>
          <w:sz w:val="20"/>
          <w:szCs w:val="20"/>
        </w:rPr>
        <w:t>This</w:t>
      </w:r>
      <w:r w:rsidR="00701199" w:rsidRPr="009A79C1">
        <w:rPr>
          <w:color w:val="000000"/>
          <w:sz w:val="20"/>
          <w:szCs w:val="20"/>
        </w:rPr>
        <w:t xml:space="preserve"> service </w:t>
      </w:r>
      <w:r w:rsidR="00723053" w:rsidRPr="009A79C1">
        <w:rPr>
          <w:color w:val="000000"/>
          <w:sz w:val="20"/>
          <w:szCs w:val="20"/>
        </w:rPr>
        <w:t xml:space="preserve">is </w:t>
      </w:r>
      <w:r w:rsidR="00F568CA" w:rsidRPr="009A79C1">
        <w:rPr>
          <w:color w:val="000000"/>
          <w:sz w:val="20"/>
          <w:szCs w:val="20"/>
        </w:rPr>
        <w:t>part</w:t>
      </w:r>
      <w:r w:rsidR="00723053" w:rsidRPr="009A79C1">
        <w:rPr>
          <w:color w:val="000000"/>
          <w:sz w:val="20"/>
          <w:szCs w:val="20"/>
        </w:rPr>
        <w:t xml:space="preserve"> of</w:t>
      </w:r>
      <w:r w:rsidR="00F568CA" w:rsidRPr="009A79C1">
        <w:rPr>
          <w:color w:val="000000"/>
          <w:sz w:val="20"/>
          <w:szCs w:val="20"/>
        </w:rPr>
        <w:t xml:space="preserve"> </w:t>
      </w:r>
      <w:r w:rsidR="00A46106" w:rsidRPr="009A79C1">
        <w:rPr>
          <w:color w:val="000000"/>
          <w:sz w:val="20"/>
          <w:szCs w:val="20"/>
        </w:rPr>
        <w:t>the</w:t>
      </w:r>
      <w:r w:rsidR="00701199" w:rsidRPr="009A79C1">
        <w:rPr>
          <w:color w:val="000000"/>
          <w:sz w:val="20"/>
          <w:szCs w:val="20"/>
        </w:rPr>
        <w:t xml:space="preserve"> implementation of PADEL </w:t>
      </w:r>
      <w:r w:rsidR="00723053" w:rsidRPr="009A79C1">
        <w:rPr>
          <w:color w:val="000000"/>
          <w:sz w:val="20"/>
          <w:szCs w:val="20"/>
        </w:rPr>
        <w:t xml:space="preserve">that </w:t>
      </w:r>
      <w:r w:rsidR="00A31390" w:rsidRPr="009A79C1">
        <w:rPr>
          <w:color w:val="000000"/>
          <w:sz w:val="20"/>
          <w:szCs w:val="20"/>
        </w:rPr>
        <w:t xml:space="preserve">UNDP will </w:t>
      </w:r>
      <w:r w:rsidR="009A0995" w:rsidRPr="009A79C1">
        <w:rPr>
          <w:color w:val="000000"/>
          <w:sz w:val="20"/>
          <w:szCs w:val="20"/>
        </w:rPr>
        <w:t>support</w:t>
      </w:r>
      <w:r w:rsidR="00701199" w:rsidRPr="009A79C1">
        <w:rPr>
          <w:color w:val="000000"/>
          <w:sz w:val="20"/>
          <w:szCs w:val="20"/>
        </w:rPr>
        <w:t xml:space="preserve"> by</w:t>
      </w:r>
      <w:r w:rsidR="00A46106" w:rsidRPr="009A79C1">
        <w:rPr>
          <w:color w:val="000000"/>
          <w:sz w:val="20"/>
          <w:szCs w:val="20"/>
        </w:rPr>
        <w:t xml:space="preserve"> expand</w:t>
      </w:r>
      <w:r w:rsidR="00701199" w:rsidRPr="009A79C1">
        <w:rPr>
          <w:color w:val="000000"/>
          <w:sz w:val="20"/>
          <w:szCs w:val="20"/>
        </w:rPr>
        <w:t>ing</w:t>
      </w:r>
      <w:r w:rsidR="00A46106" w:rsidRPr="009A79C1">
        <w:rPr>
          <w:color w:val="000000"/>
          <w:sz w:val="20"/>
          <w:szCs w:val="20"/>
        </w:rPr>
        <w:t xml:space="preserve"> a</w:t>
      </w:r>
      <w:r w:rsidR="000E781F" w:rsidRPr="009A79C1">
        <w:rPr>
          <w:color w:val="000000"/>
          <w:sz w:val="20"/>
          <w:szCs w:val="20"/>
        </w:rPr>
        <w:t>ccess to energy services</w:t>
      </w:r>
      <w:r w:rsidR="003D01D7" w:rsidRPr="009A79C1">
        <w:rPr>
          <w:color w:val="000000"/>
          <w:sz w:val="20"/>
          <w:szCs w:val="20"/>
        </w:rPr>
        <w:t xml:space="preserve"> </w:t>
      </w:r>
      <w:r w:rsidR="00EB3961" w:rsidRPr="009A79C1">
        <w:rPr>
          <w:color w:val="000000"/>
          <w:sz w:val="20"/>
          <w:szCs w:val="20"/>
        </w:rPr>
        <w:t xml:space="preserve">to achieve inclusive and sustainable growth </w:t>
      </w:r>
      <w:r w:rsidR="003D01D7" w:rsidRPr="009A79C1">
        <w:rPr>
          <w:color w:val="000000"/>
          <w:sz w:val="20"/>
          <w:szCs w:val="20"/>
        </w:rPr>
        <w:t>throughout the country</w:t>
      </w:r>
      <w:r w:rsidR="00723053" w:rsidRPr="009A79C1">
        <w:rPr>
          <w:color w:val="000000"/>
          <w:sz w:val="20"/>
          <w:szCs w:val="20"/>
        </w:rPr>
        <w:t>. Efforts will be</w:t>
      </w:r>
      <w:r w:rsidR="003D01D7" w:rsidRPr="009A79C1">
        <w:rPr>
          <w:color w:val="000000"/>
          <w:sz w:val="20"/>
          <w:szCs w:val="20"/>
        </w:rPr>
        <w:t xml:space="preserve"> based on successful model</w:t>
      </w:r>
      <w:r w:rsidR="00723053" w:rsidRPr="009A79C1">
        <w:rPr>
          <w:color w:val="000000"/>
          <w:sz w:val="20"/>
          <w:szCs w:val="20"/>
        </w:rPr>
        <w:t>s</w:t>
      </w:r>
      <w:r w:rsidR="003D01D7" w:rsidRPr="009A79C1">
        <w:rPr>
          <w:color w:val="000000"/>
          <w:sz w:val="20"/>
          <w:szCs w:val="20"/>
        </w:rPr>
        <w:t xml:space="preserve"> of village</w:t>
      </w:r>
      <w:r w:rsidR="004B15B5" w:rsidRPr="009A79C1">
        <w:rPr>
          <w:color w:val="000000"/>
          <w:sz w:val="20"/>
          <w:szCs w:val="20"/>
        </w:rPr>
        <w:t>-</w:t>
      </w:r>
      <w:r w:rsidR="003D01D7" w:rsidRPr="009A79C1">
        <w:rPr>
          <w:color w:val="000000"/>
          <w:sz w:val="20"/>
          <w:szCs w:val="20"/>
        </w:rPr>
        <w:t xml:space="preserve">level energy enterprises </w:t>
      </w:r>
      <w:r w:rsidR="00723053" w:rsidRPr="009A79C1">
        <w:rPr>
          <w:color w:val="000000"/>
          <w:sz w:val="20"/>
          <w:szCs w:val="20"/>
        </w:rPr>
        <w:t xml:space="preserve">and </w:t>
      </w:r>
      <w:r w:rsidR="003D01D7" w:rsidRPr="009A79C1">
        <w:rPr>
          <w:color w:val="000000"/>
          <w:sz w:val="20"/>
          <w:szCs w:val="20"/>
        </w:rPr>
        <w:t>multi-functional platforms</w:t>
      </w:r>
      <w:r w:rsidR="004B15B5" w:rsidRPr="009A79C1">
        <w:rPr>
          <w:color w:val="000000"/>
          <w:sz w:val="20"/>
          <w:szCs w:val="20"/>
        </w:rPr>
        <w:t>.</w:t>
      </w:r>
      <w:r w:rsidR="00CE0331" w:rsidRPr="009A79C1">
        <w:rPr>
          <w:color w:val="000000"/>
          <w:sz w:val="20"/>
          <w:szCs w:val="20"/>
        </w:rPr>
        <w:t xml:space="preserve"> It is expected greater energy access will</w:t>
      </w:r>
      <w:r w:rsidR="001B065B" w:rsidRPr="009A79C1">
        <w:rPr>
          <w:color w:val="000000"/>
          <w:sz w:val="20"/>
          <w:szCs w:val="20"/>
        </w:rPr>
        <w:t xml:space="preserve"> </w:t>
      </w:r>
      <w:r w:rsidR="00CE0331" w:rsidRPr="009A79C1">
        <w:rPr>
          <w:color w:val="000000"/>
          <w:sz w:val="20"/>
          <w:szCs w:val="20"/>
        </w:rPr>
        <w:t>help strengthen the effectiveness of government policies for</w:t>
      </w:r>
      <w:r w:rsidRPr="009A79C1">
        <w:rPr>
          <w:color w:val="000000"/>
          <w:sz w:val="20"/>
          <w:szCs w:val="20"/>
        </w:rPr>
        <w:t xml:space="preserve"> the</w:t>
      </w:r>
      <w:r w:rsidR="00CE0331" w:rsidRPr="009A79C1">
        <w:rPr>
          <w:color w:val="000000"/>
          <w:sz w:val="20"/>
          <w:szCs w:val="20"/>
        </w:rPr>
        <w:t xml:space="preserve"> sustainable management of environmental resources and forests, including bio-diversity conservation.</w:t>
      </w:r>
      <w:r w:rsidR="004B15B5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Additionally,</w:t>
      </w:r>
      <w:r w:rsidR="004B15B5" w:rsidRPr="009A79C1">
        <w:rPr>
          <w:color w:val="000000"/>
          <w:sz w:val="20"/>
          <w:szCs w:val="20"/>
        </w:rPr>
        <w:t xml:space="preserve"> UNDP will s</w:t>
      </w:r>
      <w:r w:rsidR="000E781F" w:rsidRPr="009A79C1">
        <w:rPr>
          <w:color w:val="000000"/>
          <w:sz w:val="20"/>
          <w:szCs w:val="20"/>
        </w:rPr>
        <w:t>cal</w:t>
      </w:r>
      <w:r w:rsidR="004B15B5" w:rsidRPr="009A79C1">
        <w:rPr>
          <w:color w:val="000000"/>
          <w:sz w:val="20"/>
          <w:szCs w:val="20"/>
        </w:rPr>
        <w:t>e</w:t>
      </w:r>
      <w:r w:rsidR="000E781F" w:rsidRPr="009A79C1">
        <w:rPr>
          <w:color w:val="000000"/>
          <w:sz w:val="20"/>
          <w:szCs w:val="20"/>
        </w:rPr>
        <w:t xml:space="preserve"> up </w:t>
      </w:r>
      <w:r w:rsidR="001E3C69" w:rsidRPr="009A79C1">
        <w:rPr>
          <w:color w:val="000000"/>
          <w:sz w:val="20"/>
          <w:szCs w:val="20"/>
        </w:rPr>
        <w:t>community</w:t>
      </w:r>
      <w:r w:rsidR="004B15B5" w:rsidRPr="009A79C1">
        <w:rPr>
          <w:color w:val="000000"/>
          <w:sz w:val="20"/>
          <w:szCs w:val="20"/>
        </w:rPr>
        <w:t>-</w:t>
      </w:r>
      <w:r w:rsidR="001E3C69" w:rsidRPr="009A79C1">
        <w:rPr>
          <w:color w:val="000000"/>
          <w:sz w:val="20"/>
          <w:szCs w:val="20"/>
        </w:rPr>
        <w:t>based</w:t>
      </w:r>
      <w:r w:rsidR="000E781F" w:rsidRPr="009A79C1">
        <w:rPr>
          <w:color w:val="000000"/>
          <w:sz w:val="20"/>
          <w:szCs w:val="20"/>
        </w:rPr>
        <w:t xml:space="preserve"> adaptation</w:t>
      </w:r>
      <w:r w:rsidR="001E3C69" w:rsidRPr="009A79C1">
        <w:rPr>
          <w:color w:val="000000"/>
          <w:sz w:val="20"/>
          <w:szCs w:val="20"/>
        </w:rPr>
        <w:t xml:space="preserve"> practices </w:t>
      </w:r>
      <w:r w:rsidR="00CB292B" w:rsidRPr="009A79C1">
        <w:rPr>
          <w:color w:val="000000"/>
          <w:sz w:val="20"/>
          <w:szCs w:val="20"/>
        </w:rPr>
        <w:t>in the Mouho</w:t>
      </w:r>
      <w:r w:rsidR="00FD5B9B" w:rsidRPr="009A79C1">
        <w:rPr>
          <w:color w:val="000000"/>
          <w:sz w:val="20"/>
          <w:szCs w:val="20"/>
        </w:rPr>
        <w:t>u</w:t>
      </w:r>
      <w:r w:rsidR="00CB292B" w:rsidRPr="009A79C1">
        <w:rPr>
          <w:color w:val="000000"/>
          <w:sz w:val="20"/>
          <w:szCs w:val="20"/>
        </w:rPr>
        <w:t>n, Central-North, Central-</w:t>
      </w:r>
      <w:r w:rsidR="00130D02" w:rsidRPr="009A79C1">
        <w:rPr>
          <w:color w:val="000000"/>
          <w:sz w:val="20"/>
          <w:szCs w:val="20"/>
        </w:rPr>
        <w:t xml:space="preserve">South and </w:t>
      </w:r>
      <w:r w:rsidR="00CB292B" w:rsidRPr="009A79C1">
        <w:rPr>
          <w:color w:val="000000"/>
          <w:sz w:val="20"/>
          <w:szCs w:val="20"/>
        </w:rPr>
        <w:t>Central-</w:t>
      </w:r>
      <w:r w:rsidR="00130D02" w:rsidRPr="009A79C1">
        <w:rPr>
          <w:color w:val="000000"/>
          <w:sz w:val="20"/>
          <w:szCs w:val="20"/>
        </w:rPr>
        <w:t xml:space="preserve">West regions, </w:t>
      </w:r>
      <w:r w:rsidR="001E3C69" w:rsidRPr="009A79C1">
        <w:rPr>
          <w:color w:val="000000"/>
          <w:sz w:val="20"/>
          <w:szCs w:val="20"/>
        </w:rPr>
        <w:t xml:space="preserve">and </w:t>
      </w:r>
      <w:r w:rsidRPr="009A79C1">
        <w:rPr>
          <w:color w:val="000000"/>
          <w:sz w:val="20"/>
          <w:szCs w:val="20"/>
        </w:rPr>
        <w:t>apply</w:t>
      </w:r>
      <w:r w:rsidR="001E3C69" w:rsidRPr="009A79C1">
        <w:rPr>
          <w:color w:val="000000"/>
          <w:sz w:val="20"/>
          <w:szCs w:val="20"/>
        </w:rPr>
        <w:t xml:space="preserve"> technologies</w:t>
      </w:r>
      <w:r w:rsidR="000E781F" w:rsidRPr="009A79C1">
        <w:rPr>
          <w:color w:val="000000"/>
          <w:sz w:val="20"/>
          <w:szCs w:val="20"/>
        </w:rPr>
        <w:t xml:space="preserve"> to</w:t>
      </w:r>
      <w:r w:rsidR="001E3C69" w:rsidRPr="009A79C1">
        <w:rPr>
          <w:color w:val="000000"/>
          <w:sz w:val="20"/>
          <w:szCs w:val="20"/>
        </w:rPr>
        <w:t xml:space="preserve"> promote sustainable agro-silvo-pastoral production</w:t>
      </w:r>
      <w:r w:rsidR="00227E14" w:rsidRPr="009A79C1">
        <w:rPr>
          <w:color w:val="000000"/>
          <w:sz w:val="20"/>
          <w:szCs w:val="20"/>
        </w:rPr>
        <w:t xml:space="preserve"> patterns, </w:t>
      </w:r>
      <w:r w:rsidR="001E3C69" w:rsidRPr="009A79C1">
        <w:rPr>
          <w:color w:val="000000"/>
          <w:sz w:val="20"/>
          <w:szCs w:val="20"/>
        </w:rPr>
        <w:t>conserve biodiversity</w:t>
      </w:r>
      <w:r w:rsidRPr="009A79C1">
        <w:rPr>
          <w:color w:val="000000"/>
          <w:sz w:val="20"/>
          <w:szCs w:val="20"/>
        </w:rPr>
        <w:t>,</w:t>
      </w:r>
      <w:r w:rsidR="007C563E" w:rsidRPr="009A79C1">
        <w:rPr>
          <w:color w:val="000000"/>
          <w:sz w:val="20"/>
          <w:szCs w:val="20"/>
        </w:rPr>
        <w:t xml:space="preserve"> and create job opportunities for women and youth</w:t>
      </w:r>
      <w:r w:rsidR="00266ACC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(</w:t>
      </w:r>
      <w:r w:rsidR="00266ACC" w:rsidRPr="009A79C1">
        <w:rPr>
          <w:color w:val="000000"/>
          <w:sz w:val="20"/>
          <w:szCs w:val="20"/>
        </w:rPr>
        <w:t xml:space="preserve">in line with the </w:t>
      </w:r>
      <w:r w:rsidRPr="009A79C1">
        <w:rPr>
          <w:color w:val="000000"/>
          <w:sz w:val="20"/>
          <w:szCs w:val="20"/>
        </w:rPr>
        <w:t xml:space="preserve">government </w:t>
      </w:r>
      <w:r w:rsidR="00266ACC" w:rsidRPr="009A79C1">
        <w:rPr>
          <w:color w:val="000000"/>
          <w:sz w:val="20"/>
          <w:szCs w:val="20"/>
        </w:rPr>
        <w:t>commitment to the “3S” initiative</w:t>
      </w:r>
      <w:r w:rsidRPr="009A79C1">
        <w:rPr>
          <w:color w:val="000000"/>
          <w:sz w:val="20"/>
          <w:szCs w:val="20"/>
        </w:rPr>
        <w:t>).</w:t>
      </w:r>
      <w:r w:rsidR="006370ED" w:rsidRPr="009A79C1">
        <w:rPr>
          <w:rStyle w:val="FootnoteReference"/>
          <w:color w:val="000000"/>
          <w:sz w:val="20"/>
          <w:szCs w:val="20"/>
        </w:rPr>
        <w:footnoteReference w:id="14"/>
      </w:r>
      <w:r w:rsidR="004B15B5" w:rsidRPr="009A79C1">
        <w:rPr>
          <w:color w:val="000000"/>
          <w:sz w:val="20"/>
          <w:szCs w:val="20"/>
        </w:rPr>
        <w:t xml:space="preserve"> </w:t>
      </w:r>
      <w:r w:rsidR="00853BCE" w:rsidRPr="009A79C1">
        <w:rPr>
          <w:color w:val="000000"/>
          <w:sz w:val="20"/>
          <w:szCs w:val="20"/>
        </w:rPr>
        <w:t>Focusing on border communities</w:t>
      </w:r>
      <w:r w:rsidRPr="009A79C1">
        <w:rPr>
          <w:color w:val="000000"/>
          <w:sz w:val="20"/>
          <w:szCs w:val="20"/>
        </w:rPr>
        <w:t xml:space="preserve"> </w:t>
      </w:r>
      <w:r w:rsidR="004B15B5" w:rsidRPr="009A79C1">
        <w:rPr>
          <w:color w:val="000000"/>
          <w:sz w:val="20"/>
          <w:szCs w:val="20"/>
        </w:rPr>
        <w:t>is expected to positive</w:t>
      </w:r>
      <w:r w:rsidRPr="009A79C1">
        <w:rPr>
          <w:color w:val="000000"/>
          <w:sz w:val="20"/>
          <w:szCs w:val="20"/>
        </w:rPr>
        <w:t>ly</w:t>
      </w:r>
      <w:r w:rsidR="004B15B5" w:rsidRPr="009A79C1">
        <w:rPr>
          <w:color w:val="000000"/>
          <w:sz w:val="20"/>
          <w:szCs w:val="20"/>
        </w:rPr>
        <w:t xml:space="preserve"> </w:t>
      </w:r>
      <w:r w:rsidR="00435D30" w:rsidRPr="009A79C1">
        <w:rPr>
          <w:color w:val="000000"/>
          <w:sz w:val="20"/>
          <w:szCs w:val="20"/>
        </w:rPr>
        <w:t xml:space="preserve">boost </w:t>
      </w:r>
      <w:r w:rsidR="004B15B5" w:rsidRPr="009A79C1">
        <w:rPr>
          <w:color w:val="000000"/>
          <w:sz w:val="20"/>
          <w:szCs w:val="20"/>
        </w:rPr>
        <w:t xml:space="preserve">youth employment in rural areas and prevent radicalization. UNDP will help </w:t>
      </w:r>
      <w:r w:rsidR="000360DA" w:rsidRPr="009A79C1">
        <w:rPr>
          <w:color w:val="000000"/>
          <w:sz w:val="20"/>
          <w:szCs w:val="20"/>
        </w:rPr>
        <w:t>facilitat</w:t>
      </w:r>
      <w:r w:rsidR="004B15B5" w:rsidRPr="009A79C1">
        <w:rPr>
          <w:color w:val="000000"/>
          <w:sz w:val="20"/>
          <w:szCs w:val="20"/>
        </w:rPr>
        <w:t>e</w:t>
      </w:r>
      <w:r w:rsidR="000360DA" w:rsidRPr="009A79C1">
        <w:rPr>
          <w:color w:val="000000"/>
          <w:sz w:val="20"/>
          <w:szCs w:val="20"/>
        </w:rPr>
        <w:t xml:space="preserve"> </w:t>
      </w:r>
      <w:r w:rsidR="004B15B5" w:rsidRPr="009A79C1">
        <w:rPr>
          <w:color w:val="000000"/>
          <w:sz w:val="20"/>
          <w:szCs w:val="20"/>
        </w:rPr>
        <w:t xml:space="preserve">access </w:t>
      </w:r>
      <w:r w:rsidR="00621D7A" w:rsidRPr="009A79C1">
        <w:rPr>
          <w:color w:val="000000"/>
          <w:sz w:val="20"/>
          <w:szCs w:val="20"/>
        </w:rPr>
        <w:t xml:space="preserve">to </w:t>
      </w:r>
      <w:r w:rsidR="00F568CA" w:rsidRPr="009A79C1">
        <w:rPr>
          <w:color w:val="000000"/>
          <w:sz w:val="20"/>
          <w:szCs w:val="20"/>
        </w:rPr>
        <w:t xml:space="preserve">mentoring and </w:t>
      </w:r>
      <w:r w:rsidR="00621D7A" w:rsidRPr="009A79C1">
        <w:rPr>
          <w:color w:val="000000"/>
          <w:sz w:val="20"/>
          <w:szCs w:val="20"/>
        </w:rPr>
        <w:t>job opportunitie</w:t>
      </w:r>
      <w:r w:rsidR="002E3263" w:rsidRPr="009A79C1">
        <w:rPr>
          <w:color w:val="000000"/>
          <w:sz w:val="20"/>
          <w:szCs w:val="20"/>
        </w:rPr>
        <w:t>s</w:t>
      </w:r>
      <w:r w:rsidR="008529F2" w:rsidRPr="009A79C1">
        <w:rPr>
          <w:color w:val="000000"/>
          <w:sz w:val="20"/>
          <w:szCs w:val="20"/>
        </w:rPr>
        <w:t xml:space="preserve"> </w:t>
      </w:r>
      <w:r w:rsidR="00621D7A" w:rsidRPr="009A79C1">
        <w:rPr>
          <w:color w:val="000000"/>
          <w:sz w:val="20"/>
          <w:szCs w:val="20"/>
        </w:rPr>
        <w:t>for youth</w:t>
      </w:r>
      <w:r w:rsidR="002E10ED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 xml:space="preserve">by </w:t>
      </w:r>
      <w:r w:rsidR="00300839" w:rsidRPr="009A79C1">
        <w:rPr>
          <w:color w:val="000000"/>
          <w:sz w:val="20"/>
          <w:szCs w:val="20"/>
        </w:rPr>
        <w:t>adapting the YouthConneckt</w:t>
      </w:r>
      <w:r w:rsidR="00215F33">
        <w:rPr>
          <w:rStyle w:val="FootnoteReference"/>
          <w:color w:val="000000"/>
          <w:sz w:val="20"/>
          <w:szCs w:val="20"/>
        </w:rPr>
        <w:footnoteReference w:id="15"/>
      </w:r>
      <w:r w:rsidR="00300839" w:rsidRPr="009A79C1">
        <w:rPr>
          <w:color w:val="000000"/>
          <w:sz w:val="20"/>
          <w:szCs w:val="20"/>
        </w:rPr>
        <w:t xml:space="preserve"> </w:t>
      </w:r>
      <w:r w:rsidR="00CB292B" w:rsidRPr="009A79C1">
        <w:rPr>
          <w:color w:val="000000"/>
          <w:sz w:val="20"/>
          <w:szCs w:val="20"/>
        </w:rPr>
        <w:t>platform</w:t>
      </w:r>
      <w:r w:rsidR="00A015A9" w:rsidRPr="009A79C1">
        <w:rPr>
          <w:color w:val="000000"/>
          <w:sz w:val="20"/>
          <w:szCs w:val="20"/>
        </w:rPr>
        <w:t xml:space="preserve"> and </w:t>
      </w:r>
      <w:r w:rsidR="00F77049" w:rsidRPr="009A79C1">
        <w:rPr>
          <w:color w:val="000000"/>
          <w:sz w:val="20"/>
          <w:szCs w:val="20"/>
        </w:rPr>
        <w:t xml:space="preserve">to </w:t>
      </w:r>
      <w:r w:rsidRPr="009A79C1">
        <w:rPr>
          <w:color w:val="000000"/>
          <w:sz w:val="20"/>
          <w:szCs w:val="20"/>
        </w:rPr>
        <w:t xml:space="preserve">foster greater </w:t>
      </w:r>
      <w:r w:rsidR="00F77049" w:rsidRPr="009A79C1">
        <w:rPr>
          <w:color w:val="000000"/>
          <w:sz w:val="20"/>
          <w:szCs w:val="20"/>
        </w:rPr>
        <w:t>engage</w:t>
      </w:r>
      <w:r w:rsidRPr="009A79C1">
        <w:rPr>
          <w:color w:val="000000"/>
          <w:sz w:val="20"/>
          <w:szCs w:val="20"/>
        </w:rPr>
        <w:t>ment among</w:t>
      </w:r>
      <w:r w:rsidR="00F77049" w:rsidRPr="009A79C1">
        <w:rPr>
          <w:color w:val="000000"/>
          <w:sz w:val="20"/>
          <w:szCs w:val="20"/>
        </w:rPr>
        <w:t xml:space="preserve"> </w:t>
      </w:r>
      <w:r w:rsidR="00027508" w:rsidRPr="009A79C1">
        <w:rPr>
          <w:color w:val="000000"/>
          <w:sz w:val="20"/>
          <w:szCs w:val="20"/>
        </w:rPr>
        <w:t>youth</w:t>
      </w:r>
      <w:r w:rsidR="00CB292B" w:rsidRPr="009A79C1">
        <w:rPr>
          <w:color w:val="000000"/>
          <w:sz w:val="20"/>
          <w:szCs w:val="20"/>
        </w:rPr>
        <w:t xml:space="preserve">. </w:t>
      </w:r>
    </w:p>
    <w:p w14:paraId="593D6A38" w14:textId="77777777" w:rsidR="007D2662" w:rsidRPr="00BA657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2420BA6A" w14:textId="05433CD7" w:rsidR="007D2662" w:rsidRPr="009A79C1" w:rsidRDefault="000A6D36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>UNDP</w:t>
      </w:r>
      <w:r w:rsidR="007F17B8" w:rsidRPr="009A79C1">
        <w:rPr>
          <w:color w:val="000000"/>
          <w:sz w:val="20"/>
          <w:szCs w:val="20"/>
        </w:rPr>
        <w:t xml:space="preserve"> will</w:t>
      </w:r>
      <w:r w:rsidRPr="009A79C1">
        <w:rPr>
          <w:color w:val="000000"/>
          <w:sz w:val="20"/>
          <w:szCs w:val="20"/>
        </w:rPr>
        <w:t xml:space="preserve"> </w:t>
      </w:r>
      <w:r w:rsidR="00923FC6" w:rsidRPr="009A79C1">
        <w:rPr>
          <w:color w:val="000000"/>
          <w:sz w:val="20"/>
          <w:szCs w:val="20"/>
        </w:rPr>
        <w:t xml:space="preserve">use </w:t>
      </w:r>
      <w:r w:rsidR="003F3E58" w:rsidRPr="009A79C1">
        <w:rPr>
          <w:color w:val="000000"/>
          <w:sz w:val="20"/>
          <w:szCs w:val="20"/>
        </w:rPr>
        <w:t>the MAPS approach to</w:t>
      </w:r>
      <w:r w:rsidR="00923FC6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 xml:space="preserve">mobilize </w:t>
      </w:r>
      <w:r w:rsidR="003F3E58" w:rsidRPr="009A79C1">
        <w:rPr>
          <w:color w:val="000000"/>
          <w:sz w:val="20"/>
          <w:szCs w:val="20"/>
        </w:rPr>
        <w:t xml:space="preserve">partners and identify </w:t>
      </w:r>
      <w:r w:rsidR="005F010F" w:rsidRPr="009A79C1">
        <w:rPr>
          <w:color w:val="000000"/>
          <w:sz w:val="20"/>
          <w:szCs w:val="20"/>
        </w:rPr>
        <w:t xml:space="preserve">sustainable </w:t>
      </w:r>
      <w:r w:rsidR="003F3E58" w:rsidRPr="009A79C1">
        <w:rPr>
          <w:color w:val="000000"/>
          <w:sz w:val="20"/>
          <w:szCs w:val="20"/>
        </w:rPr>
        <w:t>financing</w:t>
      </w:r>
      <w:r w:rsidR="001D5600" w:rsidRPr="009A79C1">
        <w:rPr>
          <w:color w:val="000000"/>
          <w:sz w:val="20"/>
          <w:szCs w:val="20"/>
        </w:rPr>
        <w:t xml:space="preserve"> opportunities</w:t>
      </w:r>
      <w:r w:rsidR="00196077" w:rsidRPr="009A79C1">
        <w:rPr>
          <w:color w:val="000000"/>
          <w:sz w:val="20"/>
          <w:szCs w:val="20"/>
        </w:rPr>
        <w:t xml:space="preserve"> </w:t>
      </w:r>
      <w:r w:rsidR="001D5600" w:rsidRPr="009A79C1">
        <w:rPr>
          <w:color w:val="000000"/>
          <w:sz w:val="20"/>
          <w:szCs w:val="20"/>
        </w:rPr>
        <w:t>for addressing</w:t>
      </w:r>
      <w:r w:rsidR="00916AAC" w:rsidRPr="009A79C1">
        <w:rPr>
          <w:color w:val="000000"/>
          <w:sz w:val="20"/>
          <w:szCs w:val="20"/>
        </w:rPr>
        <w:t xml:space="preserve"> challenges in data collection</w:t>
      </w:r>
      <w:r w:rsidR="004E049D" w:rsidRPr="009A79C1">
        <w:rPr>
          <w:color w:val="000000"/>
          <w:sz w:val="20"/>
          <w:szCs w:val="20"/>
        </w:rPr>
        <w:t xml:space="preserve">, monitoring and </w:t>
      </w:r>
      <w:r w:rsidR="00916AAC" w:rsidRPr="009A79C1">
        <w:rPr>
          <w:color w:val="000000"/>
          <w:sz w:val="20"/>
          <w:szCs w:val="20"/>
        </w:rPr>
        <w:t xml:space="preserve">capacity gaps in the national statistics system. </w:t>
      </w:r>
      <w:r w:rsidR="00CA3D5E" w:rsidRPr="009A79C1">
        <w:rPr>
          <w:color w:val="000000"/>
          <w:sz w:val="20"/>
          <w:szCs w:val="20"/>
        </w:rPr>
        <w:t>UNDP</w:t>
      </w:r>
      <w:r w:rsidR="00196077" w:rsidRPr="009A79C1">
        <w:rPr>
          <w:color w:val="000000"/>
          <w:sz w:val="20"/>
          <w:szCs w:val="20"/>
        </w:rPr>
        <w:t xml:space="preserve">, in partnership with </w:t>
      </w:r>
      <w:r w:rsidR="000F7A90">
        <w:rPr>
          <w:color w:val="000000"/>
          <w:sz w:val="20"/>
          <w:szCs w:val="20"/>
        </w:rPr>
        <w:t xml:space="preserve">the </w:t>
      </w:r>
      <w:r w:rsidR="00196077" w:rsidRPr="009A79C1">
        <w:rPr>
          <w:color w:val="000000"/>
          <w:sz w:val="20"/>
          <w:szCs w:val="20"/>
        </w:rPr>
        <w:t>World Meteorological Organization,</w:t>
      </w:r>
      <w:r w:rsidR="00CA3D5E" w:rsidRPr="009A79C1">
        <w:rPr>
          <w:color w:val="000000"/>
          <w:sz w:val="20"/>
          <w:szCs w:val="20"/>
        </w:rPr>
        <w:t xml:space="preserve"> will </w:t>
      </w:r>
      <w:r w:rsidR="004132AE" w:rsidRPr="009A79C1">
        <w:rPr>
          <w:color w:val="000000"/>
          <w:sz w:val="20"/>
          <w:szCs w:val="20"/>
        </w:rPr>
        <w:t xml:space="preserve">draw on </w:t>
      </w:r>
      <w:r w:rsidR="00196077" w:rsidRPr="009A79C1">
        <w:rPr>
          <w:color w:val="000000"/>
          <w:sz w:val="20"/>
          <w:szCs w:val="20"/>
        </w:rPr>
        <w:t>previous attempts</w:t>
      </w:r>
      <w:r w:rsidR="004132AE" w:rsidRPr="009A79C1">
        <w:rPr>
          <w:color w:val="000000"/>
          <w:sz w:val="20"/>
          <w:szCs w:val="20"/>
        </w:rPr>
        <w:t xml:space="preserve"> </w:t>
      </w:r>
      <w:r w:rsidR="00196077" w:rsidRPr="009A79C1">
        <w:rPr>
          <w:color w:val="000000"/>
          <w:sz w:val="20"/>
          <w:szCs w:val="20"/>
        </w:rPr>
        <w:t>to adapt and improve</w:t>
      </w:r>
      <w:r w:rsidR="00AD3379" w:rsidRPr="009A79C1">
        <w:rPr>
          <w:color w:val="000000"/>
          <w:sz w:val="20"/>
          <w:szCs w:val="20"/>
        </w:rPr>
        <w:t xml:space="preserve"> climate</w:t>
      </w:r>
      <w:r w:rsidR="003A3B94" w:rsidRPr="009A79C1">
        <w:rPr>
          <w:color w:val="000000"/>
          <w:sz w:val="20"/>
          <w:szCs w:val="20"/>
        </w:rPr>
        <w:t xml:space="preserve"> and </w:t>
      </w:r>
      <w:r w:rsidR="00F8765F" w:rsidRPr="009A79C1">
        <w:rPr>
          <w:color w:val="000000"/>
          <w:sz w:val="20"/>
          <w:szCs w:val="20"/>
        </w:rPr>
        <w:t>meteorological</w:t>
      </w:r>
      <w:r w:rsidR="00B32C00" w:rsidRPr="009A79C1">
        <w:rPr>
          <w:color w:val="000000"/>
          <w:sz w:val="20"/>
          <w:szCs w:val="20"/>
        </w:rPr>
        <w:t xml:space="preserve"> </w:t>
      </w:r>
      <w:r w:rsidR="004132AE" w:rsidRPr="009A79C1">
        <w:rPr>
          <w:color w:val="000000"/>
          <w:sz w:val="20"/>
          <w:szCs w:val="20"/>
        </w:rPr>
        <w:t>information</w:t>
      </w:r>
      <w:r w:rsidR="00AD3379" w:rsidRPr="009A79C1">
        <w:rPr>
          <w:color w:val="000000"/>
          <w:sz w:val="20"/>
          <w:szCs w:val="20"/>
        </w:rPr>
        <w:t xml:space="preserve"> systems</w:t>
      </w:r>
      <w:r w:rsidR="00196077" w:rsidRPr="009A79C1">
        <w:rPr>
          <w:color w:val="000000"/>
          <w:sz w:val="20"/>
          <w:szCs w:val="20"/>
        </w:rPr>
        <w:t>. This will be done to improve</w:t>
      </w:r>
      <w:r w:rsidR="004132AE" w:rsidRPr="009A79C1">
        <w:rPr>
          <w:color w:val="000000"/>
          <w:sz w:val="20"/>
          <w:szCs w:val="20"/>
        </w:rPr>
        <w:t xml:space="preserve"> </w:t>
      </w:r>
      <w:r w:rsidR="00B4743D" w:rsidRPr="009A79C1">
        <w:rPr>
          <w:color w:val="000000"/>
          <w:sz w:val="20"/>
          <w:szCs w:val="20"/>
        </w:rPr>
        <w:t xml:space="preserve">early warning </w:t>
      </w:r>
      <w:r w:rsidR="00196077" w:rsidRPr="009A79C1">
        <w:rPr>
          <w:color w:val="000000"/>
          <w:sz w:val="20"/>
          <w:szCs w:val="20"/>
        </w:rPr>
        <w:t xml:space="preserve">systems </w:t>
      </w:r>
      <w:r w:rsidR="00B4743D" w:rsidRPr="009A79C1">
        <w:rPr>
          <w:color w:val="000000"/>
          <w:sz w:val="20"/>
          <w:szCs w:val="20"/>
        </w:rPr>
        <w:t>and</w:t>
      </w:r>
      <w:r w:rsidR="00853BCE" w:rsidRPr="009A79C1">
        <w:rPr>
          <w:color w:val="000000"/>
          <w:sz w:val="20"/>
          <w:szCs w:val="20"/>
        </w:rPr>
        <w:t xml:space="preserve"> </w:t>
      </w:r>
      <w:r w:rsidR="00196077" w:rsidRPr="009A79C1">
        <w:rPr>
          <w:color w:val="000000"/>
          <w:sz w:val="20"/>
          <w:szCs w:val="20"/>
        </w:rPr>
        <w:t>generate</w:t>
      </w:r>
      <w:r w:rsidR="004132AE" w:rsidRPr="009A79C1">
        <w:rPr>
          <w:color w:val="000000"/>
          <w:sz w:val="20"/>
          <w:szCs w:val="20"/>
        </w:rPr>
        <w:t xml:space="preserve"> reliable</w:t>
      </w:r>
      <w:r w:rsidR="00B32C00" w:rsidRPr="009A79C1">
        <w:rPr>
          <w:color w:val="000000"/>
          <w:sz w:val="20"/>
          <w:szCs w:val="20"/>
        </w:rPr>
        <w:t xml:space="preserve"> </w:t>
      </w:r>
      <w:r w:rsidR="00DA2653" w:rsidRPr="009A79C1">
        <w:rPr>
          <w:color w:val="000000"/>
          <w:sz w:val="20"/>
          <w:szCs w:val="20"/>
        </w:rPr>
        <w:t xml:space="preserve">data </w:t>
      </w:r>
      <w:r w:rsidR="004132AE" w:rsidRPr="009A79C1">
        <w:rPr>
          <w:color w:val="000000"/>
          <w:sz w:val="20"/>
          <w:szCs w:val="20"/>
        </w:rPr>
        <w:t xml:space="preserve">to </w:t>
      </w:r>
      <w:r w:rsidR="00DA2653" w:rsidRPr="009A79C1">
        <w:rPr>
          <w:color w:val="000000"/>
          <w:sz w:val="20"/>
          <w:szCs w:val="20"/>
        </w:rPr>
        <w:t>inform</w:t>
      </w:r>
      <w:r w:rsidR="00FC094B" w:rsidRPr="009A79C1">
        <w:rPr>
          <w:color w:val="000000"/>
          <w:sz w:val="20"/>
          <w:szCs w:val="20"/>
        </w:rPr>
        <w:t xml:space="preserve"> </w:t>
      </w:r>
      <w:r w:rsidR="004132AE" w:rsidRPr="009A79C1">
        <w:rPr>
          <w:color w:val="000000"/>
          <w:sz w:val="20"/>
          <w:szCs w:val="20"/>
        </w:rPr>
        <w:t xml:space="preserve">policy and planning </w:t>
      </w:r>
      <w:r w:rsidR="00B4743D" w:rsidRPr="009A79C1">
        <w:rPr>
          <w:color w:val="000000"/>
          <w:sz w:val="20"/>
          <w:szCs w:val="20"/>
        </w:rPr>
        <w:t>in</w:t>
      </w:r>
      <w:r w:rsidR="004132AE" w:rsidRPr="009A79C1">
        <w:rPr>
          <w:color w:val="000000"/>
          <w:sz w:val="20"/>
          <w:szCs w:val="20"/>
        </w:rPr>
        <w:t xml:space="preserve"> </w:t>
      </w:r>
      <w:r w:rsidR="00FC094B" w:rsidRPr="009A79C1">
        <w:rPr>
          <w:color w:val="000000"/>
          <w:sz w:val="20"/>
          <w:szCs w:val="20"/>
        </w:rPr>
        <w:t>climate</w:t>
      </w:r>
      <w:r w:rsidR="00853BCE" w:rsidRPr="009A79C1">
        <w:rPr>
          <w:color w:val="000000"/>
          <w:sz w:val="20"/>
          <w:szCs w:val="20"/>
        </w:rPr>
        <w:t>-</w:t>
      </w:r>
      <w:r w:rsidR="0021155E" w:rsidRPr="009A79C1">
        <w:rPr>
          <w:color w:val="000000"/>
          <w:sz w:val="20"/>
          <w:szCs w:val="20"/>
        </w:rPr>
        <w:t>sensitive sectors</w:t>
      </w:r>
      <w:r w:rsidR="00DD1A57" w:rsidRPr="009A79C1">
        <w:rPr>
          <w:color w:val="000000"/>
          <w:sz w:val="20"/>
          <w:szCs w:val="20"/>
        </w:rPr>
        <w:t xml:space="preserve">.  </w:t>
      </w:r>
    </w:p>
    <w:p w14:paraId="169C46B5" w14:textId="77777777" w:rsidR="007D2662" w:rsidRPr="00BA657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04514B33" w14:textId="35D95749" w:rsidR="00EE4A72" w:rsidRPr="009A79C1" w:rsidRDefault="00EE4A72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In November 2016, Burkina Faso hosted the first </w:t>
      </w:r>
      <w:r w:rsidR="00196077" w:rsidRPr="009A79C1">
        <w:rPr>
          <w:color w:val="000000"/>
          <w:sz w:val="20"/>
          <w:szCs w:val="20"/>
        </w:rPr>
        <w:t>‘</w:t>
      </w:r>
      <w:r w:rsidRPr="009A79C1">
        <w:rPr>
          <w:color w:val="000000"/>
          <w:sz w:val="20"/>
          <w:szCs w:val="20"/>
        </w:rPr>
        <w:t>green academy</w:t>
      </w:r>
      <w:r w:rsidR="00196077" w:rsidRPr="009A79C1">
        <w:rPr>
          <w:color w:val="000000"/>
          <w:sz w:val="20"/>
          <w:szCs w:val="20"/>
        </w:rPr>
        <w:t>’</w:t>
      </w:r>
      <w:r w:rsidRPr="009A79C1">
        <w:rPr>
          <w:color w:val="000000"/>
          <w:sz w:val="20"/>
          <w:szCs w:val="20"/>
        </w:rPr>
        <w:t xml:space="preserve">, </w:t>
      </w:r>
      <w:r w:rsidR="006E15D7">
        <w:rPr>
          <w:color w:val="000000"/>
          <w:sz w:val="20"/>
          <w:szCs w:val="20"/>
        </w:rPr>
        <w:t>bringing</w:t>
      </w:r>
      <w:r w:rsidRPr="009A79C1">
        <w:rPr>
          <w:color w:val="000000"/>
          <w:sz w:val="20"/>
          <w:szCs w:val="20"/>
        </w:rPr>
        <w:t xml:space="preserve"> together stakeholders and U</w:t>
      </w:r>
      <w:r w:rsidR="00196077" w:rsidRPr="009A79C1">
        <w:rPr>
          <w:color w:val="000000"/>
          <w:sz w:val="20"/>
          <w:szCs w:val="20"/>
        </w:rPr>
        <w:t xml:space="preserve">nited </w:t>
      </w:r>
      <w:r w:rsidRPr="009A79C1">
        <w:rPr>
          <w:color w:val="000000"/>
          <w:sz w:val="20"/>
          <w:szCs w:val="20"/>
        </w:rPr>
        <w:t>N</w:t>
      </w:r>
      <w:r w:rsidR="00196077" w:rsidRPr="009A79C1">
        <w:rPr>
          <w:color w:val="000000"/>
          <w:sz w:val="20"/>
          <w:szCs w:val="20"/>
        </w:rPr>
        <w:t>ations</w:t>
      </w:r>
      <w:r w:rsidRPr="009A79C1">
        <w:rPr>
          <w:color w:val="000000"/>
          <w:sz w:val="20"/>
          <w:szCs w:val="20"/>
        </w:rPr>
        <w:t xml:space="preserve"> </w:t>
      </w:r>
      <w:r w:rsidR="00196077" w:rsidRPr="009A79C1">
        <w:rPr>
          <w:color w:val="000000"/>
          <w:sz w:val="20"/>
          <w:szCs w:val="20"/>
        </w:rPr>
        <w:t xml:space="preserve">organizations </w:t>
      </w:r>
      <w:r w:rsidRPr="009A79C1">
        <w:rPr>
          <w:color w:val="000000"/>
          <w:sz w:val="20"/>
          <w:szCs w:val="20"/>
        </w:rPr>
        <w:t>involved in the Partnership on Actio</w:t>
      </w:r>
      <w:r w:rsidR="002F2B76">
        <w:rPr>
          <w:color w:val="000000"/>
          <w:sz w:val="20"/>
          <w:szCs w:val="20"/>
        </w:rPr>
        <w:t xml:space="preserve">n </w:t>
      </w:r>
      <w:r w:rsidRPr="009A79C1">
        <w:rPr>
          <w:color w:val="000000"/>
          <w:sz w:val="20"/>
          <w:szCs w:val="20"/>
        </w:rPr>
        <w:t>for Green Economy (PAGE) and Switch Africa Green.</w:t>
      </w:r>
      <w:r w:rsidR="002F2B76" w:rsidRPr="002F2B76">
        <w:rPr>
          <w:color w:val="000000"/>
          <w:sz w:val="20"/>
          <w:szCs w:val="20"/>
          <w:vertAlign w:val="superscript"/>
        </w:rPr>
        <w:t>14</w:t>
      </w:r>
      <w:r w:rsidRPr="009A79C1">
        <w:rPr>
          <w:color w:val="000000"/>
          <w:sz w:val="20"/>
          <w:szCs w:val="20"/>
        </w:rPr>
        <w:t xml:space="preserve"> UNDP </w:t>
      </w:r>
      <w:r w:rsidR="00196077" w:rsidRPr="009A79C1">
        <w:rPr>
          <w:color w:val="000000"/>
          <w:sz w:val="20"/>
          <w:szCs w:val="20"/>
        </w:rPr>
        <w:t xml:space="preserve">and </w:t>
      </w:r>
      <w:r w:rsidRPr="009A79C1">
        <w:rPr>
          <w:color w:val="000000"/>
          <w:sz w:val="20"/>
          <w:szCs w:val="20"/>
        </w:rPr>
        <w:t>FAO</w:t>
      </w:r>
      <w:r w:rsidR="00196077" w:rsidRPr="009A79C1">
        <w:rPr>
          <w:color w:val="000000"/>
          <w:sz w:val="20"/>
          <w:szCs w:val="20"/>
        </w:rPr>
        <w:t xml:space="preserve"> will </w:t>
      </w:r>
      <w:r w:rsidR="00853BCE" w:rsidRPr="009A79C1">
        <w:rPr>
          <w:color w:val="000000"/>
          <w:sz w:val="20"/>
          <w:szCs w:val="20"/>
        </w:rPr>
        <w:t>advise</w:t>
      </w:r>
      <w:r w:rsidRPr="009A79C1">
        <w:rPr>
          <w:color w:val="000000"/>
          <w:sz w:val="20"/>
          <w:szCs w:val="20"/>
        </w:rPr>
        <w:t xml:space="preserve"> on opportunities for green jobs</w:t>
      </w:r>
      <w:r w:rsidR="00017F7A">
        <w:rPr>
          <w:color w:val="000000"/>
          <w:sz w:val="20"/>
          <w:szCs w:val="20"/>
        </w:rPr>
        <w:t>,</w:t>
      </w:r>
      <w:r w:rsidR="00196077" w:rsidRPr="009A79C1">
        <w:rPr>
          <w:color w:val="000000"/>
          <w:sz w:val="20"/>
          <w:szCs w:val="20"/>
        </w:rPr>
        <w:t xml:space="preserve"> </w:t>
      </w:r>
      <w:r w:rsidR="00017F7A">
        <w:rPr>
          <w:color w:val="000000"/>
          <w:sz w:val="20"/>
          <w:szCs w:val="20"/>
        </w:rPr>
        <w:t>and</w:t>
      </w:r>
      <w:r w:rsidR="00196077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 xml:space="preserve">UNDP will assist the </w:t>
      </w:r>
      <w:r w:rsidR="00196077" w:rsidRPr="009A79C1">
        <w:rPr>
          <w:color w:val="000000"/>
          <w:sz w:val="20"/>
          <w:szCs w:val="20"/>
        </w:rPr>
        <w:t xml:space="preserve">government in </w:t>
      </w:r>
      <w:r w:rsidRPr="009A79C1">
        <w:rPr>
          <w:color w:val="000000"/>
          <w:sz w:val="20"/>
          <w:szCs w:val="20"/>
        </w:rPr>
        <w:t>identify</w:t>
      </w:r>
      <w:r w:rsidR="00196077" w:rsidRPr="009A79C1">
        <w:rPr>
          <w:color w:val="000000"/>
          <w:sz w:val="20"/>
          <w:szCs w:val="20"/>
        </w:rPr>
        <w:t>ing</w:t>
      </w:r>
      <w:r w:rsidRPr="009A79C1">
        <w:rPr>
          <w:color w:val="000000"/>
          <w:sz w:val="20"/>
          <w:szCs w:val="20"/>
        </w:rPr>
        <w:t xml:space="preserve"> and access</w:t>
      </w:r>
      <w:r w:rsidR="00196077" w:rsidRPr="009A79C1">
        <w:rPr>
          <w:color w:val="000000"/>
          <w:sz w:val="20"/>
          <w:szCs w:val="20"/>
        </w:rPr>
        <w:t>ing</w:t>
      </w:r>
      <w:r w:rsidRPr="009A79C1">
        <w:rPr>
          <w:color w:val="000000"/>
          <w:sz w:val="20"/>
          <w:szCs w:val="20"/>
        </w:rPr>
        <w:t xml:space="preserve"> climate finance from the </w:t>
      </w:r>
      <w:r w:rsidR="00196077" w:rsidRPr="009A79C1">
        <w:rPr>
          <w:color w:val="000000"/>
          <w:sz w:val="20"/>
          <w:szCs w:val="20"/>
        </w:rPr>
        <w:t>GEF</w:t>
      </w:r>
      <w:r w:rsidRPr="009A79C1">
        <w:rPr>
          <w:color w:val="000000"/>
          <w:sz w:val="20"/>
          <w:szCs w:val="20"/>
        </w:rPr>
        <w:t xml:space="preserve"> and the Green Climate Fund. South-South and triangular cooperation </w:t>
      </w:r>
      <w:r w:rsidR="00196077" w:rsidRPr="009A79C1">
        <w:rPr>
          <w:color w:val="000000"/>
          <w:sz w:val="20"/>
          <w:szCs w:val="20"/>
        </w:rPr>
        <w:t xml:space="preserve">with Mozambique </w:t>
      </w:r>
      <w:r w:rsidRPr="009A79C1">
        <w:rPr>
          <w:color w:val="000000"/>
          <w:sz w:val="20"/>
          <w:szCs w:val="20"/>
        </w:rPr>
        <w:t xml:space="preserve">will be explored </w:t>
      </w:r>
      <w:r w:rsidR="00196077" w:rsidRPr="009A79C1">
        <w:rPr>
          <w:color w:val="000000"/>
          <w:sz w:val="20"/>
          <w:szCs w:val="20"/>
        </w:rPr>
        <w:t xml:space="preserve">to </w:t>
      </w:r>
      <w:r w:rsidRPr="009A79C1">
        <w:rPr>
          <w:color w:val="000000"/>
          <w:sz w:val="20"/>
          <w:szCs w:val="20"/>
        </w:rPr>
        <w:t xml:space="preserve">codify environment and climate change </w:t>
      </w:r>
      <w:r w:rsidR="00196077" w:rsidRPr="009A79C1">
        <w:rPr>
          <w:color w:val="000000"/>
          <w:sz w:val="20"/>
          <w:szCs w:val="20"/>
        </w:rPr>
        <w:t xml:space="preserve">initiatives </w:t>
      </w:r>
      <w:r w:rsidRPr="009A79C1">
        <w:rPr>
          <w:color w:val="000000"/>
          <w:sz w:val="20"/>
          <w:szCs w:val="20"/>
        </w:rPr>
        <w:t>into the budgeting process. Best practices on sustainable water and land management practices</w:t>
      </w:r>
      <w:r w:rsidR="00196077" w:rsidRPr="009A79C1">
        <w:rPr>
          <w:color w:val="000000"/>
          <w:sz w:val="20"/>
          <w:szCs w:val="20"/>
        </w:rPr>
        <w:t xml:space="preserve"> in Niger</w:t>
      </w:r>
      <w:r w:rsidRPr="009A79C1">
        <w:rPr>
          <w:color w:val="000000"/>
          <w:sz w:val="20"/>
          <w:szCs w:val="20"/>
        </w:rPr>
        <w:t xml:space="preserve"> will be promoted.</w:t>
      </w:r>
    </w:p>
    <w:p w14:paraId="3DBE94E8" w14:textId="77777777" w:rsidR="007D2662" w:rsidRPr="00A071A7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536356A8" w14:textId="77777777" w:rsidR="00816CFE" w:rsidRPr="005D7DD8" w:rsidRDefault="00816CFE" w:rsidP="004B6DA5">
      <w:pPr>
        <w:pStyle w:val="ListParagraph"/>
        <w:tabs>
          <w:tab w:val="left" w:pos="1530"/>
        </w:tabs>
        <w:ind w:left="1166"/>
        <w:jc w:val="both"/>
        <w:rPr>
          <w:b/>
          <w:color w:val="000000"/>
          <w:sz w:val="20"/>
          <w:szCs w:val="20"/>
        </w:rPr>
      </w:pPr>
      <w:r w:rsidRPr="005D7DD8">
        <w:rPr>
          <w:b/>
          <w:color w:val="000000"/>
          <w:sz w:val="20"/>
          <w:szCs w:val="20"/>
        </w:rPr>
        <w:t>R</w:t>
      </w:r>
      <w:r w:rsidR="003C30A4" w:rsidRPr="005D7DD8">
        <w:rPr>
          <w:b/>
          <w:color w:val="000000"/>
          <w:sz w:val="20"/>
          <w:szCs w:val="20"/>
        </w:rPr>
        <w:t xml:space="preserve">esilience to the </w:t>
      </w:r>
      <w:r w:rsidR="00A45AE0" w:rsidRPr="005D7DD8">
        <w:rPr>
          <w:b/>
          <w:color w:val="000000"/>
          <w:sz w:val="20"/>
          <w:szCs w:val="20"/>
        </w:rPr>
        <w:t>e</w:t>
      </w:r>
      <w:r w:rsidR="003C30A4" w:rsidRPr="005D7DD8">
        <w:rPr>
          <w:b/>
          <w:color w:val="000000"/>
          <w:sz w:val="20"/>
          <w:szCs w:val="20"/>
        </w:rPr>
        <w:t xml:space="preserve">ffects of </w:t>
      </w:r>
      <w:r w:rsidR="00A45AE0" w:rsidRPr="005D7DD8">
        <w:rPr>
          <w:b/>
          <w:color w:val="000000"/>
          <w:sz w:val="20"/>
          <w:szCs w:val="20"/>
        </w:rPr>
        <w:t>c</w:t>
      </w:r>
      <w:r w:rsidR="003C30A4" w:rsidRPr="005D7DD8">
        <w:rPr>
          <w:b/>
          <w:color w:val="000000"/>
          <w:sz w:val="20"/>
          <w:szCs w:val="20"/>
        </w:rPr>
        <w:t xml:space="preserve">limate </w:t>
      </w:r>
      <w:r w:rsidR="00A45AE0" w:rsidRPr="005D7DD8">
        <w:rPr>
          <w:b/>
          <w:color w:val="000000"/>
          <w:sz w:val="20"/>
          <w:szCs w:val="20"/>
        </w:rPr>
        <w:t>c</w:t>
      </w:r>
      <w:r w:rsidR="003C30A4" w:rsidRPr="005D7DD8">
        <w:rPr>
          <w:b/>
          <w:color w:val="000000"/>
          <w:sz w:val="20"/>
          <w:szCs w:val="20"/>
        </w:rPr>
        <w:t xml:space="preserve">hange, </w:t>
      </w:r>
      <w:r w:rsidR="00A45AE0" w:rsidRPr="005D7DD8">
        <w:rPr>
          <w:b/>
          <w:color w:val="000000"/>
          <w:sz w:val="20"/>
          <w:szCs w:val="20"/>
        </w:rPr>
        <w:t>n</w:t>
      </w:r>
      <w:r w:rsidR="003C30A4" w:rsidRPr="005D7DD8">
        <w:rPr>
          <w:b/>
          <w:color w:val="000000"/>
          <w:sz w:val="20"/>
          <w:szCs w:val="20"/>
        </w:rPr>
        <w:t xml:space="preserve">atural </w:t>
      </w:r>
      <w:r w:rsidR="00A45AE0" w:rsidRPr="005D7DD8">
        <w:rPr>
          <w:b/>
          <w:color w:val="000000"/>
          <w:sz w:val="20"/>
          <w:szCs w:val="20"/>
        </w:rPr>
        <w:t>d</w:t>
      </w:r>
      <w:r w:rsidR="003C30A4" w:rsidRPr="005D7DD8">
        <w:rPr>
          <w:b/>
          <w:color w:val="000000"/>
          <w:sz w:val="20"/>
          <w:szCs w:val="20"/>
        </w:rPr>
        <w:t xml:space="preserve">isasters and </w:t>
      </w:r>
      <w:r w:rsidR="00A45AE0" w:rsidRPr="005D7DD8">
        <w:rPr>
          <w:b/>
          <w:color w:val="000000"/>
          <w:sz w:val="20"/>
          <w:szCs w:val="20"/>
        </w:rPr>
        <w:t>h</w:t>
      </w:r>
      <w:r w:rsidR="003C30A4" w:rsidRPr="005D7DD8">
        <w:rPr>
          <w:b/>
          <w:color w:val="000000"/>
          <w:sz w:val="20"/>
          <w:szCs w:val="20"/>
        </w:rPr>
        <w:t xml:space="preserve">umanitarian </w:t>
      </w:r>
      <w:r w:rsidR="00A45AE0" w:rsidRPr="005D7DD8">
        <w:rPr>
          <w:b/>
          <w:color w:val="000000"/>
          <w:sz w:val="20"/>
          <w:szCs w:val="20"/>
        </w:rPr>
        <w:t>e</w:t>
      </w:r>
      <w:r w:rsidR="003C30A4" w:rsidRPr="005D7DD8">
        <w:rPr>
          <w:b/>
          <w:color w:val="000000"/>
          <w:sz w:val="20"/>
          <w:szCs w:val="20"/>
        </w:rPr>
        <w:t>mergencies</w:t>
      </w:r>
      <w:r w:rsidRPr="005D7DD8">
        <w:rPr>
          <w:b/>
          <w:color w:val="000000"/>
          <w:sz w:val="20"/>
          <w:szCs w:val="20"/>
        </w:rPr>
        <w:t xml:space="preserve"> </w:t>
      </w:r>
    </w:p>
    <w:p w14:paraId="250044B9" w14:textId="77777777" w:rsidR="00104DD3" w:rsidRPr="00A071A7" w:rsidRDefault="00104DD3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165930F2" w14:textId="77777777" w:rsidR="007D2662" w:rsidRPr="009A79C1" w:rsidRDefault="00453BFE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</w:rPr>
      </w:pPr>
      <w:r w:rsidRPr="009A79C1">
        <w:rPr>
          <w:color w:val="000000"/>
          <w:sz w:val="20"/>
        </w:rPr>
        <w:t>Burkina Faso</w:t>
      </w:r>
      <w:r w:rsidR="0057191D" w:rsidRPr="009A79C1">
        <w:rPr>
          <w:color w:val="000000"/>
          <w:sz w:val="20"/>
        </w:rPr>
        <w:t xml:space="preserve"> developed</w:t>
      </w:r>
      <w:r w:rsidR="00A45AE0" w:rsidRPr="009A79C1">
        <w:rPr>
          <w:color w:val="000000"/>
          <w:sz w:val="20"/>
        </w:rPr>
        <w:t xml:space="preserve"> </w:t>
      </w:r>
      <w:r w:rsidR="0057191D" w:rsidRPr="009A79C1">
        <w:rPr>
          <w:color w:val="000000"/>
          <w:sz w:val="20"/>
        </w:rPr>
        <w:t xml:space="preserve">a five-year plan </w:t>
      </w:r>
      <w:r w:rsidR="00D03659" w:rsidRPr="009A79C1">
        <w:rPr>
          <w:color w:val="000000"/>
          <w:sz w:val="20"/>
        </w:rPr>
        <w:t>(</w:t>
      </w:r>
      <w:r w:rsidR="0057191D" w:rsidRPr="009A79C1">
        <w:rPr>
          <w:color w:val="000000"/>
          <w:sz w:val="20"/>
        </w:rPr>
        <w:t>2016-2020</w:t>
      </w:r>
      <w:r w:rsidR="00D03659" w:rsidRPr="009A79C1">
        <w:rPr>
          <w:color w:val="000000"/>
          <w:sz w:val="20"/>
        </w:rPr>
        <w:t>)</w:t>
      </w:r>
      <w:r w:rsidR="0057191D" w:rsidRPr="009A79C1">
        <w:rPr>
          <w:color w:val="000000"/>
          <w:sz w:val="20"/>
        </w:rPr>
        <w:t xml:space="preserve"> to</w:t>
      </w:r>
      <w:r w:rsidR="00E44F8F" w:rsidRPr="009A79C1">
        <w:rPr>
          <w:color w:val="000000"/>
          <w:sz w:val="20"/>
        </w:rPr>
        <w:t xml:space="preserve"> build resilience </w:t>
      </w:r>
      <w:r w:rsidR="00C36999" w:rsidRPr="009A79C1">
        <w:rPr>
          <w:color w:val="000000"/>
          <w:sz w:val="20"/>
        </w:rPr>
        <w:t xml:space="preserve">and strengthen </w:t>
      </w:r>
      <w:r w:rsidR="00A45AE0" w:rsidRPr="009A79C1">
        <w:rPr>
          <w:color w:val="000000"/>
          <w:sz w:val="20"/>
        </w:rPr>
        <w:t xml:space="preserve">local </w:t>
      </w:r>
      <w:r w:rsidR="0057191D" w:rsidRPr="009A79C1">
        <w:rPr>
          <w:color w:val="000000"/>
          <w:sz w:val="20"/>
        </w:rPr>
        <w:t xml:space="preserve">capacities </w:t>
      </w:r>
      <w:r w:rsidR="00A45AE0" w:rsidRPr="009A79C1">
        <w:rPr>
          <w:color w:val="000000"/>
          <w:sz w:val="20"/>
        </w:rPr>
        <w:t xml:space="preserve">in </w:t>
      </w:r>
      <w:r w:rsidR="0057191D" w:rsidRPr="009A79C1">
        <w:rPr>
          <w:color w:val="000000"/>
          <w:sz w:val="20"/>
        </w:rPr>
        <w:t>risk</w:t>
      </w:r>
      <w:r w:rsidR="0089031D" w:rsidRPr="009A79C1">
        <w:rPr>
          <w:color w:val="000000"/>
          <w:sz w:val="20"/>
        </w:rPr>
        <w:t>-</w:t>
      </w:r>
      <w:r w:rsidR="0057191D" w:rsidRPr="009A79C1">
        <w:rPr>
          <w:color w:val="000000"/>
          <w:sz w:val="20"/>
        </w:rPr>
        <w:t>reduction and disaster</w:t>
      </w:r>
      <w:r w:rsidR="00510A53" w:rsidRPr="009A79C1">
        <w:rPr>
          <w:color w:val="000000"/>
          <w:sz w:val="20"/>
        </w:rPr>
        <w:t>-</w:t>
      </w:r>
      <w:r w:rsidR="0057191D" w:rsidRPr="009A79C1">
        <w:rPr>
          <w:color w:val="000000"/>
          <w:sz w:val="20"/>
        </w:rPr>
        <w:t>preparedness</w:t>
      </w:r>
      <w:r w:rsidR="00533F39" w:rsidRPr="009A79C1">
        <w:rPr>
          <w:color w:val="000000"/>
          <w:sz w:val="20"/>
        </w:rPr>
        <w:t>,</w:t>
      </w:r>
      <w:r w:rsidR="005D468A" w:rsidRPr="009A79C1">
        <w:rPr>
          <w:color w:val="000000"/>
          <w:sz w:val="20"/>
        </w:rPr>
        <w:t xml:space="preserve"> within the context of the Sendai Framework of Action</w:t>
      </w:r>
      <w:r w:rsidR="00D12D3E" w:rsidRPr="009A79C1">
        <w:rPr>
          <w:color w:val="000000"/>
          <w:sz w:val="20"/>
        </w:rPr>
        <w:t xml:space="preserve">. </w:t>
      </w:r>
      <w:r w:rsidR="005D468A" w:rsidRPr="009A79C1">
        <w:rPr>
          <w:color w:val="000000"/>
          <w:sz w:val="20"/>
        </w:rPr>
        <w:t>T</w:t>
      </w:r>
      <w:r w:rsidR="003D4AA6" w:rsidRPr="009A79C1">
        <w:rPr>
          <w:color w:val="000000"/>
          <w:sz w:val="20"/>
        </w:rPr>
        <w:t>h</w:t>
      </w:r>
      <w:r w:rsidR="005D468A" w:rsidRPr="009A79C1">
        <w:rPr>
          <w:color w:val="000000"/>
          <w:sz w:val="20"/>
        </w:rPr>
        <w:t xml:space="preserve">is </w:t>
      </w:r>
      <w:r w:rsidR="003D4AA6" w:rsidRPr="009A79C1">
        <w:rPr>
          <w:color w:val="000000"/>
          <w:sz w:val="20"/>
        </w:rPr>
        <w:t>componen</w:t>
      </w:r>
      <w:r w:rsidR="000F0A4A" w:rsidRPr="009A79C1">
        <w:rPr>
          <w:color w:val="000000"/>
          <w:sz w:val="20"/>
        </w:rPr>
        <w:t>t</w:t>
      </w:r>
      <w:r w:rsidR="005D468A" w:rsidRPr="009A79C1">
        <w:rPr>
          <w:color w:val="000000"/>
          <w:sz w:val="20"/>
        </w:rPr>
        <w:t xml:space="preserve"> will support the implementation</w:t>
      </w:r>
      <w:r w:rsidR="003D4AA6" w:rsidRPr="009A79C1">
        <w:rPr>
          <w:color w:val="000000"/>
          <w:sz w:val="20"/>
        </w:rPr>
        <w:t xml:space="preserve"> </w:t>
      </w:r>
      <w:r w:rsidR="00E37C3C" w:rsidRPr="009A79C1">
        <w:rPr>
          <w:color w:val="000000"/>
          <w:sz w:val="20"/>
        </w:rPr>
        <w:t xml:space="preserve">of the national plan and </w:t>
      </w:r>
      <w:r w:rsidR="00104DD3" w:rsidRPr="009A79C1">
        <w:rPr>
          <w:color w:val="000000"/>
          <w:sz w:val="20"/>
        </w:rPr>
        <w:t>focus</w:t>
      </w:r>
      <w:r w:rsidR="005D468A" w:rsidRPr="009A79C1">
        <w:rPr>
          <w:color w:val="000000"/>
          <w:sz w:val="20"/>
        </w:rPr>
        <w:t xml:space="preserve"> </w:t>
      </w:r>
      <w:r w:rsidR="00E37C3C" w:rsidRPr="009A79C1">
        <w:rPr>
          <w:color w:val="000000"/>
          <w:sz w:val="20"/>
        </w:rPr>
        <w:t>on</w:t>
      </w:r>
      <w:r w:rsidR="00220D43" w:rsidRPr="009A79C1">
        <w:rPr>
          <w:color w:val="000000"/>
          <w:sz w:val="20"/>
        </w:rPr>
        <w:t>:</w:t>
      </w:r>
      <w:r w:rsidR="00E37C3C" w:rsidRPr="009A79C1">
        <w:rPr>
          <w:color w:val="000000"/>
          <w:sz w:val="20"/>
        </w:rPr>
        <w:t xml:space="preserve"> i) </w:t>
      </w:r>
      <w:r w:rsidR="00104DD3" w:rsidRPr="009A79C1">
        <w:rPr>
          <w:color w:val="000000"/>
          <w:sz w:val="20"/>
        </w:rPr>
        <w:t xml:space="preserve">the </w:t>
      </w:r>
      <w:r w:rsidR="00E37C3C" w:rsidRPr="009A79C1">
        <w:rPr>
          <w:color w:val="000000"/>
          <w:sz w:val="20"/>
        </w:rPr>
        <w:t xml:space="preserve">formulation of resilience plans for communities </w:t>
      </w:r>
      <w:r w:rsidR="00220D43" w:rsidRPr="009A79C1">
        <w:rPr>
          <w:color w:val="000000"/>
          <w:sz w:val="20"/>
        </w:rPr>
        <w:t xml:space="preserve">that </w:t>
      </w:r>
      <w:r w:rsidR="00E37C3C" w:rsidRPr="009A79C1">
        <w:rPr>
          <w:color w:val="000000"/>
          <w:sz w:val="20"/>
        </w:rPr>
        <w:t xml:space="preserve">are </w:t>
      </w:r>
      <w:r w:rsidR="00104DD3" w:rsidRPr="009A79C1">
        <w:rPr>
          <w:color w:val="000000"/>
          <w:sz w:val="20"/>
        </w:rPr>
        <w:t>yet to recover from past shocks</w:t>
      </w:r>
      <w:r w:rsidR="00220D43" w:rsidRPr="009A79C1">
        <w:rPr>
          <w:color w:val="000000"/>
          <w:sz w:val="20"/>
        </w:rPr>
        <w:t>,</w:t>
      </w:r>
      <w:r w:rsidR="00E37C3C" w:rsidRPr="009A79C1">
        <w:rPr>
          <w:color w:val="000000"/>
          <w:sz w:val="20"/>
        </w:rPr>
        <w:t xml:space="preserve"> ii) strengthening coordination and data collection capacities at local levels</w:t>
      </w:r>
      <w:r w:rsidR="00220D43" w:rsidRPr="009A79C1">
        <w:rPr>
          <w:color w:val="000000"/>
          <w:sz w:val="20"/>
        </w:rPr>
        <w:t>,</w:t>
      </w:r>
      <w:r w:rsidR="00B9277F" w:rsidRPr="009A79C1">
        <w:rPr>
          <w:color w:val="000000"/>
          <w:sz w:val="20"/>
        </w:rPr>
        <w:t xml:space="preserve"> </w:t>
      </w:r>
      <w:r w:rsidR="00104DD3" w:rsidRPr="009A79C1">
        <w:rPr>
          <w:color w:val="000000"/>
          <w:sz w:val="20"/>
        </w:rPr>
        <w:t xml:space="preserve">and </w:t>
      </w:r>
      <w:r w:rsidR="00B9277F" w:rsidRPr="009A79C1">
        <w:rPr>
          <w:color w:val="000000"/>
          <w:sz w:val="20"/>
        </w:rPr>
        <w:t xml:space="preserve">ensuring </w:t>
      </w:r>
      <w:r w:rsidR="00104DD3" w:rsidRPr="009A79C1">
        <w:rPr>
          <w:color w:val="000000"/>
          <w:sz w:val="20"/>
        </w:rPr>
        <w:lastRenderedPageBreak/>
        <w:t xml:space="preserve">that </w:t>
      </w:r>
      <w:r w:rsidR="00220D43" w:rsidRPr="009A79C1">
        <w:rPr>
          <w:color w:val="000000"/>
          <w:sz w:val="20"/>
        </w:rPr>
        <w:t xml:space="preserve">the </w:t>
      </w:r>
      <w:r w:rsidR="00B9277F" w:rsidRPr="009A79C1">
        <w:rPr>
          <w:color w:val="000000"/>
          <w:sz w:val="20"/>
        </w:rPr>
        <w:t xml:space="preserve">specific needs of women and children are </w:t>
      </w:r>
      <w:r w:rsidR="00DF6DDB" w:rsidRPr="009A79C1">
        <w:rPr>
          <w:color w:val="000000"/>
          <w:sz w:val="20"/>
        </w:rPr>
        <w:t>considered</w:t>
      </w:r>
      <w:r w:rsidR="00220D43" w:rsidRPr="009A79C1">
        <w:rPr>
          <w:color w:val="000000"/>
          <w:sz w:val="20"/>
        </w:rPr>
        <w:t>,</w:t>
      </w:r>
      <w:r w:rsidR="00DF6DDB" w:rsidRPr="009A79C1">
        <w:rPr>
          <w:color w:val="000000"/>
          <w:sz w:val="20"/>
        </w:rPr>
        <w:t xml:space="preserve"> </w:t>
      </w:r>
      <w:r w:rsidR="00E37C3C" w:rsidRPr="009A79C1">
        <w:rPr>
          <w:color w:val="000000"/>
          <w:sz w:val="20"/>
        </w:rPr>
        <w:t xml:space="preserve">and iii) </w:t>
      </w:r>
      <w:r w:rsidR="00F5060F" w:rsidRPr="009A79C1">
        <w:rPr>
          <w:color w:val="000000"/>
          <w:sz w:val="20"/>
        </w:rPr>
        <w:t>developing institutional capacities</w:t>
      </w:r>
      <w:r w:rsidR="00220D43" w:rsidRPr="009A79C1">
        <w:rPr>
          <w:color w:val="000000"/>
          <w:sz w:val="20"/>
        </w:rPr>
        <w:t>,</w:t>
      </w:r>
      <w:r w:rsidR="00F5060F" w:rsidRPr="009A79C1">
        <w:rPr>
          <w:color w:val="000000"/>
          <w:sz w:val="20"/>
        </w:rPr>
        <w:t xml:space="preserve"> and p</w:t>
      </w:r>
      <w:r w:rsidR="00E37C3C" w:rsidRPr="009A79C1">
        <w:rPr>
          <w:color w:val="000000"/>
          <w:sz w:val="20"/>
        </w:rPr>
        <w:t xml:space="preserve">roviding technical support for emergency preparedness and disaster risk reduction. </w:t>
      </w:r>
    </w:p>
    <w:p w14:paraId="76B76F2E" w14:textId="77777777" w:rsidR="007D2662" w:rsidRPr="009A79C1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8"/>
          <w:szCs w:val="12"/>
        </w:rPr>
      </w:pPr>
    </w:p>
    <w:p w14:paraId="76312B8C" w14:textId="77777777" w:rsidR="007D2662" w:rsidRPr="009A79C1" w:rsidRDefault="006C6B85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</w:rPr>
      </w:pPr>
      <w:r w:rsidRPr="009A79C1">
        <w:rPr>
          <w:color w:val="000000"/>
          <w:sz w:val="20"/>
        </w:rPr>
        <w:t>UNDP</w:t>
      </w:r>
      <w:r w:rsidR="003D4AA6" w:rsidRPr="009A79C1">
        <w:rPr>
          <w:color w:val="000000"/>
          <w:sz w:val="20"/>
        </w:rPr>
        <w:t xml:space="preserve"> </w:t>
      </w:r>
      <w:r w:rsidR="000C27F3" w:rsidRPr="009A79C1">
        <w:rPr>
          <w:color w:val="000000"/>
          <w:sz w:val="20"/>
        </w:rPr>
        <w:t xml:space="preserve">will support the </w:t>
      </w:r>
      <w:r w:rsidR="00220D43" w:rsidRPr="009A79C1">
        <w:rPr>
          <w:color w:val="000000"/>
          <w:sz w:val="20"/>
        </w:rPr>
        <w:t>N</w:t>
      </w:r>
      <w:r w:rsidR="000C27F3" w:rsidRPr="009A79C1">
        <w:rPr>
          <w:color w:val="000000"/>
          <w:sz w:val="20"/>
        </w:rPr>
        <w:t xml:space="preserve">ational </w:t>
      </w:r>
      <w:r w:rsidR="00220D43" w:rsidRPr="009A79C1">
        <w:rPr>
          <w:color w:val="000000"/>
          <w:sz w:val="20"/>
        </w:rPr>
        <w:t>A</w:t>
      </w:r>
      <w:r w:rsidR="000C27F3" w:rsidRPr="009A79C1">
        <w:rPr>
          <w:color w:val="000000"/>
          <w:sz w:val="20"/>
        </w:rPr>
        <w:t xml:space="preserve">gency for </w:t>
      </w:r>
      <w:r w:rsidR="00220D43" w:rsidRPr="009A79C1">
        <w:rPr>
          <w:color w:val="000000"/>
          <w:sz w:val="20"/>
        </w:rPr>
        <w:t>E</w:t>
      </w:r>
      <w:r w:rsidR="000C27F3" w:rsidRPr="009A79C1">
        <w:rPr>
          <w:color w:val="000000"/>
          <w:sz w:val="20"/>
        </w:rPr>
        <w:t xml:space="preserve">mergency </w:t>
      </w:r>
      <w:r w:rsidR="00220D43" w:rsidRPr="009A79C1">
        <w:rPr>
          <w:color w:val="000000"/>
          <w:sz w:val="20"/>
        </w:rPr>
        <w:t>P</w:t>
      </w:r>
      <w:r w:rsidR="000C27F3" w:rsidRPr="009A79C1">
        <w:rPr>
          <w:color w:val="000000"/>
          <w:sz w:val="20"/>
        </w:rPr>
        <w:t xml:space="preserve">reparedness and </w:t>
      </w:r>
      <w:r w:rsidR="00220D43" w:rsidRPr="009A79C1">
        <w:rPr>
          <w:color w:val="000000"/>
          <w:sz w:val="20"/>
        </w:rPr>
        <w:t>R</w:t>
      </w:r>
      <w:r w:rsidR="000C27F3" w:rsidRPr="009A79C1">
        <w:rPr>
          <w:color w:val="000000"/>
          <w:sz w:val="20"/>
        </w:rPr>
        <w:t>esponse to work</w:t>
      </w:r>
      <w:r w:rsidR="00220D43" w:rsidRPr="009A79C1">
        <w:rPr>
          <w:color w:val="000000"/>
          <w:sz w:val="20"/>
        </w:rPr>
        <w:t xml:space="preserve"> better</w:t>
      </w:r>
      <w:r w:rsidR="000C27F3" w:rsidRPr="009A79C1">
        <w:rPr>
          <w:color w:val="000000"/>
          <w:sz w:val="20"/>
        </w:rPr>
        <w:t xml:space="preserve"> with sector ministries</w:t>
      </w:r>
      <w:r w:rsidR="00220D43" w:rsidRPr="009A79C1">
        <w:rPr>
          <w:color w:val="000000"/>
          <w:sz w:val="20"/>
        </w:rPr>
        <w:t>,</w:t>
      </w:r>
      <w:r w:rsidR="000C27F3" w:rsidRPr="009A79C1">
        <w:rPr>
          <w:color w:val="000000"/>
          <w:sz w:val="20"/>
        </w:rPr>
        <w:t xml:space="preserve"> and advocate for </w:t>
      </w:r>
      <w:r w:rsidR="00220D43" w:rsidRPr="009A79C1">
        <w:rPr>
          <w:color w:val="000000"/>
          <w:sz w:val="20"/>
        </w:rPr>
        <w:t>resources for</w:t>
      </w:r>
      <w:r w:rsidR="00DF4EB4" w:rsidRPr="009A79C1">
        <w:rPr>
          <w:color w:val="000000"/>
          <w:sz w:val="20"/>
        </w:rPr>
        <w:t xml:space="preserve"> resilience</w:t>
      </w:r>
      <w:r w:rsidR="003D4AA6" w:rsidRPr="009A79C1">
        <w:rPr>
          <w:color w:val="000000"/>
          <w:sz w:val="20"/>
        </w:rPr>
        <w:t xml:space="preserve"> plans</w:t>
      </w:r>
      <w:r w:rsidR="00A77336" w:rsidRPr="009A79C1">
        <w:rPr>
          <w:color w:val="000000"/>
          <w:sz w:val="20"/>
        </w:rPr>
        <w:t xml:space="preserve">. </w:t>
      </w:r>
      <w:r w:rsidR="00DE72D5" w:rsidRPr="009A79C1">
        <w:rPr>
          <w:color w:val="000000"/>
          <w:sz w:val="20"/>
        </w:rPr>
        <w:t>The strategy will draw on already existing platform</w:t>
      </w:r>
      <w:r w:rsidR="00F71B7C" w:rsidRPr="009A79C1">
        <w:rPr>
          <w:color w:val="000000"/>
          <w:sz w:val="20"/>
        </w:rPr>
        <w:t>s</w:t>
      </w:r>
      <w:r w:rsidR="00DE72D5" w:rsidRPr="009A79C1">
        <w:rPr>
          <w:color w:val="000000"/>
          <w:sz w:val="20"/>
        </w:rPr>
        <w:t xml:space="preserve"> of humanitarian and development partners</w:t>
      </w:r>
      <w:r w:rsidR="00220D43" w:rsidRPr="009A79C1">
        <w:rPr>
          <w:color w:val="000000"/>
          <w:sz w:val="20"/>
        </w:rPr>
        <w:t>,</w:t>
      </w:r>
      <w:r w:rsidR="008F620C" w:rsidRPr="009A79C1">
        <w:rPr>
          <w:color w:val="000000"/>
          <w:sz w:val="20"/>
        </w:rPr>
        <w:t xml:space="preserve"> which will be </w:t>
      </w:r>
      <w:r w:rsidR="00C446D5" w:rsidRPr="009A79C1">
        <w:rPr>
          <w:color w:val="000000"/>
          <w:sz w:val="20"/>
        </w:rPr>
        <w:t xml:space="preserve">reviewed </w:t>
      </w:r>
      <w:r w:rsidR="00F71B7C" w:rsidRPr="009A79C1">
        <w:rPr>
          <w:color w:val="000000"/>
          <w:sz w:val="20"/>
        </w:rPr>
        <w:t xml:space="preserve">to align with the </w:t>
      </w:r>
      <w:r w:rsidR="00220D43" w:rsidRPr="009A79C1">
        <w:rPr>
          <w:color w:val="000000"/>
          <w:sz w:val="20"/>
        </w:rPr>
        <w:t>‘</w:t>
      </w:r>
      <w:r w:rsidR="001B1914" w:rsidRPr="009A79C1">
        <w:rPr>
          <w:color w:val="000000"/>
          <w:sz w:val="20"/>
        </w:rPr>
        <w:t>New Way of Working</w:t>
      </w:r>
      <w:r w:rsidR="00220D43" w:rsidRPr="009A79C1">
        <w:rPr>
          <w:color w:val="000000"/>
          <w:sz w:val="20"/>
        </w:rPr>
        <w:t>’</w:t>
      </w:r>
      <w:r w:rsidR="00A0682A" w:rsidRPr="009A79C1">
        <w:rPr>
          <w:color w:val="000000"/>
          <w:sz w:val="20"/>
        </w:rPr>
        <w:t xml:space="preserve"> and</w:t>
      </w:r>
      <w:r w:rsidR="00190D49" w:rsidRPr="009A79C1">
        <w:rPr>
          <w:color w:val="000000"/>
          <w:sz w:val="20"/>
        </w:rPr>
        <w:t xml:space="preserve"> </w:t>
      </w:r>
      <w:r w:rsidR="00A0682A" w:rsidRPr="009A79C1">
        <w:rPr>
          <w:color w:val="000000"/>
          <w:sz w:val="20"/>
        </w:rPr>
        <w:t>transition</w:t>
      </w:r>
      <w:r w:rsidR="00220D43" w:rsidRPr="009A79C1">
        <w:rPr>
          <w:color w:val="000000"/>
          <w:sz w:val="20"/>
        </w:rPr>
        <w:t>al</w:t>
      </w:r>
      <w:r w:rsidR="00A0682A" w:rsidRPr="009A79C1">
        <w:rPr>
          <w:color w:val="000000"/>
          <w:sz w:val="20"/>
        </w:rPr>
        <w:t xml:space="preserve"> priorities</w:t>
      </w:r>
      <w:r w:rsidR="00220D43" w:rsidRPr="009A79C1">
        <w:rPr>
          <w:color w:val="000000"/>
          <w:sz w:val="20"/>
        </w:rPr>
        <w:t xml:space="preserve"> of Burkina Faso</w:t>
      </w:r>
      <w:r w:rsidR="001B1914" w:rsidRPr="009A79C1">
        <w:rPr>
          <w:color w:val="000000"/>
          <w:sz w:val="20"/>
        </w:rPr>
        <w:t xml:space="preserve">, </w:t>
      </w:r>
      <w:r w:rsidR="00220D43" w:rsidRPr="009A79C1">
        <w:rPr>
          <w:color w:val="000000"/>
          <w:sz w:val="20"/>
        </w:rPr>
        <w:t>as well as</w:t>
      </w:r>
      <w:r w:rsidR="00E65F9A" w:rsidRPr="009A79C1">
        <w:rPr>
          <w:color w:val="000000"/>
          <w:sz w:val="20"/>
        </w:rPr>
        <w:t xml:space="preserve"> facilitate</w:t>
      </w:r>
      <w:r w:rsidR="00DF5ED7" w:rsidRPr="009A79C1">
        <w:rPr>
          <w:color w:val="000000"/>
          <w:sz w:val="20"/>
        </w:rPr>
        <w:t xml:space="preserve"> </w:t>
      </w:r>
      <w:r w:rsidR="00E5460E" w:rsidRPr="009A79C1">
        <w:rPr>
          <w:color w:val="000000"/>
          <w:sz w:val="20"/>
        </w:rPr>
        <w:t>join</w:t>
      </w:r>
      <w:r w:rsidR="00220D43" w:rsidRPr="009A79C1">
        <w:rPr>
          <w:color w:val="000000"/>
          <w:sz w:val="20"/>
        </w:rPr>
        <w:t>t</w:t>
      </w:r>
      <w:r w:rsidR="00E65F9A" w:rsidRPr="009A79C1">
        <w:rPr>
          <w:color w:val="000000"/>
          <w:sz w:val="20"/>
        </w:rPr>
        <w:t xml:space="preserve"> ana</w:t>
      </w:r>
      <w:r w:rsidR="00E5460E" w:rsidRPr="009A79C1">
        <w:rPr>
          <w:color w:val="000000"/>
          <w:sz w:val="20"/>
        </w:rPr>
        <w:t>lysis, planning and monitoring</w:t>
      </w:r>
      <w:r w:rsidR="00220D43" w:rsidRPr="009A79C1">
        <w:rPr>
          <w:color w:val="000000"/>
          <w:sz w:val="20"/>
        </w:rPr>
        <w:t xml:space="preserve"> efforts</w:t>
      </w:r>
      <w:r w:rsidR="00E5460E" w:rsidRPr="009A79C1">
        <w:rPr>
          <w:color w:val="000000"/>
          <w:sz w:val="20"/>
        </w:rPr>
        <w:t>.</w:t>
      </w:r>
    </w:p>
    <w:p w14:paraId="5760932B" w14:textId="77777777" w:rsidR="00E5460E" w:rsidRPr="00E5460E" w:rsidRDefault="00E5460E" w:rsidP="00307DE8">
      <w:pPr>
        <w:pStyle w:val="ListParagraph"/>
        <w:tabs>
          <w:tab w:val="left" w:pos="1530"/>
        </w:tabs>
        <w:ind w:left="1170"/>
        <w:jc w:val="both"/>
        <w:rPr>
          <w:color w:val="000000"/>
        </w:rPr>
      </w:pPr>
    </w:p>
    <w:p w14:paraId="2EFAB575" w14:textId="77777777" w:rsidR="00816CFE" w:rsidRPr="009A79C1" w:rsidRDefault="00816CFE" w:rsidP="00BA6579">
      <w:pPr>
        <w:tabs>
          <w:tab w:val="left" w:pos="1530"/>
        </w:tabs>
        <w:ind w:left="1080" w:hanging="450"/>
        <w:jc w:val="both"/>
        <w:rPr>
          <w:b/>
          <w:color w:val="000000"/>
          <w:sz w:val="28"/>
        </w:rPr>
      </w:pPr>
      <w:r w:rsidRPr="009A79C1">
        <w:rPr>
          <w:b/>
          <w:color w:val="000000"/>
          <w:sz w:val="28"/>
        </w:rPr>
        <w:t>III.</w:t>
      </w:r>
      <w:r w:rsidR="00095F22" w:rsidRPr="009A79C1">
        <w:rPr>
          <w:b/>
          <w:color w:val="000000"/>
          <w:sz w:val="28"/>
        </w:rPr>
        <w:t xml:space="preserve"> </w:t>
      </w:r>
      <w:r w:rsidRPr="009A79C1">
        <w:rPr>
          <w:b/>
          <w:color w:val="000000"/>
          <w:sz w:val="28"/>
        </w:rPr>
        <w:t xml:space="preserve"> </w:t>
      </w:r>
      <w:r w:rsidR="0032273F" w:rsidRPr="009A79C1">
        <w:rPr>
          <w:b/>
          <w:color w:val="000000"/>
          <w:sz w:val="28"/>
        </w:rPr>
        <w:t xml:space="preserve">Programme and </w:t>
      </w:r>
      <w:r w:rsidR="00A071A7" w:rsidRPr="009A79C1">
        <w:rPr>
          <w:b/>
          <w:color w:val="000000"/>
          <w:sz w:val="28"/>
        </w:rPr>
        <w:t>r</w:t>
      </w:r>
      <w:r w:rsidR="0032273F" w:rsidRPr="009A79C1">
        <w:rPr>
          <w:b/>
          <w:color w:val="000000"/>
          <w:sz w:val="28"/>
        </w:rPr>
        <w:t xml:space="preserve">isk </w:t>
      </w:r>
      <w:r w:rsidR="00095F22" w:rsidRPr="009A79C1">
        <w:rPr>
          <w:b/>
          <w:color w:val="000000"/>
          <w:sz w:val="28"/>
        </w:rPr>
        <w:t>m</w:t>
      </w:r>
      <w:r w:rsidR="0032273F" w:rsidRPr="009A79C1">
        <w:rPr>
          <w:b/>
          <w:color w:val="000000"/>
          <w:sz w:val="28"/>
        </w:rPr>
        <w:t xml:space="preserve">anagement </w:t>
      </w:r>
    </w:p>
    <w:p w14:paraId="6310255D" w14:textId="77777777" w:rsidR="007D2662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</w:rPr>
      </w:pPr>
    </w:p>
    <w:p w14:paraId="7D765525" w14:textId="5BFA2662" w:rsidR="007D2662" w:rsidRPr="009A79C1" w:rsidRDefault="00582867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>This country program</w:t>
      </w:r>
      <w:r w:rsidR="00186712" w:rsidRPr="009A79C1">
        <w:rPr>
          <w:color w:val="000000"/>
          <w:sz w:val="20"/>
          <w:szCs w:val="20"/>
        </w:rPr>
        <w:t>me</w:t>
      </w:r>
      <w:r w:rsidR="00987C9C" w:rsidRPr="009A79C1">
        <w:rPr>
          <w:color w:val="000000"/>
          <w:sz w:val="20"/>
          <w:szCs w:val="20"/>
        </w:rPr>
        <w:t xml:space="preserve"> document outlines UNDP contributions to national results</w:t>
      </w:r>
      <w:r w:rsidR="00173415" w:rsidRPr="009A79C1">
        <w:rPr>
          <w:color w:val="000000"/>
          <w:sz w:val="20"/>
          <w:szCs w:val="20"/>
        </w:rPr>
        <w:t>,</w:t>
      </w:r>
      <w:r w:rsidR="00987C9C" w:rsidRPr="009A79C1">
        <w:rPr>
          <w:color w:val="000000"/>
          <w:sz w:val="20"/>
          <w:szCs w:val="20"/>
        </w:rPr>
        <w:t xml:space="preserve"> and serves as the primary unit of accountability to the Executive Board for results alignment and res</w:t>
      </w:r>
      <w:r w:rsidRPr="009A79C1">
        <w:rPr>
          <w:color w:val="000000"/>
          <w:sz w:val="20"/>
          <w:szCs w:val="20"/>
        </w:rPr>
        <w:t>ources assigned to the program</w:t>
      </w:r>
      <w:r w:rsidR="00913BCE" w:rsidRPr="009A79C1">
        <w:rPr>
          <w:color w:val="000000"/>
          <w:sz w:val="20"/>
          <w:szCs w:val="20"/>
        </w:rPr>
        <w:t>me</w:t>
      </w:r>
      <w:r w:rsidR="00987C9C" w:rsidRPr="009A79C1">
        <w:rPr>
          <w:color w:val="000000"/>
          <w:sz w:val="20"/>
          <w:szCs w:val="20"/>
        </w:rPr>
        <w:t xml:space="preserve"> at country level. Accountabilities of managers at the country, regional and headquarter levels</w:t>
      </w:r>
      <w:r w:rsidR="00173415" w:rsidRPr="009A79C1">
        <w:rPr>
          <w:color w:val="000000"/>
          <w:sz w:val="20"/>
          <w:szCs w:val="20"/>
        </w:rPr>
        <w:t>,</w:t>
      </w:r>
      <w:r w:rsidR="00987C9C" w:rsidRPr="009A79C1">
        <w:rPr>
          <w:color w:val="000000"/>
          <w:sz w:val="20"/>
          <w:szCs w:val="20"/>
        </w:rPr>
        <w:t xml:space="preserve"> w</w:t>
      </w:r>
      <w:r w:rsidRPr="009A79C1">
        <w:rPr>
          <w:color w:val="000000"/>
          <w:sz w:val="20"/>
          <w:szCs w:val="20"/>
        </w:rPr>
        <w:t>ith respect to country program</w:t>
      </w:r>
      <w:r w:rsidR="00913BCE" w:rsidRPr="009A79C1">
        <w:rPr>
          <w:color w:val="000000"/>
          <w:sz w:val="20"/>
          <w:szCs w:val="20"/>
        </w:rPr>
        <w:t>me</w:t>
      </w:r>
      <w:r w:rsidR="00987C9C" w:rsidRPr="009A79C1">
        <w:rPr>
          <w:color w:val="000000"/>
          <w:sz w:val="20"/>
          <w:szCs w:val="20"/>
        </w:rPr>
        <w:t>s</w:t>
      </w:r>
      <w:r w:rsidR="00173415" w:rsidRPr="009A79C1">
        <w:rPr>
          <w:color w:val="000000"/>
          <w:sz w:val="20"/>
          <w:szCs w:val="20"/>
        </w:rPr>
        <w:t>,</w:t>
      </w:r>
      <w:r w:rsidR="00987C9C" w:rsidRPr="009A79C1">
        <w:rPr>
          <w:color w:val="000000"/>
          <w:sz w:val="20"/>
          <w:szCs w:val="20"/>
        </w:rPr>
        <w:t xml:space="preserve"> is prescribed in the </w:t>
      </w:r>
      <w:hyperlink r:id="rId12" w:history="1">
        <w:r w:rsidR="00987C9C" w:rsidRPr="009A79C1">
          <w:rPr>
            <w:color w:val="000000"/>
            <w:sz w:val="20"/>
            <w:szCs w:val="20"/>
          </w:rPr>
          <w:t>Programme and Operations Policies and Procedures</w:t>
        </w:r>
      </w:hyperlink>
      <w:r w:rsidR="00987C9C" w:rsidRPr="009A79C1">
        <w:rPr>
          <w:color w:val="000000"/>
          <w:sz w:val="20"/>
          <w:szCs w:val="20"/>
        </w:rPr>
        <w:t xml:space="preserve"> </w:t>
      </w:r>
      <w:r w:rsidR="00173415" w:rsidRPr="009A79C1">
        <w:rPr>
          <w:color w:val="000000"/>
          <w:sz w:val="20"/>
          <w:szCs w:val="20"/>
        </w:rPr>
        <w:t xml:space="preserve">of the organization, </w:t>
      </w:r>
      <w:r w:rsidR="00987C9C" w:rsidRPr="009A79C1">
        <w:rPr>
          <w:color w:val="000000"/>
          <w:sz w:val="20"/>
          <w:szCs w:val="20"/>
        </w:rPr>
        <w:t>and the I</w:t>
      </w:r>
      <w:hyperlink r:id="rId13" w:history="1">
        <w:r w:rsidR="00987C9C" w:rsidRPr="009A79C1">
          <w:rPr>
            <w:color w:val="000000"/>
            <w:sz w:val="20"/>
            <w:szCs w:val="20"/>
          </w:rPr>
          <w:t>nternal Control Framework</w:t>
        </w:r>
      </w:hyperlink>
      <w:r w:rsidR="00987C9C" w:rsidRPr="009A79C1">
        <w:rPr>
          <w:color w:val="000000"/>
          <w:sz w:val="20"/>
          <w:szCs w:val="20"/>
        </w:rPr>
        <w:t>.</w:t>
      </w:r>
      <w:r w:rsidR="00816CFE" w:rsidRPr="009A79C1">
        <w:rPr>
          <w:color w:val="000000"/>
          <w:sz w:val="20"/>
          <w:szCs w:val="20"/>
        </w:rPr>
        <w:t xml:space="preserve"> </w:t>
      </w:r>
      <w:r w:rsidR="00987C9C" w:rsidRPr="009A79C1">
        <w:rPr>
          <w:color w:val="000000"/>
          <w:sz w:val="20"/>
          <w:szCs w:val="20"/>
        </w:rPr>
        <w:t xml:space="preserve">In accordance with Executive Board decision DP/2-013/32, all direct costs associated with project implementation </w:t>
      </w:r>
      <w:r w:rsidR="00357A0E" w:rsidRPr="009A79C1">
        <w:rPr>
          <w:color w:val="000000"/>
          <w:sz w:val="20"/>
          <w:szCs w:val="20"/>
        </w:rPr>
        <w:t xml:space="preserve">will </w:t>
      </w:r>
      <w:r w:rsidR="00987C9C" w:rsidRPr="009A79C1">
        <w:rPr>
          <w:color w:val="000000"/>
          <w:sz w:val="20"/>
          <w:szCs w:val="20"/>
        </w:rPr>
        <w:t xml:space="preserve">be charged to concerned projects. </w:t>
      </w:r>
      <w:r w:rsidR="006E4370" w:rsidRPr="009A79C1">
        <w:rPr>
          <w:color w:val="000000"/>
          <w:sz w:val="20"/>
          <w:szCs w:val="20"/>
        </w:rPr>
        <w:t>In this respect, the office will have re</w:t>
      </w:r>
      <w:r w:rsidR="00357A0E" w:rsidRPr="009A79C1">
        <w:rPr>
          <w:color w:val="000000"/>
          <w:sz w:val="20"/>
          <w:szCs w:val="20"/>
        </w:rPr>
        <w:t>s</w:t>
      </w:r>
      <w:r w:rsidR="006E4370" w:rsidRPr="009A79C1">
        <w:rPr>
          <w:color w:val="000000"/>
          <w:sz w:val="20"/>
          <w:szCs w:val="20"/>
        </w:rPr>
        <w:t>our</w:t>
      </w:r>
      <w:r w:rsidR="00357A0E" w:rsidRPr="009A79C1">
        <w:rPr>
          <w:color w:val="000000"/>
          <w:sz w:val="20"/>
          <w:szCs w:val="20"/>
        </w:rPr>
        <w:t>c</w:t>
      </w:r>
      <w:r w:rsidR="006E4370" w:rsidRPr="009A79C1">
        <w:rPr>
          <w:color w:val="000000"/>
          <w:sz w:val="20"/>
          <w:szCs w:val="20"/>
        </w:rPr>
        <w:t>e</w:t>
      </w:r>
      <w:r w:rsidR="00357A0E" w:rsidRPr="009A79C1">
        <w:rPr>
          <w:color w:val="000000"/>
          <w:sz w:val="20"/>
          <w:szCs w:val="20"/>
        </w:rPr>
        <w:t xml:space="preserve">s </w:t>
      </w:r>
      <w:r w:rsidR="006E4370" w:rsidRPr="009A79C1">
        <w:rPr>
          <w:color w:val="000000"/>
          <w:sz w:val="20"/>
          <w:szCs w:val="20"/>
        </w:rPr>
        <w:t>to</w:t>
      </w:r>
      <w:r w:rsidR="00357A0E" w:rsidRPr="009A79C1">
        <w:rPr>
          <w:color w:val="000000"/>
          <w:sz w:val="20"/>
          <w:szCs w:val="20"/>
        </w:rPr>
        <w:t xml:space="preserve"> deploy</w:t>
      </w:r>
      <w:r w:rsidR="006E4370" w:rsidRPr="009A79C1">
        <w:rPr>
          <w:color w:val="000000"/>
          <w:sz w:val="20"/>
          <w:szCs w:val="20"/>
        </w:rPr>
        <w:t xml:space="preserve"> expertise </w:t>
      </w:r>
      <w:r w:rsidR="00357A0E" w:rsidRPr="009A79C1">
        <w:rPr>
          <w:color w:val="000000"/>
          <w:sz w:val="20"/>
          <w:szCs w:val="20"/>
        </w:rPr>
        <w:t xml:space="preserve">to </w:t>
      </w:r>
      <w:r w:rsidR="00D96014" w:rsidRPr="009A79C1">
        <w:rPr>
          <w:color w:val="000000"/>
          <w:sz w:val="20"/>
          <w:szCs w:val="20"/>
        </w:rPr>
        <w:t>effectively implement</w:t>
      </w:r>
      <w:r w:rsidR="00357A0E" w:rsidRPr="009A79C1">
        <w:rPr>
          <w:color w:val="000000"/>
          <w:sz w:val="20"/>
          <w:szCs w:val="20"/>
        </w:rPr>
        <w:t xml:space="preserve"> the country program</w:t>
      </w:r>
      <w:r w:rsidR="00913BCE" w:rsidRPr="009A79C1">
        <w:rPr>
          <w:color w:val="000000"/>
          <w:sz w:val="20"/>
          <w:szCs w:val="20"/>
        </w:rPr>
        <w:t>me</w:t>
      </w:r>
      <w:r w:rsidR="00357A0E" w:rsidRPr="009A79C1">
        <w:rPr>
          <w:color w:val="000000"/>
          <w:sz w:val="20"/>
          <w:szCs w:val="20"/>
        </w:rPr>
        <w:t>.</w:t>
      </w:r>
      <w:r w:rsidR="008A50EA" w:rsidRPr="009A79C1">
        <w:rPr>
          <w:color w:val="000000"/>
          <w:sz w:val="20"/>
          <w:szCs w:val="20"/>
        </w:rPr>
        <w:t xml:space="preserve"> UNDP will</w:t>
      </w:r>
      <w:r w:rsidR="0040325A">
        <w:rPr>
          <w:color w:val="000000"/>
          <w:sz w:val="20"/>
          <w:szCs w:val="20"/>
        </w:rPr>
        <w:t xml:space="preserve"> </w:t>
      </w:r>
      <w:r w:rsidR="008A50EA" w:rsidRPr="009A79C1">
        <w:rPr>
          <w:color w:val="000000"/>
          <w:sz w:val="20"/>
          <w:szCs w:val="20"/>
        </w:rPr>
        <w:t>review structures and procedures to ensure they are “fit for purpose” when implementing the program</w:t>
      </w:r>
      <w:r w:rsidR="00913BCE" w:rsidRPr="009A79C1">
        <w:rPr>
          <w:color w:val="000000"/>
          <w:sz w:val="20"/>
          <w:szCs w:val="20"/>
        </w:rPr>
        <w:t>me</w:t>
      </w:r>
      <w:r w:rsidR="00173415" w:rsidRPr="009A79C1">
        <w:rPr>
          <w:color w:val="000000"/>
          <w:sz w:val="20"/>
          <w:szCs w:val="20"/>
        </w:rPr>
        <w:t>,</w:t>
      </w:r>
      <w:r w:rsidR="008A50EA" w:rsidRPr="009A79C1">
        <w:rPr>
          <w:color w:val="000000"/>
          <w:sz w:val="20"/>
          <w:szCs w:val="20"/>
        </w:rPr>
        <w:t xml:space="preserve"> and agile enough to adapt to evolving contexts, U</w:t>
      </w:r>
      <w:r w:rsidR="00173415" w:rsidRPr="009A79C1">
        <w:rPr>
          <w:color w:val="000000"/>
          <w:sz w:val="20"/>
          <w:szCs w:val="20"/>
        </w:rPr>
        <w:t xml:space="preserve">nited </w:t>
      </w:r>
      <w:r w:rsidR="00510A53" w:rsidRPr="009A79C1">
        <w:rPr>
          <w:color w:val="000000"/>
          <w:sz w:val="20"/>
          <w:szCs w:val="20"/>
        </w:rPr>
        <w:t>N</w:t>
      </w:r>
      <w:r w:rsidR="00173415" w:rsidRPr="009A79C1">
        <w:rPr>
          <w:color w:val="000000"/>
          <w:sz w:val="20"/>
          <w:szCs w:val="20"/>
        </w:rPr>
        <w:t>ations</w:t>
      </w:r>
      <w:r w:rsidR="008A50EA" w:rsidRPr="009A79C1">
        <w:rPr>
          <w:color w:val="000000"/>
          <w:sz w:val="20"/>
          <w:szCs w:val="20"/>
        </w:rPr>
        <w:t xml:space="preserve"> reforms</w:t>
      </w:r>
      <w:r w:rsidR="00173415" w:rsidRPr="009A79C1">
        <w:rPr>
          <w:color w:val="000000"/>
          <w:sz w:val="20"/>
          <w:szCs w:val="20"/>
        </w:rPr>
        <w:t>,</w:t>
      </w:r>
      <w:r w:rsidR="008A50EA" w:rsidRPr="009A79C1">
        <w:rPr>
          <w:color w:val="000000"/>
          <w:sz w:val="20"/>
          <w:szCs w:val="20"/>
        </w:rPr>
        <w:t xml:space="preserve"> and the new UNDP strategic plan.</w:t>
      </w:r>
      <w:r w:rsidR="0068732A">
        <w:rPr>
          <w:color w:val="000000"/>
          <w:sz w:val="20"/>
          <w:szCs w:val="20"/>
        </w:rPr>
        <w:t xml:space="preserve"> </w:t>
      </w:r>
    </w:p>
    <w:p w14:paraId="3FAD7004" w14:textId="77777777" w:rsidR="007D2662" w:rsidRPr="00BA657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7BAF21CA" w14:textId="052499FB" w:rsidR="007D2662" w:rsidRPr="009A79C1" w:rsidRDefault="00B1440C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The </w:t>
      </w:r>
      <w:r w:rsidR="00913BCE" w:rsidRPr="009A79C1">
        <w:rPr>
          <w:color w:val="000000"/>
          <w:sz w:val="20"/>
          <w:szCs w:val="20"/>
        </w:rPr>
        <w:t>p</w:t>
      </w:r>
      <w:r w:rsidRPr="009A79C1">
        <w:rPr>
          <w:color w:val="000000"/>
          <w:sz w:val="20"/>
          <w:szCs w:val="20"/>
        </w:rPr>
        <w:t xml:space="preserve">rogramme will be nationally </w:t>
      </w:r>
      <w:r w:rsidR="00B456F7" w:rsidRPr="009A79C1">
        <w:rPr>
          <w:color w:val="000000"/>
          <w:sz w:val="20"/>
          <w:szCs w:val="20"/>
        </w:rPr>
        <w:t>executed and</w:t>
      </w:r>
      <w:r w:rsidR="00A063BB" w:rsidRPr="009A79C1">
        <w:rPr>
          <w:color w:val="000000"/>
          <w:sz w:val="20"/>
          <w:szCs w:val="20"/>
        </w:rPr>
        <w:t xml:space="preserve"> </w:t>
      </w:r>
      <w:r w:rsidR="00E80A6E" w:rsidRPr="009A79C1">
        <w:rPr>
          <w:color w:val="000000"/>
          <w:sz w:val="20"/>
          <w:szCs w:val="20"/>
        </w:rPr>
        <w:t xml:space="preserve">implemented within the broader framework of the </w:t>
      </w:r>
      <w:r w:rsidR="00913BCE" w:rsidRPr="009A79C1">
        <w:rPr>
          <w:color w:val="000000"/>
          <w:sz w:val="20"/>
          <w:szCs w:val="20"/>
        </w:rPr>
        <w:t>UNDAF</w:t>
      </w:r>
      <w:r w:rsidR="008E343C" w:rsidRPr="009A79C1">
        <w:rPr>
          <w:color w:val="000000"/>
          <w:sz w:val="20"/>
          <w:szCs w:val="20"/>
        </w:rPr>
        <w:t xml:space="preserve"> </w:t>
      </w:r>
      <w:r w:rsidR="00173415" w:rsidRPr="009A79C1">
        <w:rPr>
          <w:color w:val="000000"/>
          <w:sz w:val="20"/>
          <w:szCs w:val="20"/>
        </w:rPr>
        <w:t xml:space="preserve">for </w:t>
      </w:r>
      <w:r w:rsidR="00E80A6E" w:rsidRPr="009A79C1">
        <w:rPr>
          <w:color w:val="000000"/>
          <w:sz w:val="20"/>
          <w:szCs w:val="20"/>
        </w:rPr>
        <w:t>2018-202</w:t>
      </w:r>
      <w:r w:rsidR="00FA3560" w:rsidRPr="009A79C1">
        <w:rPr>
          <w:color w:val="000000"/>
          <w:sz w:val="20"/>
          <w:szCs w:val="20"/>
        </w:rPr>
        <w:t>0</w:t>
      </w:r>
      <w:r w:rsidR="00173415" w:rsidRPr="009A79C1">
        <w:rPr>
          <w:color w:val="000000"/>
          <w:sz w:val="20"/>
          <w:szCs w:val="20"/>
        </w:rPr>
        <w:t>. This will be done</w:t>
      </w:r>
      <w:r w:rsidR="00E80A6E" w:rsidRPr="009A79C1">
        <w:rPr>
          <w:color w:val="000000"/>
          <w:sz w:val="20"/>
          <w:szCs w:val="20"/>
        </w:rPr>
        <w:t xml:space="preserve"> in </w:t>
      </w:r>
      <w:r w:rsidR="00A063BB" w:rsidRPr="009A79C1">
        <w:rPr>
          <w:color w:val="000000"/>
          <w:sz w:val="20"/>
          <w:szCs w:val="20"/>
        </w:rPr>
        <w:t>collaboration with the Ministry for Development Cooperation and Aid Coordination</w:t>
      </w:r>
      <w:r w:rsidRPr="009A79C1">
        <w:rPr>
          <w:color w:val="000000"/>
          <w:sz w:val="20"/>
          <w:szCs w:val="20"/>
        </w:rPr>
        <w:t xml:space="preserve">. </w:t>
      </w:r>
      <w:r w:rsidR="00173415" w:rsidRPr="009A79C1">
        <w:rPr>
          <w:color w:val="000000"/>
          <w:sz w:val="20"/>
          <w:szCs w:val="20"/>
        </w:rPr>
        <w:t>Due to</w:t>
      </w:r>
      <w:r w:rsidR="00783525" w:rsidRPr="009A79C1">
        <w:rPr>
          <w:color w:val="000000"/>
          <w:sz w:val="20"/>
          <w:szCs w:val="20"/>
        </w:rPr>
        <w:t xml:space="preserve"> </w:t>
      </w:r>
      <w:r w:rsidR="00173415" w:rsidRPr="009A79C1">
        <w:rPr>
          <w:color w:val="000000"/>
          <w:sz w:val="20"/>
          <w:szCs w:val="20"/>
        </w:rPr>
        <w:t xml:space="preserve">growing </w:t>
      </w:r>
      <w:r w:rsidR="00065E30" w:rsidRPr="009A79C1">
        <w:rPr>
          <w:color w:val="000000"/>
          <w:sz w:val="20"/>
          <w:szCs w:val="20"/>
        </w:rPr>
        <w:t xml:space="preserve">public </w:t>
      </w:r>
      <w:r w:rsidR="000E4C8E" w:rsidRPr="009A79C1">
        <w:rPr>
          <w:color w:val="000000"/>
          <w:sz w:val="20"/>
          <w:szCs w:val="20"/>
        </w:rPr>
        <w:t xml:space="preserve">expectations and </w:t>
      </w:r>
      <w:r w:rsidR="00783525" w:rsidRPr="009A79C1">
        <w:rPr>
          <w:color w:val="000000"/>
          <w:sz w:val="20"/>
          <w:szCs w:val="20"/>
        </w:rPr>
        <w:t xml:space="preserve">demand </w:t>
      </w:r>
      <w:r w:rsidR="00173415" w:rsidRPr="009A79C1">
        <w:rPr>
          <w:color w:val="000000"/>
          <w:sz w:val="20"/>
          <w:szCs w:val="20"/>
        </w:rPr>
        <w:t xml:space="preserve">for </w:t>
      </w:r>
      <w:r w:rsidR="00783525" w:rsidRPr="009A79C1">
        <w:rPr>
          <w:color w:val="000000"/>
          <w:sz w:val="20"/>
          <w:szCs w:val="20"/>
        </w:rPr>
        <w:t xml:space="preserve">services </w:t>
      </w:r>
      <w:r w:rsidR="00173415" w:rsidRPr="009A79C1">
        <w:rPr>
          <w:color w:val="000000"/>
          <w:sz w:val="20"/>
          <w:szCs w:val="20"/>
        </w:rPr>
        <w:t xml:space="preserve">and </w:t>
      </w:r>
      <w:r w:rsidR="00251E34" w:rsidRPr="009A79C1">
        <w:rPr>
          <w:color w:val="000000"/>
          <w:sz w:val="20"/>
          <w:szCs w:val="20"/>
        </w:rPr>
        <w:t>implementation support</w:t>
      </w:r>
      <w:r w:rsidR="00783525" w:rsidRPr="009A79C1">
        <w:rPr>
          <w:color w:val="000000"/>
          <w:sz w:val="20"/>
          <w:szCs w:val="20"/>
        </w:rPr>
        <w:t xml:space="preserve">, UNDP will </w:t>
      </w:r>
      <w:r w:rsidR="00ED0BB4" w:rsidRPr="009A79C1">
        <w:rPr>
          <w:color w:val="000000"/>
          <w:sz w:val="20"/>
          <w:szCs w:val="20"/>
        </w:rPr>
        <w:t xml:space="preserve">support </w:t>
      </w:r>
      <w:r w:rsidR="00173415" w:rsidRPr="009A79C1">
        <w:rPr>
          <w:color w:val="000000"/>
          <w:sz w:val="20"/>
          <w:szCs w:val="20"/>
        </w:rPr>
        <w:t xml:space="preserve">the </w:t>
      </w:r>
      <w:r w:rsidR="00D76908" w:rsidRPr="009A79C1">
        <w:rPr>
          <w:color w:val="000000"/>
          <w:sz w:val="20"/>
          <w:szCs w:val="20"/>
        </w:rPr>
        <w:t xml:space="preserve">implementation of </w:t>
      </w:r>
      <w:r w:rsidR="00783525" w:rsidRPr="009A79C1">
        <w:rPr>
          <w:color w:val="000000"/>
          <w:sz w:val="20"/>
          <w:szCs w:val="20"/>
        </w:rPr>
        <w:t>program</w:t>
      </w:r>
      <w:r w:rsidR="00913BCE" w:rsidRPr="009A79C1">
        <w:rPr>
          <w:color w:val="000000"/>
          <w:sz w:val="20"/>
          <w:szCs w:val="20"/>
        </w:rPr>
        <w:t>me</w:t>
      </w:r>
      <w:r w:rsidR="00783525" w:rsidRPr="009A79C1">
        <w:rPr>
          <w:color w:val="000000"/>
          <w:sz w:val="20"/>
          <w:szCs w:val="20"/>
        </w:rPr>
        <w:t xml:space="preserve">s </w:t>
      </w:r>
      <w:r w:rsidR="00173415" w:rsidRPr="009A79C1">
        <w:rPr>
          <w:color w:val="000000"/>
          <w:sz w:val="20"/>
          <w:szCs w:val="20"/>
        </w:rPr>
        <w:t xml:space="preserve">that are </w:t>
      </w:r>
      <w:r w:rsidR="00783525" w:rsidRPr="009A79C1">
        <w:rPr>
          <w:color w:val="000000"/>
          <w:sz w:val="20"/>
          <w:szCs w:val="20"/>
        </w:rPr>
        <w:t>financed</w:t>
      </w:r>
      <w:r w:rsidR="00173415" w:rsidRPr="009A79C1">
        <w:rPr>
          <w:color w:val="000000"/>
          <w:sz w:val="20"/>
          <w:szCs w:val="20"/>
        </w:rPr>
        <w:t xml:space="preserve"> </w:t>
      </w:r>
      <w:r w:rsidR="00783525" w:rsidRPr="009A79C1">
        <w:rPr>
          <w:color w:val="000000"/>
          <w:sz w:val="20"/>
          <w:szCs w:val="20"/>
        </w:rPr>
        <w:t xml:space="preserve">by </w:t>
      </w:r>
      <w:r w:rsidR="00173415" w:rsidRPr="009A79C1">
        <w:rPr>
          <w:color w:val="000000"/>
          <w:sz w:val="20"/>
          <w:szCs w:val="20"/>
        </w:rPr>
        <w:t xml:space="preserve">the </w:t>
      </w:r>
      <w:r w:rsidR="00783525" w:rsidRPr="009A79C1">
        <w:rPr>
          <w:color w:val="000000"/>
          <w:sz w:val="20"/>
          <w:szCs w:val="20"/>
        </w:rPr>
        <w:t xml:space="preserve">government. </w:t>
      </w:r>
      <w:r w:rsidRPr="009A79C1">
        <w:rPr>
          <w:color w:val="000000"/>
          <w:sz w:val="20"/>
          <w:szCs w:val="20"/>
        </w:rPr>
        <w:t>Projects will use the most appropriate modalit</w:t>
      </w:r>
      <w:r w:rsidR="00173415" w:rsidRPr="009A79C1">
        <w:rPr>
          <w:color w:val="000000"/>
          <w:sz w:val="20"/>
          <w:szCs w:val="20"/>
        </w:rPr>
        <w:t>ies</w:t>
      </w:r>
      <w:r w:rsidRPr="009A79C1">
        <w:rPr>
          <w:color w:val="000000"/>
          <w:sz w:val="20"/>
          <w:szCs w:val="20"/>
        </w:rPr>
        <w:t xml:space="preserve"> to ensure the effective and efficient delivery</w:t>
      </w:r>
      <w:r w:rsidR="00173415" w:rsidRPr="009A79C1">
        <w:rPr>
          <w:color w:val="000000"/>
          <w:sz w:val="20"/>
          <w:szCs w:val="20"/>
        </w:rPr>
        <w:t xml:space="preserve"> of tools and services,</w:t>
      </w:r>
      <w:r w:rsidR="00E87EE2" w:rsidRPr="009A79C1">
        <w:rPr>
          <w:color w:val="000000"/>
          <w:sz w:val="20"/>
          <w:szCs w:val="20"/>
        </w:rPr>
        <w:t xml:space="preserve"> and sustainability of results.</w:t>
      </w:r>
      <w:r w:rsidRPr="009A79C1">
        <w:rPr>
          <w:color w:val="000000"/>
          <w:sz w:val="20"/>
          <w:szCs w:val="20"/>
        </w:rPr>
        <w:t xml:space="preserve">  Direct implementation will be used to safeguard UNDP accountability in </w:t>
      </w:r>
      <w:r w:rsidR="00A04187" w:rsidRPr="009A79C1">
        <w:rPr>
          <w:color w:val="000000"/>
          <w:sz w:val="20"/>
          <w:szCs w:val="20"/>
        </w:rPr>
        <w:t xml:space="preserve">all </w:t>
      </w:r>
      <w:r w:rsidR="00E87EE2" w:rsidRPr="009A79C1">
        <w:rPr>
          <w:color w:val="000000"/>
          <w:sz w:val="20"/>
          <w:szCs w:val="20"/>
        </w:rPr>
        <w:t>complex</w:t>
      </w:r>
      <w:r w:rsidR="00510A53" w:rsidRPr="009A79C1">
        <w:rPr>
          <w:color w:val="000000"/>
          <w:sz w:val="20"/>
          <w:szCs w:val="20"/>
        </w:rPr>
        <w:t xml:space="preserve"> </w:t>
      </w:r>
      <w:r w:rsidR="00E87EE2" w:rsidRPr="009A79C1">
        <w:rPr>
          <w:color w:val="000000"/>
          <w:sz w:val="20"/>
          <w:szCs w:val="20"/>
        </w:rPr>
        <w:t>programming</w:t>
      </w:r>
      <w:r w:rsidRPr="009A79C1">
        <w:rPr>
          <w:color w:val="000000"/>
          <w:sz w:val="20"/>
          <w:szCs w:val="20"/>
        </w:rPr>
        <w:t xml:space="preserve"> situations. </w:t>
      </w:r>
    </w:p>
    <w:p w14:paraId="08B04882" w14:textId="77777777" w:rsidR="007D2662" w:rsidRPr="00BA657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6DDA5C18" w14:textId="3DF818B9" w:rsidR="007D2662" w:rsidRPr="009A79C1" w:rsidRDefault="00D81684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Resources will be made available </w:t>
      </w:r>
      <w:r w:rsidR="006E15D7">
        <w:rPr>
          <w:color w:val="000000"/>
          <w:sz w:val="20"/>
          <w:szCs w:val="20"/>
        </w:rPr>
        <w:t>through</w:t>
      </w:r>
      <w:r w:rsidR="00103A25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 xml:space="preserve">the systematic use of the Harmonized Approach to Cash Transfers (HACT), </w:t>
      </w:r>
      <w:r w:rsidR="00FE4D03" w:rsidRPr="009A79C1">
        <w:rPr>
          <w:color w:val="000000"/>
          <w:sz w:val="20"/>
          <w:szCs w:val="20"/>
        </w:rPr>
        <w:t xml:space="preserve">and </w:t>
      </w:r>
      <w:r w:rsidRPr="009A79C1">
        <w:rPr>
          <w:color w:val="000000"/>
          <w:sz w:val="20"/>
          <w:szCs w:val="20"/>
        </w:rPr>
        <w:t>in coordination with other U</w:t>
      </w:r>
      <w:r w:rsidR="00173415" w:rsidRPr="009A79C1">
        <w:rPr>
          <w:color w:val="000000"/>
          <w:sz w:val="20"/>
          <w:szCs w:val="20"/>
        </w:rPr>
        <w:t>nited Nations organizations</w:t>
      </w:r>
      <w:r w:rsidRPr="009A79C1">
        <w:rPr>
          <w:color w:val="000000"/>
          <w:sz w:val="20"/>
          <w:szCs w:val="20"/>
        </w:rPr>
        <w:t xml:space="preserve"> to manage fiduciary risks. </w:t>
      </w:r>
      <w:r w:rsidR="006C6B85" w:rsidRPr="009A79C1">
        <w:rPr>
          <w:color w:val="000000"/>
          <w:sz w:val="20"/>
          <w:szCs w:val="20"/>
        </w:rPr>
        <w:t>UNDP</w:t>
      </w:r>
      <w:r w:rsidRPr="009A79C1">
        <w:rPr>
          <w:color w:val="000000"/>
          <w:sz w:val="20"/>
          <w:szCs w:val="20"/>
        </w:rPr>
        <w:t xml:space="preserve"> will strengthen the capacities of national execution partners</w:t>
      </w:r>
      <w:r w:rsidR="008A50EA" w:rsidRPr="009A79C1">
        <w:rPr>
          <w:color w:val="000000"/>
          <w:sz w:val="20"/>
          <w:szCs w:val="20"/>
        </w:rPr>
        <w:t xml:space="preserve"> and develop exit strategies</w:t>
      </w:r>
      <w:r w:rsidR="0040325A">
        <w:rPr>
          <w:color w:val="000000"/>
          <w:sz w:val="20"/>
          <w:szCs w:val="20"/>
        </w:rPr>
        <w:t xml:space="preserve"> plans.</w:t>
      </w:r>
      <w:r w:rsidRPr="009A79C1">
        <w:rPr>
          <w:color w:val="000000"/>
          <w:sz w:val="20"/>
          <w:szCs w:val="20"/>
        </w:rPr>
        <w:t xml:space="preserve"> </w:t>
      </w:r>
    </w:p>
    <w:p w14:paraId="6D0BFFC0" w14:textId="77777777" w:rsidR="007D2662" w:rsidRPr="00BA657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12"/>
          <w:szCs w:val="12"/>
        </w:rPr>
      </w:pPr>
    </w:p>
    <w:p w14:paraId="005F4C7C" w14:textId="4E189F65" w:rsidR="00510A53" w:rsidRPr="009A79C1" w:rsidRDefault="00913BCE" w:rsidP="00307DE8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>The m</w:t>
      </w:r>
      <w:r w:rsidR="001E5451" w:rsidRPr="009A79C1">
        <w:rPr>
          <w:color w:val="000000"/>
          <w:sz w:val="20"/>
          <w:szCs w:val="20"/>
        </w:rPr>
        <w:t>ain risks include</w:t>
      </w:r>
      <w:r w:rsidR="00F23C2D" w:rsidRPr="009A79C1">
        <w:rPr>
          <w:color w:val="000000"/>
          <w:sz w:val="20"/>
          <w:szCs w:val="20"/>
        </w:rPr>
        <w:t xml:space="preserve">: </w:t>
      </w:r>
      <w:r w:rsidR="00AA2E55" w:rsidRPr="009A79C1">
        <w:rPr>
          <w:color w:val="000000"/>
          <w:sz w:val="20"/>
          <w:szCs w:val="20"/>
        </w:rPr>
        <w:t>(i)</w:t>
      </w:r>
      <w:r w:rsidR="00186712" w:rsidRPr="009A79C1">
        <w:rPr>
          <w:color w:val="000000"/>
          <w:sz w:val="20"/>
          <w:szCs w:val="20"/>
        </w:rPr>
        <w:t> </w:t>
      </w:r>
      <w:r w:rsidR="001E5451" w:rsidRPr="009A79C1">
        <w:rPr>
          <w:color w:val="000000"/>
          <w:sz w:val="20"/>
          <w:szCs w:val="20"/>
        </w:rPr>
        <w:t xml:space="preserve">insecurity </w:t>
      </w:r>
      <w:r w:rsidR="00FE4D03" w:rsidRPr="009A79C1">
        <w:rPr>
          <w:color w:val="000000"/>
          <w:sz w:val="20"/>
          <w:szCs w:val="20"/>
        </w:rPr>
        <w:t>caused by</w:t>
      </w:r>
      <w:r w:rsidR="00E87EE2" w:rsidRPr="009A79C1">
        <w:rPr>
          <w:color w:val="000000"/>
          <w:sz w:val="20"/>
          <w:szCs w:val="20"/>
        </w:rPr>
        <w:t xml:space="preserve"> </w:t>
      </w:r>
      <w:r w:rsidR="001E5451" w:rsidRPr="009A79C1">
        <w:rPr>
          <w:color w:val="000000"/>
          <w:sz w:val="20"/>
          <w:szCs w:val="20"/>
        </w:rPr>
        <w:t>extrem</w:t>
      </w:r>
      <w:r w:rsidR="00DD0F5B" w:rsidRPr="009A79C1">
        <w:rPr>
          <w:color w:val="000000"/>
          <w:sz w:val="20"/>
          <w:szCs w:val="20"/>
        </w:rPr>
        <w:t>ist</w:t>
      </w:r>
      <w:r w:rsidRPr="009A79C1">
        <w:rPr>
          <w:color w:val="000000"/>
          <w:sz w:val="20"/>
          <w:szCs w:val="20"/>
        </w:rPr>
        <w:t xml:space="preserve"> </w:t>
      </w:r>
      <w:r w:rsidR="001E5451" w:rsidRPr="009A79C1">
        <w:rPr>
          <w:color w:val="000000"/>
          <w:sz w:val="20"/>
          <w:szCs w:val="20"/>
        </w:rPr>
        <w:t>group</w:t>
      </w:r>
      <w:r w:rsidRPr="009A79C1">
        <w:rPr>
          <w:color w:val="000000"/>
          <w:sz w:val="20"/>
          <w:szCs w:val="20"/>
        </w:rPr>
        <w:t>s</w:t>
      </w:r>
      <w:r w:rsidR="00FE4D03" w:rsidRPr="009A79C1">
        <w:rPr>
          <w:color w:val="000000"/>
          <w:sz w:val="20"/>
          <w:szCs w:val="20"/>
        </w:rPr>
        <w:t>,</w:t>
      </w:r>
      <w:r w:rsidR="00F23C2D" w:rsidRPr="009A79C1">
        <w:rPr>
          <w:color w:val="000000"/>
          <w:sz w:val="20"/>
          <w:szCs w:val="20"/>
        </w:rPr>
        <w:t xml:space="preserve"> </w:t>
      </w:r>
      <w:r w:rsidR="00816CFE" w:rsidRPr="009A79C1">
        <w:rPr>
          <w:color w:val="000000"/>
          <w:sz w:val="20"/>
          <w:szCs w:val="20"/>
        </w:rPr>
        <w:t>(ii</w:t>
      </w:r>
      <w:r w:rsidR="001E5451" w:rsidRPr="009A79C1">
        <w:rPr>
          <w:color w:val="000000"/>
          <w:sz w:val="20"/>
          <w:szCs w:val="20"/>
        </w:rPr>
        <w:t>) natural disasters (floods and drought)</w:t>
      </w:r>
      <w:r w:rsidR="00FE4D03" w:rsidRPr="009A79C1">
        <w:rPr>
          <w:color w:val="000000"/>
          <w:sz w:val="20"/>
          <w:szCs w:val="20"/>
        </w:rPr>
        <w:t>,</w:t>
      </w:r>
      <w:r w:rsidR="001E5451" w:rsidRPr="009A79C1">
        <w:rPr>
          <w:color w:val="000000"/>
          <w:sz w:val="20"/>
          <w:szCs w:val="20"/>
        </w:rPr>
        <w:t xml:space="preserve"> a</w:t>
      </w:r>
      <w:r w:rsidR="006E15D7">
        <w:rPr>
          <w:color w:val="000000"/>
          <w:sz w:val="20"/>
          <w:szCs w:val="20"/>
        </w:rPr>
        <w:t>nd (iii) insufficient resources, difficulties, in mobilizing</w:t>
      </w:r>
      <w:r w:rsidR="00214A33" w:rsidRPr="009A79C1">
        <w:rPr>
          <w:color w:val="000000"/>
          <w:sz w:val="20"/>
          <w:szCs w:val="20"/>
        </w:rPr>
        <w:t xml:space="preserve"> adequate resources </w:t>
      </w:r>
      <w:r w:rsidR="001E5451" w:rsidRPr="009A79C1">
        <w:rPr>
          <w:color w:val="000000"/>
          <w:sz w:val="20"/>
          <w:szCs w:val="20"/>
        </w:rPr>
        <w:t>due</w:t>
      </w:r>
      <w:r w:rsidR="00214A33" w:rsidRPr="009A79C1">
        <w:rPr>
          <w:color w:val="000000"/>
          <w:sz w:val="20"/>
          <w:szCs w:val="20"/>
        </w:rPr>
        <w:t xml:space="preserve"> to</w:t>
      </w:r>
      <w:r w:rsidR="001E5451" w:rsidRPr="009A79C1">
        <w:rPr>
          <w:color w:val="000000"/>
          <w:sz w:val="20"/>
          <w:szCs w:val="20"/>
        </w:rPr>
        <w:t xml:space="preserve"> shifting partner priorities</w:t>
      </w:r>
      <w:r w:rsidR="00816CFE" w:rsidRPr="009A79C1">
        <w:rPr>
          <w:color w:val="000000"/>
          <w:sz w:val="20"/>
          <w:szCs w:val="20"/>
        </w:rPr>
        <w:t>.</w:t>
      </w:r>
      <w:r w:rsidR="00C35D67" w:rsidRPr="009A79C1">
        <w:rPr>
          <w:color w:val="000000"/>
          <w:sz w:val="20"/>
          <w:szCs w:val="20"/>
        </w:rPr>
        <w:t xml:space="preserve"> </w:t>
      </w:r>
    </w:p>
    <w:p w14:paraId="6305DB88" w14:textId="77777777" w:rsidR="00510A53" w:rsidRPr="00BA6579" w:rsidRDefault="00510A53" w:rsidP="00307DE8">
      <w:pPr>
        <w:pStyle w:val="ListParagraph"/>
        <w:tabs>
          <w:tab w:val="left" w:pos="1530"/>
        </w:tabs>
        <w:ind w:left="1170"/>
        <w:rPr>
          <w:color w:val="000000"/>
          <w:sz w:val="12"/>
          <w:szCs w:val="12"/>
        </w:rPr>
      </w:pPr>
    </w:p>
    <w:p w14:paraId="72C3C9DF" w14:textId="1E64F631" w:rsidR="00961491" w:rsidRPr="009A79C1" w:rsidRDefault="00050F0A" w:rsidP="00095F22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>To mitigate risks</w:t>
      </w:r>
      <w:r w:rsidR="000755B3" w:rsidRPr="009A79C1">
        <w:rPr>
          <w:color w:val="000000"/>
          <w:sz w:val="20"/>
          <w:szCs w:val="20"/>
        </w:rPr>
        <w:t xml:space="preserve"> related to extremism</w:t>
      </w:r>
      <w:r w:rsidRPr="009A79C1">
        <w:rPr>
          <w:color w:val="000000"/>
          <w:sz w:val="20"/>
          <w:szCs w:val="20"/>
        </w:rPr>
        <w:t xml:space="preserve">, </w:t>
      </w:r>
      <w:r w:rsidR="008434DA" w:rsidRPr="009A79C1">
        <w:rPr>
          <w:color w:val="000000"/>
          <w:sz w:val="20"/>
          <w:szCs w:val="20"/>
        </w:rPr>
        <w:t xml:space="preserve">UNDP </w:t>
      </w:r>
      <w:r w:rsidR="00913BCE" w:rsidRPr="009A79C1">
        <w:rPr>
          <w:color w:val="000000"/>
          <w:sz w:val="20"/>
          <w:szCs w:val="20"/>
        </w:rPr>
        <w:t>is including security sector reform</w:t>
      </w:r>
      <w:r w:rsidR="000755B3" w:rsidRPr="009A79C1">
        <w:rPr>
          <w:color w:val="000000"/>
          <w:sz w:val="20"/>
          <w:szCs w:val="20"/>
        </w:rPr>
        <w:t xml:space="preserve">, youth employment and sustaining peace </w:t>
      </w:r>
      <w:r w:rsidR="00913BCE" w:rsidRPr="009A79C1">
        <w:rPr>
          <w:color w:val="000000"/>
          <w:sz w:val="20"/>
          <w:szCs w:val="20"/>
        </w:rPr>
        <w:t xml:space="preserve">as </w:t>
      </w:r>
      <w:r w:rsidR="000755B3" w:rsidRPr="009A79C1">
        <w:rPr>
          <w:color w:val="000000"/>
          <w:sz w:val="20"/>
          <w:szCs w:val="20"/>
        </w:rPr>
        <w:t xml:space="preserve">priorities </w:t>
      </w:r>
      <w:r w:rsidR="00FE4D03" w:rsidRPr="009A79C1">
        <w:rPr>
          <w:color w:val="000000"/>
          <w:sz w:val="20"/>
          <w:szCs w:val="20"/>
        </w:rPr>
        <w:t xml:space="preserve">for </w:t>
      </w:r>
      <w:r w:rsidR="000755B3" w:rsidRPr="009A79C1">
        <w:rPr>
          <w:color w:val="000000"/>
          <w:sz w:val="20"/>
          <w:szCs w:val="20"/>
        </w:rPr>
        <w:t>this</w:t>
      </w:r>
      <w:r w:rsidR="00913BCE" w:rsidRPr="009A79C1">
        <w:rPr>
          <w:color w:val="000000"/>
          <w:sz w:val="20"/>
          <w:szCs w:val="20"/>
        </w:rPr>
        <w:t xml:space="preserve"> programme. </w:t>
      </w:r>
      <w:r w:rsidR="00FE4D03" w:rsidRPr="009A79C1">
        <w:rPr>
          <w:color w:val="000000"/>
          <w:sz w:val="20"/>
          <w:szCs w:val="20"/>
        </w:rPr>
        <w:t xml:space="preserve">With regards to </w:t>
      </w:r>
      <w:r w:rsidR="00430A27" w:rsidRPr="009A79C1">
        <w:rPr>
          <w:color w:val="000000"/>
          <w:sz w:val="20"/>
          <w:szCs w:val="20"/>
        </w:rPr>
        <w:t>resource and partnership</w:t>
      </w:r>
      <w:r w:rsidR="00510A53" w:rsidRPr="009A79C1">
        <w:rPr>
          <w:color w:val="000000"/>
          <w:sz w:val="20"/>
          <w:szCs w:val="20"/>
        </w:rPr>
        <w:t>-related risk</w:t>
      </w:r>
      <w:r w:rsidR="00FE4D03" w:rsidRPr="009A79C1">
        <w:rPr>
          <w:color w:val="000000"/>
          <w:sz w:val="20"/>
          <w:szCs w:val="20"/>
        </w:rPr>
        <w:t>s</w:t>
      </w:r>
      <w:r w:rsidR="000755B3" w:rsidRPr="009A79C1">
        <w:rPr>
          <w:color w:val="000000"/>
          <w:sz w:val="20"/>
          <w:szCs w:val="20"/>
        </w:rPr>
        <w:t xml:space="preserve">, </w:t>
      </w:r>
      <w:r w:rsidR="008434DA" w:rsidRPr="009A79C1">
        <w:rPr>
          <w:color w:val="000000"/>
          <w:sz w:val="20"/>
          <w:szCs w:val="20"/>
        </w:rPr>
        <w:t xml:space="preserve">UNDP will use </w:t>
      </w:r>
      <w:r w:rsidR="00430A27" w:rsidRPr="009A79C1">
        <w:rPr>
          <w:color w:val="000000"/>
          <w:sz w:val="20"/>
          <w:szCs w:val="20"/>
        </w:rPr>
        <w:t xml:space="preserve">risk </w:t>
      </w:r>
      <w:r w:rsidR="008434DA" w:rsidRPr="009A79C1">
        <w:rPr>
          <w:color w:val="000000"/>
          <w:sz w:val="20"/>
          <w:szCs w:val="20"/>
        </w:rPr>
        <w:t>monitoring as a tool for producing reports</w:t>
      </w:r>
      <w:r w:rsidR="00FE283D" w:rsidRPr="009A79C1">
        <w:rPr>
          <w:color w:val="000000"/>
          <w:sz w:val="20"/>
          <w:szCs w:val="20"/>
        </w:rPr>
        <w:t xml:space="preserve">, </w:t>
      </w:r>
      <w:r w:rsidR="008434DA" w:rsidRPr="009A79C1">
        <w:rPr>
          <w:color w:val="000000"/>
          <w:sz w:val="20"/>
          <w:szCs w:val="20"/>
        </w:rPr>
        <w:t>decision-making</w:t>
      </w:r>
      <w:r w:rsidR="00FE283D" w:rsidRPr="009A79C1">
        <w:rPr>
          <w:color w:val="000000"/>
          <w:sz w:val="20"/>
          <w:szCs w:val="20"/>
        </w:rPr>
        <w:t>,</w:t>
      </w:r>
      <w:r w:rsidR="0045094A" w:rsidRPr="009A79C1">
        <w:rPr>
          <w:color w:val="000000"/>
          <w:sz w:val="20"/>
          <w:szCs w:val="20"/>
        </w:rPr>
        <w:t xml:space="preserve"> and</w:t>
      </w:r>
      <w:r w:rsidR="00FE283D" w:rsidRPr="009A79C1">
        <w:rPr>
          <w:color w:val="000000"/>
          <w:sz w:val="20"/>
          <w:szCs w:val="20"/>
        </w:rPr>
        <w:t xml:space="preserve"> to</w:t>
      </w:r>
      <w:r w:rsidR="00162780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diversify its partnership and resource</w:t>
      </w:r>
      <w:r w:rsidR="00510A53" w:rsidRPr="009A79C1">
        <w:rPr>
          <w:color w:val="000000"/>
          <w:sz w:val="20"/>
          <w:szCs w:val="20"/>
        </w:rPr>
        <w:t>-</w:t>
      </w:r>
      <w:r w:rsidRPr="009A79C1">
        <w:rPr>
          <w:color w:val="000000"/>
          <w:sz w:val="20"/>
          <w:szCs w:val="20"/>
        </w:rPr>
        <w:t>mobilization strategy by</w:t>
      </w:r>
      <w:r w:rsidR="00214A33" w:rsidRPr="009A79C1">
        <w:rPr>
          <w:color w:val="000000"/>
          <w:sz w:val="20"/>
          <w:szCs w:val="20"/>
        </w:rPr>
        <w:t xml:space="preserve"> </w:t>
      </w:r>
      <w:r w:rsidR="0045094A" w:rsidRPr="009A79C1">
        <w:rPr>
          <w:color w:val="000000"/>
          <w:sz w:val="20"/>
          <w:szCs w:val="20"/>
        </w:rPr>
        <w:t xml:space="preserve">fostering engagement with </w:t>
      </w:r>
      <w:r w:rsidR="00FE283D" w:rsidRPr="009A79C1">
        <w:rPr>
          <w:color w:val="000000"/>
          <w:sz w:val="20"/>
          <w:szCs w:val="20"/>
        </w:rPr>
        <w:t xml:space="preserve">the </w:t>
      </w:r>
      <w:r w:rsidRPr="009A79C1">
        <w:rPr>
          <w:color w:val="000000"/>
          <w:sz w:val="20"/>
          <w:szCs w:val="20"/>
        </w:rPr>
        <w:t>private sector</w:t>
      </w:r>
      <w:r w:rsidR="00DA2FF6" w:rsidRPr="009A79C1">
        <w:rPr>
          <w:color w:val="000000"/>
          <w:sz w:val="20"/>
          <w:szCs w:val="20"/>
        </w:rPr>
        <w:t xml:space="preserve"> (mainly mining corporations to promote corporate </w:t>
      </w:r>
      <w:r w:rsidR="005F010F" w:rsidRPr="009A79C1">
        <w:rPr>
          <w:color w:val="000000"/>
          <w:sz w:val="20"/>
          <w:szCs w:val="20"/>
        </w:rPr>
        <w:t xml:space="preserve">social </w:t>
      </w:r>
      <w:r w:rsidR="00DA2FF6" w:rsidRPr="009A79C1">
        <w:rPr>
          <w:color w:val="000000"/>
          <w:sz w:val="20"/>
          <w:szCs w:val="20"/>
        </w:rPr>
        <w:t xml:space="preserve">responsibility and </w:t>
      </w:r>
      <w:r w:rsidR="00FE283D" w:rsidRPr="009A79C1">
        <w:rPr>
          <w:color w:val="000000"/>
          <w:sz w:val="20"/>
          <w:szCs w:val="20"/>
        </w:rPr>
        <w:t>influence</w:t>
      </w:r>
      <w:r w:rsidR="00DA2FF6" w:rsidRPr="009A79C1">
        <w:rPr>
          <w:color w:val="000000"/>
          <w:sz w:val="20"/>
          <w:szCs w:val="20"/>
        </w:rPr>
        <w:t xml:space="preserve"> investments in favor of local communities)</w:t>
      </w:r>
      <w:r w:rsidRPr="009A79C1">
        <w:rPr>
          <w:color w:val="000000"/>
          <w:sz w:val="20"/>
          <w:szCs w:val="20"/>
        </w:rPr>
        <w:t>, foundations</w:t>
      </w:r>
      <w:r w:rsidR="00F57FED" w:rsidRPr="009A79C1">
        <w:rPr>
          <w:color w:val="000000"/>
          <w:sz w:val="20"/>
          <w:szCs w:val="20"/>
        </w:rPr>
        <w:t xml:space="preserve"> </w:t>
      </w:r>
      <w:r w:rsidR="00FE283D" w:rsidRPr="009A79C1">
        <w:rPr>
          <w:color w:val="000000"/>
          <w:sz w:val="20"/>
          <w:szCs w:val="20"/>
        </w:rPr>
        <w:t xml:space="preserve">and </w:t>
      </w:r>
      <w:r w:rsidRPr="009A79C1">
        <w:rPr>
          <w:color w:val="000000"/>
          <w:sz w:val="20"/>
          <w:szCs w:val="20"/>
        </w:rPr>
        <w:t xml:space="preserve">international financial institutions. </w:t>
      </w:r>
      <w:r w:rsidR="00FE283D" w:rsidRPr="009A79C1">
        <w:rPr>
          <w:color w:val="000000"/>
          <w:sz w:val="20"/>
          <w:szCs w:val="20"/>
        </w:rPr>
        <w:t xml:space="preserve">This </w:t>
      </w:r>
      <w:r w:rsidRPr="009A79C1">
        <w:rPr>
          <w:color w:val="000000"/>
          <w:sz w:val="20"/>
          <w:szCs w:val="20"/>
        </w:rPr>
        <w:t xml:space="preserve">will </w:t>
      </w:r>
      <w:r w:rsidR="00FE283D" w:rsidRPr="009A79C1">
        <w:rPr>
          <w:color w:val="000000"/>
          <w:sz w:val="20"/>
          <w:szCs w:val="20"/>
        </w:rPr>
        <w:t xml:space="preserve">prompt </w:t>
      </w:r>
      <w:r w:rsidRPr="009A79C1">
        <w:rPr>
          <w:color w:val="000000"/>
          <w:sz w:val="20"/>
          <w:szCs w:val="20"/>
        </w:rPr>
        <w:t xml:space="preserve">greater respect </w:t>
      </w:r>
      <w:r w:rsidR="00FE283D" w:rsidRPr="009A79C1">
        <w:rPr>
          <w:color w:val="000000"/>
          <w:sz w:val="20"/>
          <w:szCs w:val="20"/>
        </w:rPr>
        <w:t xml:space="preserve">for </w:t>
      </w:r>
      <w:r w:rsidRPr="009A79C1">
        <w:rPr>
          <w:color w:val="000000"/>
          <w:sz w:val="20"/>
          <w:szCs w:val="20"/>
        </w:rPr>
        <w:t>contractual clauses and strengthen strategic communication</w:t>
      </w:r>
      <w:r w:rsidR="00FE283D" w:rsidRPr="009A79C1">
        <w:rPr>
          <w:color w:val="000000"/>
          <w:sz w:val="20"/>
          <w:szCs w:val="20"/>
        </w:rPr>
        <w:t xml:space="preserve"> by </w:t>
      </w:r>
      <w:r w:rsidRPr="009A79C1">
        <w:rPr>
          <w:color w:val="000000"/>
          <w:sz w:val="20"/>
          <w:szCs w:val="20"/>
        </w:rPr>
        <w:t xml:space="preserve">placing greater importance on </w:t>
      </w:r>
      <w:r w:rsidR="00FE283D" w:rsidRPr="009A79C1">
        <w:rPr>
          <w:color w:val="000000"/>
          <w:sz w:val="20"/>
          <w:szCs w:val="20"/>
        </w:rPr>
        <w:t xml:space="preserve">the </w:t>
      </w:r>
      <w:r w:rsidR="00214A33" w:rsidRPr="009A79C1">
        <w:rPr>
          <w:color w:val="000000"/>
          <w:sz w:val="20"/>
          <w:szCs w:val="20"/>
        </w:rPr>
        <w:t xml:space="preserve">visibility of </w:t>
      </w:r>
      <w:r w:rsidR="007D2662" w:rsidRPr="009A79C1">
        <w:rPr>
          <w:color w:val="000000"/>
          <w:sz w:val="20"/>
          <w:szCs w:val="20"/>
        </w:rPr>
        <w:t>results.</w:t>
      </w:r>
    </w:p>
    <w:p w14:paraId="544320B2" w14:textId="0298F0FF" w:rsidR="006302ED" w:rsidRPr="00B456F7" w:rsidRDefault="00961491" w:rsidP="0040325A">
      <w:pPr>
        <w:pStyle w:val="ListParagraph"/>
        <w:numPr>
          <w:ilvl w:val="0"/>
          <w:numId w:val="2"/>
        </w:numPr>
        <w:tabs>
          <w:tab w:val="left" w:pos="1530"/>
        </w:tabs>
        <w:ind w:left="1170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 xml:space="preserve">To manage the expanded programme portfolio, the country office will strengthen its procurement, finance and logistics </w:t>
      </w:r>
      <w:r w:rsidR="0040325A">
        <w:rPr>
          <w:color w:val="000000"/>
          <w:sz w:val="20"/>
          <w:szCs w:val="20"/>
        </w:rPr>
        <w:t>capacities</w:t>
      </w:r>
      <w:r w:rsidRPr="009A79C1">
        <w:rPr>
          <w:color w:val="000000"/>
          <w:sz w:val="20"/>
          <w:szCs w:val="20"/>
        </w:rPr>
        <w:t xml:space="preserve">, while using flexible contractual modalities to ensure </w:t>
      </w:r>
      <w:r w:rsidR="004375D4" w:rsidRPr="009A79C1">
        <w:rPr>
          <w:color w:val="000000"/>
          <w:sz w:val="20"/>
          <w:szCs w:val="20"/>
        </w:rPr>
        <w:t xml:space="preserve">appropriate staffing </w:t>
      </w:r>
      <w:r w:rsidRPr="009A79C1">
        <w:rPr>
          <w:color w:val="000000"/>
          <w:sz w:val="20"/>
          <w:szCs w:val="20"/>
        </w:rPr>
        <w:t>adjustment</w:t>
      </w:r>
      <w:r w:rsidR="00FE283D" w:rsidRPr="009A79C1">
        <w:rPr>
          <w:color w:val="000000"/>
          <w:sz w:val="20"/>
          <w:szCs w:val="20"/>
        </w:rPr>
        <w:t>s</w:t>
      </w:r>
      <w:r w:rsidRPr="009A79C1">
        <w:rPr>
          <w:color w:val="000000"/>
          <w:sz w:val="20"/>
          <w:szCs w:val="20"/>
        </w:rPr>
        <w:t xml:space="preserve"> </w:t>
      </w:r>
      <w:r w:rsidR="004375D4" w:rsidRPr="009A79C1">
        <w:rPr>
          <w:color w:val="000000"/>
          <w:sz w:val="20"/>
          <w:szCs w:val="20"/>
        </w:rPr>
        <w:t xml:space="preserve">vis-à-vis fund availability, and programme </w:t>
      </w:r>
      <w:r w:rsidR="00B456F7" w:rsidRPr="009A79C1">
        <w:rPr>
          <w:color w:val="000000"/>
          <w:sz w:val="20"/>
          <w:szCs w:val="20"/>
        </w:rPr>
        <w:t>activities.</w:t>
      </w:r>
      <w:r w:rsidR="00B456F7" w:rsidRPr="00B456F7">
        <w:rPr>
          <w:color w:val="000000"/>
          <w:sz w:val="20"/>
          <w:szCs w:val="20"/>
        </w:rPr>
        <w:t xml:space="preserve"> UNDP</w:t>
      </w:r>
      <w:r w:rsidR="00604B8B" w:rsidRPr="00B456F7">
        <w:rPr>
          <w:color w:val="000000"/>
          <w:sz w:val="20"/>
          <w:szCs w:val="20"/>
        </w:rPr>
        <w:t xml:space="preserve"> quality assurance and social and environment standards will be applied to all </w:t>
      </w:r>
      <w:r w:rsidR="00667A4B" w:rsidRPr="00B456F7">
        <w:rPr>
          <w:color w:val="000000"/>
          <w:sz w:val="20"/>
          <w:szCs w:val="20"/>
        </w:rPr>
        <w:t xml:space="preserve">UNDP-funded </w:t>
      </w:r>
      <w:r w:rsidR="00604B8B" w:rsidRPr="00B456F7">
        <w:rPr>
          <w:color w:val="000000"/>
          <w:sz w:val="20"/>
          <w:szCs w:val="20"/>
        </w:rPr>
        <w:t>projects</w:t>
      </w:r>
      <w:r w:rsidR="00FE0310" w:rsidRPr="00B456F7">
        <w:rPr>
          <w:color w:val="000000"/>
          <w:sz w:val="20"/>
          <w:szCs w:val="20"/>
        </w:rPr>
        <w:t xml:space="preserve"> and offered </w:t>
      </w:r>
      <w:r w:rsidR="00667A4B" w:rsidRPr="00B456F7">
        <w:rPr>
          <w:color w:val="000000"/>
          <w:sz w:val="20"/>
          <w:szCs w:val="20"/>
        </w:rPr>
        <w:t xml:space="preserve">as a full package to the </w:t>
      </w:r>
      <w:r w:rsidR="004302E4" w:rsidRPr="00B456F7">
        <w:rPr>
          <w:color w:val="000000"/>
          <w:sz w:val="20"/>
          <w:szCs w:val="20"/>
        </w:rPr>
        <w:t>g</w:t>
      </w:r>
      <w:r w:rsidR="00667A4B" w:rsidRPr="00B456F7">
        <w:rPr>
          <w:color w:val="000000"/>
          <w:sz w:val="20"/>
          <w:szCs w:val="20"/>
        </w:rPr>
        <w:t xml:space="preserve">overnment </w:t>
      </w:r>
      <w:r w:rsidR="00FE0310" w:rsidRPr="00B456F7">
        <w:rPr>
          <w:color w:val="000000"/>
          <w:sz w:val="20"/>
          <w:szCs w:val="20"/>
        </w:rPr>
        <w:t>for the assessment of NESDP</w:t>
      </w:r>
      <w:r w:rsidR="00667A4B" w:rsidRPr="00B456F7">
        <w:rPr>
          <w:color w:val="000000"/>
          <w:sz w:val="20"/>
          <w:szCs w:val="20"/>
        </w:rPr>
        <w:t xml:space="preserve"> </w:t>
      </w:r>
      <w:r w:rsidR="00667A4B" w:rsidRPr="00B456F7">
        <w:rPr>
          <w:color w:val="000000"/>
          <w:sz w:val="20"/>
          <w:szCs w:val="20"/>
        </w:rPr>
        <w:lastRenderedPageBreak/>
        <w:t>and related projects</w:t>
      </w:r>
      <w:r w:rsidR="00604B8B" w:rsidRPr="00B456F7">
        <w:rPr>
          <w:color w:val="000000"/>
          <w:sz w:val="20"/>
          <w:szCs w:val="20"/>
        </w:rPr>
        <w:t>. UND</w:t>
      </w:r>
      <w:r w:rsidR="00B80107" w:rsidRPr="00B456F7">
        <w:rPr>
          <w:color w:val="000000"/>
          <w:sz w:val="20"/>
          <w:szCs w:val="20"/>
        </w:rPr>
        <w:t>P</w:t>
      </w:r>
      <w:r w:rsidR="00604B8B" w:rsidRPr="00B456F7">
        <w:rPr>
          <w:color w:val="000000"/>
          <w:sz w:val="20"/>
          <w:szCs w:val="20"/>
        </w:rPr>
        <w:t xml:space="preserve"> will strengthen its financial oversight, programme and project supervision, and its evaluation system for partners to guarantee</w:t>
      </w:r>
      <w:r w:rsidR="004302E4" w:rsidRPr="00B456F7">
        <w:rPr>
          <w:color w:val="000000"/>
          <w:sz w:val="20"/>
          <w:szCs w:val="20"/>
        </w:rPr>
        <w:t xml:space="preserve"> the</w:t>
      </w:r>
      <w:r w:rsidR="00604B8B" w:rsidRPr="00B456F7">
        <w:rPr>
          <w:color w:val="000000"/>
          <w:sz w:val="20"/>
          <w:szCs w:val="20"/>
        </w:rPr>
        <w:t xml:space="preserve"> optimal use of resources allocated to interventions</w:t>
      </w:r>
      <w:r w:rsidR="004302E4" w:rsidRPr="00B456F7">
        <w:rPr>
          <w:color w:val="000000"/>
          <w:sz w:val="20"/>
          <w:szCs w:val="20"/>
        </w:rPr>
        <w:t>,</w:t>
      </w:r>
      <w:r w:rsidR="00604B8B" w:rsidRPr="00B456F7">
        <w:rPr>
          <w:color w:val="000000"/>
          <w:sz w:val="20"/>
          <w:szCs w:val="20"/>
        </w:rPr>
        <w:t xml:space="preserve"> and m</w:t>
      </w:r>
      <w:r w:rsidR="00821D8C" w:rsidRPr="00B456F7">
        <w:rPr>
          <w:color w:val="000000"/>
          <w:sz w:val="20"/>
          <w:szCs w:val="20"/>
        </w:rPr>
        <w:t>anage potential fiduciary risks</w:t>
      </w:r>
      <w:r w:rsidR="006514EE">
        <w:rPr>
          <w:color w:val="000000"/>
          <w:sz w:val="20"/>
          <w:szCs w:val="20"/>
        </w:rPr>
        <w:t>.</w:t>
      </w:r>
      <w:r w:rsidR="006F647A" w:rsidRPr="00B456F7">
        <w:rPr>
          <w:color w:val="000000"/>
          <w:sz w:val="20"/>
          <w:szCs w:val="20"/>
        </w:rPr>
        <w:t xml:space="preserve"> </w:t>
      </w:r>
      <w:r w:rsidR="006302ED" w:rsidRPr="00B456F7">
        <w:rPr>
          <w:color w:val="000000"/>
          <w:sz w:val="20"/>
          <w:szCs w:val="20"/>
        </w:rPr>
        <w:t xml:space="preserve"> </w:t>
      </w:r>
    </w:p>
    <w:p w14:paraId="2E4A211C" w14:textId="77777777" w:rsidR="006F647A" w:rsidRPr="00BA6579" w:rsidRDefault="006F647A" w:rsidP="00307DE8">
      <w:pPr>
        <w:pStyle w:val="ListParagraph"/>
        <w:tabs>
          <w:tab w:val="left" w:pos="1530"/>
        </w:tabs>
        <w:ind w:left="1170"/>
        <w:jc w:val="both"/>
        <w:rPr>
          <w:color w:val="000000"/>
          <w:sz w:val="20"/>
          <w:szCs w:val="20"/>
        </w:rPr>
      </w:pPr>
    </w:p>
    <w:p w14:paraId="6CE4FDD8" w14:textId="77777777" w:rsidR="00816CFE" w:rsidRPr="009A79C1" w:rsidRDefault="00816CFE" w:rsidP="001B6A23">
      <w:pPr>
        <w:tabs>
          <w:tab w:val="left" w:pos="1080"/>
        </w:tabs>
        <w:ind w:left="810" w:hanging="270"/>
        <w:jc w:val="both"/>
        <w:rPr>
          <w:b/>
          <w:color w:val="000000"/>
          <w:sz w:val="28"/>
        </w:rPr>
      </w:pPr>
      <w:r w:rsidRPr="009A79C1">
        <w:rPr>
          <w:b/>
          <w:color w:val="000000"/>
          <w:sz w:val="28"/>
        </w:rPr>
        <w:t xml:space="preserve">IV. </w:t>
      </w:r>
      <w:r w:rsidR="00095F22" w:rsidRPr="009A79C1">
        <w:rPr>
          <w:b/>
          <w:color w:val="000000"/>
          <w:sz w:val="28"/>
        </w:rPr>
        <w:tab/>
        <w:t>Monitoring and e</w:t>
      </w:r>
      <w:r w:rsidR="00BD1E8D" w:rsidRPr="009A79C1">
        <w:rPr>
          <w:b/>
          <w:color w:val="000000"/>
          <w:sz w:val="28"/>
        </w:rPr>
        <w:t xml:space="preserve">valuation </w:t>
      </w:r>
    </w:p>
    <w:p w14:paraId="27EB3D08" w14:textId="77777777" w:rsidR="007D2662" w:rsidRPr="008E4109" w:rsidRDefault="007D2662" w:rsidP="00307DE8">
      <w:pPr>
        <w:pStyle w:val="ListParagraph"/>
        <w:tabs>
          <w:tab w:val="left" w:pos="1530"/>
        </w:tabs>
        <w:ind w:left="1170"/>
        <w:jc w:val="both"/>
        <w:rPr>
          <w:color w:val="000000"/>
        </w:rPr>
      </w:pPr>
    </w:p>
    <w:p w14:paraId="06913599" w14:textId="652C2FE7" w:rsidR="00AC5D35" w:rsidRPr="009A79C1" w:rsidRDefault="004302E4" w:rsidP="006F767C">
      <w:pPr>
        <w:pStyle w:val="ListParagraph"/>
        <w:numPr>
          <w:ilvl w:val="0"/>
          <w:numId w:val="2"/>
        </w:numPr>
        <w:tabs>
          <w:tab w:val="left" w:pos="1530"/>
        </w:tabs>
        <w:ind w:left="1134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>M</w:t>
      </w:r>
      <w:r w:rsidR="003F4746" w:rsidRPr="009A79C1">
        <w:rPr>
          <w:color w:val="000000"/>
          <w:sz w:val="20"/>
          <w:szCs w:val="20"/>
        </w:rPr>
        <w:t xml:space="preserve">onitoring of the programme will be </w:t>
      </w:r>
      <w:r w:rsidR="008803A0" w:rsidRPr="009A79C1">
        <w:rPr>
          <w:color w:val="000000"/>
          <w:sz w:val="20"/>
          <w:szCs w:val="20"/>
        </w:rPr>
        <w:t>guided a results-based management and quality</w:t>
      </w:r>
      <w:r w:rsidR="00B84DC2" w:rsidRPr="009A79C1">
        <w:rPr>
          <w:color w:val="000000"/>
          <w:sz w:val="20"/>
          <w:szCs w:val="20"/>
        </w:rPr>
        <w:t xml:space="preserve"> </w:t>
      </w:r>
      <w:r w:rsidR="008803A0" w:rsidRPr="009A79C1">
        <w:rPr>
          <w:color w:val="000000"/>
          <w:sz w:val="20"/>
          <w:szCs w:val="20"/>
        </w:rPr>
        <w:t>assurance approach</w:t>
      </w:r>
      <w:r w:rsidR="003F4746" w:rsidRPr="009A79C1">
        <w:rPr>
          <w:color w:val="000000"/>
          <w:sz w:val="20"/>
          <w:szCs w:val="20"/>
        </w:rPr>
        <w:t xml:space="preserve">. </w:t>
      </w:r>
      <w:r w:rsidRPr="009A79C1">
        <w:rPr>
          <w:color w:val="000000"/>
          <w:sz w:val="20"/>
          <w:szCs w:val="20"/>
        </w:rPr>
        <w:t>P</w:t>
      </w:r>
      <w:r w:rsidR="00AB33D5" w:rsidRPr="009A79C1">
        <w:rPr>
          <w:color w:val="000000"/>
          <w:sz w:val="20"/>
          <w:szCs w:val="20"/>
        </w:rPr>
        <w:t>rogramme</w:t>
      </w:r>
      <w:r w:rsidR="00F83CFE" w:rsidRPr="009A79C1">
        <w:rPr>
          <w:color w:val="000000"/>
          <w:sz w:val="20"/>
          <w:szCs w:val="20"/>
        </w:rPr>
        <w:t xml:space="preserve"> deliverables will be monitored </w:t>
      </w:r>
      <w:r w:rsidR="00AB33D5" w:rsidRPr="009A79C1">
        <w:rPr>
          <w:color w:val="000000"/>
          <w:sz w:val="20"/>
          <w:szCs w:val="20"/>
        </w:rPr>
        <w:t xml:space="preserve">by implementation institutions, </w:t>
      </w:r>
      <w:r w:rsidRPr="009A79C1">
        <w:rPr>
          <w:color w:val="000000"/>
          <w:sz w:val="20"/>
          <w:szCs w:val="20"/>
        </w:rPr>
        <w:t xml:space="preserve">beneficiary </w:t>
      </w:r>
      <w:r w:rsidR="00AB33D5" w:rsidRPr="009A79C1">
        <w:rPr>
          <w:color w:val="000000"/>
          <w:sz w:val="20"/>
          <w:szCs w:val="20"/>
        </w:rPr>
        <w:t>representatives</w:t>
      </w:r>
      <w:r w:rsidRPr="009A79C1">
        <w:rPr>
          <w:color w:val="000000"/>
          <w:sz w:val="20"/>
          <w:szCs w:val="20"/>
        </w:rPr>
        <w:t>,</w:t>
      </w:r>
      <w:r w:rsidR="00AB33D5" w:rsidRPr="009A79C1">
        <w:rPr>
          <w:color w:val="000000"/>
          <w:sz w:val="20"/>
          <w:szCs w:val="20"/>
        </w:rPr>
        <w:t xml:space="preserve"> </w:t>
      </w:r>
      <w:r w:rsidR="00F83CFE" w:rsidRPr="009A79C1">
        <w:rPr>
          <w:color w:val="000000"/>
          <w:sz w:val="20"/>
          <w:szCs w:val="20"/>
        </w:rPr>
        <w:t>the</w:t>
      </w:r>
      <w:r w:rsidR="00AB33D5" w:rsidRPr="009A79C1">
        <w:rPr>
          <w:color w:val="000000"/>
          <w:sz w:val="20"/>
          <w:szCs w:val="20"/>
        </w:rPr>
        <w:t xml:space="preserve"> </w:t>
      </w:r>
      <w:r w:rsidR="006C6B85" w:rsidRPr="009A79C1">
        <w:rPr>
          <w:color w:val="000000"/>
          <w:sz w:val="20"/>
          <w:szCs w:val="20"/>
        </w:rPr>
        <w:t>UNDP</w:t>
      </w:r>
      <w:r w:rsidR="00F83CFE" w:rsidRPr="009A79C1">
        <w:rPr>
          <w:color w:val="000000"/>
          <w:sz w:val="20"/>
          <w:szCs w:val="20"/>
        </w:rPr>
        <w:t xml:space="preserve"> </w:t>
      </w:r>
      <w:r w:rsidRPr="009A79C1">
        <w:rPr>
          <w:color w:val="000000"/>
          <w:sz w:val="20"/>
          <w:szCs w:val="20"/>
        </w:rPr>
        <w:t>country office</w:t>
      </w:r>
      <w:r w:rsidR="00AB33D5" w:rsidRPr="009A79C1">
        <w:rPr>
          <w:color w:val="000000"/>
          <w:sz w:val="20"/>
          <w:szCs w:val="20"/>
        </w:rPr>
        <w:t>, and through various steering committees.</w:t>
      </w:r>
      <w:r w:rsidR="006103E0" w:rsidRPr="009A79C1">
        <w:rPr>
          <w:color w:val="000000"/>
          <w:sz w:val="20"/>
          <w:szCs w:val="20"/>
        </w:rPr>
        <w:t xml:space="preserve"> </w:t>
      </w:r>
      <w:r w:rsidR="00214A33" w:rsidRPr="009A79C1">
        <w:rPr>
          <w:color w:val="000000"/>
          <w:sz w:val="20"/>
          <w:szCs w:val="20"/>
        </w:rPr>
        <w:t xml:space="preserve">Outcomes </w:t>
      </w:r>
      <w:r w:rsidR="00AB33D5" w:rsidRPr="009A79C1">
        <w:rPr>
          <w:color w:val="000000"/>
          <w:sz w:val="20"/>
          <w:szCs w:val="20"/>
        </w:rPr>
        <w:t xml:space="preserve">and outputs will be monitored on a regular basis through quarterly and annual reports. UNDP will </w:t>
      </w:r>
      <w:r w:rsidR="00F508BF" w:rsidRPr="009A79C1">
        <w:rPr>
          <w:color w:val="000000"/>
          <w:sz w:val="20"/>
          <w:szCs w:val="20"/>
        </w:rPr>
        <w:t>support data collection at the beginning of the programme to inform</w:t>
      </w:r>
      <w:r w:rsidRPr="009A79C1">
        <w:rPr>
          <w:color w:val="000000"/>
          <w:sz w:val="20"/>
          <w:szCs w:val="20"/>
        </w:rPr>
        <w:t xml:space="preserve"> </w:t>
      </w:r>
      <w:r w:rsidR="00F508BF" w:rsidRPr="009A79C1">
        <w:rPr>
          <w:color w:val="000000"/>
          <w:sz w:val="20"/>
          <w:szCs w:val="20"/>
        </w:rPr>
        <w:t xml:space="preserve">situations </w:t>
      </w:r>
      <w:r w:rsidRPr="009A79C1">
        <w:rPr>
          <w:color w:val="000000"/>
          <w:sz w:val="20"/>
          <w:szCs w:val="20"/>
        </w:rPr>
        <w:t xml:space="preserve">that lack </w:t>
      </w:r>
      <w:r w:rsidR="00F508BF" w:rsidRPr="009A79C1">
        <w:rPr>
          <w:color w:val="000000"/>
          <w:sz w:val="20"/>
          <w:szCs w:val="20"/>
        </w:rPr>
        <w:t>references. R</w:t>
      </w:r>
      <w:r w:rsidR="00215F33">
        <w:rPr>
          <w:color w:val="000000"/>
          <w:sz w:val="20"/>
          <w:szCs w:val="20"/>
        </w:rPr>
        <w:t xml:space="preserve">esults and </w:t>
      </w:r>
      <w:r w:rsidR="002F2B76">
        <w:rPr>
          <w:color w:val="000000"/>
          <w:sz w:val="20"/>
          <w:szCs w:val="20"/>
        </w:rPr>
        <w:t>r</w:t>
      </w:r>
      <w:r w:rsidR="00215F33">
        <w:rPr>
          <w:color w:val="000000"/>
          <w:sz w:val="20"/>
          <w:szCs w:val="20"/>
        </w:rPr>
        <w:t xml:space="preserve">esource </w:t>
      </w:r>
      <w:r w:rsidR="002F2B76">
        <w:rPr>
          <w:color w:val="000000"/>
          <w:sz w:val="20"/>
          <w:szCs w:val="20"/>
        </w:rPr>
        <w:t>f</w:t>
      </w:r>
      <w:r w:rsidR="00215F33">
        <w:rPr>
          <w:color w:val="000000"/>
          <w:sz w:val="20"/>
          <w:szCs w:val="20"/>
        </w:rPr>
        <w:t>ramework</w:t>
      </w:r>
      <w:r w:rsidR="00F508BF" w:rsidRPr="009A79C1">
        <w:rPr>
          <w:color w:val="000000"/>
          <w:sz w:val="20"/>
          <w:szCs w:val="20"/>
        </w:rPr>
        <w:t xml:space="preserve"> outcome</w:t>
      </w:r>
      <w:r w:rsidR="00D16F1A">
        <w:rPr>
          <w:color w:val="000000"/>
          <w:sz w:val="20"/>
          <w:szCs w:val="20"/>
        </w:rPr>
        <w:t>s</w:t>
      </w:r>
      <w:r w:rsidR="00F508BF" w:rsidRPr="009A79C1">
        <w:rPr>
          <w:color w:val="000000"/>
          <w:sz w:val="20"/>
          <w:szCs w:val="20"/>
        </w:rPr>
        <w:t xml:space="preserve"> indicators will be revised to take </w:t>
      </w:r>
      <w:r w:rsidRPr="009A79C1">
        <w:rPr>
          <w:color w:val="000000"/>
          <w:sz w:val="20"/>
          <w:szCs w:val="20"/>
        </w:rPr>
        <w:t xml:space="preserve">into </w:t>
      </w:r>
      <w:r w:rsidR="00F508BF" w:rsidRPr="009A79C1">
        <w:rPr>
          <w:color w:val="000000"/>
          <w:sz w:val="20"/>
          <w:szCs w:val="20"/>
        </w:rPr>
        <w:t>account outcome</w:t>
      </w:r>
      <w:r w:rsidR="00D16F1A">
        <w:rPr>
          <w:color w:val="000000"/>
          <w:sz w:val="20"/>
          <w:szCs w:val="20"/>
        </w:rPr>
        <w:t>s</w:t>
      </w:r>
      <w:r w:rsidR="00F508BF" w:rsidRPr="009A79C1">
        <w:rPr>
          <w:color w:val="000000"/>
          <w:sz w:val="20"/>
          <w:szCs w:val="20"/>
        </w:rPr>
        <w:t xml:space="preserve"> indicators in the new </w:t>
      </w:r>
      <w:r w:rsidR="00D16F1A">
        <w:rPr>
          <w:color w:val="000000"/>
          <w:sz w:val="20"/>
          <w:szCs w:val="20"/>
        </w:rPr>
        <w:t>S</w:t>
      </w:r>
      <w:r w:rsidR="00D16F1A" w:rsidRPr="009A79C1">
        <w:rPr>
          <w:color w:val="000000"/>
          <w:sz w:val="20"/>
          <w:szCs w:val="20"/>
        </w:rPr>
        <w:t xml:space="preserve">trategic </w:t>
      </w:r>
      <w:r w:rsidR="00D16F1A">
        <w:rPr>
          <w:color w:val="000000"/>
          <w:sz w:val="20"/>
          <w:szCs w:val="20"/>
        </w:rPr>
        <w:t>P</w:t>
      </w:r>
      <w:r w:rsidR="00D16F1A" w:rsidRPr="009A79C1">
        <w:rPr>
          <w:color w:val="000000"/>
          <w:sz w:val="20"/>
          <w:szCs w:val="20"/>
        </w:rPr>
        <w:t>lan</w:t>
      </w:r>
      <w:r w:rsidR="00F508BF" w:rsidRPr="009A79C1">
        <w:rPr>
          <w:color w:val="000000"/>
          <w:sz w:val="20"/>
          <w:szCs w:val="20"/>
        </w:rPr>
        <w:t xml:space="preserve">. </w:t>
      </w:r>
    </w:p>
    <w:p w14:paraId="0BC1F252" w14:textId="77777777" w:rsidR="00AC5D35" w:rsidRPr="00BA6579" w:rsidRDefault="00AC5D35" w:rsidP="006F767C">
      <w:pPr>
        <w:pStyle w:val="ListParagraph"/>
        <w:tabs>
          <w:tab w:val="left" w:pos="1530"/>
        </w:tabs>
        <w:ind w:left="1134"/>
        <w:jc w:val="both"/>
        <w:rPr>
          <w:color w:val="000000"/>
          <w:sz w:val="12"/>
          <w:szCs w:val="12"/>
        </w:rPr>
      </w:pPr>
    </w:p>
    <w:p w14:paraId="2A79EF0F" w14:textId="280BD95E" w:rsidR="00AC5D35" w:rsidRDefault="00F75F05" w:rsidP="006F767C">
      <w:pPr>
        <w:pStyle w:val="ListParagraph"/>
        <w:numPr>
          <w:ilvl w:val="0"/>
          <w:numId w:val="2"/>
        </w:numPr>
        <w:tabs>
          <w:tab w:val="left" w:pos="1530"/>
        </w:tabs>
        <w:ind w:left="1134" w:firstLine="0"/>
        <w:jc w:val="both"/>
        <w:rPr>
          <w:color w:val="000000"/>
          <w:sz w:val="20"/>
          <w:szCs w:val="20"/>
        </w:rPr>
      </w:pPr>
      <w:r w:rsidRPr="009A79C1">
        <w:rPr>
          <w:color w:val="000000"/>
          <w:sz w:val="20"/>
          <w:szCs w:val="20"/>
        </w:rPr>
        <w:t>A</w:t>
      </w:r>
      <w:r w:rsidR="00107A98" w:rsidRPr="009A79C1">
        <w:rPr>
          <w:color w:val="000000"/>
          <w:sz w:val="20"/>
          <w:szCs w:val="20"/>
        </w:rPr>
        <w:t>t least 5</w:t>
      </w:r>
      <w:r w:rsidR="008803A0" w:rsidRPr="009A79C1">
        <w:rPr>
          <w:color w:val="000000"/>
          <w:sz w:val="20"/>
          <w:szCs w:val="20"/>
        </w:rPr>
        <w:t xml:space="preserve"> per</w:t>
      </w:r>
      <w:r w:rsidR="004302E4" w:rsidRPr="009A79C1">
        <w:rPr>
          <w:color w:val="000000"/>
          <w:sz w:val="20"/>
          <w:szCs w:val="20"/>
        </w:rPr>
        <w:t xml:space="preserve"> </w:t>
      </w:r>
      <w:r w:rsidR="008803A0" w:rsidRPr="009A79C1">
        <w:rPr>
          <w:color w:val="000000"/>
          <w:sz w:val="20"/>
          <w:szCs w:val="20"/>
        </w:rPr>
        <w:t xml:space="preserve">cent </w:t>
      </w:r>
      <w:r w:rsidR="00107A98" w:rsidRPr="009A79C1">
        <w:rPr>
          <w:color w:val="000000"/>
          <w:sz w:val="20"/>
          <w:szCs w:val="20"/>
        </w:rPr>
        <w:t xml:space="preserve">of programme resources will be allocated to monitoring and evaluation </w:t>
      </w:r>
      <w:r w:rsidR="00B55585" w:rsidRPr="009A79C1">
        <w:rPr>
          <w:color w:val="000000"/>
          <w:sz w:val="20"/>
          <w:szCs w:val="20"/>
        </w:rPr>
        <w:t xml:space="preserve">initiatives </w:t>
      </w:r>
      <w:r w:rsidR="00107A98" w:rsidRPr="009A79C1">
        <w:rPr>
          <w:color w:val="000000"/>
          <w:sz w:val="20"/>
          <w:szCs w:val="20"/>
        </w:rPr>
        <w:t>to fund data collection, monitoring</w:t>
      </w:r>
      <w:r w:rsidR="00B55585" w:rsidRPr="009A79C1">
        <w:rPr>
          <w:color w:val="000000"/>
          <w:sz w:val="20"/>
          <w:szCs w:val="20"/>
        </w:rPr>
        <w:t>,</w:t>
      </w:r>
      <w:r w:rsidR="00107A98" w:rsidRPr="009A79C1">
        <w:rPr>
          <w:color w:val="000000"/>
          <w:sz w:val="20"/>
          <w:szCs w:val="20"/>
        </w:rPr>
        <w:t xml:space="preserve"> and quality assurance</w:t>
      </w:r>
      <w:r w:rsidR="00142CE6" w:rsidRPr="009A79C1">
        <w:rPr>
          <w:color w:val="000000"/>
          <w:sz w:val="20"/>
          <w:szCs w:val="20"/>
        </w:rPr>
        <w:t xml:space="preserve"> of deliverables. </w:t>
      </w:r>
      <w:r w:rsidR="008803A0" w:rsidRPr="009A79C1">
        <w:rPr>
          <w:color w:val="000000"/>
          <w:sz w:val="20"/>
          <w:szCs w:val="20"/>
        </w:rPr>
        <w:t>The country office will strengthen</w:t>
      </w:r>
      <w:r w:rsidR="00B55585" w:rsidRPr="009A79C1">
        <w:rPr>
          <w:color w:val="000000"/>
          <w:sz w:val="20"/>
          <w:szCs w:val="20"/>
        </w:rPr>
        <w:t xml:space="preserve"> its</w:t>
      </w:r>
      <w:r w:rsidR="008803A0" w:rsidRPr="009A79C1">
        <w:rPr>
          <w:color w:val="000000"/>
          <w:sz w:val="20"/>
          <w:szCs w:val="20"/>
        </w:rPr>
        <w:t xml:space="preserve"> in-house capacity for data collection, analysis and utilization to track programme</w:t>
      </w:r>
      <w:r w:rsidR="00B55585" w:rsidRPr="009A79C1">
        <w:rPr>
          <w:color w:val="000000"/>
          <w:sz w:val="20"/>
          <w:szCs w:val="20"/>
        </w:rPr>
        <w:t xml:space="preserve"> contributions</w:t>
      </w:r>
      <w:r w:rsidR="008803A0" w:rsidRPr="009A79C1">
        <w:rPr>
          <w:color w:val="000000"/>
          <w:sz w:val="20"/>
          <w:szCs w:val="20"/>
        </w:rPr>
        <w:t xml:space="preserve"> </w:t>
      </w:r>
      <w:r w:rsidR="00B55585" w:rsidRPr="009A79C1">
        <w:rPr>
          <w:color w:val="000000"/>
          <w:sz w:val="20"/>
          <w:szCs w:val="20"/>
        </w:rPr>
        <w:t xml:space="preserve">against </w:t>
      </w:r>
      <w:r w:rsidR="008803A0" w:rsidRPr="009A79C1">
        <w:rPr>
          <w:color w:val="000000"/>
          <w:sz w:val="20"/>
          <w:szCs w:val="20"/>
        </w:rPr>
        <w:t xml:space="preserve">transformative change. Opportunities for joint reviews and evaluations with other </w:t>
      </w:r>
      <w:r w:rsidR="007C5055" w:rsidRPr="009A79C1">
        <w:rPr>
          <w:color w:val="000000"/>
          <w:sz w:val="20"/>
          <w:szCs w:val="20"/>
        </w:rPr>
        <w:t>United Nations organizations</w:t>
      </w:r>
      <w:r w:rsidR="008803A0" w:rsidRPr="009A79C1">
        <w:rPr>
          <w:color w:val="000000"/>
          <w:sz w:val="20"/>
          <w:szCs w:val="20"/>
        </w:rPr>
        <w:t xml:space="preserve"> will be explored. </w:t>
      </w:r>
      <w:r w:rsidR="00142CE6" w:rsidRPr="009A79C1">
        <w:rPr>
          <w:color w:val="000000"/>
          <w:sz w:val="20"/>
          <w:szCs w:val="20"/>
        </w:rPr>
        <w:t>The gender marke</w:t>
      </w:r>
      <w:r w:rsidR="00A04626" w:rsidRPr="009A79C1">
        <w:rPr>
          <w:color w:val="000000"/>
          <w:sz w:val="20"/>
          <w:szCs w:val="20"/>
        </w:rPr>
        <w:t>r</w:t>
      </w:r>
      <w:r w:rsidR="00142CE6" w:rsidRPr="009A79C1">
        <w:rPr>
          <w:color w:val="000000"/>
          <w:sz w:val="20"/>
          <w:szCs w:val="20"/>
        </w:rPr>
        <w:t xml:space="preserve"> will be taken into accou</w:t>
      </w:r>
      <w:r w:rsidR="00FA1332" w:rsidRPr="009A79C1">
        <w:rPr>
          <w:color w:val="000000"/>
          <w:sz w:val="20"/>
          <w:szCs w:val="20"/>
        </w:rPr>
        <w:t>nt in</w:t>
      </w:r>
      <w:r w:rsidR="007C5055" w:rsidRPr="009A79C1">
        <w:rPr>
          <w:color w:val="000000"/>
          <w:sz w:val="20"/>
          <w:szCs w:val="20"/>
        </w:rPr>
        <w:t xml:space="preserve"> the</w:t>
      </w:r>
      <w:r w:rsidR="00FA1332" w:rsidRPr="009A79C1">
        <w:rPr>
          <w:color w:val="000000"/>
          <w:sz w:val="20"/>
          <w:szCs w:val="20"/>
        </w:rPr>
        <w:t xml:space="preserve"> planning, decision-making</w:t>
      </w:r>
      <w:r w:rsidR="007C5055" w:rsidRPr="009A79C1">
        <w:rPr>
          <w:color w:val="000000"/>
          <w:sz w:val="20"/>
          <w:szCs w:val="20"/>
        </w:rPr>
        <w:t>,</w:t>
      </w:r>
      <w:r w:rsidR="00142CE6" w:rsidRPr="009A79C1">
        <w:rPr>
          <w:color w:val="000000"/>
          <w:sz w:val="20"/>
          <w:szCs w:val="20"/>
        </w:rPr>
        <w:t xml:space="preserve"> and accounting of </w:t>
      </w:r>
      <w:r w:rsidR="007C5055" w:rsidRPr="009A79C1">
        <w:rPr>
          <w:color w:val="000000"/>
          <w:sz w:val="20"/>
          <w:szCs w:val="20"/>
        </w:rPr>
        <w:t xml:space="preserve">programme </w:t>
      </w:r>
      <w:r w:rsidR="00142CE6" w:rsidRPr="009A79C1">
        <w:rPr>
          <w:color w:val="000000"/>
          <w:sz w:val="20"/>
          <w:szCs w:val="20"/>
        </w:rPr>
        <w:t>expenditure and investme</w:t>
      </w:r>
      <w:r w:rsidR="00C4429C" w:rsidRPr="009A79C1">
        <w:rPr>
          <w:color w:val="000000"/>
          <w:sz w:val="20"/>
          <w:szCs w:val="20"/>
        </w:rPr>
        <w:t>n</w:t>
      </w:r>
      <w:r w:rsidR="00142CE6" w:rsidRPr="009A79C1">
        <w:rPr>
          <w:color w:val="000000"/>
          <w:sz w:val="20"/>
          <w:szCs w:val="20"/>
        </w:rPr>
        <w:t>t</w:t>
      </w:r>
      <w:r w:rsidR="007C5055" w:rsidRPr="009A79C1">
        <w:rPr>
          <w:color w:val="000000"/>
          <w:sz w:val="20"/>
          <w:szCs w:val="20"/>
        </w:rPr>
        <w:t>s</w:t>
      </w:r>
      <w:r w:rsidR="00142CE6" w:rsidRPr="009A79C1">
        <w:rPr>
          <w:color w:val="000000"/>
          <w:sz w:val="20"/>
          <w:szCs w:val="20"/>
        </w:rPr>
        <w:t>.</w:t>
      </w:r>
    </w:p>
    <w:p w14:paraId="1705FC96" w14:textId="77777777" w:rsidR="00C03EE9" w:rsidRPr="00BA6579" w:rsidRDefault="00C03EE9" w:rsidP="00C03EE9">
      <w:pPr>
        <w:pStyle w:val="ListParagraph"/>
        <w:rPr>
          <w:color w:val="000000"/>
          <w:sz w:val="12"/>
          <w:szCs w:val="12"/>
        </w:rPr>
      </w:pPr>
    </w:p>
    <w:p w14:paraId="5B9F59E4" w14:textId="658C4D0F" w:rsidR="00F75F05" w:rsidRPr="00C03EE9" w:rsidRDefault="00AE7FB2" w:rsidP="00C03EE9">
      <w:pPr>
        <w:pStyle w:val="ListParagraph"/>
        <w:numPr>
          <w:ilvl w:val="0"/>
          <w:numId w:val="2"/>
        </w:numPr>
        <w:tabs>
          <w:tab w:val="left" w:pos="1530"/>
        </w:tabs>
        <w:ind w:left="1134" w:firstLine="0"/>
        <w:jc w:val="both"/>
        <w:rPr>
          <w:color w:val="000000"/>
          <w:sz w:val="20"/>
          <w:szCs w:val="20"/>
        </w:rPr>
      </w:pPr>
      <w:r w:rsidRPr="00C03EE9">
        <w:rPr>
          <w:color w:val="000000"/>
          <w:sz w:val="20"/>
          <w:szCs w:val="20"/>
        </w:rPr>
        <w:t xml:space="preserve">Programme indicator data </w:t>
      </w:r>
      <w:r w:rsidR="00291D03" w:rsidRPr="00C03EE9">
        <w:rPr>
          <w:color w:val="000000"/>
          <w:sz w:val="20"/>
          <w:szCs w:val="20"/>
        </w:rPr>
        <w:t>will be collected</w:t>
      </w:r>
      <w:r w:rsidR="007C5055" w:rsidRPr="00C03EE9">
        <w:rPr>
          <w:color w:val="000000"/>
          <w:sz w:val="20"/>
          <w:szCs w:val="20"/>
        </w:rPr>
        <w:t xml:space="preserve"> </w:t>
      </w:r>
      <w:r w:rsidR="00291D03" w:rsidRPr="00C03EE9">
        <w:rPr>
          <w:color w:val="000000"/>
          <w:sz w:val="20"/>
          <w:szCs w:val="20"/>
        </w:rPr>
        <w:t xml:space="preserve">according to sex, age, geographical area, </w:t>
      </w:r>
      <w:r w:rsidR="007C5055" w:rsidRPr="00C03EE9">
        <w:rPr>
          <w:color w:val="000000"/>
          <w:sz w:val="20"/>
          <w:szCs w:val="20"/>
        </w:rPr>
        <w:t>and other markers</w:t>
      </w:r>
      <w:r w:rsidR="00291D03" w:rsidRPr="00C03EE9">
        <w:rPr>
          <w:color w:val="000000"/>
          <w:sz w:val="20"/>
          <w:szCs w:val="20"/>
        </w:rPr>
        <w:t xml:space="preserve"> to grasp </w:t>
      </w:r>
      <w:r w:rsidR="007C5055" w:rsidRPr="00C03EE9">
        <w:rPr>
          <w:color w:val="000000"/>
          <w:sz w:val="20"/>
          <w:szCs w:val="20"/>
        </w:rPr>
        <w:t xml:space="preserve">changes </w:t>
      </w:r>
      <w:r w:rsidR="00291D03" w:rsidRPr="00C03EE9">
        <w:rPr>
          <w:color w:val="000000"/>
          <w:sz w:val="20"/>
          <w:szCs w:val="20"/>
        </w:rPr>
        <w:t xml:space="preserve">more accurately. Collected data will feed </w:t>
      </w:r>
      <w:r w:rsidR="007C5055" w:rsidRPr="00C03EE9">
        <w:rPr>
          <w:color w:val="000000"/>
          <w:sz w:val="20"/>
          <w:szCs w:val="20"/>
        </w:rPr>
        <w:t xml:space="preserve">into </w:t>
      </w:r>
      <w:r w:rsidR="00291D03" w:rsidRPr="00C03EE9">
        <w:rPr>
          <w:color w:val="000000"/>
          <w:sz w:val="20"/>
          <w:szCs w:val="20"/>
        </w:rPr>
        <w:t xml:space="preserve">the </w:t>
      </w:r>
      <w:r w:rsidR="00B66EB6" w:rsidRPr="00C03EE9">
        <w:rPr>
          <w:color w:val="000000"/>
          <w:sz w:val="20"/>
          <w:szCs w:val="20"/>
        </w:rPr>
        <w:t>NPSED</w:t>
      </w:r>
      <w:r w:rsidR="00B66EB6" w:rsidRPr="00C03EE9" w:rsidDel="00B66EB6">
        <w:rPr>
          <w:color w:val="000000"/>
          <w:sz w:val="20"/>
          <w:szCs w:val="20"/>
        </w:rPr>
        <w:t xml:space="preserve"> </w:t>
      </w:r>
      <w:r w:rsidR="00571287" w:rsidRPr="00C03EE9">
        <w:rPr>
          <w:color w:val="000000"/>
          <w:sz w:val="20"/>
          <w:szCs w:val="20"/>
        </w:rPr>
        <w:t>implementation report, the monitoring system, and UNDP knowledge</w:t>
      </w:r>
      <w:r w:rsidR="00B84DC2" w:rsidRPr="00C03EE9">
        <w:rPr>
          <w:color w:val="000000"/>
          <w:sz w:val="20"/>
          <w:szCs w:val="20"/>
        </w:rPr>
        <w:t>-</w:t>
      </w:r>
      <w:r w:rsidR="00571287" w:rsidRPr="00C03EE9">
        <w:rPr>
          <w:color w:val="000000"/>
          <w:sz w:val="20"/>
          <w:szCs w:val="20"/>
        </w:rPr>
        <w:t>sharing</w:t>
      </w:r>
      <w:r w:rsidR="007C5055" w:rsidRPr="00C03EE9">
        <w:rPr>
          <w:color w:val="000000"/>
          <w:sz w:val="20"/>
          <w:szCs w:val="20"/>
        </w:rPr>
        <w:t xml:space="preserve"> platforms</w:t>
      </w:r>
      <w:r w:rsidR="00571287" w:rsidRPr="00C03EE9">
        <w:rPr>
          <w:color w:val="000000"/>
          <w:sz w:val="20"/>
          <w:szCs w:val="20"/>
        </w:rPr>
        <w:t>. UNDP</w:t>
      </w:r>
      <w:r w:rsidR="007C5055" w:rsidRPr="00C03EE9">
        <w:rPr>
          <w:color w:val="000000"/>
          <w:sz w:val="20"/>
          <w:szCs w:val="20"/>
        </w:rPr>
        <w:t xml:space="preserve"> and programme partners</w:t>
      </w:r>
      <w:r w:rsidR="00571287" w:rsidRPr="00C03EE9">
        <w:rPr>
          <w:color w:val="000000"/>
          <w:sz w:val="20"/>
          <w:szCs w:val="20"/>
        </w:rPr>
        <w:t xml:space="preserve"> will </w:t>
      </w:r>
      <w:r w:rsidR="007C5055" w:rsidRPr="00C03EE9">
        <w:rPr>
          <w:color w:val="000000"/>
          <w:sz w:val="20"/>
          <w:szCs w:val="20"/>
        </w:rPr>
        <w:t>strengthen</w:t>
      </w:r>
      <w:r w:rsidR="00571287" w:rsidRPr="00C03EE9">
        <w:rPr>
          <w:color w:val="000000"/>
          <w:sz w:val="20"/>
          <w:szCs w:val="20"/>
        </w:rPr>
        <w:t xml:space="preserve"> the capacity of institutions involved in </w:t>
      </w:r>
      <w:r w:rsidR="008803A0" w:rsidRPr="00C03EE9">
        <w:rPr>
          <w:color w:val="000000"/>
          <w:sz w:val="20"/>
          <w:szCs w:val="20"/>
        </w:rPr>
        <w:t>NPSED</w:t>
      </w:r>
      <w:r w:rsidR="008803A0" w:rsidRPr="00C03EE9" w:rsidDel="008803A0">
        <w:rPr>
          <w:color w:val="000000"/>
          <w:sz w:val="20"/>
          <w:szCs w:val="20"/>
        </w:rPr>
        <w:t xml:space="preserve"> </w:t>
      </w:r>
      <w:r w:rsidR="00571287" w:rsidRPr="00C03EE9">
        <w:rPr>
          <w:color w:val="000000"/>
          <w:sz w:val="20"/>
          <w:szCs w:val="20"/>
        </w:rPr>
        <w:t xml:space="preserve">monitoring to improve the quality of data </w:t>
      </w:r>
      <w:r w:rsidR="007C5055" w:rsidRPr="00C03EE9">
        <w:rPr>
          <w:color w:val="000000"/>
          <w:sz w:val="20"/>
          <w:szCs w:val="20"/>
        </w:rPr>
        <w:t>and better cater to</w:t>
      </w:r>
      <w:r w:rsidR="00571287" w:rsidRPr="00C03EE9">
        <w:rPr>
          <w:color w:val="000000"/>
          <w:sz w:val="20"/>
          <w:szCs w:val="20"/>
        </w:rPr>
        <w:t xml:space="preserve"> programme beneficiaries</w:t>
      </w:r>
      <w:r w:rsidR="0028567A" w:rsidRPr="00C03EE9">
        <w:rPr>
          <w:color w:val="000000"/>
          <w:sz w:val="20"/>
          <w:szCs w:val="20"/>
        </w:rPr>
        <w:t xml:space="preserve">, </w:t>
      </w:r>
      <w:r w:rsidR="00571287" w:rsidRPr="00C03EE9">
        <w:rPr>
          <w:color w:val="000000"/>
          <w:sz w:val="20"/>
          <w:szCs w:val="20"/>
        </w:rPr>
        <w:t xml:space="preserve">leave no one behind, and </w:t>
      </w:r>
      <w:r w:rsidR="007C5055" w:rsidRPr="00C03EE9">
        <w:rPr>
          <w:color w:val="000000"/>
          <w:sz w:val="20"/>
          <w:szCs w:val="20"/>
        </w:rPr>
        <w:t>improve</w:t>
      </w:r>
      <w:r w:rsidR="00571287" w:rsidRPr="00C03EE9">
        <w:rPr>
          <w:color w:val="000000"/>
          <w:sz w:val="20"/>
          <w:szCs w:val="20"/>
        </w:rPr>
        <w:t xml:space="preserve"> progress toward the SDGs. </w:t>
      </w:r>
      <w:r w:rsidR="005F2748" w:rsidRPr="00C03EE9">
        <w:rPr>
          <w:color w:val="000000"/>
          <w:sz w:val="20"/>
          <w:szCs w:val="20"/>
        </w:rPr>
        <w:t xml:space="preserve">Specialized research institutes and universities will be </w:t>
      </w:r>
      <w:r w:rsidR="007C5055" w:rsidRPr="00C03EE9">
        <w:rPr>
          <w:color w:val="000000"/>
          <w:sz w:val="20"/>
          <w:szCs w:val="20"/>
        </w:rPr>
        <w:t xml:space="preserve">approached and asked to provide assistance in </w:t>
      </w:r>
      <w:r w:rsidR="005F2748" w:rsidRPr="00C03EE9">
        <w:rPr>
          <w:color w:val="000000"/>
          <w:sz w:val="20"/>
          <w:szCs w:val="20"/>
        </w:rPr>
        <w:t xml:space="preserve">testing </w:t>
      </w:r>
      <w:r w:rsidR="007C5055" w:rsidRPr="00C03EE9">
        <w:rPr>
          <w:color w:val="000000"/>
          <w:sz w:val="20"/>
          <w:szCs w:val="20"/>
        </w:rPr>
        <w:t xml:space="preserve">the </w:t>
      </w:r>
      <w:r w:rsidR="005F2748" w:rsidRPr="00C03EE9">
        <w:rPr>
          <w:color w:val="000000"/>
          <w:sz w:val="20"/>
          <w:szCs w:val="20"/>
        </w:rPr>
        <w:t>theories of change underlying national strategies and policies supported by the programme</w:t>
      </w:r>
      <w:r w:rsidR="007C5055" w:rsidRPr="00C03EE9">
        <w:rPr>
          <w:color w:val="000000"/>
          <w:sz w:val="20"/>
          <w:szCs w:val="20"/>
        </w:rPr>
        <w:t>. Where appropriate, they will be asked to</w:t>
      </w:r>
      <w:r w:rsidR="005F2748" w:rsidRPr="00C03EE9">
        <w:rPr>
          <w:color w:val="000000"/>
          <w:sz w:val="20"/>
          <w:szCs w:val="20"/>
        </w:rPr>
        <w:t xml:space="preserve"> review programme</w:t>
      </w:r>
      <w:r w:rsidR="007C5055" w:rsidRPr="00C03EE9">
        <w:rPr>
          <w:color w:val="000000"/>
          <w:sz w:val="20"/>
          <w:szCs w:val="20"/>
        </w:rPr>
        <w:t xml:space="preserve"> outcomes</w:t>
      </w:r>
      <w:r w:rsidR="00F75F05" w:rsidRPr="00C03EE9">
        <w:rPr>
          <w:color w:val="000000"/>
          <w:sz w:val="20"/>
          <w:szCs w:val="20"/>
        </w:rPr>
        <w:t>.</w:t>
      </w:r>
    </w:p>
    <w:p w14:paraId="0B487505" w14:textId="77777777" w:rsidR="00FE0E2E" w:rsidRPr="008E4109" w:rsidRDefault="00FE0E2E" w:rsidP="006F767C">
      <w:pPr>
        <w:pStyle w:val="ListParagraph"/>
        <w:numPr>
          <w:ilvl w:val="0"/>
          <w:numId w:val="2"/>
        </w:numPr>
        <w:jc w:val="both"/>
        <w:rPr>
          <w:color w:val="000000"/>
        </w:rPr>
        <w:sectPr w:rsidR="00FE0E2E" w:rsidRPr="008E4109" w:rsidSect="00F95CAC">
          <w:headerReference w:type="even" r:id="rId14"/>
          <w:headerReference w:type="default" r:id="rId15"/>
          <w:pgSz w:w="12240" w:h="15840" w:code="1"/>
          <w:pgMar w:top="1279" w:right="2250" w:bottom="1440" w:left="1195" w:header="720" w:footer="720" w:gutter="0"/>
          <w:cols w:space="720"/>
          <w:docGrid w:linePitch="272"/>
        </w:sectPr>
      </w:pPr>
    </w:p>
    <w:p w14:paraId="75BDF796" w14:textId="14DBDB77" w:rsidR="0042008E" w:rsidRDefault="0042008E" w:rsidP="0042008E">
      <w:pPr>
        <w:keepNext/>
        <w:tabs>
          <w:tab w:val="left" w:pos="1800"/>
        </w:tabs>
        <w:outlineLvl w:val="3"/>
        <w:rPr>
          <w:b/>
          <w:bCs/>
          <w:kern w:val="14"/>
          <w:lang w:val="en-GB"/>
        </w:rPr>
      </w:pPr>
      <w:r w:rsidRPr="00E01D37">
        <w:rPr>
          <w:b/>
          <w:bCs/>
          <w:color w:val="000000"/>
          <w:lang w:val="en-GB"/>
        </w:rPr>
        <w:lastRenderedPageBreak/>
        <w:t>Annex</w:t>
      </w:r>
      <w:r w:rsidR="004B6DA5">
        <w:rPr>
          <w:b/>
          <w:bCs/>
          <w:color w:val="000000"/>
          <w:lang w:val="en-GB"/>
        </w:rPr>
        <w:t>.</w:t>
      </w:r>
      <w:r w:rsidRPr="00E01D37">
        <w:rPr>
          <w:b/>
          <w:bCs/>
          <w:color w:val="000000"/>
          <w:lang w:val="en-GB"/>
        </w:rPr>
        <w:t xml:space="preserve"> </w:t>
      </w:r>
      <w:r w:rsidRPr="00E01D37">
        <w:rPr>
          <w:b/>
          <w:bCs/>
          <w:color w:val="000000"/>
          <w:kern w:val="14"/>
          <w:lang w:val="en-GB"/>
        </w:rPr>
        <w:t xml:space="preserve">Results and resources framework for </w:t>
      </w:r>
      <w:r w:rsidR="000D7E20">
        <w:rPr>
          <w:b/>
          <w:bCs/>
          <w:color w:val="000000"/>
          <w:kern w:val="14"/>
          <w:lang w:val="en-GB"/>
        </w:rPr>
        <w:t>Burkina Faso</w:t>
      </w:r>
      <w:r w:rsidRPr="00E01D37">
        <w:rPr>
          <w:b/>
          <w:bCs/>
          <w:color w:val="000000"/>
          <w:kern w:val="14"/>
          <w:lang w:val="en-GB"/>
        </w:rPr>
        <w:t xml:space="preserve"> (2018-</w:t>
      </w:r>
      <w:r w:rsidRPr="00E01D37">
        <w:rPr>
          <w:b/>
          <w:bCs/>
          <w:kern w:val="14"/>
          <w:lang w:val="en-GB"/>
        </w:rPr>
        <w:t>202</w:t>
      </w:r>
      <w:r w:rsidR="000D7E20">
        <w:rPr>
          <w:b/>
          <w:bCs/>
          <w:kern w:val="14"/>
          <w:lang w:val="en-GB"/>
        </w:rPr>
        <w:t>0</w:t>
      </w:r>
      <w:r w:rsidRPr="00E01D37">
        <w:rPr>
          <w:b/>
          <w:bCs/>
          <w:kern w:val="14"/>
          <w:lang w:val="en-GB"/>
        </w:rPr>
        <w:t>)</w:t>
      </w:r>
    </w:p>
    <w:p w14:paraId="13D02D3B" w14:textId="77777777" w:rsidR="0042008E" w:rsidRPr="0042008E" w:rsidRDefault="0042008E" w:rsidP="0042008E">
      <w:pPr>
        <w:keepNext/>
        <w:tabs>
          <w:tab w:val="left" w:pos="1800"/>
        </w:tabs>
        <w:outlineLvl w:val="3"/>
        <w:rPr>
          <w:b/>
          <w:sz w:val="16"/>
          <w:szCs w:val="16"/>
          <w:lang w:val="en-GB"/>
        </w:rPr>
      </w:pPr>
    </w:p>
    <w:tbl>
      <w:tblPr>
        <w:tblW w:w="5034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2823"/>
        <w:gridCol w:w="27"/>
        <w:gridCol w:w="379"/>
        <w:gridCol w:w="1694"/>
        <w:gridCol w:w="185"/>
        <w:gridCol w:w="60"/>
        <w:gridCol w:w="4587"/>
        <w:gridCol w:w="147"/>
        <w:gridCol w:w="95"/>
        <w:gridCol w:w="1615"/>
        <w:gridCol w:w="63"/>
        <w:gridCol w:w="25"/>
        <w:gridCol w:w="1896"/>
        <w:gridCol w:w="22"/>
      </w:tblGrid>
      <w:tr w:rsidR="00684AF6" w:rsidRPr="0042008E" w14:paraId="78B221BA" w14:textId="77777777" w:rsidTr="00AE34E0">
        <w:trPr>
          <w:gridAfter w:val="1"/>
          <w:wAfter w:w="8" w:type="pct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3EE1A" w14:textId="77777777" w:rsidR="00684AF6" w:rsidRPr="0042008E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b/>
                <w:bCs/>
                <w:color w:val="000000"/>
                <w:sz w:val="16"/>
                <w:szCs w:val="16"/>
              </w:rPr>
              <w:t>NATIONAL PRIORITY OR GOAL:</w:t>
            </w:r>
            <w:r w:rsidRPr="0042008E">
              <w:rPr>
                <w:sz w:val="16"/>
                <w:szCs w:val="16"/>
              </w:rPr>
              <w:t xml:space="preserve"> </w:t>
            </w:r>
            <w:r w:rsidRPr="0042008E">
              <w:rPr>
                <w:color w:val="000000"/>
                <w:sz w:val="16"/>
                <w:szCs w:val="16"/>
              </w:rPr>
              <w:t>Institutions Reform and Modernization of the Administration</w:t>
            </w:r>
          </w:p>
        </w:tc>
      </w:tr>
      <w:tr w:rsidR="00684AF6" w:rsidRPr="0042008E" w14:paraId="6BC452CD" w14:textId="77777777" w:rsidTr="00AE34E0">
        <w:trPr>
          <w:gridAfter w:val="1"/>
          <w:wAfter w:w="8" w:type="pct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4C4F2" w14:textId="77777777" w:rsidR="00684AF6" w:rsidRPr="0042008E" w:rsidRDefault="00684AF6" w:rsidP="008E4109">
            <w:pPr>
              <w:spacing w:after="160" w:line="254" w:lineRule="auto"/>
              <w:contextualSpacing/>
              <w:rPr>
                <w:color w:val="000000"/>
                <w:sz w:val="16"/>
                <w:szCs w:val="16"/>
              </w:rPr>
            </w:pPr>
            <w:r w:rsidRPr="0042008E">
              <w:rPr>
                <w:b/>
                <w:bCs/>
                <w:color w:val="000000"/>
                <w:sz w:val="16"/>
                <w:szCs w:val="16"/>
              </w:rPr>
              <w:t>UNDAF OUTCOME INVOLVING UNDP: Outcome 1.1</w:t>
            </w:r>
            <w:r w:rsidRPr="0042008E">
              <w:rPr>
                <w:color w:val="000000"/>
                <w:sz w:val="16"/>
                <w:szCs w:val="16"/>
              </w:rPr>
              <w:t xml:space="preserve"> </w:t>
            </w:r>
            <w:r w:rsidRPr="0042008E">
              <w:rPr>
                <w:sz w:val="16"/>
                <w:szCs w:val="16"/>
              </w:rPr>
              <w:t xml:space="preserve">By 2020, </w:t>
            </w:r>
            <w:r w:rsidRPr="0042008E">
              <w:rPr>
                <w:sz w:val="16"/>
                <w:szCs w:val="16"/>
                <w:lang w:val="en"/>
              </w:rPr>
              <w:t>the effectiveness of institutions is improved and</w:t>
            </w:r>
            <w:r w:rsidRPr="0042008E">
              <w:rPr>
                <w:sz w:val="16"/>
                <w:szCs w:val="16"/>
              </w:rPr>
              <w:t xml:space="preserve"> the people of Burkina Faso, particularly those most exposed to the risks of conflict and insecurity, live in peace and security in a state governed by the rule of law</w:t>
            </w:r>
          </w:p>
        </w:tc>
      </w:tr>
      <w:tr w:rsidR="00684AF6" w:rsidRPr="0042008E" w14:paraId="2F2D04E1" w14:textId="77777777" w:rsidTr="00AE34E0">
        <w:trPr>
          <w:gridAfter w:val="1"/>
          <w:wAfter w:w="8" w:type="pct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968F9" w14:textId="77777777" w:rsidR="00684AF6" w:rsidRPr="0042008E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2008E">
              <w:rPr>
                <w:b/>
                <w:bCs/>
                <w:color w:val="000000"/>
                <w:sz w:val="16"/>
                <w:szCs w:val="16"/>
              </w:rPr>
              <w:t xml:space="preserve">RELATED STRATEGIC PLAN OUTCOME: </w:t>
            </w:r>
            <w:r w:rsidR="0086058F" w:rsidRPr="0042008E">
              <w:rPr>
                <w:bCs/>
                <w:color w:val="000000"/>
                <w:sz w:val="16"/>
                <w:szCs w:val="16"/>
              </w:rPr>
              <w:t>C</w:t>
            </w:r>
            <w:r w:rsidR="002343C7" w:rsidRPr="0042008E">
              <w:rPr>
                <w:bCs/>
                <w:color w:val="000000"/>
                <w:sz w:val="16"/>
                <w:szCs w:val="16"/>
              </w:rPr>
              <w:t xml:space="preserve">itizen expectations for voice, </w:t>
            </w:r>
            <w:r w:rsidR="0086058F" w:rsidRPr="0042008E">
              <w:rPr>
                <w:bCs/>
                <w:color w:val="000000"/>
                <w:sz w:val="16"/>
                <w:szCs w:val="16"/>
              </w:rPr>
              <w:t>development, the rule of law and accountability are met by stronger systems of democratic governance</w:t>
            </w:r>
          </w:p>
        </w:tc>
      </w:tr>
      <w:tr w:rsidR="00684AF6" w:rsidRPr="0042008E" w14:paraId="2735DDF1" w14:textId="77777777" w:rsidTr="00567CEF">
        <w:trPr>
          <w:gridAfter w:val="1"/>
          <w:wAfter w:w="8" w:type="pct"/>
          <w:trHeight w:val="906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20FF35" w14:textId="77777777" w:rsidR="00684AF6" w:rsidRPr="0042008E" w:rsidRDefault="00EC4797" w:rsidP="008E410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UNDAF</w:t>
            </w:r>
            <w:r w:rsidRPr="0042008E">
              <w:rPr>
                <w:b/>
                <w:bCs/>
                <w:color w:val="000000"/>
                <w:sz w:val="16"/>
                <w:szCs w:val="16"/>
              </w:rPr>
              <w:t xml:space="preserve"> outcome indicator(s), baselines, target(s)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B6F" w14:textId="77777777" w:rsidR="00684AF6" w:rsidRPr="0042008E" w:rsidRDefault="00EC4797" w:rsidP="008E4109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  <w:r w:rsidRPr="0042008E">
              <w:rPr>
                <w:b/>
                <w:color w:val="000000"/>
                <w:sz w:val="16"/>
                <w:szCs w:val="16"/>
              </w:rPr>
              <w:t>ata source and frequency of data collection, and responsibilities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B0972" w14:textId="77777777" w:rsidR="00684AF6" w:rsidRPr="0042008E" w:rsidRDefault="006B6C31" w:rsidP="008E410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EC4797" w:rsidRPr="0042008E">
              <w:rPr>
                <w:b/>
                <w:bCs/>
                <w:color w:val="000000"/>
                <w:sz w:val="16"/>
                <w:szCs w:val="16"/>
              </w:rPr>
              <w:t>ndicative country programme outputs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621" w14:textId="77777777" w:rsidR="00684AF6" w:rsidRPr="0042008E" w:rsidRDefault="006B6C31" w:rsidP="008E410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</w:t>
            </w:r>
            <w:r w:rsidR="00EC4797" w:rsidRPr="0042008E">
              <w:rPr>
                <w:b/>
                <w:bCs/>
                <w:color w:val="000000"/>
                <w:sz w:val="16"/>
                <w:szCs w:val="16"/>
              </w:rPr>
              <w:t>ajor partners / partnerships</w:t>
            </w:r>
          </w:p>
          <w:p w14:paraId="18E7500E" w14:textId="77777777" w:rsidR="00684AF6" w:rsidRPr="0042008E" w:rsidRDefault="00EC4797" w:rsidP="008E410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08E">
              <w:rPr>
                <w:b/>
                <w:bCs/>
                <w:color w:val="000000"/>
                <w:sz w:val="16"/>
                <w:szCs w:val="16"/>
              </w:rPr>
              <w:t>frameworks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E82C" w14:textId="3A0E1E34" w:rsidR="00684AF6" w:rsidRPr="0042008E" w:rsidRDefault="006B6C31">
            <w:pPr>
              <w:spacing w:line="256" w:lineRule="auto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EC4797" w:rsidRPr="0042008E">
              <w:rPr>
                <w:b/>
                <w:bCs/>
                <w:color w:val="000000"/>
                <w:sz w:val="16"/>
                <w:szCs w:val="16"/>
              </w:rPr>
              <w:t xml:space="preserve">ndicative resources by </w:t>
            </w:r>
            <w:r w:rsidR="00683F97" w:rsidRPr="0042008E">
              <w:rPr>
                <w:b/>
                <w:bCs/>
                <w:color w:val="000000"/>
                <w:sz w:val="16"/>
                <w:szCs w:val="16"/>
              </w:rPr>
              <w:t xml:space="preserve">outcome </w:t>
            </w:r>
            <w:r w:rsidR="00683F97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0499F">
              <w:rPr>
                <w:b/>
                <w:bCs/>
                <w:color w:val="000000"/>
                <w:sz w:val="16"/>
                <w:szCs w:val="16"/>
              </w:rPr>
              <w:t>$)</w:t>
            </w:r>
          </w:p>
        </w:tc>
      </w:tr>
      <w:tr w:rsidR="00684AF6" w:rsidRPr="0042008E" w14:paraId="3AFF9D14" w14:textId="77777777" w:rsidTr="00AE34E0">
        <w:trPr>
          <w:gridAfter w:val="1"/>
          <w:wAfter w:w="8" w:type="pct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902710" w14:textId="77777777" w:rsidR="00684AF6" w:rsidRPr="0042008E" w:rsidRDefault="000C7E57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t>Quality of policies and</w:t>
            </w:r>
            <w:r w:rsidR="00684AF6" w:rsidRPr="0042008E">
              <w:rPr>
                <w:sz w:val="16"/>
                <w:szCs w:val="16"/>
                <w:lang w:val="en"/>
              </w:rPr>
              <w:t xml:space="preserve"> Institutions (CPIA)</w:t>
            </w:r>
          </w:p>
          <w:p w14:paraId="2D3779B7" w14:textId="77777777" w:rsidR="00684AF6" w:rsidRPr="0042008E" w:rsidRDefault="00684AF6" w:rsidP="008E4109">
            <w:pPr>
              <w:spacing w:line="256" w:lineRule="auto"/>
              <w:rPr>
                <w:sz w:val="16"/>
                <w:szCs w:val="16"/>
                <w:lang w:val="en"/>
              </w:rPr>
            </w:pPr>
            <w:r w:rsidRPr="0042008E">
              <w:rPr>
                <w:bCs/>
                <w:sz w:val="16"/>
                <w:szCs w:val="16"/>
              </w:rPr>
              <w:t>Baseline: 3</w:t>
            </w:r>
            <w:r w:rsidR="007961D5" w:rsidRPr="0042008E">
              <w:rPr>
                <w:bCs/>
                <w:sz w:val="16"/>
                <w:szCs w:val="16"/>
              </w:rPr>
              <w:t>.</w:t>
            </w:r>
            <w:r w:rsidRPr="0042008E">
              <w:rPr>
                <w:bCs/>
                <w:sz w:val="16"/>
                <w:szCs w:val="16"/>
              </w:rPr>
              <w:t>6 (2015); Target: 4</w:t>
            </w:r>
            <w:r w:rsidR="007961D5" w:rsidRPr="0042008E">
              <w:rPr>
                <w:bCs/>
                <w:sz w:val="16"/>
                <w:szCs w:val="16"/>
              </w:rPr>
              <w:t>.</w:t>
            </w:r>
            <w:r w:rsidRPr="0042008E">
              <w:rPr>
                <w:bCs/>
                <w:sz w:val="16"/>
                <w:szCs w:val="16"/>
              </w:rPr>
              <w:t>8</w:t>
            </w:r>
          </w:p>
          <w:p w14:paraId="44452058" w14:textId="77777777" w:rsidR="00684AF6" w:rsidRPr="0042008E" w:rsidRDefault="00684AF6" w:rsidP="008E4109">
            <w:pPr>
              <w:rPr>
                <w:sz w:val="16"/>
                <w:szCs w:val="16"/>
                <w:lang w:val="en"/>
              </w:rPr>
            </w:pPr>
          </w:p>
          <w:p w14:paraId="2AF6B905" w14:textId="77777777" w:rsidR="00684AF6" w:rsidRPr="0042008E" w:rsidRDefault="00684AF6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t>Corruption Index perception</w:t>
            </w:r>
          </w:p>
          <w:p w14:paraId="5624C19E" w14:textId="77777777" w:rsidR="00684AF6" w:rsidRPr="0042008E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38/100 (2015); Target: 52/100</w:t>
            </w:r>
          </w:p>
          <w:p w14:paraId="5B24AB34" w14:textId="77777777" w:rsidR="005208B3" w:rsidRPr="0042008E" w:rsidRDefault="005208B3" w:rsidP="008E4109">
            <w:pPr>
              <w:rPr>
                <w:sz w:val="16"/>
                <w:szCs w:val="16"/>
                <w:lang w:val="en"/>
              </w:rPr>
            </w:pPr>
          </w:p>
          <w:p w14:paraId="28C8DDCE" w14:textId="77777777" w:rsidR="00684AF6" w:rsidRPr="0042008E" w:rsidRDefault="00684AF6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t xml:space="preserve">Proportion of vulnerable persons with access to justice services including minors in conflict with the law </w:t>
            </w:r>
          </w:p>
          <w:p w14:paraId="3CF2019A" w14:textId="77777777" w:rsidR="00684AF6" w:rsidRPr="0042008E" w:rsidRDefault="005075C4" w:rsidP="008E4109">
            <w:pPr>
              <w:spacing w:line="256" w:lineRule="auto"/>
              <w:rPr>
                <w:sz w:val="16"/>
                <w:szCs w:val="16"/>
                <w:lang w:val="en"/>
              </w:rPr>
            </w:pPr>
            <w:r w:rsidRPr="0042008E">
              <w:rPr>
                <w:bCs/>
                <w:sz w:val="16"/>
                <w:szCs w:val="16"/>
              </w:rPr>
              <w:t>Baseline: 70% (2016)</w:t>
            </w:r>
            <w:r w:rsidR="00684AF6" w:rsidRPr="0042008E">
              <w:rPr>
                <w:bCs/>
                <w:sz w:val="16"/>
                <w:szCs w:val="16"/>
              </w:rPr>
              <w:t>; Target: 80%</w:t>
            </w:r>
          </w:p>
          <w:p w14:paraId="2B343BA7" w14:textId="77777777" w:rsidR="00684AF6" w:rsidRPr="0042008E" w:rsidRDefault="00684AF6" w:rsidP="008E4109">
            <w:pPr>
              <w:rPr>
                <w:sz w:val="16"/>
                <w:szCs w:val="16"/>
                <w:lang w:val="en"/>
              </w:rPr>
            </w:pPr>
          </w:p>
          <w:p w14:paraId="0DE12CD2" w14:textId="77777777" w:rsidR="00187684" w:rsidRPr="0042008E" w:rsidRDefault="00187684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t>Number of persons benefiting from multisectoral assistance following a conflict</w:t>
            </w:r>
          </w:p>
          <w:p w14:paraId="12811BC8" w14:textId="77777777" w:rsidR="00187684" w:rsidRPr="0042008E" w:rsidRDefault="00187684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2145 (2017); Target: 1839</w:t>
            </w:r>
          </w:p>
          <w:p w14:paraId="7E137090" w14:textId="77777777" w:rsidR="00187684" w:rsidRPr="0042008E" w:rsidRDefault="00187684" w:rsidP="008E4109">
            <w:pPr>
              <w:rPr>
                <w:sz w:val="16"/>
                <w:szCs w:val="16"/>
                <w:lang w:val="en"/>
              </w:rPr>
            </w:pPr>
          </w:p>
          <w:p w14:paraId="4AD24B42" w14:textId="77777777" w:rsidR="00187684" w:rsidRPr="0042008E" w:rsidRDefault="00187684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t>Rate of Implementation of UPR recommendations</w:t>
            </w:r>
          </w:p>
          <w:p w14:paraId="009E0211" w14:textId="77777777" w:rsidR="00187684" w:rsidRPr="0042008E" w:rsidRDefault="00187684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35% (2015); Target: 45%</w:t>
            </w:r>
            <w:r w:rsidR="008A705E" w:rsidRPr="0042008E">
              <w:rPr>
                <w:bCs/>
                <w:sz w:val="16"/>
                <w:szCs w:val="16"/>
              </w:rPr>
              <w:t xml:space="preserve"> (2020)</w:t>
            </w:r>
          </w:p>
          <w:p w14:paraId="48C1E68B" w14:textId="77777777" w:rsidR="00684AF6" w:rsidRPr="0042008E" w:rsidRDefault="00187684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br/>
            </w:r>
            <w:r w:rsidR="00684AF6" w:rsidRPr="0042008E">
              <w:rPr>
                <w:sz w:val="16"/>
                <w:szCs w:val="16"/>
                <w:lang w:val="en"/>
              </w:rPr>
              <w:t>Ibrahim Index for Governance in Africa</w:t>
            </w:r>
          </w:p>
          <w:p w14:paraId="51B64E51" w14:textId="6C000F3A" w:rsidR="00684AF6" w:rsidRPr="0042008E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52</w:t>
            </w:r>
            <w:r w:rsidR="001114A1">
              <w:rPr>
                <w:bCs/>
                <w:sz w:val="16"/>
                <w:szCs w:val="16"/>
              </w:rPr>
              <w:t>.</w:t>
            </w:r>
            <w:r w:rsidRPr="0042008E">
              <w:rPr>
                <w:bCs/>
                <w:sz w:val="16"/>
                <w:szCs w:val="16"/>
              </w:rPr>
              <w:t>2/100 (2015); Target: 65/100</w:t>
            </w:r>
            <w:r w:rsidR="008A705E" w:rsidRPr="0042008E">
              <w:rPr>
                <w:bCs/>
                <w:sz w:val="16"/>
                <w:szCs w:val="16"/>
              </w:rPr>
              <w:t xml:space="preserve"> (2020)</w:t>
            </w:r>
          </w:p>
          <w:p w14:paraId="59E76D57" w14:textId="77777777" w:rsidR="00187684" w:rsidRPr="0042008E" w:rsidRDefault="00187684" w:rsidP="008E4109">
            <w:pPr>
              <w:rPr>
                <w:sz w:val="16"/>
                <w:szCs w:val="16"/>
                <w:lang w:val="en"/>
              </w:rPr>
            </w:pPr>
          </w:p>
          <w:p w14:paraId="1E5A7C5F" w14:textId="77777777" w:rsidR="00AC3B7E" w:rsidRPr="0042008E" w:rsidRDefault="00AC3B7E" w:rsidP="008E4109">
            <w:pPr>
              <w:rPr>
                <w:sz w:val="16"/>
                <w:szCs w:val="16"/>
                <w:lang w:val="en"/>
              </w:rPr>
            </w:pPr>
            <w:r w:rsidRPr="0042008E">
              <w:rPr>
                <w:sz w:val="16"/>
                <w:szCs w:val="16"/>
                <w:lang w:val="en"/>
              </w:rPr>
              <w:t xml:space="preserve">Perception in percentage of Risk of conflicts </w:t>
            </w:r>
          </w:p>
          <w:p w14:paraId="10621338" w14:textId="77777777" w:rsidR="00AC3B7E" w:rsidRPr="0042008E" w:rsidRDefault="005075C4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60.3% (2015); Target: 39.</w:t>
            </w:r>
            <w:r w:rsidR="00AC3B7E" w:rsidRPr="0042008E">
              <w:rPr>
                <w:bCs/>
                <w:sz w:val="16"/>
                <w:szCs w:val="16"/>
              </w:rPr>
              <w:t>6%</w:t>
            </w:r>
          </w:p>
          <w:p w14:paraId="1D88027E" w14:textId="77777777" w:rsidR="000C7E57" w:rsidRPr="0042008E" w:rsidRDefault="000C7E57" w:rsidP="008E4109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05D469A1" w14:textId="77777777" w:rsidR="00AC3B7E" w:rsidRPr="0042008E" w:rsidRDefault="00AC3B7E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4EE66" w14:textId="77777777" w:rsidR="00684AF6" w:rsidRPr="0042008E" w:rsidRDefault="007C5055" w:rsidP="008E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Bank</w:t>
            </w:r>
            <w:r w:rsidRPr="0042008E">
              <w:rPr>
                <w:sz w:val="16"/>
                <w:szCs w:val="16"/>
              </w:rPr>
              <w:t xml:space="preserve"> </w:t>
            </w:r>
            <w:r w:rsidR="00684AF6" w:rsidRPr="0042008E">
              <w:rPr>
                <w:sz w:val="16"/>
                <w:szCs w:val="16"/>
              </w:rPr>
              <w:t>CPIA</w:t>
            </w:r>
          </w:p>
          <w:p w14:paraId="299A9FA4" w14:textId="77777777" w:rsidR="00684AF6" w:rsidRPr="0042008E" w:rsidRDefault="00684AF6" w:rsidP="008E4109">
            <w:pPr>
              <w:rPr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Responsibility: UNDP</w:t>
            </w:r>
          </w:p>
          <w:p w14:paraId="2BEB0F3A" w14:textId="77777777" w:rsidR="00684AF6" w:rsidRPr="0042008E" w:rsidRDefault="00684AF6" w:rsidP="008E4109">
            <w:pPr>
              <w:rPr>
                <w:sz w:val="16"/>
                <w:szCs w:val="16"/>
              </w:rPr>
            </w:pPr>
          </w:p>
          <w:p w14:paraId="73B3E3D5" w14:textId="77777777" w:rsidR="00684AF6" w:rsidRPr="0042008E" w:rsidRDefault="00684AF6" w:rsidP="008E4109">
            <w:pPr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Transparency International annual report</w:t>
            </w:r>
          </w:p>
          <w:p w14:paraId="57385252" w14:textId="77777777" w:rsidR="00684AF6" w:rsidRPr="0042008E" w:rsidRDefault="00684AF6" w:rsidP="008E4109">
            <w:pPr>
              <w:rPr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Responsibility: UNDP</w:t>
            </w:r>
          </w:p>
          <w:p w14:paraId="26BAFC04" w14:textId="77777777" w:rsidR="00684AF6" w:rsidRPr="0042008E" w:rsidRDefault="00684AF6" w:rsidP="008E4109">
            <w:pPr>
              <w:rPr>
                <w:sz w:val="16"/>
                <w:szCs w:val="16"/>
              </w:rPr>
            </w:pPr>
          </w:p>
          <w:p w14:paraId="6E62F254" w14:textId="77777777" w:rsidR="00684AF6" w:rsidRPr="0042008E" w:rsidRDefault="000C7E57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St</w:t>
            </w:r>
            <w:r w:rsidR="00684AF6" w:rsidRPr="0042008E">
              <w:rPr>
                <w:color w:val="000000"/>
                <w:sz w:val="16"/>
                <w:szCs w:val="16"/>
              </w:rPr>
              <w:t xml:space="preserve">atistical Yearbook of the </w:t>
            </w:r>
            <w:r w:rsidR="007C5055" w:rsidRPr="0042008E">
              <w:rPr>
                <w:sz w:val="16"/>
                <w:szCs w:val="16"/>
                <w:lang w:val="en"/>
              </w:rPr>
              <w:t xml:space="preserve">Ministry of </w:t>
            </w:r>
            <w:r w:rsidR="007C5055">
              <w:rPr>
                <w:sz w:val="16"/>
                <w:szCs w:val="16"/>
                <w:lang w:val="en"/>
              </w:rPr>
              <w:t>J</w:t>
            </w:r>
            <w:r w:rsidR="007C5055" w:rsidRPr="0042008E">
              <w:rPr>
                <w:sz w:val="16"/>
                <w:szCs w:val="16"/>
                <w:lang w:val="en"/>
              </w:rPr>
              <w:t xml:space="preserve">ustice, </w:t>
            </w:r>
            <w:r w:rsidR="007C5055">
              <w:rPr>
                <w:sz w:val="16"/>
                <w:szCs w:val="16"/>
                <w:lang w:val="en"/>
              </w:rPr>
              <w:t>H</w:t>
            </w:r>
            <w:r w:rsidR="007C5055" w:rsidRPr="0042008E">
              <w:rPr>
                <w:sz w:val="16"/>
                <w:szCs w:val="16"/>
                <w:lang w:val="en"/>
              </w:rPr>
              <w:t xml:space="preserve">uman </w:t>
            </w:r>
            <w:r w:rsidR="007C5055">
              <w:rPr>
                <w:sz w:val="16"/>
                <w:szCs w:val="16"/>
                <w:lang w:val="en"/>
              </w:rPr>
              <w:t>R</w:t>
            </w:r>
            <w:r w:rsidR="007C5055" w:rsidRPr="0042008E">
              <w:rPr>
                <w:sz w:val="16"/>
                <w:szCs w:val="16"/>
                <w:lang w:val="en"/>
              </w:rPr>
              <w:t xml:space="preserve">ights and </w:t>
            </w:r>
            <w:r w:rsidR="007C5055">
              <w:rPr>
                <w:sz w:val="16"/>
                <w:szCs w:val="16"/>
                <w:lang w:val="en"/>
              </w:rPr>
              <w:t>C</w:t>
            </w:r>
            <w:r w:rsidR="007C5055" w:rsidRPr="0042008E">
              <w:rPr>
                <w:sz w:val="16"/>
                <w:szCs w:val="16"/>
                <w:lang w:val="en"/>
              </w:rPr>
              <w:t xml:space="preserve">itizen </w:t>
            </w:r>
            <w:r w:rsidR="007C5055">
              <w:rPr>
                <w:sz w:val="16"/>
                <w:szCs w:val="16"/>
                <w:lang w:val="en"/>
              </w:rPr>
              <w:t>P</w:t>
            </w:r>
            <w:r w:rsidR="007C5055" w:rsidRPr="0042008E">
              <w:rPr>
                <w:sz w:val="16"/>
                <w:szCs w:val="16"/>
                <w:lang w:val="en"/>
              </w:rPr>
              <w:t>romotion</w:t>
            </w:r>
            <w:r w:rsidR="007C5055" w:rsidRPr="0042008E">
              <w:rPr>
                <w:color w:val="000000"/>
                <w:sz w:val="16"/>
                <w:szCs w:val="16"/>
              </w:rPr>
              <w:t xml:space="preserve"> (</w:t>
            </w:r>
            <w:r w:rsidR="00D46A43" w:rsidRPr="0042008E">
              <w:rPr>
                <w:color w:val="000000"/>
                <w:sz w:val="16"/>
                <w:szCs w:val="16"/>
              </w:rPr>
              <w:t xml:space="preserve">MJDHCP) </w:t>
            </w:r>
            <w:r w:rsidR="00684AF6" w:rsidRPr="0042008E">
              <w:rPr>
                <w:color w:val="000000"/>
                <w:sz w:val="16"/>
                <w:szCs w:val="16"/>
              </w:rPr>
              <w:t>annual report</w:t>
            </w:r>
          </w:p>
          <w:p w14:paraId="64F7684A" w14:textId="56C10443" w:rsidR="00684AF6" w:rsidRPr="0042008E" w:rsidRDefault="00684AF6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 xml:space="preserve">Responsibility: </w:t>
            </w:r>
            <w:r w:rsidR="001114A1" w:rsidRPr="00B456F7">
              <w:rPr>
                <w:sz w:val="16"/>
                <w:szCs w:val="16"/>
                <w:lang w:val="en"/>
              </w:rPr>
              <w:t xml:space="preserve">General </w:t>
            </w:r>
            <w:r w:rsidR="001114A1">
              <w:rPr>
                <w:sz w:val="16"/>
                <w:szCs w:val="16"/>
                <w:lang w:val="en"/>
              </w:rPr>
              <w:t xml:space="preserve">direction </w:t>
            </w:r>
            <w:r w:rsidR="001114A1" w:rsidRPr="00B456F7">
              <w:rPr>
                <w:sz w:val="16"/>
                <w:szCs w:val="16"/>
                <w:lang w:val="en"/>
              </w:rPr>
              <w:t>of Studies and Sectoral Statistics</w:t>
            </w:r>
            <w:r w:rsidR="001114A1">
              <w:rPr>
                <w:sz w:val="16"/>
                <w:szCs w:val="16"/>
                <w:lang w:val="en"/>
              </w:rPr>
              <w:t xml:space="preserve"> (DGESS)</w:t>
            </w:r>
            <w:r w:rsidR="001114A1" w:rsidRPr="00B456F7">
              <w:rPr>
                <w:sz w:val="16"/>
                <w:szCs w:val="16"/>
                <w:lang w:val="en"/>
              </w:rPr>
              <w:t xml:space="preserve"> </w:t>
            </w:r>
            <w:r w:rsidRPr="00B456F7">
              <w:rPr>
                <w:sz w:val="16"/>
                <w:szCs w:val="16"/>
                <w:lang w:val="en"/>
              </w:rPr>
              <w:t>of MJDHC</w:t>
            </w:r>
            <w:r w:rsidR="00D46A43" w:rsidRPr="00B456F7">
              <w:rPr>
                <w:sz w:val="16"/>
                <w:szCs w:val="16"/>
                <w:lang w:val="en"/>
              </w:rPr>
              <w:t>P</w:t>
            </w:r>
            <w:r w:rsidRPr="0042008E">
              <w:rPr>
                <w:color w:val="000000"/>
                <w:sz w:val="16"/>
                <w:szCs w:val="16"/>
              </w:rPr>
              <w:t xml:space="preserve"> </w:t>
            </w:r>
          </w:p>
          <w:p w14:paraId="0268CEC1" w14:textId="77777777" w:rsidR="00684AF6" w:rsidRPr="0042008E" w:rsidRDefault="00684AF6" w:rsidP="008E4109">
            <w:pPr>
              <w:rPr>
                <w:color w:val="000000"/>
                <w:sz w:val="16"/>
                <w:szCs w:val="16"/>
              </w:rPr>
            </w:pPr>
          </w:p>
          <w:p w14:paraId="09D07CDC" w14:textId="77777777" w:rsidR="00187684" w:rsidRPr="0042008E" w:rsidRDefault="000C7E57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A</w:t>
            </w:r>
            <w:r w:rsidR="00187684" w:rsidRPr="0042008E">
              <w:rPr>
                <w:color w:val="000000"/>
                <w:sz w:val="16"/>
                <w:szCs w:val="16"/>
              </w:rPr>
              <w:t>nnual report of MJDHC</w:t>
            </w:r>
            <w:r w:rsidR="00D46A43" w:rsidRPr="0042008E">
              <w:rPr>
                <w:color w:val="000000"/>
                <w:sz w:val="16"/>
                <w:szCs w:val="16"/>
              </w:rPr>
              <w:t>P</w:t>
            </w:r>
          </w:p>
          <w:p w14:paraId="1E52C6FD" w14:textId="77777777" w:rsidR="005208B3" w:rsidRPr="0042008E" w:rsidRDefault="000C7E57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 xml:space="preserve">Responsibility: DGESS of </w:t>
            </w:r>
            <w:r w:rsidR="00D46A43" w:rsidRPr="0042008E">
              <w:rPr>
                <w:color w:val="000000"/>
                <w:sz w:val="16"/>
                <w:szCs w:val="16"/>
              </w:rPr>
              <w:t>MJDHCP</w:t>
            </w:r>
            <w:r w:rsidR="00C12DF7" w:rsidRPr="0042008E">
              <w:rPr>
                <w:color w:val="000000"/>
                <w:sz w:val="16"/>
                <w:szCs w:val="16"/>
              </w:rPr>
              <w:t xml:space="preserve">; </w:t>
            </w:r>
            <w:r w:rsidRPr="0042008E">
              <w:rPr>
                <w:color w:val="000000"/>
                <w:sz w:val="16"/>
                <w:szCs w:val="16"/>
              </w:rPr>
              <w:t>A</w:t>
            </w:r>
            <w:r w:rsidR="005208B3" w:rsidRPr="0042008E">
              <w:rPr>
                <w:color w:val="000000"/>
                <w:sz w:val="16"/>
                <w:szCs w:val="16"/>
              </w:rPr>
              <w:t>nnual report of MJDHC</w:t>
            </w:r>
            <w:r w:rsidR="00D46A43" w:rsidRPr="0042008E">
              <w:rPr>
                <w:color w:val="000000"/>
                <w:sz w:val="16"/>
                <w:szCs w:val="16"/>
              </w:rPr>
              <w:t>P</w:t>
            </w:r>
          </w:p>
          <w:p w14:paraId="68A891D1" w14:textId="0B3AECF7" w:rsidR="005208B3" w:rsidRPr="0042008E" w:rsidRDefault="006514EE" w:rsidP="008E41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Responsibility: DGESS of MJDHCP</w:t>
            </w:r>
          </w:p>
          <w:p w14:paraId="25EEFF8B" w14:textId="77777777" w:rsidR="005208B3" w:rsidRPr="0042008E" w:rsidRDefault="005208B3" w:rsidP="008E4109">
            <w:pPr>
              <w:rPr>
                <w:color w:val="000000"/>
                <w:sz w:val="16"/>
                <w:szCs w:val="16"/>
              </w:rPr>
            </w:pPr>
          </w:p>
          <w:p w14:paraId="5CCE35FC" w14:textId="77777777" w:rsidR="00684AF6" w:rsidRPr="0042008E" w:rsidRDefault="00684AF6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 xml:space="preserve">Mo Ibrahim </w:t>
            </w:r>
            <w:r w:rsidR="0068732A">
              <w:rPr>
                <w:color w:val="000000"/>
                <w:sz w:val="16"/>
                <w:szCs w:val="16"/>
              </w:rPr>
              <w:t>F</w:t>
            </w:r>
            <w:r w:rsidRPr="0042008E">
              <w:rPr>
                <w:color w:val="000000"/>
                <w:sz w:val="16"/>
                <w:szCs w:val="16"/>
              </w:rPr>
              <w:t>oundation report</w:t>
            </w:r>
          </w:p>
          <w:p w14:paraId="6DF9F11E" w14:textId="77777777" w:rsidR="00684AF6" w:rsidRPr="0042008E" w:rsidRDefault="00684AF6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Responsibility: UNDP</w:t>
            </w:r>
          </w:p>
          <w:p w14:paraId="28A3ED4F" w14:textId="77777777" w:rsidR="00684AF6" w:rsidRPr="0042008E" w:rsidRDefault="00684AF6" w:rsidP="008E4109">
            <w:pPr>
              <w:rPr>
                <w:color w:val="000000"/>
                <w:sz w:val="16"/>
                <w:szCs w:val="16"/>
              </w:rPr>
            </w:pPr>
          </w:p>
          <w:p w14:paraId="33D3A845" w14:textId="77777777" w:rsidR="00187684" w:rsidRPr="0042008E" w:rsidRDefault="00187684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Report on Overview of Community conflicts</w:t>
            </w:r>
          </w:p>
          <w:p w14:paraId="59EB3E39" w14:textId="77777777" w:rsidR="00187684" w:rsidRPr="0042008E" w:rsidRDefault="00187684" w:rsidP="008E4109">
            <w:pPr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 xml:space="preserve">Responsibility: DGESS of the </w:t>
            </w:r>
            <w:r w:rsidR="00D46A43" w:rsidRPr="0042008E">
              <w:rPr>
                <w:color w:val="000000"/>
                <w:sz w:val="16"/>
                <w:szCs w:val="16"/>
              </w:rPr>
              <w:t>MJDH</w:t>
            </w:r>
            <w:r w:rsidR="008B7424" w:rsidRPr="0042008E">
              <w:rPr>
                <w:color w:val="000000"/>
                <w:sz w:val="16"/>
                <w:szCs w:val="16"/>
              </w:rPr>
              <w:t>C</w:t>
            </w:r>
            <w:r w:rsidR="00D46A43" w:rsidRPr="0042008E">
              <w:rPr>
                <w:color w:val="000000"/>
                <w:sz w:val="16"/>
                <w:szCs w:val="16"/>
              </w:rPr>
              <w:t>P</w:t>
            </w:r>
          </w:p>
          <w:p w14:paraId="30BF04C6" w14:textId="77777777" w:rsidR="00187684" w:rsidRPr="0042008E" w:rsidRDefault="00187684" w:rsidP="008E4109">
            <w:pPr>
              <w:pStyle w:val="NoSpacing"/>
              <w:spacing w:line="25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6E145" w14:textId="77777777" w:rsidR="00684AF6" w:rsidRPr="0042008E" w:rsidRDefault="00684AF6" w:rsidP="005075C4">
            <w:pPr>
              <w:spacing w:line="252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15F33">
              <w:rPr>
                <w:b/>
                <w:sz w:val="16"/>
                <w:szCs w:val="16"/>
              </w:rPr>
              <w:t>Output</w:t>
            </w:r>
            <w:r w:rsidR="007961D5" w:rsidRPr="00215F33">
              <w:rPr>
                <w:b/>
                <w:sz w:val="16"/>
                <w:szCs w:val="16"/>
              </w:rPr>
              <w:t xml:space="preserve"> </w:t>
            </w:r>
            <w:r w:rsidRPr="00215F33">
              <w:rPr>
                <w:b/>
                <w:sz w:val="16"/>
                <w:szCs w:val="16"/>
              </w:rPr>
              <w:t>1.1</w:t>
            </w:r>
            <w:r w:rsidRPr="00764B74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</w:t>
            </w:r>
            <w:r w:rsidR="00D779F1" w:rsidRPr="0042008E">
              <w:rPr>
                <w:sz w:val="16"/>
                <w:szCs w:val="16"/>
              </w:rPr>
              <w:t xml:space="preserve">Selected institutions at national and decentralized levels with functional capacities, including procedures, systems </w:t>
            </w:r>
            <w:r w:rsidR="007961D5" w:rsidRPr="0042008E">
              <w:rPr>
                <w:sz w:val="16"/>
                <w:szCs w:val="16"/>
              </w:rPr>
              <w:t>and</w:t>
            </w:r>
            <w:r w:rsidR="00D779F1" w:rsidRPr="0042008E">
              <w:rPr>
                <w:sz w:val="16"/>
                <w:szCs w:val="16"/>
              </w:rPr>
              <w:t xml:space="preserve"> tools for efficient and transparent public procurement</w:t>
            </w:r>
          </w:p>
          <w:p w14:paraId="0D9CD688" w14:textId="77777777" w:rsidR="00684AF6" w:rsidRPr="0042008E" w:rsidRDefault="00684AF6" w:rsidP="005075C4">
            <w:pPr>
              <w:spacing w:line="252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4DED74D" w14:textId="77777777" w:rsidR="00684AF6" w:rsidRPr="0042008E" w:rsidRDefault="00D779F1" w:rsidP="005075C4">
            <w:pPr>
              <w:spacing w:line="252" w:lineRule="auto"/>
              <w:rPr>
                <w:snapToGrid/>
                <w:sz w:val="16"/>
                <w:szCs w:val="16"/>
              </w:rPr>
            </w:pPr>
            <w:r w:rsidRPr="0042008E">
              <w:rPr>
                <w:b/>
                <w:bCs/>
                <w:color w:val="000000"/>
                <w:sz w:val="16"/>
                <w:szCs w:val="16"/>
              </w:rPr>
              <w:t>Indicator 1.1</w:t>
            </w:r>
            <w:r w:rsidR="00684AF6" w:rsidRPr="0042008E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A614E5" w:rsidRPr="0042008E">
              <w:rPr>
                <w:bCs/>
                <w:color w:val="000000"/>
                <w:sz w:val="16"/>
                <w:szCs w:val="16"/>
              </w:rPr>
              <w:t xml:space="preserve">Average </w:t>
            </w:r>
            <w:r w:rsidR="00CB0C3C" w:rsidRPr="0042008E">
              <w:rPr>
                <w:bCs/>
                <w:color w:val="000000"/>
                <w:sz w:val="16"/>
                <w:szCs w:val="16"/>
              </w:rPr>
              <w:t>implementation</w:t>
            </w:r>
            <w:r w:rsidR="00A614E5" w:rsidRPr="0042008E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684AF6" w:rsidRPr="0042008E">
              <w:rPr>
                <w:bCs/>
                <w:color w:val="000000"/>
                <w:sz w:val="16"/>
                <w:szCs w:val="16"/>
              </w:rPr>
              <w:t xml:space="preserve">rate of </w:t>
            </w:r>
            <w:r w:rsidR="00684AF6" w:rsidRPr="0042008E">
              <w:rPr>
                <w:sz w:val="16"/>
                <w:szCs w:val="16"/>
              </w:rPr>
              <w:t xml:space="preserve">projects and programmes </w:t>
            </w:r>
          </w:p>
          <w:p w14:paraId="03F69226" w14:textId="77777777" w:rsidR="00684AF6" w:rsidRPr="0042008E" w:rsidRDefault="00684AF6" w:rsidP="005075C4">
            <w:pPr>
              <w:spacing w:line="252" w:lineRule="auto"/>
              <w:rPr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Baseline: 69</w:t>
            </w:r>
            <w:r w:rsidR="007961D5" w:rsidRPr="0042008E">
              <w:rPr>
                <w:color w:val="000000"/>
                <w:sz w:val="16"/>
                <w:szCs w:val="16"/>
              </w:rPr>
              <w:t>.</w:t>
            </w:r>
            <w:r w:rsidRPr="0042008E">
              <w:rPr>
                <w:color w:val="000000"/>
                <w:sz w:val="16"/>
                <w:szCs w:val="16"/>
              </w:rPr>
              <w:t>37%; Target: 90%</w:t>
            </w:r>
          </w:p>
          <w:p w14:paraId="3E2465FA" w14:textId="702F3455" w:rsidR="00684AF6" w:rsidRPr="0042008E" w:rsidRDefault="00684AF6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 xml:space="preserve">Source: </w:t>
            </w:r>
            <w:bookmarkStart w:id="2" w:name="_Hlk496551995"/>
            <w:r w:rsidR="00440F69" w:rsidRPr="00B456F7">
              <w:rPr>
                <w:bCs/>
                <w:color w:val="000000"/>
                <w:sz w:val="16"/>
                <w:szCs w:val="16"/>
              </w:rPr>
              <w:t xml:space="preserve">General </w:t>
            </w:r>
            <w:r w:rsidR="005509AD">
              <w:rPr>
                <w:bCs/>
                <w:color w:val="000000"/>
                <w:sz w:val="16"/>
                <w:szCs w:val="16"/>
              </w:rPr>
              <w:t>D</w:t>
            </w:r>
            <w:r w:rsidR="00440F69" w:rsidRPr="00B456F7">
              <w:rPr>
                <w:bCs/>
                <w:color w:val="000000"/>
                <w:sz w:val="16"/>
                <w:szCs w:val="16"/>
              </w:rPr>
              <w:t xml:space="preserve">irection of </w:t>
            </w:r>
            <w:r w:rsidR="005509AD">
              <w:rPr>
                <w:bCs/>
                <w:color w:val="000000"/>
                <w:sz w:val="16"/>
                <w:szCs w:val="16"/>
              </w:rPr>
              <w:t>E</w:t>
            </w:r>
            <w:r w:rsidR="00440F69" w:rsidRPr="00B456F7">
              <w:rPr>
                <w:bCs/>
                <w:color w:val="000000"/>
                <w:sz w:val="16"/>
                <w:szCs w:val="16"/>
              </w:rPr>
              <w:t xml:space="preserve">conomy and </w:t>
            </w:r>
            <w:r w:rsidR="005509AD">
              <w:rPr>
                <w:bCs/>
                <w:color w:val="000000"/>
                <w:sz w:val="16"/>
                <w:szCs w:val="16"/>
              </w:rPr>
              <w:t>P</w:t>
            </w:r>
            <w:r w:rsidR="00440F69" w:rsidRPr="00B456F7">
              <w:rPr>
                <w:bCs/>
                <w:color w:val="000000"/>
                <w:sz w:val="16"/>
                <w:szCs w:val="16"/>
              </w:rPr>
              <w:t>lanning</w:t>
            </w:r>
            <w:r w:rsidRPr="00B456F7">
              <w:rPr>
                <w:bCs/>
                <w:color w:val="000000"/>
                <w:sz w:val="16"/>
                <w:szCs w:val="16"/>
              </w:rPr>
              <w:t xml:space="preserve"> annual report</w:t>
            </w:r>
            <w:bookmarkEnd w:id="2"/>
            <w:r w:rsidR="00440F69"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909FB" w14:textId="77777777" w:rsidR="00684AF6" w:rsidRPr="0042008E" w:rsidRDefault="00684AF6" w:rsidP="00A529BC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UNFPA</w:t>
            </w:r>
            <w:r w:rsidR="007C5055">
              <w:rPr>
                <w:sz w:val="16"/>
                <w:szCs w:val="16"/>
              </w:rPr>
              <w:t xml:space="preserve">, </w:t>
            </w:r>
            <w:r w:rsidRPr="0042008E">
              <w:rPr>
                <w:sz w:val="16"/>
                <w:szCs w:val="16"/>
              </w:rPr>
              <w:t>UNICEF</w:t>
            </w:r>
            <w:r w:rsidR="007C5055">
              <w:rPr>
                <w:sz w:val="16"/>
                <w:szCs w:val="16"/>
              </w:rPr>
              <w:t>,</w:t>
            </w:r>
          </w:p>
          <w:p w14:paraId="79B093B5" w14:textId="77777777" w:rsidR="00684AF6" w:rsidRPr="0042008E" w:rsidRDefault="00684AF6" w:rsidP="00A529BC">
            <w:pPr>
              <w:spacing w:line="256" w:lineRule="auto"/>
              <w:rPr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  <w:lang w:val="en-ZA"/>
              </w:rPr>
              <w:t>E</w:t>
            </w:r>
            <w:r w:rsidR="007C5055">
              <w:rPr>
                <w:bCs/>
                <w:sz w:val="16"/>
                <w:szCs w:val="16"/>
                <w:lang w:val="en-ZA"/>
              </w:rPr>
              <w:t xml:space="preserve">uropean </w:t>
            </w:r>
            <w:r w:rsidRPr="0042008E">
              <w:rPr>
                <w:bCs/>
                <w:sz w:val="16"/>
                <w:szCs w:val="16"/>
                <w:lang w:val="en-ZA"/>
              </w:rPr>
              <w:t>U</w:t>
            </w:r>
            <w:r w:rsidR="007C5055">
              <w:rPr>
                <w:bCs/>
                <w:sz w:val="16"/>
                <w:szCs w:val="16"/>
                <w:lang w:val="en-ZA"/>
              </w:rPr>
              <w:t>nion</w:t>
            </w:r>
            <w:r w:rsidRPr="0042008E">
              <w:rPr>
                <w:bCs/>
                <w:sz w:val="16"/>
                <w:szCs w:val="16"/>
                <w:lang w:val="en-ZA"/>
              </w:rPr>
              <w:t xml:space="preserve">, </w:t>
            </w:r>
            <w:r w:rsidR="007C5055">
              <w:rPr>
                <w:bCs/>
                <w:sz w:val="16"/>
                <w:szCs w:val="16"/>
              </w:rPr>
              <w:t>World Bank</w:t>
            </w:r>
            <w:r w:rsidRPr="0042008E">
              <w:rPr>
                <w:bCs/>
                <w:sz w:val="16"/>
                <w:szCs w:val="16"/>
              </w:rPr>
              <w:t xml:space="preserve">, </w:t>
            </w:r>
            <w:r w:rsidR="007C5055">
              <w:rPr>
                <w:sz w:val="16"/>
                <w:szCs w:val="16"/>
              </w:rPr>
              <w:t>and m</w:t>
            </w:r>
            <w:r w:rsidRPr="0042008E">
              <w:rPr>
                <w:sz w:val="16"/>
                <w:szCs w:val="16"/>
              </w:rPr>
              <w:t>inist</w:t>
            </w:r>
            <w:r w:rsidR="00AC3B7E" w:rsidRPr="0042008E">
              <w:rPr>
                <w:sz w:val="16"/>
                <w:szCs w:val="16"/>
              </w:rPr>
              <w:t>ries in charge of the economy</w:t>
            </w:r>
            <w:r w:rsidR="007C5055">
              <w:rPr>
                <w:sz w:val="16"/>
                <w:szCs w:val="16"/>
              </w:rPr>
              <w:t>.</w:t>
            </w:r>
            <w:r w:rsidRPr="0042008E">
              <w:rPr>
                <w:sz w:val="16"/>
                <w:szCs w:val="16"/>
              </w:rPr>
              <w:br/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F896F" w14:textId="517EAAD2" w:rsidR="00684AF6" w:rsidRPr="0042008E" w:rsidRDefault="00684AF6" w:rsidP="00A529BC">
            <w:pPr>
              <w:spacing w:line="256" w:lineRule="auto"/>
              <w:rPr>
                <w:b/>
                <w:sz w:val="16"/>
                <w:szCs w:val="16"/>
              </w:rPr>
            </w:pPr>
            <w:r w:rsidRPr="00567CEF">
              <w:rPr>
                <w:b/>
                <w:sz w:val="16"/>
                <w:szCs w:val="16"/>
              </w:rPr>
              <w:t xml:space="preserve">Regular: </w:t>
            </w:r>
            <w:r w:rsidR="002D634A" w:rsidRPr="00567CEF">
              <w:rPr>
                <w:b/>
                <w:sz w:val="16"/>
                <w:szCs w:val="16"/>
              </w:rPr>
              <w:t>7,383,000</w:t>
            </w:r>
          </w:p>
          <w:p w14:paraId="02E81269" w14:textId="77777777" w:rsidR="00684AF6" w:rsidRPr="0042008E" w:rsidRDefault="00684AF6" w:rsidP="00A529BC">
            <w:pPr>
              <w:spacing w:line="256" w:lineRule="auto"/>
              <w:rPr>
                <w:b/>
                <w:sz w:val="16"/>
                <w:szCs w:val="16"/>
              </w:rPr>
            </w:pPr>
          </w:p>
          <w:p w14:paraId="1C170AA2" w14:textId="77777777" w:rsidR="00684AF6" w:rsidRPr="0042008E" w:rsidRDefault="00684AF6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53">
              <w:rPr>
                <w:b/>
                <w:sz w:val="16"/>
                <w:szCs w:val="16"/>
              </w:rPr>
              <w:t>Other: 1,500</w:t>
            </w:r>
            <w:r w:rsidR="007A44E1" w:rsidRPr="00734453">
              <w:rPr>
                <w:b/>
                <w:sz w:val="16"/>
                <w:szCs w:val="16"/>
              </w:rPr>
              <w:t>,000</w:t>
            </w:r>
          </w:p>
        </w:tc>
      </w:tr>
      <w:tr w:rsidR="00AC3B7E" w:rsidRPr="0042008E" w14:paraId="21AC4DDC" w14:textId="77777777" w:rsidTr="00AE34E0">
        <w:trPr>
          <w:gridAfter w:val="1"/>
          <w:wAfter w:w="8" w:type="pct"/>
        </w:trPr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9E5" w14:textId="77777777" w:rsidR="00AC3B7E" w:rsidRPr="0042008E" w:rsidRDefault="00AC3B7E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A07" w14:textId="77777777" w:rsidR="00AC3B7E" w:rsidRPr="0042008E" w:rsidRDefault="00AC3B7E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F507DA" w14:textId="77777777" w:rsidR="00AC3B7E" w:rsidRPr="0042008E" w:rsidRDefault="00AC3B7E" w:rsidP="005075C4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215F33">
              <w:rPr>
                <w:b/>
                <w:sz w:val="16"/>
                <w:szCs w:val="16"/>
              </w:rPr>
              <w:t>Output</w:t>
            </w:r>
            <w:r w:rsidR="007961D5" w:rsidRPr="00215F33">
              <w:rPr>
                <w:b/>
                <w:sz w:val="16"/>
                <w:szCs w:val="16"/>
              </w:rPr>
              <w:t xml:space="preserve"> </w:t>
            </w:r>
            <w:r w:rsidRPr="00215F33">
              <w:rPr>
                <w:b/>
                <w:sz w:val="16"/>
                <w:szCs w:val="16"/>
              </w:rPr>
              <w:t>1.2</w:t>
            </w:r>
            <w:r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Secretariat for coordinating NESDP and decentralized entities with technical capacities and tools to </w:t>
            </w:r>
            <w:r w:rsidR="0074289C" w:rsidRPr="0042008E">
              <w:rPr>
                <w:sz w:val="16"/>
                <w:szCs w:val="16"/>
              </w:rPr>
              <w:t xml:space="preserve">formulate </w:t>
            </w:r>
            <w:r w:rsidRPr="0042008E">
              <w:rPr>
                <w:sz w:val="16"/>
                <w:szCs w:val="16"/>
              </w:rPr>
              <w:t>and monitor program</w:t>
            </w:r>
            <w:r w:rsidR="007961D5" w:rsidRPr="0042008E">
              <w:rPr>
                <w:sz w:val="16"/>
                <w:szCs w:val="16"/>
              </w:rPr>
              <w:t>me</w:t>
            </w:r>
            <w:r w:rsidRPr="0042008E">
              <w:rPr>
                <w:sz w:val="16"/>
                <w:szCs w:val="16"/>
              </w:rPr>
              <w:t>s based on SDG aligned indicators</w:t>
            </w:r>
            <w:r w:rsidRPr="0042008E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6E3B1307" w14:textId="77777777" w:rsidR="00AC3B7E" w:rsidRPr="0042008E" w:rsidRDefault="00AC3B7E" w:rsidP="005075C4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  <w:p w14:paraId="6B55F5C4" w14:textId="77777777" w:rsidR="00AC3B7E" w:rsidRPr="0042008E" w:rsidRDefault="00AC3B7E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 1.2.1</w:t>
            </w:r>
            <w:r w:rsidRPr="0042008E">
              <w:rPr>
                <w:color w:val="000000"/>
                <w:sz w:val="16"/>
                <w:szCs w:val="16"/>
              </w:rPr>
              <w:t xml:space="preserve">: Percentage of </w:t>
            </w:r>
            <w:r w:rsidR="0074289C" w:rsidRPr="0042008E">
              <w:rPr>
                <w:color w:val="000000"/>
                <w:sz w:val="16"/>
                <w:szCs w:val="16"/>
              </w:rPr>
              <w:t xml:space="preserve">programmes and </w:t>
            </w:r>
            <w:r w:rsidRPr="0042008E">
              <w:rPr>
                <w:color w:val="000000"/>
                <w:sz w:val="16"/>
                <w:szCs w:val="16"/>
              </w:rPr>
              <w:t>sectoral policies targeting the most vulnerable populations.</w:t>
            </w:r>
          </w:p>
          <w:p w14:paraId="5BC254B7" w14:textId="77777777" w:rsidR="00AC3B7E" w:rsidRPr="0042008E" w:rsidRDefault="00AC3B7E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Baseline: 0%; Target: 80%</w:t>
            </w:r>
          </w:p>
          <w:p w14:paraId="4938DBB4" w14:textId="61CD3916" w:rsidR="0089648F" w:rsidRDefault="00AC3B7E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Source:</w:t>
            </w:r>
            <w:r w:rsidR="00376FD2">
              <w:rPr>
                <w:color w:val="000000"/>
                <w:sz w:val="16"/>
                <w:szCs w:val="16"/>
              </w:rPr>
              <w:t xml:space="preserve"> General Direction for Economy and </w:t>
            </w:r>
            <w:r w:rsidR="00683F97">
              <w:rPr>
                <w:color w:val="000000"/>
                <w:sz w:val="16"/>
                <w:szCs w:val="16"/>
              </w:rPr>
              <w:t>Planning</w:t>
            </w:r>
            <w:r w:rsidR="00683F97" w:rsidRPr="0042008E">
              <w:rPr>
                <w:color w:val="000000"/>
                <w:sz w:val="16"/>
                <w:szCs w:val="16"/>
              </w:rPr>
              <w:t xml:space="preserve"> (</w:t>
            </w:r>
            <w:r w:rsidRPr="0042008E">
              <w:rPr>
                <w:color w:val="000000"/>
                <w:sz w:val="16"/>
                <w:szCs w:val="16"/>
              </w:rPr>
              <w:t>DG</w:t>
            </w:r>
            <w:r w:rsidR="005075C4" w:rsidRPr="0042008E">
              <w:rPr>
                <w:color w:val="000000"/>
                <w:sz w:val="16"/>
                <w:szCs w:val="16"/>
              </w:rPr>
              <w:t>EP</w:t>
            </w:r>
            <w:r w:rsidR="00376FD2">
              <w:rPr>
                <w:color w:val="000000"/>
                <w:sz w:val="16"/>
                <w:szCs w:val="16"/>
              </w:rPr>
              <w:t>)</w:t>
            </w:r>
            <w:r w:rsidR="005075C4" w:rsidRPr="0042008E">
              <w:rPr>
                <w:color w:val="000000"/>
                <w:sz w:val="16"/>
                <w:szCs w:val="16"/>
              </w:rPr>
              <w:t xml:space="preserve"> report</w:t>
            </w:r>
          </w:p>
          <w:p w14:paraId="25515F76" w14:textId="77777777" w:rsidR="00AC3B7E" w:rsidRPr="0042008E" w:rsidRDefault="007C5055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Frequency</w:t>
            </w:r>
            <w:r w:rsidR="005075C4" w:rsidRPr="0042008E">
              <w:rPr>
                <w:color w:val="000000"/>
                <w:sz w:val="16"/>
                <w:szCs w:val="16"/>
              </w:rPr>
              <w:t>: Annual</w:t>
            </w:r>
          </w:p>
          <w:p w14:paraId="3DC7E7E4" w14:textId="77777777" w:rsidR="005075C4" w:rsidRPr="0042008E" w:rsidRDefault="005075C4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3917EE3F" w14:textId="77777777" w:rsidR="00AC3B7E" w:rsidRPr="0042008E" w:rsidRDefault="00AC3B7E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 1.</w:t>
            </w:r>
            <w:r w:rsidR="00987C7C" w:rsidRPr="0042008E">
              <w:rPr>
                <w:b/>
                <w:color w:val="000000"/>
                <w:sz w:val="16"/>
                <w:szCs w:val="16"/>
              </w:rPr>
              <w:t>2</w:t>
            </w:r>
            <w:r w:rsidRPr="0042008E">
              <w:rPr>
                <w:b/>
                <w:color w:val="000000"/>
                <w:sz w:val="16"/>
                <w:szCs w:val="16"/>
              </w:rPr>
              <w:t>.2</w:t>
            </w:r>
            <w:r w:rsidRPr="0042008E">
              <w:rPr>
                <w:color w:val="000000"/>
                <w:sz w:val="16"/>
                <w:szCs w:val="16"/>
              </w:rPr>
              <w:t xml:space="preserve">: </w:t>
            </w:r>
            <w:r w:rsidR="00EB6997" w:rsidRPr="0042008E">
              <w:rPr>
                <w:color w:val="000000"/>
                <w:sz w:val="16"/>
                <w:szCs w:val="16"/>
              </w:rPr>
              <w:t xml:space="preserve">Proportion </w:t>
            </w:r>
            <w:r w:rsidRPr="0042008E">
              <w:rPr>
                <w:color w:val="000000"/>
                <w:sz w:val="16"/>
                <w:szCs w:val="16"/>
              </w:rPr>
              <w:t>of SDG-oriented NESDP monitoring reports produced by the national statistical system</w:t>
            </w:r>
          </w:p>
          <w:p w14:paraId="661BA740" w14:textId="77777777" w:rsidR="00AC3B7E" w:rsidRPr="0042008E" w:rsidRDefault="00AC3B7E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Baseline: 0</w:t>
            </w:r>
            <w:r w:rsidR="00EB6997" w:rsidRPr="0042008E">
              <w:rPr>
                <w:color w:val="000000"/>
                <w:sz w:val="16"/>
                <w:szCs w:val="16"/>
              </w:rPr>
              <w:t>%</w:t>
            </w:r>
            <w:r w:rsidRPr="0042008E">
              <w:rPr>
                <w:color w:val="000000"/>
                <w:sz w:val="16"/>
                <w:szCs w:val="16"/>
              </w:rPr>
              <w:t xml:space="preserve">; Target: </w:t>
            </w:r>
            <w:r w:rsidR="00EB6997" w:rsidRPr="0042008E">
              <w:rPr>
                <w:color w:val="000000"/>
                <w:sz w:val="16"/>
                <w:szCs w:val="16"/>
              </w:rPr>
              <w:t>100%</w:t>
            </w:r>
          </w:p>
          <w:p w14:paraId="4DEC1D36" w14:textId="122A8883" w:rsidR="00AC3B7E" w:rsidRPr="0042008E" w:rsidRDefault="00AC3B7E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Source: S</w:t>
            </w:r>
            <w:r w:rsidR="007C5055">
              <w:rPr>
                <w:color w:val="000000"/>
                <w:sz w:val="16"/>
                <w:szCs w:val="16"/>
              </w:rPr>
              <w:t xml:space="preserve">trategic </w:t>
            </w:r>
            <w:r w:rsidRPr="0042008E">
              <w:rPr>
                <w:color w:val="000000"/>
                <w:sz w:val="16"/>
                <w:szCs w:val="16"/>
              </w:rPr>
              <w:t>P</w:t>
            </w:r>
            <w:r w:rsidR="007C5055">
              <w:rPr>
                <w:color w:val="000000"/>
                <w:sz w:val="16"/>
                <w:szCs w:val="16"/>
              </w:rPr>
              <w:t>lan</w:t>
            </w:r>
            <w:r w:rsidRPr="0042008E">
              <w:rPr>
                <w:color w:val="000000"/>
                <w:sz w:val="16"/>
                <w:szCs w:val="16"/>
              </w:rPr>
              <w:t xml:space="preserve">/NESDP </w:t>
            </w:r>
            <w:r w:rsidR="005075C4" w:rsidRPr="0042008E">
              <w:rPr>
                <w:color w:val="000000"/>
                <w:sz w:val="16"/>
                <w:szCs w:val="16"/>
              </w:rPr>
              <w:t>annual reports</w:t>
            </w:r>
            <w:r w:rsidR="008804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8E16" w14:textId="34D61DFA" w:rsidR="00440F69" w:rsidRDefault="006514EE" w:rsidP="00A529B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of the Prime Minister</w:t>
            </w:r>
          </w:p>
          <w:p w14:paraId="57311D02" w14:textId="08BC6DC6" w:rsidR="00440F69" w:rsidRPr="0042008E" w:rsidRDefault="00440F69" w:rsidP="00A529BC">
            <w:pPr>
              <w:spacing w:line="256" w:lineRule="auto"/>
              <w:rPr>
                <w:sz w:val="16"/>
                <w:szCs w:val="16"/>
              </w:rPr>
            </w:pPr>
            <w:r w:rsidRPr="00B456F7">
              <w:rPr>
                <w:sz w:val="16"/>
                <w:szCs w:val="16"/>
              </w:rPr>
              <w:br/>
              <w:t>Ministry in charge of economy and finances</w:t>
            </w:r>
            <w:r w:rsidRPr="0042008E" w:rsidDel="00440F69">
              <w:rPr>
                <w:sz w:val="16"/>
                <w:szCs w:val="16"/>
              </w:rPr>
              <w:t xml:space="preserve"> </w:t>
            </w:r>
          </w:p>
          <w:p w14:paraId="1232C5E6" w14:textId="77777777" w:rsidR="00440F69" w:rsidRDefault="00440F69" w:rsidP="00A529BC">
            <w:pPr>
              <w:spacing w:line="256" w:lineRule="auto"/>
              <w:rPr>
                <w:sz w:val="16"/>
                <w:szCs w:val="16"/>
              </w:rPr>
            </w:pPr>
          </w:p>
          <w:p w14:paraId="40DEB8CF" w14:textId="64509B13" w:rsidR="00AC3B7E" w:rsidRPr="0042008E" w:rsidRDefault="00440F69" w:rsidP="00A529BC">
            <w:pPr>
              <w:spacing w:line="256" w:lineRule="auto"/>
              <w:rPr>
                <w:sz w:val="16"/>
                <w:szCs w:val="16"/>
              </w:rPr>
            </w:pPr>
            <w:r w:rsidRPr="00B456F7">
              <w:rPr>
                <w:sz w:val="16"/>
                <w:szCs w:val="16"/>
              </w:rPr>
              <w:t>National Institute of Statistics and Demography</w:t>
            </w:r>
            <w:r w:rsidR="00AC3B7E" w:rsidRPr="0042008E">
              <w:rPr>
                <w:sz w:val="16"/>
                <w:szCs w:val="16"/>
              </w:rPr>
              <w:br/>
            </w: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624" w14:textId="77777777" w:rsidR="00AC3B7E" w:rsidRPr="0042008E" w:rsidRDefault="00AC3B7E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4AF6" w:rsidRPr="00F26E33" w14:paraId="527C7231" w14:textId="77777777" w:rsidTr="00AE34E0">
        <w:trPr>
          <w:gridAfter w:val="1"/>
          <w:wAfter w:w="8" w:type="pct"/>
        </w:trPr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AF09" w14:textId="77777777" w:rsidR="00684AF6" w:rsidRPr="0042008E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C5C" w14:textId="77777777" w:rsidR="00684AF6" w:rsidRPr="0042008E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8AB70" w14:textId="77777777" w:rsidR="00684AF6" w:rsidRPr="0042008E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074798">
              <w:rPr>
                <w:b/>
                <w:sz w:val="16"/>
                <w:szCs w:val="16"/>
              </w:rPr>
              <w:t>Output</w:t>
            </w:r>
            <w:r w:rsidR="007961D5" w:rsidRPr="00074798">
              <w:rPr>
                <w:b/>
                <w:sz w:val="16"/>
                <w:szCs w:val="16"/>
              </w:rPr>
              <w:t xml:space="preserve"> </w:t>
            </w:r>
            <w:r w:rsidRPr="00074798">
              <w:rPr>
                <w:b/>
                <w:sz w:val="16"/>
                <w:szCs w:val="16"/>
              </w:rPr>
              <w:t>1.3:</w:t>
            </w:r>
            <w:r w:rsidRPr="0042008E">
              <w:rPr>
                <w:color w:val="000000"/>
                <w:sz w:val="16"/>
                <w:szCs w:val="16"/>
              </w:rPr>
              <w:t xml:space="preserve"> </w:t>
            </w:r>
            <w:r w:rsidRPr="0042008E">
              <w:rPr>
                <w:sz w:val="16"/>
                <w:szCs w:val="16"/>
              </w:rPr>
              <w:t xml:space="preserve">Institutions in charge of </w:t>
            </w:r>
            <w:r w:rsidR="00D779F1" w:rsidRPr="0042008E">
              <w:rPr>
                <w:sz w:val="16"/>
                <w:szCs w:val="16"/>
              </w:rPr>
              <w:t xml:space="preserve">rule of law, </w:t>
            </w:r>
            <w:r w:rsidRPr="0042008E">
              <w:rPr>
                <w:sz w:val="16"/>
                <w:szCs w:val="16"/>
              </w:rPr>
              <w:t xml:space="preserve">legal aid and national reconciliation </w:t>
            </w:r>
            <w:r w:rsidR="00D779F1" w:rsidRPr="0042008E">
              <w:rPr>
                <w:sz w:val="16"/>
                <w:szCs w:val="16"/>
              </w:rPr>
              <w:t>with</w:t>
            </w:r>
            <w:r w:rsidRPr="0042008E">
              <w:rPr>
                <w:sz w:val="16"/>
                <w:szCs w:val="16"/>
              </w:rPr>
              <w:t xml:space="preserve"> operational capacity to deliver justice services to the population and facilitate the reconciliation process</w:t>
            </w:r>
          </w:p>
          <w:p w14:paraId="5E059E62" w14:textId="77777777" w:rsidR="00684AF6" w:rsidRPr="0042008E" w:rsidRDefault="00684AF6" w:rsidP="005075C4">
            <w:pPr>
              <w:spacing w:line="256" w:lineRule="auto"/>
              <w:rPr>
                <w:rFonts w:eastAsia="Calibri"/>
                <w:sz w:val="16"/>
                <w:szCs w:val="16"/>
              </w:rPr>
            </w:pPr>
          </w:p>
          <w:p w14:paraId="189A065F" w14:textId="035A1560" w:rsidR="00684AF6" w:rsidRPr="0042008E" w:rsidRDefault="00684AF6" w:rsidP="005075C4">
            <w:pPr>
              <w:spacing w:line="256" w:lineRule="auto"/>
              <w:rPr>
                <w:rFonts w:eastAsia="Calibri"/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</w:t>
            </w:r>
            <w:r w:rsidR="007961D5" w:rsidRPr="0042008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2008E">
              <w:rPr>
                <w:b/>
                <w:color w:val="000000"/>
                <w:sz w:val="16"/>
                <w:szCs w:val="16"/>
              </w:rPr>
              <w:t>1.</w:t>
            </w:r>
            <w:r w:rsidRPr="0042008E">
              <w:rPr>
                <w:b/>
                <w:sz w:val="16"/>
                <w:szCs w:val="16"/>
              </w:rPr>
              <w:t>3.1</w:t>
            </w:r>
            <w:r w:rsidR="007961D5"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b/>
                <w:sz w:val="16"/>
                <w:szCs w:val="16"/>
              </w:rPr>
              <w:t xml:space="preserve"> </w:t>
            </w:r>
            <w:r w:rsidRPr="0042008E">
              <w:rPr>
                <w:rFonts w:eastAsia="Calibri"/>
                <w:sz w:val="16"/>
                <w:szCs w:val="16"/>
              </w:rPr>
              <w:t xml:space="preserve">Number of transitional justice cases processed by </w:t>
            </w:r>
            <w:r w:rsidR="001114A1">
              <w:rPr>
                <w:rFonts w:eastAsia="Calibri"/>
                <w:sz w:val="16"/>
                <w:szCs w:val="16"/>
              </w:rPr>
              <w:t xml:space="preserve">the </w:t>
            </w:r>
            <w:r w:rsidR="001114A1" w:rsidRPr="0042008E">
              <w:rPr>
                <w:color w:val="000000"/>
                <w:sz w:val="16"/>
                <w:szCs w:val="16"/>
              </w:rPr>
              <w:t xml:space="preserve">Higher Council for Reconciliation and Unity </w:t>
            </w:r>
            <w:r w:rsidR="001114A1">
              <w:rPr>
                <w:color w:val="000000"/>
                <w:sz w:val="16"/>
                <w:szCs w:val="16"/>
              </w:rPr>
              <w:t>(</w:t>
            </w:r>
            <w:r w:rsidRPr="0042008E">
              <w:rPr>
                <w:rFonts w:eastAsia="Calibri"/>
                <w:sz w:val="16"/>
                <w:szCs w:val="16"/>
              </w:rPr>
              <w:t>HCRUN</w:t>
            </w:r>
            <w:r w:rsidR="001114A1">
              <w:rPr>
                <w:rFonts w:eastAsia="Calibri"/>
                <w:sz w:val="16"/>
                <w:szCs w:val="16"/>
              </w:rPr>
              <w:t>)</w:t>
            </w:r>
          </w:p>
          <w:p w14:paraId="67F32C26" w14:textId="77777777" w:rsidR="00684AF6" w:rsidRPr="0042008E" w:rsidRDefault="00684AF6" w:rsidP="005075C4">
            <w:pPr>
              <w:pStyle w:val="NoSpacing"/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1,000 Target: 5,065</w:t>
            </w:r>
          </w:p>
          <w:p w14:paraId="76F18C23" w14:textId="77777777" w:rsidR="0089648F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lastRenderedPageBreak/>
              <w:t>Source: HCRUN annual report</w:t>
            </w:r>
          </w:p>
          <w:p w14:paraId="2B9A0EDB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  <w:p w14:paraId="5038B003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29C555BB" w14:textId="77777777" w:rsidR="00684AF6" w:rsidRPr="0042008E" w:rsidRDefault="00684AF6" w:rsidP="005075C4">
            <w:pPr>
              <w:spacing w:line="256" w:lineRule="auto"/>
              <w:rPr>
                <w:rFonts w:eastAsia="Calibri"/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</w:t>
            </w:r>
            <w:r w:rsidR="005075C4" w:rsidRPr="0042008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2008E">
              <w:rPr>
                <w:b/>
                <w:color w:val="000000"/>
                <w:sz w:val="16"/>
                <w:szCs w:val="16"/>
              </w:rPr>
              <w:t>1.</w:t>
            </w:r>
            <w:r w:rsidRPr="0042008E">
              <w:rPr>
                <w:b/>
                <w:sz w:val="16"/>
                <w:szCs w:val="16"/>
              </w:rPr>
              <w:t>3.2</w:t>
            </w:r>
            <w:r w:rsidR="005075C4" w:rsidRPr="0042008E">
              <w:rPr>
                <w:b/>
                <w:sz w:val="16"/>
                <w:szCs w:val="16"/>
              </w:rPr>
              <w:t xml:space="preserve">: </w:t>
            </w:r>
            <w:r w:rsidRPr="0042008E">
              <w:rPr>
                <w:rFonts w:eastAsia="Calibri"/>
                <w:sz w:val="16"/>
                <w:szCs w:val="16"/>
              </w:rPr>
              <w:t>Number of transitional justice cases processed through legal aid</w:t>
            </w:r>
          </w:p>
          <w:p w14:paraId="1276BD54" w14:textId="77777777" w:rsidR="00684AF6" w:rsidRPr="0042008E" w:rsidRDefault="00684AF6" w:rsidP="005075C4">
            <w:pPr>
              <w:pStyle w:val="NoSpacing"/>
              <w:spacing w:line="257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0 Target: 100</w:t>
            </w:r>
          </w:p>
          <w:p w14:paraId="704A038C" w14:textId="31F2C5D0" w:rsidR="007C5055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 xml:space="preserve">Source: annual report of Ministry in charge of justice </w:t>
            </w:r>
          </w:p>
          <w:p w14:paraId="62770F5D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  <w:p w14:paraId="0C954638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55B3873E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3880" w14:textId="77777777" w:rsidR="00684AF6" w:rsidRPr="0042008E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lastRenderedPageBreak/>
              <w:t>PBSO</w:t>
            </w:r>
          </w:p>
          <w:p w14:paraId="25FADC8E" w14:textId="742D57BC" w:rsidR="00684AF6" w:rsidRPr="00B456F7" w:rsidRDefault="001114A1" w:rsidP="005075C4">
            <w:pPr>
              <w:spacing w:line="256" w:lineRule="auto"/>
              <w:rPr>
                <w:sz w:val="16"/>
                <w:szCs w:val="16"/>
              </w:rPr>
            </w:pPr>
            <w:r w:rsidRPr="00B456F7">
              <w:rPr>
                <w:sz w:val="16"/>
                <w:szCs w:val="16"/>
              </w:rPr>
              <w:t xml:space="preserve">High </w:t>
            </w:r>
            <w:r w:rsidR="00F03A46" w:rsidRPr="00F03A46">
              <w:rPr>
                <w:sz w:val="16"/>
                <w:szCs w:val="16"/>
              </w:rPr>
              <w:t>Commission for</w:t>
            </w:r>
            <w:r w:rsidRPr="00B456F7">
              <w:rPr>
                <w:sz w:val="16"/>
                <w:szCs w:val="16"/>
              </w:rPr>
              <w:t xml:space="preserve"> Human Rights</w:t>
            </w:r>
            <w:r w:rsidRPr="00B456F7" w:rsidDel="001114A1">
              <w:rPr>
                <w:sz w:val="16"/>
                <w:szCs w:val="16"/>
              </w:rPr>
              <w:t xml:space="preserve"> </w:t>
            </w:r>
          </w:p>
          <w:p w14:paraId="23EC0928" w14:textId="77777777" w:rsidR="001114A1" w:rsidRPr="0042008E" w:rsidRDefault="001114A1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312807A4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 xml:space="preserve">Higher Council for Reconciliation and Unity </w:t>
            </w:r>
          </w:p>
          <w:p w14:paraId="67B9FCB0" w14:textId="77777777" w:rsidR="00684AF6" w:rsidRPr="0042008E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lastRenderedPageBreak/>
              <w:t xml:space="preserve">Association of Women Lawyers of Burkina Faso </w:t>
            </w:r>
          </w:p>
          <w:p w14:paraId="651FCB2B" w14:textId="77777777" w:rsidR="00684AF6" w:rsidRPr="0042008E" w:rsidRDefault="00684AF6" w:rsidP="005075C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Center for Democratic Governance</w:t>
            </w:r>
            <w:r w:rsidRPr="0042008E">
              <w:rPr>
                <w:sz w:val="16"/>
                <w:szCs w:val="16"/>
              </w:rPr>
              <w:br/>
            </w:r>
          </w:p>
          <w:p w14:paraId="0FC22BA8" w14:textId="77777777" w:rsidR="00684AF6" w:rsidRPr="0042008E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 xml:space="preserve">National Aids Council; </w:t>
            </w:r>
          </w:p>
          <w:p w14:paraId="27118940" w14:textId="03F7B0FF" w:rsidR="00684AF6" w:rsidRPr="0042008E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Ministr</w:t>
            </w:r>
            <w:r w:rsidR="00BA45E6">
              <w:rPr>
                <w:sz w:val="16"/>
                <w:szCs w:val="16"/>
              </w:rPr>
              <w:t>ies</w:t>
            </w:r>
            <w:r w:rsidRPr="0042008E">
              <w:rPr>
                <w:sz w:val="16"/>
                <w:szCs w:val="16"/>
              </w:rPr>
              <w:t xml:space="preserve"> in charge of justice, Human Rights, Environment; National Commission</w:t>
            </w:r>
          </w:p>
          <w:p w14:paraId="66CB1F16" w14:textId="77777777" w:rsidR="00684AF6" w:rsidRPr="0042008E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</w:p>
          <w:p w14:paraId="197469BC" w14:textId="77777777" w:rsidR="00684AF6" w:rsidRPr="0042008E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 xml:space="preserve">Networks and associations coalitions against HIV/AIDS and health promotion; </w:t>
            </w:r>
          </w:p>
          <w:p w14:paraId="22090380" w14:textId="6A8907E7" w:rsidR="000E55EB" w:rsidRPr="0056625C" w:rsidRDefault="00684AF6" w:rsidP="00CB106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625C">
              <w:rPr>
                <w:sz w:val="16"/>
                <w:szCs w:val="16"/>
              </w:rPr>
              <w:t>Women Lawyers Association (AJB</w:t>
            </w:r>
            <w:r w:rsidR="00CB1069" w:rsidRPr="0056625C">
              <w:rPr>
                <w:sz w:val="16"/>
                <w:szCs w:val="16"/>
              </w:rPr>
              <w:t>)</w:t>
            </w:r>
            <w:r w:rsidR="00B456F7" w:rsidRPr="0056625C">
              <w:rPr>
                <w:sz w:val="16"/>
                <w:szCs w:val="16"/>
              </w:rPr>
              <w:t>;</w:t>
            </w:r>
            <w:r w:rsidRPr="0056625C">
              <w:rPr>
                <w:sz w:val="16"/>
                <w:szCs w:val="16"/>
              </w:rPr>
              <w:t xml:space="preserve"> </w:t>
            </w:r>
            <w:r w:rsidR="00CB1069" w:rsidRPr="0056625C">
              <w:rPr>
                <w:sz w:val="16"/>
                <w:szCs w:val="16"/>
              </w:rPr>
              <w:t xml:space="preserve">Burkina Faso Movement for Human </w:t>
            </w:r>
            <w:r w:rsidR="00376FD2">
              <w:rPr>
                <w:sz w:val="16"/>
                <w:szCs w:val="16"/>
              </w:rPr>
              <w:t xml:space="preserve">and People </w:t>
            </w:r>
            <w:r w:rsidR="00CB1069" w:rsidRPr="0056625C">
              <w:rPr>
                <w:sz w:val="16"/>
                <w:szCs w:val="16"/>
              </w:rPr>
              <w:t xml:space="preserve">Rights </w:t>
            </w:r>
            <w:r w:rsidR="00BA45E6" w:rsidRPr="0056625C">
              <w:rPr>
                <w:sz w:val="16"/>
                <w:szCs w:val="16"/>
              </w:rPr>
              <w:t>(</w:t>
            </w:r>
            <w:r w:rsidRPr="0056625C">
              <w:rPr>
                <w:sz w:val="16"/>
                <w:szCs w:val="16"/>
              </w:rPr>
              <w:t>MBDHP</w:t>
            </w:r>
            <w:r w:rsidR="00BA45E6" w:rsidRPr="0056625C">
              <w:rPr>
                <w:sz w:val="16"/>
                <w:szCs w:val="16"/>
              </w:rPr>
              <w:t>)</w:t>
            </w: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3CD" w14:textId="77777777" w:rsidR="00684AF6" w:rsidRPr="0056625C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4AF6" w:rsidRPr="0042008E" w14:paraId="20219A48" w14:textId="77777777" w:rsidTr="00AE34E0">
        <w:trPr>
          <w:gridAfter w:val="1"/>
          <w:wAfter w:w="8" w:type="pct"/>
        </w:trPr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B006" w14:textId="77777777" w:rsidR="00684AF6" w:rsidRPr="0056625C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9113" w14:textId="77777777" w:rsidR="00684AF6" w:rsidRPr="0056625C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56E7" w14:textId="77777777" w:rsidR="005075C4" w:rsidRPr="0042008E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074798">
              <w:rPr>
                <w:rFonts w:eastAsia="Calibri"/>
                <w:b/>
                <w:sz w:val="16"/>
                <w:szCs w:val="16"/>
              </w:rPr>
              <w:t>Output</w:t>
            </w:r>
            <w:r w:rsidR="005075C4" w:rsidRPr="00074798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074798">
              <w:rPr>
                <w:rFonts w:eastAsia="Calibri"/>
                <w:b/>
                <w:sz w:val="16"/>
                <w:szCs w:val="16"/>
              </w:rPr>
              <w:t>1.4</w:t>
            </w:r>
            <w:r w:rsidRPr="00764B74">
              <w:rPr>
                <w:rFonts w:eastAsia="Calibri"/>
                <w:b/>
                <w:sz w:val="16"/>
                <w:szCs w:val="16"/>
              </w:rPr>
              <w:t>:</w:t>
            </w:r>
            <w:r w:rsidRPr="0042008E">
              <w:rPr>
                <w:rFonts w:eastAsia="Calibri"/>
                <w:sz w:val="16"/>
                <w:szCs w:val="16"/>
              </w:rPr>
              <w:t xml:space="preserve"> National security framework and security sector actors with knowledge and tools to carry out their mission in accordance with democratic principles.</w:t>
            </w:r>
          </w:p>
          <w:p w14:paraId="69129CF4" w14:textId="77777777" w:rsidR="005075C4" w:rsidRPr="0042008E" w:rsidRDefault="005075C4" w:rsidP="005075C4">
            <w:pPr>
              <w:spacing w:line="256" w:lineRule="auto"/>
              <w:rPr>
                <w:sz w:val="16"/>
                <w:szCs w:val="16"/>
              </w:rPr>
            </w:pPr>
          </w:p>
          <w:p w14:paraId="0A1C2FF5" w14:textId="77777777" w:rsidR="00684AF6" w:rsidRPr="0042008E" w:rsidRDefault="00684AF6" w:rsidP="005075C4">
            <w:pPr>
              <w:spacing w:line="257" w:lineRule="auto"/>
              <w:rPr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</w:t>
            </w:r>
            <w:r w:rsidR="005075C4" w:rsidRPr="0042008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2008E">
              <w:rPr>
                <w:rFonts w:eastAsia="Calibri"/>
                <w:b/>
                <w:sz w:val="16"/>
                <w:szCs w:val="16"/>
              </w:rPr>
              <w:t>1.4.1</w:t>
            </w:r>
            <w:r w:rsidRPr="0042008E">
              <w:rPr>
                <w:b/>
                <w:color w:val="000000"/>
                <w:sz w:val="16"/>
                <w:szCs w:val="16"/>
              </w:rPr>
              <w:t xml:space="preserve">: </w:t>
            </w:r>
            <w:r w:rsidR="008661AB" w:rsidRPr="0042008E">
              <w:rPr>
                <w:sz w:val="16"/>
                <w:szCs w:val="16"/>
              </w:rPr>
              <w:t>Percentage of newly recruited d</w:t>
            </w:r>
            <w:r w:rsidRPr="0042008E">
              <w:rPr>
                <w:sz w:val="16"/>
                <w:szCs w:val="16"/>
              </w:rPr>
              <w:t>efense and security Force personnel with relevant knowledge on human rights and democratic principles.</w:t>
            </w:r>
          </w:p>
          <w:p w14:paraId="76689262" w14:textId="77777777" w:rsidR="00684AF6" w:rsidRPr="0042008E" w:rsidRDefault="00684AF6" w:rsidP="005075C4">
            <w:pPr>
              <w:spacing w:line="256" w:lineRule="auto"/>
              <w:rPr>
                <w:rFonts w:eastAsia="Calibri"/>
                <w:sz w:val="16"/>
                <w:szCs w:val="16"/>
              </w:rPr>
            </w:pPr>
            <w:r w:rsidRPr="0042008E">
              <w:rPr>
                <w:rFonts w:eastAsia="Calibri"/>
                <w:sz w:val="16"/>
                <w:szCs w:val="16"/>
              </w:rPr>
              <w:t xml:space="preserve">Baseline: </w:t>
            </w:r>
            <w:r w:rsidR="0089648F">
              <w:rPr>
                <w:rFonts w:eastAsia="Calibri"/>
                <w:sz w:val="16"/>
                <w:szCs w:val="16"/>
              </w:rPr>
              <w:t>to be determined (TBD)</w:t>
            </w:r>
            <w:r w:rsidRPr="0042008E">
              <w:rPr>
                <w:rFonts w:eastAsia="Calibri"/>
                <w:sz w:val="16"/>
                <w:szCs w:val="16"/>
              </w:rPr>
              <w:t xml:space="preserve">; Target: 60% </w:t>
            </w:r>
          </w:p>
          <w:p w14:paraId="24C4A547" w14:textId="77777777" w:rsidR="0089648F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Source: Project Implementation report</w:t>
            </w:r>
          </w:p>
          <w:p w14:paraId="27054905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Frequency: annual</w:t>
            </w:r>
          </w:p>
          <w:p w14:paraId="10CF0F73" w14:textId="77777777" w:rsidR="00684AF6" w:rsidRPr="0042008E" w:rsidRDefault="00684AF6" w:rsidP="005075C4">
            <w:pPr>
              <w:spacing w:line="256" w:lineRule="auto"/>
              <w:rPr>
                <w:rFonts w:eastAsia="Calibri"/>
                <w:sz w:val="16"/>
                <w:szCs w:val="16"/>
              </w:rPr>
            </w:pPr>
          </w:p>
          <w:p w14:paraId="72905EF4" w14:textId="77777777" w:rsidR="00684AF6" w:rsidRPr="0042008E" w:rsidRDefault="00684AF6" w:rsidP="005075C4">
            <w:pPr>
              <w:spacing w:line="256" w:lineRule="auto"/>
              <w:rPr>
                <w:rFonts w:eastAsia="Calibri"/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</w:t>
            </w:r>
            <w:r w:rsidR="005075C4" w:rsidRPr="0042008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2008E">
              <w:rPr>
                <w:rFonts w:eastAsia="Calibri"/>
                <w:b/>
                <w:sz w:val="16"/>
                <w:szCs w:val="16"/>
              </w:rPr>
              <w:t>1.4.2</w:t>
            </w:r>
            <w:r w:rsidR="005075C4" w:rsidRPr="0042008E">
              <w:rPr>
                <w:rFonts w:eastAsia="Calibri"/>
                <w:b/>
                <w:sz w:val="16"/>
                <w:szCs w:val="16"/>
              </w:rPr>
              <w:t>:</w:t>
            </w:r>
            <w:r w:rsidR="005075C4" w:rsidRPr="0042008E">
              <w:rPr>
                <w:rFonts w:eastAsia="Calibri"/>
                <w:sz w:val="16"/>
                <w:szCs w:val="16"/>
              </w:rPr>
              <w:t xml:space="preserve"> </w:t>
            </w:r>
            <w:r w:rsidRPr="0042008E">
              <w:rPr>
                <w:rFonts w:eastAsia="Calibri"/>
                <w:sz w:val="16"/>
                <w:szCs w:val="16"/>
              </w:rPr>
              <w:t>Existence of</w:t>
            </w:r>
            <w:r w:rsidR="00E373A8" w:rsidRPr="0042008E">
              <w:rPr>
                <w:rFonts w:eastAsia="Calibri"/>
                <w:sz w:val="16"/>
                <w:szCs w:val="16"/>
              </w:rPr>
              <w:t xml:space="preserve"> the reform of security sector s</w:t>
            </w:r>
            <w:r w:rsidRPr="0042008E">
              <w:rPr>
                <w:rFonts w:eastAsia="Calibri"/>
                <w:sz w:val="16"/>
                <w:szCs w:val="16"/>
              </w:rPr>
              <w:t>trategy</w:t>
            </w:r>
          </w:p>
          <w:p w14:paraId="2797AEFA" w14:textId="3FCCAD0C" w:rsidR="00684AF6" w:rsidRPr="0042008E" w:rsidRDefault="00684AF6" w:rsidP="005075C4">
            <w:pPr>
              <w:pStyle w:val="NoSpacing"/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No</w:t>
            </w:r>
            <w:r w:rsidR="00684B15">
              <w:rPr>
                <w:bCs/>
                <w:sz w:val="16"/>
                <w:szCs w:val="16"/>
              </w:rPr>
              <w:t xml:space="preserve">; </w:t>
            </w:r>
            <w:r w:rsidRPr="0042008E">
              <w:rPr>
                <w:bCs/>
                <w:sz w:val="16"/>
                <w:szCs w:val="16"/>
              </w:rPr>
              <w:t>Target: Yes</w:t>
            </w:r>
          </w:p>
          <w:p w14:paraId="01207BE0" w14:textId="77777777" w:rsidR="0089648F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 xml:space="preserve">Source: Ministry of security’s annual report </w:t>
            </w:r>
          </w:p>
          <w:p w14:paraId="563CE5B0" w14:textId="77777777" w:rsidR="00684AF6" w:rsidRPr="0042008E" w:rsidRDefault="00684AF6" w:rsidP="005075C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7C4F" w14:textId="568F2DEC" w:rsidR="00684AF6" w:rsidRPr="0042008E" w:rsidRDefault="00684AF6" w:rsidP="00074798">
            <w:pPr>
              <w:pStyle w:val="NoSpacing"/>
              <w:spacing w:line="256" w:lineRule="auto"/>
              <w:jc w:val="both"/>
              <w:rPr>
                <w:rFonts w:eastAsiaTheme="majorEastAsia" w:cstheme="majorBidi"/>
                <w:bCs/>
                <w:snapToGrid/>
                <w:color w:val="1F3763" w:themeColor="accent1" w:themeShade="7F"/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UNFPA</w:t>
            </w:r>
            <w:r w:rsidR="007C5055">
              <w:rPr>
                <w:sz w:val="16"/>
                <w:szCs w:val="16"/>
              </w:rPr>
              <w:t>, United Nations Volunteers, United Nations High Commissioner for Refugees (</w:t>
            </w:r>
            <w:r w:rsidRPr="0042008E">
              <w:rPr>
                <w:sz w:val="16"/>
                <w:szCs w:val="16"/>
              </w:rPr>
              <w:t>UNHCR</w:t>
            </w:r>
            <w:r w:rsidR="007C5055">
              <w:rPr>
                <w:sz w:val="16"/>
                <w:szCs w:val="16"/>
              </w:rPr>
              <w:t xml:space="preserve">), </w:t>
            </w:r>
            <w:r w:rsidRPr="0042008E">
              <w:rPr>
                <w:sz w:val="16"/>
                <w:szCs w:val="16"/>
              </w:rPr>
              <w:t>UNODC</w:t>
            </w:r>
            <w:r w:rsidR="007C5055">
              <w:rPr>
                <w:sz w:val="16"/>
                <w:szCs w:val="16"/>
              </w:rPr>
              <w:t xml:space="preserve">, </w:t>
            </w:r>
            <w:r w:rsidRPr="0042008E">
              <w:rPr>
                <w:sz w:val="16"/>
                <w:szCs w:val="16"/>
              </w:rPr>
              <w:t>PBSO</w:t>
            </w:r>
            <w:r w:rsidR="007C5055">
              <w:rPr>
                <w:sz w:val="16"/>
                <w:szCs w:val="16"/>
              </w:rPr>
              <w:t>, governments of</w:t>
            </w:r>
            <w:r w:rsidR="0089648F">
              <w:rPr>
                <w:sz w:val="16"/>
                <w:szCs w:val="16"/>
              </w:rPr>
              <w:t xml:space="preserve"> Luxembourg and Japan, and </w:t>
            </w:r>
            <w:r w:rsidRPr="0042008E">
              <w:rPr>
                <w:bCs/>
                <w:sz w:val="16"/>
                <w:szCs w:val="16"/>
              </w:rPr>
              <w:t>E</w:t>
            </w:r>
            <w:r w:rsidR="007C5055">
              <w:rPr>
                <w:bCs/>
                <w:sz w:val="16"/>
                <w:szCs w:val="16"/>
              </w:rPr>
              <w:t xml:space="preserve">uropean </w:t>
            </w:r>
            <w:r w:rsidRPr="0042008E">
              <w:rPr>
                <w:bCs/>
                <w:sz w:val="16"/>
                <w:szCs w:val="16"/>
              </w:rPr>
              <w:t>U</w:t>
            </w:r>
            <w:r w:rsidR="007C5055">
              <w:rPr>
                <w:bCs/>
                <w:sz w:val="16"/>
                <w:szCs w:val="16"/>
              </w:rPr>
              <w:t>nion</w:t>
            </w:r>
          </w:p>
          <w:p w14:paraId="5361D32A" w14:textId="77777777" w:rsidR="00684AF6" w:rsidRPr="0042008E" w:rsidRDefault="00684AF6" w:rsidP="008E4109">
            <w:pPr>
              <w:pStyle w:val="NoSpacing"/>
              <w:spacing w:line="256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6AEEE4D2" w14:textId="77777777" w:rsidR="00684AF6" w:rsidRPr="0042008E" w:rsidRDefault="008B7424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 xml:space="preserve">Ministries </w:t>
            </w:r>
            <w:r w:rsidR="00684AF6" w:rsidRPr="0042008E">
              <w:rPr>
                <w:sz w:val="16"/>
                <w:szCs w:val="16"/>
              </w:rPr>
              <w:t>in charge of security, defense, justice</w:t>
            </w:r>
            <w:r w:rsidR="0089648F">
              <w:rPr>
                <w:sz w:val="16"/>
                <w:szCs w:val="16"/>
              </w:rPr>
              <w:t>.</w:t>
            </w:r>
          </w:p>
          <w:p w14:paraId="69CD4213" w14:textId="77777777" w:rsidR="00684AF6" w:rsidRPr="0042008E" w:rsidRDefault="00684AF6" w:rsidP="008E4109">
            <w:pPr>
              <w:pStyle w:val="NoSpacing"/>
              <w:spacing w:line="256" w:lineRule="auto"/>
              <w:jc w:val="both"/>
              <w:rPr>
                <w:sz w:val="16"/>
                <w:szCs w:val="16"/>
              </w:rPr>
            </w:pPr>
          </w:p>
          <w:p w14:paraId="026CC16D" w14:textId="77777777" w:rsidR="00684AF6" w:rsidRPr="0042008E" w:rsidRDefault="00684AF6" w:rsidP="008E4109">
            <w:pPr>
              <w:pStyle w:val="NoSpacing"/>
              <w:spacing w:line="256" w:lineRule="auto"/>
              <w:jc w:val="both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MBDHP</w:t>
            </w:r>
          </w:p>
          <w:p w14:paraId="21452301" w14:textId="77777777" w:rsidR="00684AF6" w:rsidRPr="0042008E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The National Council of Civil Society Organizations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9DE0" w14:textId="77777777" w:rsidR="00684AF6" w:rsidRPr="0042008E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4AF6" w:rsidRPr="0042008E" w14:paraId="5DE1D922" w14:textId="77777777" w:rsidTr="00AE34E0">
        <w:trPr>
          <w:gridAfter w:val="1"/>
          <w:wAfter w:w="8" w:type="pct"/>
        </w:trPr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208" w14:textId="77777777" w:rsidR="00684AF6" w:rsidRPr="0042008E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762" w14:textId="77777777" w:rsidR="00684AF6" w:rsidRPr="0042008E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A0991" w14:textId="77777777" w:rsidR="00684AF6" w:rsidRPr="0042008E" w:rsidRDefault="00684AF6" w:rsidP="00764B74">
            <w:pPr>
              <w:spacing w:line="256" w:lineRule="auto"/>
              <w:ind w:left="-38"/>
              <w:rPr>
                <w:color w:val="000000"/>
                <w:sz w:val="16"/>
                <w:szCs w:val="16"/>
              </w:rPr>
            </w:pPr>
            <w:r w:rsidRPr="00074798">
              <w:rPr>
                <w:b/>
                <w:sz w:val="16"/>
                <w:szCs w:val="16"/>
              </w:rPr>
              <w:t>Output 1.5</w:t>
            </w:r>
            <w:r w:rsidRPr="00074798">
              <w:rPr>
                <w:sz w:val="16"/>
                <w:szCs w:val="16"/>
              </w:rPr>
              <w:t>:</w:t>
            </w:r>
            <w:r w:rsidRPr="0042008E">
              <w:rPr>
                <w:color w:val="000000"/>
                <w:sz w:val="16"/>
                <w:szCs w:val="16"/>
              </w:rPr>
              <w:t xml:space="preserve"> Civil society organizations (CSO), </w:t>
            </w:r>
            <w:r w:rsidRPr="0042008E">
              <w:rPr>
                <w:rFonts w:eastAsia="Calibri"/>
                <w:sz w:val="16"/>
                <w:szCs w:val="16"/>
              </w:rPr>
              <w:t>Community</w:t>
            </w:r>
            <w:r w:rsidRPr="0042008E">
              <w:rPr>
                <w:color w:val="000000"/>
                <w:sz w:val="16"/>
                <w:szCs w:val="16"/>
              </w:rPr>
              <w:t xml:space="preserve"> leaders</w:t>
            </w:r>
            <w:r w:rsidR="00F24127" w:rsidRPr="0042008E">
              <w:rPr>
                <w:color w:val="000000"/>
                <w:sz w:val="16"/>
                <w:szCs w:val="16"/>
              </w:rPr>
              <w:t xml:space="preserve"> (</w:t>
            </w:r>
            <w:r w:rsidR="00D779F1" w:rsidRPr="0042008E">
              <w:rPr>
                <w:color w:val="000000"/>
                <w:sz w:val="16"/>
                <w:szCs w:val="16"/>
              </w:rPr>
              <w:t>including women)</w:t>
            </w:r>
            <w:r w:rsidRPr="0042008E">
              <w:rPr>
                <w:color w:val="000000"/>
                <w:sz w:val="16"/>
                <w:szCs w:val="16"/>
              </w:rPr>
              <w:t xml:space="preserve"> </w:t>
            </w:r>
            <w:r w:rsidR="00D779F1" w:rsidRPr="0042008E">
              <w:rPr>
                <w:sz w:val="16"/>
                <w:szCs w:val="16"/>
              </w:rPr>
              <w:t>at</w:t>
            </w:r>
            <w:r w:rsidRPr="0042008E">
              <w:rPr>
                <w:sz w:val="16"/>
                <w:szCs w:val="16"/>
              </w:rPr>
              <w:t xml:space="preserve"> central and local levels and </w:t>
            </w:r>
            <w:r w:rsidRPr="0042008E">
              <w:rPr>
                <w:color w:val="000000"/>
                <w:sz w:val="16"/>
                <w:szCs w:val="16"/>
              </w:rPr>
              <w:t xml:space="preserve">border areas </w:t>
            </w:r>
            <w:r w:rsidRPr="0042008E">
              <w:rPr>
                <w:sz w:val="16"/>
                <w:szCs w:val="16"/>
              </w:rPr>
              <w:t>have</w:t>
            </w:r>
            <w:r w:rsidR="00693943" w:rsidRPr="0042008E">
              <w:rPr>
                <w:sz w:val="16"/>
                <w:szCs w:val="16"/>
              </w:rPr>
              <w:t xml:space="preserve"> inclusive dialogue forums and </w:t>
            </w:r>
            <w:r w:rsidR="0031125B" w:rsidRPr="0042008E">
              <w:rPr>
                <w:color w:val="000000"/>
                <w:sz w:val="16"/>
                <w:szCs w:val="16"/>
              </w:rPr>
              <w:t>citizen oversight</w:t>
            </w:r>
            <w:r w:rsidR="000A2DFF" w:rsidRPr="0042008E">
              <w:rPr>
                <w:color w:val="000000"/>
                <w:sz w:val="16"/>
                <w:szCs w:val="16"/>
              </w:rPr>
              <w:t xml:space="preserve"> mechanisms</w:t>
            </w:r>
            <w:r w:rsidR="002E0261" w:rsidRPr="0042008E">
              <w:rPr>
                <w:color w:val="000000"/>
                <w:sz w:val="16"/>
                <w:szCs w:val="16"/>
              </w:rPr>
              <w:t>.</w:t>
            </w:r>
          </w:p>
          <w:p w14:paraId="463E0041" w14:textId="77777777" w:rsidR="00684AF6" w:rsidRPr="0042008E" w:rsidRDefault="00684AF6" w:rsidP="00764B74">
            <w:pPr>
              <w:spacing w:line="256" w:lineRule="auto"/>
              <w:ind w:left="-38"/>
              <w:rPr>
                <w:b/>
                <w:color w:val="000000"/>
                <w:sz w:val="16"/>
                <w:szCs w:val="16"/>
              </w:rPr>
            </w:pPr>
          </w:p>
          <w:p w14:paraId="539C8BC3" w14:textId="77777777" w:rsidR="00684AF6" w:rsidRPr="0042008E" w:rsidRDefault="00684AF6" w:rsidP="00764B74">
            <w:pPr>
              <w:spacing w:line="256" w:lineRule="auto"/>
              <w:ind w:left="-38"/>
              <w:rPr>
                <w:sz w:val="16"/>
                <w:szCs w:val="16"/>
              </w:rPr>
            </w:pPr>
            <w:r w:rsidRPr="0042008E">
              <w:rPr>
                <w:b/>
                <w:color w:val="000000"/>
                <w:sz w:val="16"/>
                <w:szCs w:val="16"/>
              </w:rPr>
              <w:t>Indicator</w:t>
            </w:r>
            <w:r w:rsidRPr="0042008E">
              <w:rPr>
                <w:b/>
                <w:sz w:val="16"/>
                <w:szCs w:val="16"/>
              </w:rPr>
              <w:t>.1.5.1</w:t>
            </w:r>
            <w:r w:rsidR="005075C4"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</w:t>
            </w:r>
            <w:r w:rsidRPr="0042008E">
              <w:rPr>
                <w:rFonts w:eastAsia="Calibri"/>
                <w:sz w:val="16"/>
                <w:szCs w:val="16"/>
              </w:rPr>
              <w:t>Percentage of CSO alerts towards public institutions and private companies that gave rise to positive responses</w:t>
            </w:r>
            <w:r w:rsidRPr="0042008E">
              <w:rPr>
                <w:sz w:val="16"/>
                <w:szCs w:val="16"/>
              </w:rPr>
              <w:t xml:space="preserve"> </w:t>
            </w:r>
          </w:p>
          <w:p w14:paraId="37AAA2FD" w14:textId="77777777" w:rsidR="00684AF6" w:rsidRPr="0042008E" w:rsidRDefault="00684AF6" w:rsidP="00764B74">
            <w:pPr>
              <w:spacing w:line="256" w:lineRule="auto"/>
              <w:ind w:left="-38"/>
              <w:rPr>
                <w:bCs/>
                <w:color w:val="FF0000"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 xml:space="preserve">Baseline: </w:t>
            </w:r>
            <w:r w:rsidR="0089648F">
              <w:rPr>
                <w:bCs/>
                <w:sz w:val="16"/>
                <w:szCs w:val="16"/>
              </w:rPr>
              <w:t xml:space="preserve">TBD </w:t>
            </w:r>
            <w:r w:rsidRPr="0042008E">
              <w:rPr>
                <w:bCs/>
                <w:sz w:val="16"/>
                <w:szCs w:val="16"/>
              </w:rPr>
              <w:t>%</w:t>
            </w:r>
            <w:r w:rsidR="005075C4" w:rsidRPr="0042008E">
              <w:rPr>
                <w:bCs/>
                <w:sz w:val="16"/>
                <w:szCs w:val="16"/>
              </w:rPr>
              <w:t>;</w:t>
            </w:r>
            <w:r w:rsidRPr="0042008E">
              <w:rPr>
                <w:bCs/>
                <w:sz w:val="16"/>
                <w:szCs w:val="16"/>
              </w:rPr>
              <w:t xml:space="preserve"> Target: 90%</w:t>
            </w:r>
            <w:r w:rsidR="00BF43B6" w:rsidRPr="0042008E">
              <w:rPr>
                <w:bCs/>
                <w:sz w:val="16"/>
                <w:szCs w:val="16"/>
              </w:rPr>
              <w:t xml:space="preserve"> for </w:t>
            </w:r>
            <w:r w:rsidRPr="0042008E">
              <w:rPr>
                <w:bCs/>
                <w:sz w:val="16"/>
                <w:szCs w:val="16"/>
              </w:rPr>
              <w:t>public institutions</w:t>
            </w:r>
            <w:r w:rsidR="00BF43B6" w:rsidRPr="0042008E">
              <w:rPr>
                <w:bCs/>
                <w:sz w:val="16"/>
                <w:szCs w:val="16"/>
              </w:rPr>
              <w:t xml:space="preserve"> and</w:t>
            </w:r>
            <w:r w:rsidRPr="0042008E">
              <w:rPr>
                <w:bCs/>
                <w:sz w:val="16"/>
                <w:szCs w:val="16"/>
              </w:rPr>
              <w:t xml:space="preserve"> private companies</w:t>
            </w:r>
            <w:r w:rsidR="00BF43B6" w:rsidRPr="0042008E">
              <w:rPr>
                <w:bCs/>
                <w:sz w:val="16"/>
                <w:szCs w:val="16"/>
              </w:rPr>
              <w:t xml:space="preserve"> respectively</w:t>
            </w:r>
          </w:p>
          <w:p w14:paraId="283B9403" w14:textId="77777777" w:rsidR="00684AF6" w:rsidRPr="0042008E" w:rsidRDefault="00684AF6" w:rsidP="00764B74">
            <w:pPr>
              <w:spacing w:line="256" w:lineRule="auto"/>
              <w:ind w:left="-38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lastRenderedPageBreak/>
              <w:t xml:space="preserve">Source: </w:t>
            </w:r>
            <w:r w:rsidRPr="0042008E">
              <w:rPr>
                <w:sz w:val="16"/>
                <w:szCs w:val="16"/>
              </w:rPr>
              <w:t>National Council of CSOs</w:t>
            </w:r>
            <w:r w:rsidRPr="0042008E">
              <w:rPr>
                <w:bCs/>
                <w:sz w:val="16"/>
                <w:szCs w:val="16"/>
              </w:rPr>
              <w:t xml:space="preserve"> annual report </w:t>
            </w:r>
          </w:p>
          <w:p w14:paraId="10A9F13D" w14:textId="77777777" w:rsidR="00684AF6" w:rsidRPr="0042008E" w:rsidRDefault="00684AF6" w:rsidP="00764B74">
            <w:pPr>
              <w:spacing w:line="256" w:lineRule="auto"/>
              <w:ind w:left="-38"/>
              <w:rPr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  <w:p w14:paraId="629862D6" w14:textId="77777777" w:rsidR="00684AF6" w:rsidRPr="0042008E" w:rsidRDefault="00684AF6" w:rsidP="00764B74">
            <w:pPr>
              <w:spacing w:line="256" w:lineRule="auto"/>
              <w:ind w:left="-38"/>
              <w:rPr>
                <w:bCs/>
                <w:sz w:val="16"/>
                <w:szCs w:val="16"/>
              </w:rPr>
            </w:pPr>
          </w:p>
          <w:p w14:paraId="0B1495FE" w14:textId="77777777" w:rsidR="00684AF6" w:rsidRPr="0042008E" w:rsidRDefault="00684AF6" w:rsidP="00764B74">
            <w:pPr>
              <w:tabs>
                <w:tab w:val="left" w:pos="230"/>
              </w:tabs>
              <w:spacing w:line="256" w:lineRule="auto"/>
              <w:ind w:left="-38"/>
              <w:rPr>
                <w:rFonts w:eastAsia="Calibri"/>
                <w:sz w:val="16"/>
                <w:szCs w:val="16"/>
              </w:rPr>
            </w:pPr>
            <w:r w:rsidRPr="0042008E">
              <w:rPr>
                <w:b/>
                <w:sz w:val="16"/>
                <w:szCs w:val="16"/>
              </w:rPr>
              <w:t>Indicator.1.5.2</w:t>
            </w:r>
            <w:r w:rsidR="005075C4"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Proportion</w:t>
            </w:r>
            <w:r w:rsidRPr="0042008E">
              <w:rPr>
                <w:rFonts w:eastAsia="Calibri"/>
                <w:sz w:val="16"/>
                <w:szCs w:val="16"/>
              </w:rPr>
              <w:t xml:space="preserve"> of religious leaders with proven ability to conduct interreligious dialogue.</w:t>
            </w:r>
          </w:p>
          <w:p w14:paraId="2FCAFA7B" w14:textId="77777777" w:rsidR="00684AF6" w:rsidRPr="0042008E" w:rsidRDefault="00684AF6" w:rsidP="00764B74">
            <w:pPr>
              <w:spacing w:line="256" w:lineRule="auto"/>
              <w:ind w:left="-38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0% Target: 60%</w:t>
            </w:r>
          </w:p>
          <w:p w14:paraId="18F805EC" w14:textId="77777777" w:rsidR="0089648F" w:rsidRDefault="00684AF6" w:rsidP="00764B74">
            <w:pPr>
              <w:spacing w:line="256" w:lineRule="auto"/>
              <w:ind w:left="-38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 xml:space="preserve">Source: Project Report, Ministry of </w:t>
            </w:r>
            <w:r w:rsidR="003A07D6" w:rsidRPr="0042008E">
              <w:rPr>
                <w:bCs/>
                <w:sz w:val="16"/>
                <w:szCs w:val="16"/>
              </w:rPr>
              <w:t xml:space="preserve">Territorial Administration </w:t>
            </w:r>
            <w:r w:rsidRPr="0042008E">
              <w:rPr>
                <w:bCs/>
                <w:sz w:val="16"/>
                <w:szCs w:val="16"/>
              </w:rPr>
              <w:t>annual report</w:t>
            </w:r>
          </w:p>
          <w:p w14:paraId="7E07DBEA" w14:textId="3C13C915" w:rsidR="00684AF6" w:rsidRPr="0042008E" w:rsidRDefault="00684AF6" w:rsidP="00764B74">
            <w:pPr>
              <w:spacing w:line="256" w:lineRule="auto"/>
              <w:ind w:left="-38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  <w:p w14:paraId="0E8C8E28" w14:textId="77777777" w:rsidR="00684AF6" w:rsidRPr="0042008E" w:rsidRDefault="00684AF6" w:rsidP="00764B74">
            <w:pPr>
              <w:spacing w:line="256" w:lineRule="auto"/>
              <w:ind w:left="-38"/>
              <w:rPr>
                <w:color w:val="000000"/>
                <w:sz w:val="16"/>
                <w:szCs w:val="16"/>
              </w:rPr>
            </w:pPr>
          </w:p>
          <w:p w14:paraId="4136489B" w14:textId="77777777" w:rsidR="00684AF6" w:rsidRPr="0042008E" w:rsidRDefault="00684AF6" w:rsidP="00764B74">
            <w:pPr>
              <w:spacing w:line="256" w:lineRule="auto"/>
              <w:ind w:left="-38"/>
              <w:rPr>
                <w:sz w:val="16"/>
                <w:szCs w:val="16"/>
              </w:rPr>
            </w:pPr>
            <w:r w:rsidRPr="0042008E">
              <w:rPr>
                <w:b/>
                <w:sz w:val="16"/>
                <w:szCs w:val="16"/>
              </w:rPr>
              <w:t>Indicator.1.5.3</w:t>
            </w:r>
            <w:r w:rsidR="005075C4"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Percentage of CSOs implementing civic education programmes, including advocacy on participation of women in </w:t>
            </w:r>
            <w:r w:rsidR="0089648F" w:rsidRPr="0042008E">
              <w:rPr>
                <w:sz w:val="16"/>
                <w:szCs w:val="16"/>
              </w:rPr>
              <w:t>decision-making</w:t>
            </w:r>
            <w:r w:rsidRPr="0042008E">
              <w:rPr>
                <w:sz w:val="16"/>
                <w:szCs w:val="16"/>
              </w:rPr>
              <w:t xml:space="preserve"> bodies.</w:t>
            </w:r>
          </w:p>
          <w:p w14:paraId="5A8C455D" w14:textId="77777777" w:rsidR="00684AF6" w:rsidRPr="0042008E" w:rsidRDefault="00E373A8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10%; Target: 80%</w:t>
            </w:r>
          </w:p>
          <w:p w14:paraId="524DDF92" w14:textId="77777777" w:rsidR="0089648F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 xml:space="preserve">Source: </w:t>
            </w:r>
            <w:r w:rsidRPr="0042008E">
              <w:rPr>
                <w:sz w:val="16"/>
                <w:szCs w:val="16"/>
              </w:rPr>
              <w:t>National Council of CSOs</w:t>
            </w:r>
            <w:r w:rsidRPr="0042008E">
              <w:rPr>
                <w:bCs/>
                <w:sz w:val="16"/>
                <w:szCs w:val="16"/>
              </w:rPr>
              <w:t xml:space="preserve"> annual report</w:t>
            </w:r>
          </w:p>
          <w:p w14:paraId="1086B544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  <w:p w14:paraId="1AE4A149" w14:textId="77777777" w:rsidR="00684AF6" w:rsidRPr="0042008E" w:rsidRDefault="00684AF6" w:rsidP="005075C4">
            <w:pPr>
              <w:spacing w:line="256" w:lineRule="auto"/>
              <w:rPr>
                <w:sz w:val="16"/>
                <w:szCs w:val="16"/>
              </w:rPr>
            </w:pPr>
          </w:p>
          <w:p w14:paraId="500C2E1B" w14:textId="77777777" w:rsidR="00684AF6" w:rsidRPr="0042008E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42008E">
              <w:rPr>
                <w:b/>
                <w:sz w:val="16"/>
                <w:szCs w:val="16"/>
              </w:rPr>
              <w:t>Indicator.1.5.4</w:t>
            </w:r>
            <w:r w:rsidR="005075C4"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Percentage of media broadcast of civic education programmes per year, including advocacy on participation of women in </w:t>
            </w:r>
            <w:r w:rsidR="0089648F" w:rsidRPr="0042008E">
              <w:rPr>
                <w:sz w:val="16"/>
                <w:szCs w:val="16"/>
              </w:rPr>
              <w:t>decision-making</w:t>
            </w:r>
            <w:r w:rsidRPr="0042008E">
              <w:rPr>
                <w:sz w:val="16"/>
                <w:szCs w:val="16"/>
              </w:rPr>
              <w:t xml:space="preserve"> bodies.</w:t>
            </w:r>
          </w:p>
          <w:p w14:paraId="7E51B1AC" w14:textId="77777777" w:rsidR="00684AF6" w:rsidRPr="0042008E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10% Target: 80%</w:t>
            </w:r>
          </w:p>
          <w:p w14:paraId="1F1A1AF5" w14:textId="77777777" w:rsidR="0089648F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Source: Ministry of Communication’s annual report</w:t>
            </w:r>
          </w:p>
          <w:p w14:paraId="4788EC11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  <w:p w14:paraId="6AD51174" w14:textId="77777777" w:rsidR="00684AF6" w:rsidRPr="0042008E" w:rsidRDefault="00684AF6" w:rsidP="005075C4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  <w:p w14:paraId="0B0B81B6" w14:textId="77777777" w:rsidR="00684AF6" w:rsidRPr="0042008E" w:rsidRDefault="00684AF6" w:rsidP="005075C4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b/>
                <w:sz w:val="16"/>
                <w:szCs w:val="16"/>
              </w:rPr>
              <w:t>Indicator.1.5.5</w:t>
            </w:r>
            <w:r w:rsidR="005075C4" w:rsidRPr="0042008E">
              <w:rPr>
                <w:b/>
                <w:sz w:val="16"/>
                <w:szCs w:val="16"/>
              </w:rPr>
              <w:t>:</w:t>
            </w:r>
            <w:r w:rsidRPr="0042008E">
              <w:rPr>
                <w:sz w:val="16"/>
                <w:szCs w:val="16"/>
              </w:rPr>
              <w:t xml:space="preserve"> </w:t>
            </w:r>
            <w:r w:rsidRPr="0042008E">
              <w:rPr>
                <w:rFonts w:eastAsia="Calibri"/>
                <w:sz w:val="16"/>
                <w:szCs w:val="16"/>
              </w:rPr>
              <w:t xml:space="preserve">Number of functional existing </w:t>
            </w:r>
            <w:r w:rsidRPr="0042008E">
              <w:rPr>
                <w:color w:val="000000"/>
                <w:sz w:val="16"/>
                <w:szCs w:val="16"/>
              </w:rPr>
              <w:t xml:space="preserve">collaboration </w:t>
            </w:r>
            <w:r w:rsidRPr="0042008E">
              <w:rPr>
                <w:rFonts w:eastAsia="Calibri"/>
                <w:sz w:val="16"/>
                <w:szCs w:val="16"/>
              </w:rPr>
              <w:t>schemes between communities</w:t>
            </w:r>
            <w:r w:rsidRPr="0042008E">
              <w:rPr>
                <w:color w:val="000000"/>
                <w:sz w:val="16"/>
                <w:szCs w:val="16"/>
              </w:rPr>
              <w:t xml:space="preserve">, authorities and </w:t>
            </w:r>
            <w:r w:rsidR="002E0261" w:rsidRPr="0042008E">
              <w:rPr>
                <w:color w:val="000000"/>
                <w:sz w:val="16"/>
                <w:szCs w:val="16"/>
              </w:rPr>
              <w:t xml:space="preserve">security forces </w:t>
            </w:r>
            <w:r w:rsidRPr="0042008E">
              <w:rPr>
                <w:color w:val="000000"/>
                <w:sz w:val="16"/>
                <w:szCs w:val="16"/>
              </w:rPr>
              <w:t xml:space="preserve">to achieve greater </w:t>
            </w:r>
            <w:r w:rsidR="00737A5C" w:rsidRPr="0042008E">
              <w:rPr>
                <w:color w:val="000000"/>
                <w:sz w:val="16"/>
                <w:szCs w:val="16"/>
              </w:rPr>
              <w:t>collaboration and confidence in institutions.</w:t>
            </w:r>
          </w:p>
          <w:p w14:paraId="537BCC41" w14:textId="77777777" w:rsidR="00684AF6" w:rsidRPr="0042008E" w:rsidRDefault="00684AF6" w:rsidP="005075C4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Baseline: 0 Target: 9</w:t>
            </w:r>
          </w:p>
          <w:p w14:paraId="4F57A8BD" w14:textId="77777777" w:rsidR="0089648F" w:rsidRDefault="00684AF6" w:rsidP="00C76B48">
            <w:pPr>
              <w:spacing w:line="256" w:lineRule="auto"/>
              <w:rPr>
                <w:bCs/>
                <w:sz w:val="16"/>
                <w:szCs w:val="16"/>
              </w:rPr>
            </w:pPr>
            <w:r w:rsidRPr="0042008E">
              <w:rPr>
                <w:bCs/>
                <w:sz w:val="16"/>
                <w:szCs w:val="16"/>
              </w:rPr>
              <w:t>Source: Ministry of Security annual report</w:t>
            </w:r>
          </w:p>
          <w:p w14:paraId="70F12D4E" w14:textId="5E1602E5" w:rsidR="00684AF6" w:rsidRPr="0042008E" w:rsidRDefault="00684AF6" w:rsidP="00C76B48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F096" w14:textId="77777777" w:rsidR="00684AF6" w:rsidRPr="0042008E" w:rsidRDefault="0089648F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Joint United Nations Programme on HIV/AIDS (</w:t>
            </w:r>
            <w:r w:rsidR="00684AF6" w:rsidRPr="0042008E">
              <w:rPr>
                <w:sz w:val="16"/>
                <w:szCs w:val="16"/>
              </w:rPr>
              <w:t>UNAIDS</w:t>
            </w:r>
            <w:r>
              <w:rPr>
                <w:sz w:val="16"/>
                <w:szCs w:val="16"/>
              </w:rPr>
              <w:t>),</w:t>
            </w:r>
            <w:r w:rsidR="00684AF6" w:rsidRPr="0042008E">
              <w:rPr>
                <w:sz w:val="16"/>
                <w:szCs w:val="16"/>
              </w:rPr>
              <w:t xml:space="preserve"> UNFPA</w:t>
            </w:r>
            <w:r>
              <w:rPr>
                <w:sz w:val="16"/>
                <w:szCs w:val="16"/>
              </w:rPr>
              <w:t>,</w:t>
            </w:r>
            <w:r w:rsidR="00684AF6" w:rsidRPr="004200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World Health Organization (</w:t>
            </w:r>
            <w:r w:rsidR="00684AF6" w:rsidRPr="0042008E">
              <w:rPr>
                <w:sz w:val="16"/>
                <w:szCs w:val="16"/>
              </w:rPr>
              <w:t>WHO</w:t>
            </w:r>
            <w:r>
              <w:rPr>
                <w:sz w:val="16"/>
                <w:szCs w:val="16"/>
              </w:rPr>
              <w:t>), and</w:t>
            </w:r>
            <w:r w:rsidR="00684AF6" w:rsidRPr="0042008E">
              <w:rPr>
                <w:sz w:val="16"/>
                <w:szCs w:val="16"/>
              </w:rPr>
              <w:t xml:space="preserve"> UNICEF</w:t>
            </w:r>
            <w:r>
              <w:rPr>
                <w:sz w:val="16"/>
                <w:szCs w:val="16"/>
              </w:rPr>
              <w:t>.</w:t>
            </w:r>
          </w:p>
          <w:p w14:paraId="68119005" w14:textId="77777777" w:rsidR="00684AF6" w:rsidRPr="0042008E" w:rsidRDefault="00684AF6" w:rsidP="005075C4">
            <w:pPr>
              <w:pStyle w:val="NoSpacing"/>
              <w:spacing w:line="256" w:lineRule="auto"/>
              <w:rPr>
                <w:b/>
                <w:sz w:val="16"/>
                <w:szCs w:val="16"/>
                <w:u w:val="single"/>
              </w:rPr>
            </w:pPr>
          </w:p>
          <w:p w14:paraId="04CEEE74" w14:textId="77777777" w:rsidR="00684AF6" w:rsidRPr="0042008E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 xml:space="preserve">National Aids Council; </w:t>
            </w:r>
          </w:p>
          <w:p w14:paraId="119E9B6E" w14:textId="77777777" w:rsidR="00684AF6" w:rsidRPr="00B456F7" w:rsidRDefault="008B7424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B456F7">
              <w:rPr>
                <w:color w:val="000000"/>
                <w:sz w:val="16"/>
                <w:szCs w:val="16"/>
              </w:rPr>
              <w:lastRenderedPageBreak/>
              <w:t>MJDHPC</w:t>
            </w:r>
            <w:r w:rsidR="00684AF6" w:rsidRPr="00B456F7">
              <w:rPr>
                <w:sz w:val="16"/>
                <w:szCs w:val="16"/>
              </w:rPr>
              <w:t xml:space="preserve">, Environment; National Commission; Municipalities </w:t>
            </w:r>
          </w:p>
          <w:p w14:paraId="0CBD82C9" w14:textId="77777777" w:rsidR="00684AF6" w:rsidRPr="00B456F7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</w:p>
          <w:p w14:paraId="5D4F18DB" w14:textId="77777777" w:rsidR="00684AF6" w:rsidRPr="00B456F7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B456F7">
              <w:rPr>
                <w:sz w:val="16"/>
                <w:szCs w:val="16"/>
              </w:rPr>
              <w:t xml:space="preserve">National Anti-Corruption Network </w:t>
            </w:r>
          </w:p>
          <w:p w14:paraId="3E798078" w14:textId="77777777" w:rsidR="00684AF6" w:rsidRPr="00B456F7" w:rsidRDefault="00684AF6" w:rsidP="008E4109">
            <w:pPr>
              <w:spacing w:line="256" w:lineRule="auto"/>
              <w:rPr>
                <w:sz w:val="16"/>
                <w:szCs w:val="16"/>
              </w:rPr>
            </w:pPr>
          </w:p>
          <w:p w14:paraId="56425F8C" w14:textId="77777777" w:rsidR="00684AF6" w:rsidRPr="0042008E" w:rsidRDefault="00684AF6" w:rsidP="005075C4">
            <w:pPr>
              <w:pStyle w:val="NoSpacing"/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Higher Council of Communication</w:t>
            </w:r>
            <w:r w:rsidRPr="0042008E">
              <w:rPr>
                <w:sz w:val="16"/>
                <w:szCs w:val="16"/>
              </w:rPr>
              <w:br/>
              <w:t>Ministry of Communication</w:t>
            </w:r>
          </w:p>
          <w:p w14:paraId="4B586389" w14:textId="77777777" w:rsidR="00684AF6" w:rsidRPr="0042008E" w:rsidRDefault="00684AF6" w:rsidP="005075C4">
            <w:pPr>
              <w:spacing w:line="256" w:lineRule="auto"/>
              <w:rPr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br/>
              <w:t>Observatory of the Media Burkina Faso</w:t>
            </w:r>
            <w:r w:rsidRPr="0042008E">
              <w:rPr>
                <w:sz w:val="16"/>
                <w:szCs w:val="16"/>
              </w:rPr>
              <w:br/>
            </w:r>
            <w:r w:rsidRPr="0042008E">
              <w:rPr>
                <w:sz w:val="16"/>
                <w:szCs w:val="16"/>
              </w:rPr>
              <w:br/>
              <w:t>National Council of CSOs</w:t>
            </w:r>
          </w:p>
          <w:p w14:paraId="18EF6B45" w14:textId="77777777" w:rsidR="00684AF6" w:rsidRPr="0042008E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42008E">
              <w:rPr>
                <w:sz w:val="16"/>
                <w:szCs w:val="16"/>
              </w:rPr>
              <w:t>African Network of Journalists for Integrity and Transparency</w:t>
            </w:r>
          </w:p>
          <w:p w14:paraId="33F2EA25" w14:textId="77777777" w:rsidR="00684AF6" w:rsidRPr="0042008E" w:rsidDel="00D71F5E" w:rsidRDefault="00684AF6" w:rsidP="008E4109">
            <w:pPr>
              <w:pStyle w:val="NoSpacing"/>
              <w:spacing w:line="256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4A23" w14:textId="77777777" w:rsidR="00684AF6" w:rsidRPr="0042008E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4AF6" w:rsidRPr="00350D97" w14:paraId="7982A121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53E4F0" w14:textId="77777777" w:rsidR="00684AF6" w:rsidRPr="00350D97" w:rsidRDefault="00684AF6" w:rsidP="005075C4">
            <w:pPr>
              <w:spacing w:line="25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350D97">
              <w:rPr>
                <w:b/>
                <w:bCs/>
                <w:color w:val="000000" w:themeColor="text1"/>
                <w:sz w:val="16"/>
                <w:szCs w:val="16"/>
              </w:rPr>
              <w:t>NATIONAL PRIORITY OR GOAL:</w:t>
            </w:r>
            <w:r w:rsidRPr="00350D97">
              <w:rPr>
                <w:b/>
                <w:color w:val="000000" w:themeColor="text1"/>
                <w:sz w:val="16"/>
                <w:szCs w:val="16"/>
              </w:rPr>
              <w:t xml:space="preserve"> Revitalize </w:t>
            </w:r>
            <w:r w:rsidR="00D779F1" w:rsidRPr="00350D97">
              <w:rPr>
                <w:b/>
                <w:color w:val="000000" w:themeColor="text1"/>
                <w:sz w:val="16"/>
                <w:szCs w:val="16"/>
              </w:rPr>
              <w:t>Productive Sector and Stimulate Employment Creation</w:t>
            </w:r>
          </w:p>
        </w:tc>
      </w:tr>
      <w:tr w:rsidR="00684AF6" w:rsidRPr="00350D97" w14:paraId="0E29C835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124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C55F1" w14:textId="69BE7DAF" w:rsidR="00684AF6" w:rsidRPr="00350D97" w:rsidRDefault="00684AF6" w:rsidP="00764B74">
            <w:pPr>
              <w:spacing w:line="25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350D97">
              <w:rPr>
                <w:b/>
                <w:bCs/>
                <w:color w:val="000000" w:themeColor="text1"/>
                <w:sz w:val="16"/>
                <w:szCs w:val="16"/>
              </w:rPr>
              <w:t>UNDAF OUTCOME INVOLVING UNDP: Outcome 3.2</w:t>
            </w:r>
            <w:r w:rsidRPr="00350D97">
              <w:rPr>
                <w:b/>
                <w:color w:val="000000" w:themeColor="text1"/>
                <w:sz w:val="16"/>
                <w:szCs w:val="16"/>
              </w:rPr>
              <w:t xml:space="preserve"> By the end of 2020, populations, especially young people and women in intervention areas (urban/rural)</w:t>
            </w:r>
            <w:r w:rsidR="00764B74">
              <w:rPr>
                <w:b/>
                <w:color w:val="000000" w:themeColor="text1"/>
                <w:sz w:val="16"/>
                <w:szCs w:val="16"/>
              </w:rPr>
              <w:t>,</w:t>
            </w:r>
            <w:r w:rsidRPr="00350D97">
              <w:rPr>
                <w:b/>
                <w:color w:val="000000" w:themeColor="text1"/>
                <w:sz w:val="16"/>
                <w:szCs w:val="16"/>
              </w:rPr>
              <w:t xml:space="preserve"> increase their income, adopt sustainable production and consumption patterns</w:t>
            </w:r>
            <w:r w:rsidR="00764B74">
              <w:rPr>
                <w:b/>
                <w:color w:val="000000" w:themeColor="text1"/>
                <w:sz w:val="16"/>
                <w:szCs w:val="16"/>
              </w:rPr>
              <w:t>,</w:t>
            </w:r>
            <w:r w:rsidRPr="00350D97">
              <w:rPr>
                <w:b/>
                <w:color w:val="000000" w:themeColor="text1"/>
                <w:sz w:val="16"/>
                <w:szCs w:val="16"/>
              </w:rPr>
              <w:t xml:space="preserve"> and improve their food security</w:t>
            </w:r>
          </w:p>
        </w:tc>
      </w:tr>
      <w:tr w:rsidR="00684AF6" w:rsidRPr="00350D97" w14:paraId="34A3EF02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261EE" w14:textId="77777777" w:rsidR="00684AF6" w:rsidRPr="00350D97" w:rsidRDefault="00684AF6" w:rsidP="008E4109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0D97">
              <w:rPr>
                <w:b/>
                <w:bCs/>
                <w:color w:val="000000" w:themeColor="text1"/>
                <w:sz w:val="16"/>
                <w:szCs w:val="16"/>
              </w:rPr>
              <w:t xml:space="preserve">RELATED STRATEGIC PLAN OUTCOME: </w:t>
            </w:r>
            <w:r w:rsidR="0086058F" w:rsidRPr="00350D97">
              <w:rPr>
                <w:b/>
                <w:color w:val="000000" w:themeColor="text1"/>
                <w:sz w:val="16"/>
                <w:szCs w:val="16"/>
              </w:rPr>
              <w:t>Growth and development are inclusive and sustainable, incorporating productive capacities that create employment and livelihoods for the poor and excluded</w:t>
            </w:r>
          </w:p>
        </w:tc>
      </w:tr>
      <w:tr w:rsidR="00684AF6" w:rsidRPr="00350D97" w14:paraId="2FC68D3A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4E9D5" w14:textId="77777777" w:rsidR="002844A1" w:rsidRPr="00350D97" w:rsidRDefault="005075C4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sz w:val="16"/>
                <w:szCs w:val="16"/>
                <w:lang w:val="en"/>
              </w:rPr>
              <w:t>Number of household</w:t>
            </w:r>
            <w:r w:rsidR="00762FBC" w:rsidRPr="00350D97">
              <w:rPr>
                <w:sz w:val="16"/>
                <w:szCs w:val="16"/>
                <w:lang w:val="en"/>
              </w:rPr>
              <w:t>s</w:t>
            </w:r>
            <w:r w:rsidRPr="00350D97">
              <w:rPr>
                <w:sz w:val="16"/>
                <w:szCs w:val="16"/>
                <w:lang w:val="en"/>
              </w:rPr>
              <w:t xml:space="preserve"> </w:t>
            </w:r>
            <w:r w:rsidR="002844A1" w:rsidRPr="00350D97">
              <w:rPr>
                <w:sz w:val="16"/>
                <w:szCs w:val="16"/>
                <w:lang w:val="en"/>
              </w:rPr>
              <w:t xml:space="preserve">with access to modern energy services </w:t>
            </w:r>
          </w:p>
          <w:p w14:paraId="0D5B5C82" w14:textId="77777777" w:rsidR="005208B3" w:rsidRPr="00350D97" w:rsidRDefault="005075C4" w:rsidP="00A529BC">
            <w:pPr>
              <w:spacing w:line="256" w:lineRule="auto"/>
              <w:rPr>
                <w:sz w:val="16"/>
                <w:szCs w:val="16"/>
                <w:lang w:val="en"/>
              </w:rPr>
            </w:pPr>
            <w:r w:rsidRPr="00350D97">
              <w:rPr>
                <w:bCs/>
                <w:sz w:val="16"/>
                <w:szCs w:val="16"/>
              </w:rPr>
              <w:t>Baseline: 6</w:t>
            </w:r>
            <w:r w:rsidR="00764B74">
              <w:rPr>
                <w:bCs/>
                <w:sz w:val="16"/>
                <w:szCs w:val="16"/>
              </w:rPr>
              <w:t>.</w:t>
            </w:r>
            <w:r w:rsidRPr="00350D97">
              <w:rPr>
                <w:bCs/>
                <w:sz w:val="16"/>
                <w:szCs w:val="16"/>
              </w:rPr>
              <w:t>4% (2015)</w:t>
            </w:r>
            <w:r w:rsidR="002844A1" w:rsidRPr="00350D97">
              <w:rPr>
                <w:bCs/>
                <w:sz w:val="16"/>
                <w:szCs w:val="16"/>
              </w:rPr>
              <w:t>; Target: 30%</w:t>
            </w:r>
          </w:p>
          <w:p w14:paraId="04F8AFB0" w14:textId="77777777" w:rsidR="005208B3" w:rsidRPr="00350D97" w:rsidRDefault="005208B3" w:rsidP="008E4109">
            <w:pPr>
              <w:rPr>
                <w:sz w:val="16"/>
                <w:szCs w:val="16"/>
                <w:lang w:val="en"/>
              </w:rPr>
            </w:pPr>
          </w:p>
          <w:p w14:paraId="537898DA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sz w:val="16"/>
                <w:szCs w:val="16"/>
                <w:lang w:val="en"/>
              </w:rPr>
              <w:t>Number of youth and women benefiting o</w:t>
            </w:r>
            <w:r w:rsidR="00762FBC" w:rsidRPr="00350D97">
              <w:rPr>
                <w:sz w:val="16"/>
                <w:szCs w:val="16"/>
                <w:lang w:val="en"/>
              </w:rPr>
              <w:t>f</w:t>
            </w:r>
            <w:r w:rsidRPr="00350D97">
              <w:rPr>
                <w:sz w:val="16"/>
                <w:szCs w:val="16"/>
                <w:lang w:val="en"/>
              </w:rPr>
              <w:t xml:space="preserve"> green jobs created</w:t>
            </w:r>
          </w:p>
          <w:p w14:paraId="548CB996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6</w:t>
            </w:r>
            <w:r w:rsidR="00A529BC" w:rsidRPr="00350D97">
              <w:rPr>
                <w:bCs/>
                <w:sz w:val="16"/>
                <w:szCs w:val="16"/>
              </w:rPr>
              <w:t>,</w:t>
            </w:r>
            <w:r w:rsidRPr="00350D97">
              <w:rPr>
                <w:bCs/>
                <w:sz w:val="16"/>
                <w:szCs w:val="16"/>
              </w:rPr>
              <w:t>000 (2015); Target: 50</w:t>
            </w:r>
            <w:r w:rsidR="00A529BC" w:rsidRPr="00350D97">
              <w:rPr>
                <w:bCs/>
                <w:sz w:val="16"/>
                <w:szCs w:val="16"/>
              </w:rPr>
              <w:t>,</w:t>
            </w:r>
            <w:r w:rsidRPr="00350D97">
              <w:rPr>
                <w:bCs/>
                <w:sz w:val="16"/>
                <w:szCs w:val="16"/>
              </w:rPr>
              <w:t>000</w:t>
            </w:r>
          </w:p>
          <w:p w14:paraId="35B899E4" w14:textId="77777777" w:rsidR="005208B3" w:rsidRPr="00350D97" w:rsidRDefault="005208B3" w:rsidP="008E4109">
            <w:pPr>
              <w:rPr>
                <w:sz w:val="16"/>
                <w:szCs w:val="16"/>
                <w:lang w:val="en"/>
              </w:rPr>
            </w:pPr>
          </w:p>
          <w:p w14:paraId="05F496F9" w14:textId="77777777" w:rsidR="005208B3" w:rsidRPr="00350D97" w:rsidRDefault="005208B3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sz w:val="16"/>
                <w:szCs w:val="16"/>
                <w:lang w:val="en"/>
              </w:rPr>
              <w:lastRenderedPageBreak/>
              <w:t>Area of degraded land in protected areas recovered (hectares)</w:t>
            </w:r>
          </w:p>
          <w:p w14:paraId="13508B74" w14:textId="77777777" w:rsidR="005208B3" w:rsidRPr="00350D97" w:rsidRDefault="00C27FE5" w:rsidP="008E4109">
            <w:pPr>
              <w:spacing w:line="256" w:lineRule="auto"/>
              <w:rPr>
                <w:sz w:val="16"/>
                <w:szCs w:val="16"/>
                <w:lang w:val="en"/>
              </w:rPr>
            </w:pPr>
            <w:r w:rsidRPr="00350D97">
              <w:rPr>
                <w:bCs/>
                <w:sz w:val="16"/>
                <w:szCs w:val="16"/>
              </w:rPr>
              <w:t>Baseline: 10500 ha (2014)</w:t>
            </w:r>
            <w:r w:rsidR="005208B3" w:rsidRPr="00350D97">
              <w:rPr>
                <w:bCs/>
                <w:sz w:val="16"/>
                <w:szCs w:val="16"/>
              </w:rPr>
              <w:t>; Target: 25000 ha</w:t>
            </w:r>
          </w:p>
          <w:p w14:paraId="14028F13" w14:textId="77777777" w:rsidR="005208B3" w:rsidRPr="00350D97" w:rsidRDefault="005208B3" w:rsidP="008E4109">
            <w:pPr>
              <w:rPr>
                <w:sz w:val="16"/>
                <w:szCs w:val="16"/>
                <w:lang w:val="en"/>
              </w:rPr>
            </w:pPr>
          </w:p>
          <w:p w14:paraId="41378CA4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sz w:val="16"/>
                <w:szCs w:val="16"/>
                <w:lang w:val="en"/>
              </w:rPr>
              <w:t>Coverage of cereal needs</w:t>
            </w:r>
          </w:p>
          <w:p w14:paraId="0B1B4706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96% (2015); Target: 140%</w:t>
            </w:r>
          </w:p>
          <w:p w14:paraId="308063AF" w14:textId="77777777" w:rsidR="00684AF6" w:rsidRPr="00350D97" w:rsidRDefault="002844A1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rStyle w:val="alt-edited"/>
                <w:sz w:val="16"/>
                <w:szCs w:val="16"/>
                <w:lang w:val="en"/>
              </w:rPr>
              <w:t>C</w:t>
            </w:r>
            <w:r w:rsidR="00684AF6" w:rsidRPr="00350D97">
              <w:rPr>
                <w:rStyle w:val="alt-edited"/>
                <w:sz w:val="16"/>
                <w:szCs w:val="16"/>
                <w:lang w:val="en"/>
              </w:rPr>
              <w:t xml:space="preserve">ommercialization rate for agricultural products (including cash crops) </w:t>
            </w:r>
          </w:p>
          <w:p w14:paraId="487CF462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 xml:space="preserve">Baseline: 25% </w:t>
            </w:r>
            <w:r w:rsidR="00C27FE5" w:rsidRPr="00350D97">
              <w:rPr>
                <w:bCs/>
                <w:sz w:val="16"/>
                <w:szCs w:val="16"/>
              </w:rPr>
              <w:t>(2010)</w:t>
            </w:r>
            <w:r w:rsidR="00A529BC" w:rsidRPr="00350D97">
              <w:rPr>
                <w:bCs/>
                <w:sz w:val="16"/>
                <w:szCs w:val="16"/>
              </w:rPr>
              <w:t>; Target: 37.</w:t>
            </w:r>
            <w:r w:rsidRPr="00350D97">
              <w:rPr>
                <w:bCs/>
                <w:sz w:val="16"/>
                <w:szCs w:val="16"/>
              </w:rPr>
              <w:t>5%</w:t>
            </w:r>
          </w:p>
          <w:p w14:paraId="7CB83C33" w14:textId="77777777" w:rsidR="008D0615" w:rsidRPr="00350D97" w:rsidRDefault="008D0615" w:rsidP="008E4109">
            <w:pPr>
              <w:spacing w:line="256" w:lineRule="auto"/>
              <w:rPr>
                <w:sz w:val="16"/>
                <w:szCs w:val="16"/>
                <w:lang w:val="en"/>
              </w:rPr>
            </w:pPr>
          </w:p>
          <w:p w14:paraId="42EA603F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sz w:val="16"/>
                <w:szCs w:val="16"/>
                <w:lang w:val="en"/>
              </w:rPr>
              <w:t>Proportion of conservation areas under development</w:t>
            </w:r>
          </w:p>
          <w:p w14:paraId="347B2422" w14:textId="77777777" w:rsidR="00684AF6" w:rsidRPr="00350D97" w:rsidRDefault="00C27FE5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25% (2015)</w:t>
            </w:r>
            <w:r w:rsidR="00684AF6" w:rsidRPr="00350D97">
              <w:rPr>
                <w:bCs/>
                <w:sz w:val="16"/>
                <w:szCs w:val="16"/>
              </w:rPr>
              <w:t>; Target: 31%</w:t>
            </w:r>
          </w:p>
          <w:p w14:paraId="7325FE9F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sz w:val="16"/>
                <w:szCs w:val="16"/>
                <w:lang w:val="en"/>
              </w:rPr>
              <w:br/>
              <w:t xml:space="preserve">Percentage of population in food insecurity (phases 3, 4 </w:t>
            </w:r>
            <w:r w:rsidR="00764B74">
              <w:rPr>
                <w:sz w:val="16"/>
                <w:szCs w:val="16"/>
                <w:lang w:val="en"/>
              </w:rPr>
              <w:t>and</w:t>
            </w:r>
            <w:r w:rsidRPr="00350D97">
              <w:rPr>
                <w:sz w:val="16"/>
                <w:szCs w:val="16"/>
                <w:lang w:val="en"/>
              </w:rPr>
              <w:t xml:space="preserve"> 5)</w:t>
            </w:r>
          </w:p>
          <w:p w14:paraId="13A6048A" w14:textId="4BE891EB" w:rsidR="00684AF6" w:rsidRPr="00350D97" w:rsidRDefault="00C27FE5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1</w:t>
            </w:r>
            <w:r w:rsidR="00624970">
              <w:rPr>
                <w:bCs/>
                <w:sz w:val="16"/>
                <w:szCs w:val="16"/>
              </w:rPr>
              <w:t>.</w:t>
            </w:r>
            <w:r w:rsidRPr="00350D97">
              <w:rPr>
                <w:bCs/>
                <w:sz w:val="16"/>
                <w:szCs w:val="16"/>
              </w:rPr>
              <w:t>31% (2015)</w:t>
            </w:r>
            <w:r w:rsidR="00684AF6" w:rsidRPr="00350D97">
              <w:rPr>
                <w:bCs/>
                <w:sz w:val="16"/>
                <w:szCs w:val="16"/>
              </w:rPr>
              <w:t>; Target: 0%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8CF76" w14:textId="28D663DE" w:rsidR="002844A1" w:rsidRPr="00350D97" w:rsidRDefault="002844A1" w:rsidP="008E4109">
            <w:pPr>
              <w:rPr>
                <w:color w:val="000000"/>
                <w:sz w:val="16"/>
                <w:szCs w:val="16"/>
              </w:rPr>
            </w:pPr>
            <w:r w:rsidRPr="00350D97">
              <w:rPr>
                <w:color w:val="000000"/>
                <w:sz w:val="16"/>
                <w:szCs w:val="16"/>
              </w:rPr>
              <w:lastRenderedPageBreak/>
              <w:t>Statistical</w:t>
            </w:r>
            <w:r w:rsidR="005075C4" w:rsidRPr="00350D97">
              <w:rPr>
                <w:color w:val="000000"/>
                <w:sz w:val="16"/>
                <w:szCs w:val="16"/>
              </w:rPr>
              <w:t xml:space="preserve"> Yearbook</w:t>
            </w:r>
            <w:r w:rsidRPr="00350D97">
              <w:rPr>
                <w:color w:val="000000"/>
                <w:sz w:val="16"/>
                <w:szCs w:val="16"/>
              </w:rPr>
              <w:t xml:space="preserve"> of the </w:t>
            </w:r>
            <w:r w:rsidR="00624970">
              <w:rPr>
                <w:color w:val="000000"/>
                <w:sz w:val="16"/>
                <w:szCs w:val="16"/>
              </w:rPr>
              <w:t>Ministry in charge of environment</w:t>
            </w:r>
          </w:p>
          <w:p w14:paraId="640BDDF2" w14:textId="77777777" w:rsidR="005208B3" w:rsidRPr="00350D97" w:rsidRDefault="005208B3" w:rsidP="008E4109">
            <w:pPr>
              <w:rPr>
                <w:rStyle w:val="shorttext"/>
                <w:sz w:val="16"/>
                <w:szCs w:val="16"/>
                <w:lang w:val="en"/>
              </w:rPr>
            </w:pPr>
          </w:p>
          <w:p w14:paraId="364E8553" w14:textId="77777777" w:rsidR="00684AF6" w:rsidRPr="00350D97" w:rsidRDefault="00684AF6" w:rsidP="008E4109">
            <w:pPr>
              <w:rPr>
                <w:rStyle w:val="shorttext"/>
                <w:sz w:val="16"/>
                <w:szCs w:val="16"/>
                <w:lang w:val="en"/>
              </w:rPr>
            </w:pPr>
            <w:r w:rsidRPr="00350D97">
              <w:rPr>
                <w:rStyle w:val="shorttext"/>
                <w:sz w:val="16"/>
                <w:szCs w:val="16"/>
                <w:lang w:val="en"/>
              </w:rPr>
              <w:t>Directory of green jobs created</w:t>
            </w:r>
          </w:p>
          <w:p w14:paraId="7D5D9704" w14:textId="156EAE86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color w:val="000000"/>
                <w:sz w:val="16"/>
                <w:szCs w:val="16"/>
              </w:rPr>
              <w:t xml:space="preserve">Responsibility: DGESS of </w:t>
            </w:r>
            <w:r w:rsidR="00376FD2">
              <w:rPr>
                <w:color w:val="000000"/>
                <w:sz w:val="16"/>
                <w:szCs w:val="16"/>
              </w:rPr>
              <w:t xml:space="preserve">Ministry of Environment, </w:t>
            </w:r>
            <w:r w:rsidR="00376FD2">
              <w:rPr>
                <w:color w:val="000000"/>
                <w:sz w:val="16"/>
                <w:szCs w:val="16"/>
              </w:rPr>
              <w:lastRenderedPageBreak/>
              <w:t>Green Economy and Climate Change (</w:t>
            </w:r>
            <w:r w:rsidRPr="00350D97">
              <w:rPr>
                <w:color w:val="000000"/>
                <w:sz w:val="16"/>
                <w:szCs w:val="16"/>
              </w:rPr>
              <w:t>MEEVCC</w:t>
            </w:r>
            <w:r w:rsidR="00376FD2">
              <w:rPr>
                <w:color w:val="000000"/>
                <w:sz w:val="16"/>
                <w:szCs w:val="16"/>
              </w:rPr>
              <w:t>)</w:t>
            </w:r>
            <w:r w:rsidRPr="00350D97">
              <w:rPr>
                <w:sz w:val="16"/>
                <w:szCs w:val="16"/>
                <w:lang w:val="en"/>
              </w:rPr>
              <w:t xml:space="preserve"> </w:t>
            </w:r>
          </w:p>
          <w:p w14:paraId="0A777ACE" w14:textId="77777777" w:rsidR="00A529BC" w:rsidRPr="00350D97" w:rsidRDefault="00A529BC" w:rsidP="008E4109">
            <w:pPr>
              <w:rPr>
                <w:color w:val="000000"/>
                <w:sz w:val="16"/>
                <w:szCs w:val="16"/>
              </w:rPr>
            </w:pPr>
          </w:p>
          <w:p w14:paraId="24AED82D" w14:textId="77777777" w:rsidR="008D0615" w:rsidRPr="00350D97" w:rsidRDefault="008D0615" w:rsidP="008E4109">
            <w:pPr>
              <w:rPr>
                <w:sz w:val="16"/>
                <w:szCs w:val="16"/>
              </w:rPr>
            </w:pPr>
            <w:r w:rsidRPr="00350D97">
              <w:rPr>
                <w:color w:val="000000"/>
                <w:sz w:val="16"/>
                <w:szCs w:val="16"/>
              </w:rPr>
              <w:t>Annual report of MEEVCC</w:t>
            </w:r>
            <w:r w:rsidRPr="00350D97">
              <w:rPr>
                <w:sz w:val="16"/>
                <w:szCs w:val="16"/>
              </w:rPr>
              <w:t xml:space="preserve"> </w:t>
            </w:r>
          </w:p>
          <w:p w14:paraId="62A7F7AF" w14:textId="77777777" w:rsidR="008D0615" w:rsidRPr="00350D97" w:rsidRDefault="008D0615" w:rsidP="008E4109">
            <w:pPr>
              <w:rPr>
                <w:color w:val="000000"/>
                <w:sz w:val="16"/>
                <w:szCs w:val="16"/>
              </w:rPr>
            </w:pPr>
            <w:r w:rsidRPr="00350D97">
              <w:rPr>
                <w:color w:val="000000"/>
                <w:sz w:val="16"/>
                <w:szCs w:val="16"/>
              </w:rPr>
              <w:t>Responsibility: DGESS of MEEVCC</w:t>
            </w:r>
          </w:p>
          <w:p w14:paraId="60D5DD66" w14:textId="77777777" w:rsidR="005208B3" w:rsidRPr="00350D97" w:rsidRDefault="005208B3" w:rsidP="008E4109">
            <w:pPr>
              <w:rPr>
                <w:rStyle w:val="shorttext"/>
                <w:sz w:val="16"/>
                <w:szCs w:val="16"/>
              </w:rPr>
            </w:pPr>
          </w:p>
          <w:p w14:paraId="079B7051" w14:textId="77777777" w:rsidR="00684AF6" w:rsidRPr="00350D97" w:rsidRDefault="00684AF6" w:rsidP="008E4109">
            <w:pPr>
              <w:rPr>
                <w:rStyle w:val="shorttext"/>
                <w:sz w:val="16"/>
                <w:szCs w:val="16"/>
                <w:lang w:val="en"/>
              </w:rPr>
            </w:pPr>
            <w:r w:rsidRPr="00350D97">
              <w:rPr>
                <w:rStyle w:val="shorttext"/>
                <w:sz w:val="16"/>
                <w:szCs w:val="16"/>
                <w:lang w:val="en"/>
              </w:rPr>
              <w:t>Agricultural Campaign Evaluation Reports</w:t>
            </w:r>
          </w:p>
          <w:p w14:paraId="71309A3B" w14:textId="77777777" w:rsidR="00A529BC" w:rsidRPr="00350D97" w:rsidRDefault="00684AF6" w:rsidP="008E4109">
            <w:pPr>
              <w:rPr>
                <w:rStyle w:val="shorttext"/>
                <w:sz w:val="16"/>
                <w:szCs w:val="16"/>
                <w:lang w:val="en"/>
              </w:rPr>
            </w:pPr>
            <w:r w:rsidRPr="00350D97">
              <w:rPr>
                <w:color w:val="000000"/>
                <w:sz w:val="16"/>
                <w:szCs w:val="16"/>
              </w:rPr>
              <w:t xml:space="preserve">Responsibility: DGESS of the </w:t>
            </w:r>
            <w:r w:rsidRPr="00350D97">
              <w:rPr>
                <w:rStyle w:val="shorttext"/>
                <w:sz w:val="16"/>
                <w:szCs w:val="16"/>
                <w:lang w:val="en"/>
              </w:rPr>
              <w:t>Ministry of Agriculture and Hydraulic Development</w:t>
            </w:r>
            <w:r w:rsidRPr="00350D97">
              <w:rPr>
                <w:sz w:val="16"/>
                <w:szCs w:val="16"/>
                <w:lang w:val="en"/>
              </w:rPr>
              <w:t xml:space="preserve"> (MAAH) </w:t>
            </w:r>
            <w:r w:rsidR="00A529BC" w:rsidRPr="00350D97">
              <w:rPr>
                <w:sz w:val="16"/>
                <w:szCs w:val="16"/>
                <w:lang w:val="en"/>
              </w:rPr>
              <w:br/>
            </w:r>
          </w:p>
          <w:p w14:paraId="7099BC39" w14:textId="77777777" w:rsidR="00684AF6" w:rsidRPr="00350D97" w:rsidRDefault="00A529BC" w:rsidP="008E4109">
            <w:pPr>
              <w:rPr>
                <w:rStyle w:val="shorttext"/>
                <w:sz w:val="16"/>
                <w:szCs w:val="16"/>
                <w:lang w:val="en"/>
              </w:rPr>
            </w:pPr>
            <w:r w:rsidRPr="00350D97">
              <w:rPr>
                <w:rStyle w:val="shorttext"/>
                <w:sz w:val="16"/>
                <w:szCs w:val="16"/>
                <w:lang w:val="en"/>
              </w:rPr>
              <w:t>Ag</w:t>
            </w:r>
            <w:r w:rsidR="00684AF6" w:rsidRPr="00350D97">
              <w:rPr>
                <w:rStyle w:val="shorttext"/>
                <w:sz w:val="16"/>
                <w:szCs w:val="16"/>
                <w:lang w:val="en"/>
              </w:rPr>
              <w:t>ricultural Campaign Evaluation Reports</w:t>
            </w:r>
          </w:p>
          <w:p w14:paraId="54D6BB09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color w:val="000000"/>
                <w:sz w:val="16"/>
                <w:szCs w:val="16"/>
              </w:rPr>
              <w:t xml:space="preserve">Responsibility: DGESS of the </w:t>
            </w:r>
            <w:r w:rsidRPr="00350D97">
              <w:rPr>
                <w:sz w:val="16"/>
                <w:szCs w:val="16"/>
                <w:lang w:val="en"/>
              </w:rPr>
              <w:t>MAAH</w:t>
            </w:r>
          </w:p>
          <w:p w14:paraId="4CD22A80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</w:p>
          <w:p w14:paraId="35B54F5C" w14:textId="77777777" w:rsidR="00684AF6" w:rsidRPr="00350D97" w:rsidRDefault="00684AF6" w:rsidP="008E4109">
            <w:pPr>
              <w:rPr>
                <w:sz w:val="16"/>
                <w:szCs w:val="16"/>
                <w:lang w:val="en"/>
              </w:rPr>
            </w:pPr>
            <w:r w:rsidRPr="00350D97">
              <w:rPr>
                <w:color w:val="000000"/>
                <w:sz w:val="16"/>
                <w:szCs w:val="16"/>
              </w:rPr>
              <w:t>Statistical Yearbook of the MEEVCC</w:t>
            </w:r>
          </w:p>
          <w:p w14:paraId="07B2549E" w14:textId="77777777" w:rsidR="008D0615" w:rsidRPr="00350D97" w:rsidRDefault="008D0615" w:rsidP="008E4109">
            <w:pPr>
              <w:rPr>
                <w:sz w:val="16"/>
                <w:szCs w:val="16"/>
              </w:rPr>
            </w:pPr>
          </w:p>
          <w:p w14:paraId="075B8740" w14:textId="77777777" w:rsidR="00CB1069" w:rsidRDefault="00684AF6">
            <w:pPr>
              <w:spacing w:line="256" w:lineRule="auto"/>
              <w:rPr>
                <w:rStyle w:val="shorttext"/>
                <w:sz w:val="16"/>
                <w:szCs w:val="16"/>
                <w:lang w:val="en"/>
              </w:rPr>
            </w:pPr>
            <w:r w:rsidRPr="00350D97">
              <w:rPr>
                <w:rStyle w:val="shorttext"/>
                <w:sz w:val="16"/>
                <w:szCs w:val="16"/>
                <w:lang w:val="en"/>
              </w:rPr>
              <w:t xml:space="preserve">Data of Harmonized Framework of the Permanent </w:t>
            </w:r>
            <w:r w:rsidRPr="00350D97">
              <w:rPr>
                <w:sz w:val="16"/>
                <w:szCs w:val="16"/>
                <w:lang w:val="en"/>
              </w:rPr>
              <w:t>Secretariat for the coordination of agricultural sector policy</w:t>
            </w:r>
            <w:r w:rsidRPr="00350D97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</w:p>
          <w:p w14:paraId="54CE0658" w14:textId="77777777" w:rsidR="00CB1069" w:rsidRDefault="00CB1069">
            <w:pPr>
              <w:spacing w:line="256" w:lineRule="auto"/>
              <w:rPr>
                <w:rStyle w:val="shorttext"/>
                <w:sz w:val="16"/>
                <w:szCs w:val="16"/>
                <w:lang w:val="en"/>
              </w:rPr>
            </w:pPr>
          </w:p>
          <w:p w14:paraId="5F64DCDB" w14:textId="5D605C9E" w:rsidR="00684AF6" w:rsidRPr="00350D97" w:rsidRDefault="006C6FFB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rStyle w:val="shorttext"/>
                <w:sz w:val="16"/>
                <w:szCs w:val="16"/>
                <w:lang w:val="en"/>
              </w:rPr>
              <w:t>Responsibility</w:t>
            </w:r>
            <w:r w:rsidR="008D0615" w:rsidRPr="00350D97">
              <w:rPr>
                <w:color w:val="000000"/>
                <w:sz w:val="16"/>
                <w:szCs w:val="16"/>
              </w:rPr>
              <w:t xml:space="preserve">: </w:t>
            </w:r>
            <w:r w:rsidR="00624970" w:rsidRPr="00350D97">
              <w:rPr>
                <w:sz w:val="16"/>
                <w:szCs w:val="16"/>
                <w:lang w:val="en"/>
              </w:rPr>
              <w:t>Secretariat for the coordination of agricultural sector</w:t>
            </w:r>
            <w:r w:rsidR="00F03A46">
              <w:rPr>
                <w:sz w:val="16"/>
                <w:szCs w:val="16"/>
                <w:lang w:val="en"/>
              </w:rPr>
              <w:t>al</w:t>
            </w:r>
            <w:r w:rsidR="00624970" w:rsidRPr="00350D97">
              <w:rPr>
                <w:sz w:val="16"/>
                <w:szCs w:val="16"/>
                <w:lang w:val="en"/>
              </w:rPr>
              <w:t xml:space="preserve"> policy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9A4E3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lastRenderedPageBreak/>
              <w:t>Output 2.1</w:t>
            </w:r>
            <w:r w:rsidRPr="00764B74">
              <w:rPr>
                <w:bCs/>
                <w:sz w:val="16"/>
                <w:szCs w:val="16"/>
              </w:rPr>
              <w:t>:</w:t>
            </w:r>
            <w:r w:rsidRPr="00350D97">
              <w:rPr>
                <w:bCs/>
                <w:sz w:val="16"/>
                <w:szCs w:val="16"/>
              </w:rPr>
              <w:t xml:space="preserve"> Targeted households have modern energy services for their livelihood and domestic consumption.</w:t>
            </w:r>
          </w:p>
          <w:p w14:paraId="44B75E73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</w:p>
          <w:p w14:paraId="49AF2E47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b/>
                <w:sz w:val="16"/>
                <w:szCs w:val="16"/>
              </w:rPr>
              <w:t>Indicator</w:t>
            </w:r>
            <w:r w:rsidR="00B56629" w:rsidRPr="00350D97">
              <w:rPr>
                <w:b/>
                <w:sz w:val="16"/>
                <w:szCs w:val="16"/>
              </w:rPr>
              <w:t xml:space="preserve"> </w:t>
            </w:r>
            <w:r w:rsidRPr="00350D97">
              <w:rPr>
                <w:b/>
                <w:sz w:val="16"/>
                <w:szCs w:val="16"/>
              </w:rPr>
              <w:t>2.1.1</w:t>
            </w:r>
            <w:r w:rsidR="00B56629" w:rsidRPr="00350D97">
              <w:rPr>
                <w:b/>
                <w:sz w:val="16"/>
                <w:szCs w:val="16"/>
              </w:rPr>
              <w:t xml:space="preserve">: </w:t>
            </w:r>
            <w:r w:rsidRPr="00350D97">
              <w:rPr>
                <w:sz w:val="16"/>
                <w:szCs w:val="16"/>
              </w:rPr>
              <w:t xml:space="preserve">Proportion of households with access to </w:t>
            </w:r>
            <w:r w:rsidR="00D779F1" w:rsidRPr="00350D97">
              <w:rPr>
                <w:sz w:val="16"/>
                <w:szCs w:val="16"/>
              </w:rPr>
              <w:t xml:space="preserve">modern </w:t>
            </w:r>
            <w:r w:rsidRPr="00350D97">
              <w:rPr>
                <w:sz w:val="16"/>
                <w:szCs w:val="16"/>
              </w:rPr>
              <w:t>energy</w:t>
            </w:r>
            <w:r w:rsidR="00D779F1" w:rsidRPr="00350D97">
              <w:rPr>
                <w:sz w:val="16"/>
                <w:szCs w:val="16"/>
              </w:rPr>
              <w:t xml:space="preserve"> including</w:t>
            </w:r>
            <w:r w:rsidRPr="00350D97">
              <w:rPr>
                <w:sz w:val="16"/>
                <w:szCs w:val="16"/>
              </w:rPr>
              <w:t xml:space="preserve"> for </w:t>
            </w:r>
            <w:r w:rsidR="00D779F1" w:rsidRPr="00350D97">
              <w:rPr>
                <w:sz w:val="16"/>
                <w:szCs w:val="16"/>
              </w:rPr>
              <w:t>productive uses.</w:t>
            </w:r>
          </w:p>
          <w:p w14:paraId="608F4517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Baseline: 0 Target: 50% (W</w:t>
            </w:r>
            <w:r w:rsidR="0089648F">
              <w:rPr>
                <w:sz w:val="16"/>
                <w:szCs w:val="16"/>
              </w:rPr>
              <w:t>omen</w:t>
            </w:r>
            <w:r w:rsidRPr="00350D97">
              <w:rPr>
                <w:sz w:val="16"/>
                <w:szCs w:val="16"/>
              </w:rPr>
              <w:t>: 50%; Y</w:t>
            </w:r>
            <w:r w:rsidR="0089648F">
              <w:rPr>
                <w:sz w:val="16"/>
                <w:szCs w:val="16"/>
              </w:rPr>
              <w:t>outh</w:t>
            </w:r>
            <w:r w:rsidRPr="00350D97">
              <w:rPr>
                <w:sz w:val="16"/>
                <w:szCs w:val="16"/>
              </w:rPr>
              <w:t>:</w:t>
            </w:r>
            <w:r w:rsidR="0089648F">
              <w:rPr>
                <w:sz w:val="16"/>
                <w:szCs w:val="16"/>
              </w:rPr>
              <w:t xml:space="preserve"> </w:t>
            </w:r>
            <w:r w:rsidRPr="00350D97">
              <w:rPr>
                <w:sz w:val="16"/>
                <w:szCs w:val="16"/>
              </w:rPr>
              <w:t>50%)</w:t>
            </w:r>
          </w:p>
          <w:p w14:paraId="735A6163" w14:textId="77777777" w:rsidR="00684AF6" w:rsidRPr="00350D97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 xml:space="preserve">Source: Ministry in charge of youth and employment annual report; </w:t>
            </w:r>
            <w:r w:rsidRPr="00350D97">
              <w:rPr>
                <w:color w:val="000000"/>
                <w:sz w:val="16"/>
                <w:szCs w:val="16"/>
              </w:rPr>
              <w:t>Frequency: Annual</w:t>
            </w:r>
          </w:p>
          <w:p w14:paraId="6D571197" w14:textId="77777777" w:rsidR="00684AF6" w:rsidRPr="00350D97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404ACD29" w14:textId="2B03C070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/>
                <w:bCs/>
                <w:sz w:val="16"/>
                <w:szCs w:val="16"/>
              </w:rPr>
              <w:t>Indicator</w:t>
            </w:r>
            <w:r w:rsidR="00B56629" w:rsidRPr="00350D97">
              <w:rPr>
                <w:b/>
                <w:bCs/>
                <w:sz w:val="16"/>
                <w:szCs w:val="16"/>
              </w:rPr>
              <w:t xml:space="preserve"> </w:t>
            </w:r>
            <w:r w:rsidRPr="00350D97">
              <w:rPr>
                <w:b/>
                <w:bCs/>
                <w:sz w:val="16"/>
                <w:szCs w:val="16"/>
              </w:rPr>
              <w:t>2.1.2</w:t>
            </w:r>
            <w:r w:rsidR="00B56629" w:rsidRPr="00350D97">
              <w:rPr>
                <w:b/>
                <w:bCs/>
                <w:sz w:val="16"/>
                <w:szCs w:val="16"/>
              </w:rPr>
              <w:t xml:space="preserve">: </w:t>
            </w:r>
            <w:r w:rsidRPr="00350D97">
              <w:rPr>
                <w:bCs/>
                <w:sz w:val="16"/>
                <w:szCs w:val="16"/>
              </w:rPr>
              <w:t xml:space="preserve">Number of </w:t>
            </w:r>
            <w:r w:rsidR="002844A1" w:rsidRPr="00350D97">
              <w:rPr>
                <w:bCs/>
                <w:sz w:val="16"/>
                <w:szCs w:val="16"/>
              </w:rPr>
              <w:t>women</w:t>
            </w:r>
            <w:r w:rsidR="00F1252B" w:rsidRPr="00350D97">
              <w:rPr>
                <w:bCs/>
                <w:sz w:val="16"/>
                <w:szCs w:val="16"/>
              </w:rPr>
              <w:t>’s a</w:t>
            </w:r>
            <w:r w:rsidR="00D779F1" w:rsidRPr="00350D97">
              <w:rPr>
                <w:bCs/>
                <w:sz w:val="16"/>
                <w:szCs w:val="16"/>
              </w:rPr>
              <w:t>ssociations managing local level</w:t>
            </w:r>
            <w:r w:rsidR="002844A1" w:rsidRPr="00350D97">
              <w:rPr>
                <w:bCs/>
                <w:sz w:val="16"/>
                <w:szCs w:val="16"/>
              </w:rPr>
              <w:t xml:space="preserve"> </w:t>
            </w:r>
            <w:r w:rsidR="00D779F1" w:rsidRPr="00350D97">
              <w:rPr>
                <w:bCs/>
                <w:sz w:val="16"/>
                <w:szCs w:val="16"/>
              </w:rPr>
              <w:t>energy enterprises</w:t>
            </w:r>
            <w:r w:rsidR="002844A1" w:rsidRPr="00350D97">
              <w:rPr>
                <w:bCs/>
                <w:sz w:val="16"/>
                <w:szCs w:val="16"/>
              </w:rPr>
              <w:t xml:space="preserve"> (</w:t>
            </w:r>
            <w:r w:rsidR="002844A1" w:rsidRPr="00350D97">
              <w:rPr>
                <w:sz w:val="16"/>
                <w:szCs w:val="16"/>
                <w:lang w:val="en"/>
              </w:rPr>
              <w:t>multifunctional platforms)</w:t>
            </w:r>
            <w:r w:rsidR="00D779F1" w:rsidRPr="00350D97">
              <w:rPr>
                <w:bCs/>
                <w:sz w:val="16"/>
                <w:szCs w:val="16"/>
              </w:rPr>
              <w:t xml:space="preserve"> </w:t>
            </w:r>
            <w:r w:rsidR="002844A1" w:rsidRPr="00350D97">
              <w:rPr>
                <w:sz w:val="16"/>
                <w:szCs w:val="16"/>
                <w:lang w:val="en"/>
              </w:rPr>
              <w:t>with mixed energy sources</w:t>
            </w:r>
            <w:r w:rsidR="002844A1" w:rsidRPr="00350D97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bCs/>
                <w:sz w:val="16"/>
                <w:szCs w:val="16"/>
              </w:rPr>
              <w:t xml:space="preserve">using renewable energy </w:t>
            </w:r>
            <w:r w:rsidR="00683F97" w:rsidRPr="00350D97">
              <w:rPr>
                <w:bCs/>
                <w:sz w:val="16"/>
                <w:szCs w:val="16"/>
              </w:rPr>
              <w:t>daily</w:t>
            </w:r>
          </w:p>
          <w:p w14:paraId="10AD68C0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 xml:space="preserve">Baseline: </w:t>
            </w:r>
            <w:r w:rsidR="002844A1" w:rsidRPr="00350D97">
              <w:rPr>
                <w:bCs/>
                <w:sz w:val="16"/>
                <w:szCs w:val="16"/>
              </w:rPr>
              <w:t>54</w:t>
            </w:r>
            <w:r w:rsidR="00F1252B" w:rsidRPr="00350D97">
              <w:rPr>
                <w:bCs/>
                <w:sz w:val="16"/>
                <w:szCs w:val="16"/>
              </w:rPr>
              <w:t>;</w:t>
            </w:r>
            <w:r w:rsidR="002844A1" w:rsidRPr="00350D97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bCs/>
                <w:sz w:val="16"/>
                <w:szCs w:val="16"/>
              </w:rPr>
              <w:t xml:space="preserve">Target: </w:t>
            </w:r>
            <w:r w:rsidR="002844A1" w:rsidRPr="00350D97">
              <w:rPr>
                <w:bCs/>
                <w:sz w:val="16"/>
                <w:szCs w:val="16"/>
              </w:rPr>
              <w:t>200</w:t>
            </w:r>
          </w:p>
          <w:p w14:paraId="679852D5" w14:textId="77777777" w:rsidR="0089648F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Source: Ministry of Energy’s annual report</w:t>
            </w:r>
          </w:p>
          <w:p w14:paraId="59AEA159" w14:textId="77777777" w:rsidR="00684AF6" w:rsidRPr="00350D97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350D97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0C9B9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lastRenderedPageBreak/>
              <w:t>Ministries in charge of the environment; and energy</w:t>
            </w:r>
          </w:p>
          <w:p w14:paraId="50F77162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</w:p>
          <w:p w14:paraId="3FC598C4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Municipalities</w:t>
            </w:r>
          </w:p>
          <w:p w14:paraId="1A825AB7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</w:p>
          <w:p w14:paraId="264F67FC" w14:textId="70347456" w:rsidR="00CB1069" w:rsidRDefault="00B66EB6" w:rsidP="00B56629">
            <w:pPr>
              <w:spacing w:line="256" w:lineRule="auto"/>
              <w:rPr>
                <w:sz w:val="16"/>
                <w:szCs w:val="16"/>
              </w:rPr>
            </w:pPr>
            <w:r w:rsidRPr="00B66EB6">
              <w:rPr>
                <w:sz w:val="16"/>
                <w:szCs w:val="16"/>
              </w:rPr>
              <w:lastRenderedPageBreak/>
              <w:t>Bellem Wend Tiiga</w:t>
            </w:r>
            <w:r w:rsidR="00B800AA">
              <w:rPr>
                <w:rStyle w:val="FootnoteReference"/>
                <w:sz w:val="16"/>
                <w:szCs w:val="16"/>
              </w:rPr>
              <w:footnoteReference w:id="16"/>
            </w:r>
            <w:r w:rsidR="000F655A">
              <w:rPr>
                <w:sz w:val="16"/>
                <w:szCs w:val="16"/>
              </w:rPr>
              <w:t xml:space="preserve"> (BELWET)</w:t>
            </w:r>
          </w:p>
          <w:p w14:paraId="1C45AC65" w14:textId="4F54E82B" w:rsidR="00F460B5" w:rsidRPr="00350D97" w:rsidRDefault="00F460B5" w:rsidP="00B5662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Private sector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F351B8" w14:textId="5424EA9D" w:rsidR="00684AF6" w:rsidRPr="00CB1069" w:rsidRDefault="00684AF6" w:rsidP="00A529BC">
            <w:pPr>
              <w:spacing w:line="256" w:lineRule="auto"/>
              <w:rPr>
                <w:b/>
                <w:sz w:val="16"/>
                <w:szCs w:val="16"/>
              </w:rPr>
            </w:pPr>
            <w:r w:rsidRPr="00567CEF">
              <w:rPr>
                <w:b/>
                <w:sz w:val="16"/>
                <w:szCs w:val="16"/>
              </w:rPr>
              <w:lastRenderedPageBreak/>
              <w:t xml:space="preserve">Regular: </w:t>
            </w:r>
            <w:r w:rsidR="00F03A46" w:rsidRPr="00567CEF">
              <w:rPr>
                <w:b/>
                <w:sz w:val="16"/>
                <w:szCs w:val="16"/>
              </w:rPr>
              <w:t>7</w:t>
            </w:r>
            <w:r w:rsidRPr="00567CEF">
              <w:rPr>
                <w:b/>
                <w:sz w:val="16"/>
                <w:szCs w:val="16"/>
              </w:rPr>
              <w:t>,</w:t>
            </w:r>
            <w:r w:rsidR="00F03A46" w:rsidRPr="00567CEF">
              <w:rPr>
                <w:b/>
                <w:sz w:val="16"/>
                <w:szCs w:val="16"/>
              </w:rPr>
              <w:t>279</w:t>
            </w:r>
            <w:r w:rsidR="007A44E1" w:rsidRPr="00567CEF">
              <w:rPr>
                <w:b/>
                <w:sz w:val="16"/>
                <w:szCs w:val="16"/>
              </w:rPr>
              <w:t>,000</w:t>
            </w:r>
          </w:p>
          <w:p w14:paraId="0C92CE13" w14:textId="77777777" w:rsidR="00684AF6" w:rsidRPr="00CB1069" w:rsidRDefault="00684AF6" w:rsidP="00A529BC">
            <w:pPr>
              <w:spacing w:line="256" w:lineRule="auto"/>
              <w:rPr>
                <w:b/>
                <w:sz w:val="16"/>
                <w:szCs w:val="16"/>
              </w:rPr>
            </w:pPr>
          </w:p>
          <w:p w14:paraId="76F8544A" w14:textId="44210B88" w:rsidR="00684AF6" w:rsidRPr="00350D97" w:rsidRDefault="00684AF6">
            <w:pPr>
              <w:spacing w:line="256" w:lineRule="auto"/>
              <w:rPr>
                <w:bCs/>
                <w:color w:val="000000"/>
                <w:sz w:val="16"/>
                <w:szCs w:val="16"/>
              </w:rPr>
            </w:pPr>
            <w:r w:rsidRPr="00CB1069">
              <w:rPr>
                <w:b/>
                <w:sz w:val="16"/>
                <w:szCs w:val="16"/>
              </w:rPr>
              <w:t xml:space="preserve">Other: </w:t>
            </w:r>
            <w:r w:rsidR="00E25E23" w:rsidRPr="00CB1069">
              <w:rPr>
                <w:b/>
                <w:sz w:val="16"/>
                <w:szCs w:val="16"/>
              </w:rPr>
              <w:t>353,018</w:t>
            </w:r>
            <w:r w:rsidR="00624970" w:rsidRPr="00CB1069">
              <w:rPr>
                <w:b/>
                <w:sz w:val="16"/>
                <w:szCs w:val="16"/>
              </w:rPr>
              <w:t>,000</w:t>
            </w:r>
          </w:p>
        </w:tc>
      </w:tr>
      <w:tr w:rsidR="00684AF6" w:rsidRPr="00350D97" w14:paraId="15D7F57E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2929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4A4BD" w14:textId="77777777" w:rsidR="00684AF6" w:rsidRPr="00350D97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0C91D" w14:textId="77777777" w:rsidR="00684AF6" w:rsidRPr="00350D97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05173" w14:textId="34FF4010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t>Output</w:t>
            </w:r>
            <w:r w:rsidR="00300DAF" w:rsidRPr="00074798">
              <w:rPr>
                <w:b/>
                <w:bCs/>
                <w:sz w:val="16"/>
                <w:szCs w:val="16"/>
              </w:rPr>
              <w:t xml:space="preserve"> </w:t>
            </w:r>
            <w:r w:rsidRPr="00074798">
              <w:rPr>
                <w:b/>
                <w:bCs/>
                <w:sz w:val="16"/>
                <w:szCs w:val="16"/>
              </w:rPr>
              <w:t>2.2</w:t>
            </w:r>
            <w:r w:rsidRPr="00350D97">
              <w:rPr>
                <w:bCs/>
                <w:sz w:val="16"/>
                <w:szCs w:val="16"/>
              </w:rPr>
              <w:t xml:space="preserve">: </w:t>
            </w:r>
            <w:r w:rsidRPr="00350D97">
              <w:rPr>
                <w:sz w:val="16"/>
                <w:szCs w:val="16"/>
              </w:rPr>
              <w:t xml:space="preserve">Youth and women have leadership and business skills to create and </w:t>
            </w:r>
            <w:r w:rsidR="00170208" w:rsidRPr="00350D97">
              <w:rPr>
                <w:sz w:val="16"/>
                <w:szCs w:val="16"/>
              </w:rPr>
              <w:t xml:space="preserve">benefit from </w:t>
            </w:r>
            <w:r w:rsidRPr="00350D97">
              <w:rPr>
                <w:sz w:val="16"/>
                <w:szCs w:val="16"/>
              </w:rPr>
              <w:t xml:space="preserve">green and </w:t>
            </w:r>
            <w:r w:rsidR="006514EE">
              <w:rPr>
                <w:sz w:val="16"/>
                <w:szCs w:val="16"/>
              </w:rPr>
              <w:t>information communication technology (</w:t>
            </w:r>
            <w:r w:rsidRPr="00350D97">
              <w:rPr>
                <w:sz w:val="16"/>
                <w:szCs w:val="16"/>
              </w:rPr>
              <w:t>ICT</w:t>
            </w:r>
            <w:r w:rsidR="006514EE">
              <w:rPr>
                <w:sz w:val="16"/>
                <w:szCs w:val="16"/>
              </w:rPr>
              <w:t>)</w:t>
            </w:r>
            <w:r w:rsidR="00170208" w:rsidRPr="00350D97">
              <w:rPr>
                <w:sz w:val="16"/>
                <w:szCs w:val="16"/>
              </w:rPr>
              <w:t xml:space="preserve"> related </w:t>
            </w:r>
            <w:r w:rsidRPr="00350D97">
              <w:rPr>
                <w:sz w:val="16"/>
                <w:szCs w:val="16"/>
              </w:rPr>
              <w:t>job opportunities in targeted areas</w:t>
            </w:r>
          </w:p>
          <w:p w14:paraId="4401829E" w14:textId="77777777" w:rsidR="00684AF6" w:rsidRPr="00350D97" w:rsidRDefault="00684AF6" w:rsidP="008E4109">
            <w:pPr>
              <w:spacing w:line="256" w:lineRule="auto"/>
              <w:rPr>
                <w:b/>
                <w:sz w:val="16"/>
                <w:szCs w:val="16"/>
              </w:rPr>
            </w:pPr>
          </w:p>
          <w:p w14:paraId="08FCB913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b/>
                <w:sz w:val="16"/>
                <w:szCs w:val="16"/>
              </w:rPr>
              <w:t>Indicator</w:t>
            </w:r>
            <w:r w:rsidR="005075C4" w:rsidRPr="00350D97">
              <w:rPr>
                <w:b/>
                <w:sz w:val="16"/>
                <w:szCs w:val="16"/>
              </w:rPr>
              <w:t xml:space="preserve"> </w:t>
            </w:r>
            <w:r w:rsidRPr="00350D97">
              <w:rPr>
                <w:b/>
                <w:sz w:val="16"/>
                <w:szCs w:val="16"/>
              </w:rPr>
              <w:t>2.2.1</w:t>
            </w:r>
            <w:r w:rsidR="005075C4" w:rsidRPr="00350D97">
              <w:rPr>
                <w:b/>
                <w:sz w:val="16"/>
                <w:szCs w:val="16"/>
              </w:rPr>
              <w:t>:</w:t>
            </w:r>
            <w:r w:rsidRPr="00350D97">
              <w:rPr>
                <w:sz w:val="16"/>
                <w:szCs w:val="16"/>
              </w:rPr>
              <w:t xml:space="preserve"> Number of businesses created by youth and women using the ICT and incubators’ platforms in targeted areas</w:t>
            </w:r>
          </w:p>
          <w:p w14:paraId="6254C0ED" w14:textId="77777777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0 Target 700 (W</w:t>
            </w:r>
            <w:r w:rsidR="0089648F">
              <w:rPr>
                <w:bCs/>
                <w:sz w:val="16"/>
                <w:szCs w:val="16"/>
              </w:rPr>
              <w:t>omen</w:t>
            </w:r>
            <w:r w:rsidRPr="00350D97">
              <w:rPr>
                <w:bCs/>
                <w:sz w:val="16"/>
                <w:szCs w:val="16"/>
              </w:rPr>
              <w:t>:</w:t>
            </w:r>
            <w:r w:rsidR="00665A27" w:rsidRPr="00350D97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bCs/>
                <w:sz w:val="16"/>
                <w:szCs w:val="16"/>
              </w:rPr>
              <w:t>200; Y</w:t>
            </w:r>
            <w:r w:rsidR="0089648F">
              <w:rPr>
                <w:bCs/>
                <w:sz w:val="16"/>
                <w:szCs w:val="16"/>
              </w:rPr>
              <w:t>outh</w:t>
            </w:r>
            <w:r w:rsidRPr="00350D97">
              <w:rPr>
                <w:bCs/>
                <w:sz w:val="16"/>
                <w:szCs w:val="16"/>
              </w:rPr>
              <w:t>:</w:t>
            </w:r>
            <w:r w:rsidR="00665A27" w:rsidRPr="00350D97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bCs/>
                <w:sz w:val="16"/>
                <w:szCs w:val="16"/>
              </w:rPr>
              <w:t>500)</w:t>
            </w:r>
          </w:p>
          <w:p w14:paraId="687A38AF" w14:textId="77777777" w:rsidR="0089648F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 xml:space="preserve">Source: Project report </w:t>
            </w:r>
          </w:p>
          <w:p w14:paraId="33DD83B1" w14:textId="77777777" w:rsidR="00684AF6" w:rsidRPr="00350D97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350D97">
              <w:rPr>
                <w:color w:val="000000"/>
                <w:sz w:val="16"/>
                <w:szCs w:val="16"/>
              </w:rPr>
              <w:t>Frequency: Annual</w:t>
            </w:r>
          </w:p>
          <w:p w14:paraId="5411E947" w14:textId="77777777" w:rsidR="00684AF6" w:rsidRPr="00350D97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4E2F29AD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b/>
                <w:sz w:val="16"/>
                <w:szCs w:val="16"/>
              </w:rPr>
              <w:t>Indicator</w:t>
            </w:r>
            <w:r w:rsidR="00B56629" w:rsidRPr="00350D97">
              <w:rPr>
                <w:b/>
                <w:sz w:val="16"/>
                <w:szCs w:val="16"/>
              </w:rPr>
              <w:t xml:space="preserve"> </w:t>
            </w:r>
            <w:r w:rsidRPr="00350D97">
              <w:rPr>
                <w:b/>
                <w:sz w:val="16"/>
                <w:szCs w:val="16"/>
              </w:rPr>
              <w:t>2.2.2</w:t>
            </w:r>
            <w:r w:rsidR="00B56629" w:rsidRPr="00350D97">
              <w:rPr>
                <w:b/>
                <w:sz w:val="16"/>
                <w:szCs w:val="16"/>
              </w:rPr>
              <w:t>:</w:t>
            </w:r>
            <w:r w:rsidRPr="00350D97">
              <w:rPr>
                <w:sz w:val="16"/>
                <w:szCs w:val="16"/>
              </w:rPr>
              <w:t xml:space="preserve"> Number of </w:t>
            </w:r>
            <w:r w:rsidR="001E6FE6" w:rsidRPr="00350D97">
              <w:rPr>
                <w:sz w:val="16"/>
                <w:szCs w:val="16"/>
              </w:rPr>
              <w:t>y</w:t>
            </w:r>
            <w:r w:rsidRPr="00350D97">
              <w:rPr>
                <w:sz w:val="16"/>
                <w:szCs w:val="16"/>
              </w:rPr>
              <w:t xml:space="preserve">outh and women with leadership and business skills to create and </w:t>
            </w:r>
            <w:r w:rsidR="00170208" w:rsidRPr="00350D97">
              <w:rPr>
                <w:sz w:val="16"/>
                <w:szCs w:val="16"/>
              </w:rPr>
              <w:t xml:space="preserve">benefit from </w:t>
            </w:r>
            <w:r w:rsidRPr="00350D97">
              <w:rPr>
                <w:sz w:val="16"/>
                <w:szCs w:val="16"/>
              </w:rPr>
              <w:t>green job opportunities in targeted areas</w:t>
            </w:r>
          </w:p>
          <w:p w14:paraId="025EA65F" w14:textId="410D1E1A" w:rsidR="00684AF6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0 Target 700 (W</w:t>
            </w:r>
            <w:r w:rsidR="0089648F">
              <w:rPr>
                <w:bCs/>
                <w:sz w:val="16"/>
                <w:szCs w:val="16"/>
              </w:rPr>
              <w:t>omen</w:t>
            </w:r>
            <w:r w:rsidRPr="00350D97">
              <w:rPr>
                <w:bCs/>
                <w:sz w:val="16"/>
                <w:szCs w:val="16"/>
              </w:rPr>
              <w:t>:</w:t>
            </w:r>
            <w:r w:rsidR="0089648F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bCs/>
                <w:sz w:val="16"/>
                <w:szCs w:val="16"/>
              </w:rPr>
              <w:t>200; Y</w:t>
            </w:r>
            <w:r w:rsidR="0089648F">
              <w:rPr>
                <w:bCs/>
                <w:sz w:val="16"/>
                <w:szCs w:val="16"/>
              </w:rPr>
              <w:t>outh</w:t>
            </w:r>
            <w:r w:rsidRPr="00350D97">
              <w:rPr>
                <w:bCs/>
                <w:sz w:val="16"/>
                <w:szCs w:val="16"/>
              </w:rPr>
              <w:t>:</w:t>
            </w:r>
            <w:r w:rsidR="0056625C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bCs/>
                <w:sz w:val="16"/>
                <w:szCs w:val="16"/>
              </w:rPr>
              <w:t>500)</w:t>
            </w:r>
          </w:p>
          <w:p w14:paraId="042139CC" w14:textId="77777777" w:rsidR="0089648F" w:rsidRDefault="00684AF6" w:rsidP="008E4109">
            <w:pPr>
              <w:rPr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 xml:space="preserve">Source: </w:t>
            </w:r>
            <w:r w:rsidRPr="00350D97">
              <w:rPr>
                <w:color w:val="000000"/>
                <w:sz w:val="16"/>
                <w:szCs w:val="16"/>
              </w:rPr>
              <w:t>Annual report of MEEVCC</w:t>
            </w:r>
          </w:p>
          <w:p w14:paraId="09B2EBD5" w14:textId="77777777" w:rsidR="00684AF6" w:rsidRPr="00350D97" w:rsidRDefault="0089648F" w:rsidP="008E4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Frequency: </w:t>
            </w:r>
            <w:r w:rsidR="00684AF6" w:rsidRPr="00350D97">
              <w:rPr>
                <w:color w:val="000000"/>
                <w:sz w:val="16"/>
                <w:szCs w:val="16"/>
              </w:rPr>
              <w:t>Annual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DEEA3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Ministries in charge of the economy;</w:t>
            </w:r>
            <w:r w:rsidRPr="00350D97">
              <w:rPr>
                <w:sz w:val="16"/>
                <w:szCs w:val="16"/>
              </w:rPr>
              <w:br/>
              <w:t>the environment; and energy</w:t>
            </w:r>
          </w:p>
          <w:p w14:paraId="2188AA80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1301C7CB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Municipalities</w:t>
            </w:r>
          </w:p>
          <w:p w14:paraId="465A81AD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192D95E7" w14:textId="6EA16784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BELWET</w:t>
            </w:r>
          </w:p>
          <w:p w14:paraId="04DC8069" w14:textId="77777777" w:rsidR="00F460B5" w:rsidRPr="00350D97" w:rsidRDefault="00F460B5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1A36E62F" w14:textId="77777777" w:rsidR="00F460B5" w:rsidRPr="00350D97" w:rsidRDefault="00F460B5" w:rsidP="00665A27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Private sector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948BA" w14:textId="77777777" w:rsidR="00684AF6" w:rsidRPr="00350D97" w:rsidRDefault="00684AF6" w:rsidP="008E4109">
            <w:pPr>
              <w:spacing w:line="256" w:lineRule="auto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AF6" w:rsidRPr="00350D97" w14:paraId="07E2AC4C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1A829" w14:textId="77777777" w:rsidR="00684AF6" w:rsidRPr="00350D97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E804" w14:textId="77777777" w:rsidR="00684AF6" w:rsidRPr="00350D97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EDA0FF" w14:textId="77777777" w:rsidR="00684AF6" w:rsidRPr="00350D97" w:rsidRDefault="00684AF6" w:rsidP="008E4109">
            <w:pPr>
              <w:jc w:val="both"/>
              <w:rPr>
                <w:iCs/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t>Output</w:t>
            </w:r>
            <w:r w:rsidR="00665A27" w:rsidRPr="00074798">
              <w:rPr>
                <w:b/>
                <w:bCs/>
                <w:sz w:val="16"/>
                <w:szCs w:val="16"/>
              </w:rPr>
              <w:t xml:space="preserve"> </w:t>
            </w:r>
            <w:r w:rsidRPr="00074798">
              <w:rPr>
                <w:b/>
                <w:bCs/>
                <w:sz w:val="16"/>
                <w:szCs w:val="16"/>
              </w:rPr>
              <w:t>2.3</w:t>
            </w:r>
            <w:r w:rsidRPr="00764B74">
              <w:rPr>
                <w:bCs/>
                <w:sz w:val="16"/>
                <w:szCs w:val="16"/>
              </w:rPr>
              <w:t>:</w:t>
            </w:r>
            <w:r w:rsidRPr="00350D97">
              <w:rPr>
                <w:i/>
                <w:iCs/>
                <w:sz w:val="16"/>
                <w:szCs w:val="16"/>
              </w:rPr>
              <w:t xml:space="preserve"> </w:t>
            </w:r>
            <w:r w:rsidRPr="00350D97">
              <w:rPr>
                <w:iCs/>
                <w:sz w:val="16"/>
                <w:szCs w:val="16"/>
              </w:rPr>
              <w:t xml:space="preserve">Central and local institutions, communities and CSOs in target areas with technical </w:t>
            </w:r>
            <w:r w:rsidR="00170208" w:rsidRPr="00350D97">
              <w:rPr>
                <w:iCs/>
                <w:sz w:val="16"/>
                <w:szCs w:val="16"/>
              </w:rPr>
              <w:t xml:space="preserve">knowledge to adapt new practices </w:t>
            </w:r>
            <w:r w:rsidRPr="00350D97">
              <w:rPr>
                <w:iCs/>
                <w:sz w:val="16"/>
                <w:szCs w:val="16"/>
              </w:rPr>
              <w:t>and capacities to integrate management of sustainable natural resou</w:t>
            </w:r>
            <w:r w:rsidR="00665A27" w:rsidRPr="00350D97">
              <w:rPr>
                <w:iCs/>
                <w:sz w:val="16"/>
                <w:szCs w:val="16"/>
              </w:rPr>
              <w:t>rces in their development plans</w:t>
            </w:r>
          </w:p>
          <w:p w14:paraId="7B460B4F" w14:textId="77777777" w:rsidR="00684AF6" w:rsidRPr="00350D97" w:rsidRDefault="00684AF6" w:rsidP="008E4109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92CCA23" w14:textId="77777777" w:rsidR="00684AF6" w:rsidRPr="00350D97" w:rsidRDefault="00B56629" w:rsidP="008E4109">
            <w:pPr>
              <w:jc w:val="both"/>
              <w:rPr>
                <w:bCs/>
                <w:sz w:val="16"/>
                <w:szCs w:val="16"/>
              </w:rPr>
            </w:pPr>
            <w:r w:rsidRPr="00350D97">
              <w:rPr>
                <w:b/>
                <w:sz w:val="16"/>
                <w:szCs w:val="16"/>
              </w:rPr>
              <w:t xml:space="preserve">Indicator </w:t>
            </w:r>
            <w:r w:rsidR="00684AF6" w:rsidRPr="00350D97">
              <w:rPr>
                <w:b/>
                <w:sz w:val="16"/>
                <w:szCs w:val="16"/>
              </w:rPr>
              <w:t>2.3</w:t>
            </w:r>
            <w:r w:rsidRPr="00350D97">
              <w:rPr>
                <w:b/>
                <w:sz w:val="16"/>
                <w:szCs w:val="16"/>
              </w:rPr>
              <w:t xml:space="preserve">: </w:t>
            </w:r>
            <w:r w:rsidR="00684AF6" w:rsidRPr="00350D97">
              <w:rPr>
                <w:bCs/>
                <w:sz w:val="16"/>
                <w:szCs w:val="16"/>
              </w:rPr>
              <w:t>Number of targeted municipalities and regions with development plans mainstreaming sustainable natural resource management</w:t>
            </w:r>
            <w:r w:rsidR="00170208" w:rsidRPr="00350D97">
              <w:rPr>
                <w:bCs/>
                <w:sz w:val="16"/>
                <w:szCs w:val="16"/>
              </w:rPr>
              <w:t xml:space="preserve"> and practices being applied.</w:t>
            </w:r>
          </w:p>
          <w:p w14:paraId="5653850B" w14:textId="77777777" w:rsidR="00684AF6" w:rsidRPr="00350D97" w:rsidRDefault="00684AF6" w:rsidP="008E4109">
            <w:pPr>
              <w:pStyle w:val="NoSpacing"/>
              <w:spacing w:line="256" w:lineRule="auto"/>
              <w:jc w:val="both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0.   Target: 12 (3 Regional; 9 communal)</w:t>
            </w:r>
          </w:p>
          <w:p w14:paraId="5D23D927" w14:textId="77777777" w:rsidR="0089648F" w:rsidRDefault="00684AF6" w:rsidP="008E4109">
            <w:pPr>
              <w:jc w:val="both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Source: DGEP’s annual report</w:t>
            </w:r>
          </w:p>
          <w:p w14:paraId="434E850F" w14:textId="42C43AFF" w:rsidR="00684AF6" w:rsidRPr="00350D97" w:rsidRDefault="00684AF6" w:rsidP="008E4109">
            <w:pPr>
              <w:jc w:val="both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Frequency: Annual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6CC3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Ministries in charge of decentralization;</w:t>
            </w:r>
            <w:r w:rsidRPr="00350D97">
              <w:rPr>
                <w:sz w:val="16"/>
                <w:szCs w:val="16"/>
              </w:rPr>
              <w:br/>
              <w:t>Environment; and energy</w:t>
            </w:r>
          </w:p>
          <w:p w14:paraId="3980464A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0915495F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Municipalities</w:t>
            </w:r>
          </w:p>
          <w:p w14:paraId="10AC75BD" w14:textId="77777777" w:rsidR="00684AF6" w:rsidRPr="00350D97" w:rsidRDefault="00684AF6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432D9E4A" w14:textId="77777777" w:rsidR="003150D5" w:rsidRPr="00350D97" w:rsidRDefault="003150D5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481E536D" w14:textId="77777777" w:rsidR="003150D5" w:rsidRPr="00350D97" w:rsidRDefault="003150D5" w:rsidP="00665A27">
            <w:pPr>
              <w:spacing w:line="256" w:lineRule="auto"/>
              <w:rPr>
                <w:sz w:val="16"/>
                <w:szCs w:val="16"/>
              </w:rPr>
            </w:pPr>
          </w:p>
          <w:p w14:paraId="4E734E92" w14:textId="77777777" w:rsidR="00684AF6" w:rsidRPr="00350D97" w:rsidRDefault="00684AF6" w:rsidP="00665A27">
            <w:pPr>
              <w:spacing w:line="256" w:lineRule="auto"/>
              <w:rPr>
                <w:b/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BELWET</w:t>
            </w: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A05F0" w14:textId="77777777" w:rsidR="00684AF6" w:rsidRPr="00350D97" w:rsidRDefault="00684AF6" w:rsidP="008E4109">
            <w:pPr>
              <w:spacing w:line="256" w:lineRule="auto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AF6" w:rsidRPr="00350D97" w14:paraId="14C09C57" w14:textId="77777777" w:rsidTr="00AE34E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863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88680" w14:textId="77777777" w:rsidR="00684AF6" w:rsidRPr="00350D97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C9A64" w14:textId="77777777" w:rsidR="00684AF6" w:rsidRPr="00350D97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BC984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t>Output</w:t>
            </w:r>
            <w:r w:rsidR="00934D74" w:rsidRPr="00074798">
              <w:rPr>
                <w:b/>
                <w:bCs/>
                <w:sz w:val="16"/>
                <w:szCs w:val="16"/>
              </w:rPr>
              <w:t xml:space="preserve"> </w:t>
            </w:r>
            <w:r w:rsidRPr="00074798">
              <w:rPr>
                <w:b/>
                <w:bCs/>
                <w:sz w:val="16"/>
                <w:szCs w:val="16"/>
              </w:rPr>
              <w:t>2.4</w:t>
            </w:r>
            <w:r w:rsidRPr="00764B74">
              <w:rPr>
                <w:bCs/>
                <w:sz w:val="16"/>
                <w:szCs w:val="16"/>
              </w:rPr>
              <w:t>:</w:t>
            </w:r>
            <w:r w:rsidRPr="00350D97">
              <w:rPr>
                <w:bCs/>
                <w:sz w:val="16"/>
                <w:szCs w:val="16"/>
              </w:rPr>
              <w:t xml:space="preserve"> </w:t>
            </w:r>
            <w:r w:rsidRPr="00350D97">
              <w:rPr>
                <w:sz w:val="16"/>
                <w:szCs w:val="16"/>
              </w:rPr>
              <w:t>Local communities in the Sahel, Mouhoun, Central North, Central-South and Central West enabled to apply sustainable and climate-</w:t>
            </w:r>
            <w:r w:rsidR="0089715B" w:rsidRPr="00350D97">
              <w:rPr>
                <w:sz w:val="16"/>
                <w:szCs w:val="16"/>
              </w:rPr>
              <w:t>adapted</w:t>
            </w:r>
            <w:r w:rsidRPr="00350D97">
              <w:rPr>
                <w:sz w:val="16"/>
                <w:szCs w:val="16"/>
              </w:rPr>
              <w:t xml:space="preserve"> agricultural techniques</w:t>
            </w:r>
          </w:p>
          <w:p w14:paraId="37FEA8F7" w14:textId="77777777" w:rsidR="00AF5272" w:rsidRPr="00350D97" w:rsidRDefault="00AF5272" w:rsidP="008E4109">
            <w:pPr>
              <w:spacing w:line="256" w:lineRule="auto"/>
              <w:rPr>
                <w:sz w:val="16"/>
                <w:szCs w:val="16"/>
              </w:rPr>
            </w:pPr>
          </w:p>
          <w:p w14:paraId="3FA4E7AB" w14:textId="77777777" w:rsidR="00684AF6" w:rsidRPr="00350D97" w:rsidRDefault="00AF5272" w:rsidP="008E4109">
            <w:pPr>
              <w:spacing w:line="256" w:lineRule="auto"/>
              <w:rPr>
                <w:b/>
                <w:bCs/>
                <w:sz w:val="16"/>
                <w:szCs w:val="16"/>
                <w:u w:val="single"/>
              </w:rPr>
            </w:pPr>
            <w:r w:rsidRPr="00350D97">
              <w:rPr>
                <w:b/>
                <w:sz w:val="16"/>
                <w:szCs w:val="16"/>
              </w:rPr>
              <w:t xml:space="preserve">Indicator </w:t>
            </w:r>
            <w:r w:rsidR="00684AF6" w:rsidRPr="00350D97">
              <w:rPr>
                <w:b/>
                <w:sz w:val="16"/>
                <w:szCs w:val="16"/>
              </w:rPr>
              <w:t>2.4</w:t>
            </w:r>
            <w:r w:rsidR="00684AF6" w:rsidRPr="00350D97">
              <w:rPr>
                <w:sz w:val="16"/>
                <w:szCs w:val="16"/>
              </w:rPr>
              <w:t>: Proportion of local communities demonstrating knowledge of sustainable and climate-</w:t>
            </w:r>
            <w:r w:rsidR="00846B7C" w:rsidRPr="00350D97">
              <w:rPr>
                <w:sz w:val="16"/>
                <w:szCs w:val="16"/>
              </w:rPr>
              <w:t>adapted</w:t>
            </w:r>
            <w:r w:rsidR="00684AF6" w:rsidRPr="00350D97">
              <w:rPr>
                <w:sz w:val="16"/>
                <w:szCs w:val="16"/>
              </w:rPr>
              <w:t xml:space="preserve"> agricultural techniques </w:t>
            </w:r>
          </w:p>
          <w:p w14:paraId="34586017" w14:textId="77777777" w:rsidR="00AF5272" w:rsidRPr="00350D97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t>Baseline: 25% Target: 50%</w:t>
            </w:r>
          </w:p>
          <w:p w14:paraId="3D6B2B72" w14:textId="77777777" w:rsidR="0089648F" w:rsidRDefault="00684AF6" w:rsidP="00AF5272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bCs/>
                <w:sz w:val="16"/>
                <w:szCs w:val="16"/>
              </w:rPr>
              <w:lastRenderedPageBreak/>
              <w:t xml:space="preserve">Source:  </w:t>
            </w:r>
            <w:r w:rsidRPr="00350D97">
              <w:rPr>
                <w:sz w:val="16"/>
                <w:szCs w:val="16"/>
              </w:rPr>
              <w:t>Permanent Secretariat of the National Council for Sustainable Development</w:t>
            </w:r>
            <w:r w:rsidRPr="00350D97">
              <w:rPr>
                <w:bCs/>
                <w:sz w:val="16"/>
                <w:szCs w:val="16"/>
              </w:rPr>
              <w:t>’s annual report</w:t>
            </w:r>
          </w:p>
          <w:p w14:paraId="536E8D21" w14:textId="7D181343" w:rsidR="005208B3" w:rsidRPr="00350D97" w:rsidRDefault="00684AF6" w:rsidP="00AF5272">
            <w:pPr>
              <w:spacing w:line="256" w:lineRule="auto"/>
              <w:rPr>
                <w:bCs/>
                <w:sz w:val="16"/>
                <w:szCs w:val="16"/>
              </w:rPr>
            </w:pPr>
            <w:r w:rsidRPr="00350D97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0739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lastRenderedPageBreak/>
              <w:t>Ministries in charge of the economy</w:t>
            </w:r>
            <w:r w:rsidR="0089648F">
              <w:rPr>
                <w:sz w:val="16"/>
                <w:szCs w:val="16"/>
              </w:rPr>
              <w:t xml:space="preserve"> and e</w:t>
            </w:r>
            <w:r w:rsidRPr="00350D97">
              <w:rPr>
                <w:sz w:val="16"/>
                <w:szCs w:val="16"/>
              </w:rPr>
              <w:t>nvironment</w:t>
            </w:r>
            <w:r w:rsidRPr="00350D97">
              <w:rPr>
                <w:sz w:val="16"/>
                <w:szCs w:val="16"/>
              </w:rPr>
              <w:br/>
            </w:r>
            <w:r w:rsidRPr="00350D97">
              <w:rPr>
                <w:sz w:val="16"/>
                <w:szCs w:val="16"/>
              </w:rPr>
              <w:br/>
            </w:r>
            <w:r w:rsidR="0089648F">
              <w:rPr>
                <w:sz w:val="16"/>
                <w:szCs w:val="16"/>
              </w:rPr>
              <w:t>Ministries of e</w:t>
            </w:r>
            <w:r w:rsidRPr="00350D97">
              <w:rPr>
                <w:sz w:val="16"/>
                <w:szCs w:val="16"/>
              </w:rPr>
              <w:t>nergy</w:t>
            </w:r>
            <w:r w:rsidR="0089648F">
              <w:rPr>
                <w:sz w:val="16"/>
                <w:szCs w:val="16"/>
              </w:rPr>
              <w:t xml:space="preserve"> and a</w:t>
            </w:r>
            <w:r w:rsidRPr="00350D97">
              <w:rPr>
                <w:sz w:val="16"/>
                <w:szCs w:val="16"/>
              </w:rPr>
              <w:t>griculture</w:t>
            </w:r>
          </w:p>
          <w:p w14:paraId="6807068C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</w:p>
          <w:p w14:paraId="709317D3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lastRenderedPageBreak/>
              <w:t>GEF</w:t>
            </w:r>
          </w:p>
          <w:p w14:paraId="5605FA3A" w14:textId="77777777" w:rsidR="00684AF6" w:rsidRPr="00350D97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350D97">
              <w:rPr>
                <w:sz w:val="16"/>
                <w:szCs w:val="16"/>
              </w:rPr>
              <w:t>Green Climate fund</w:t>
            </w:r>
          </w:p>
          <w:p w14:paraId="3E5D7796" w14:textId="77777777" w:rsidR="00684AF6" w:rsidRPr="00350D97" w:rsidRDefault="0089648F" w:rsidP="008E4109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Government of </w:t>
            </w:r>
            <w:r w:rsidR="00684AF6" w:rsidRPr="00350D97">
              <w:rPr>
                <w:sz w:val="16"/>
                <w:szCs w:val="16"/>
              </w:rPr>
              <w:t xml:space="preserve">Austria </w:t>
            </w:r>
          </w:p>
          <w:p w14:paraId="22C17A47" w14:textId="77777777" w:rsidR="00684AF6" w:rsidRPr="00350D97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CC5E3" w14:textId="77777777" w:rsidR="00684AF6" w:rsidRPr="00350D97" w:rsidRDefault="00684AF6" w:rsidP="008E4109">
            <w:pPr>
              <w:spacing w:line="256" w:lineRule="auto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84AF6" w:rsidRPr="00FB155C" w14:paraId="27991F68" w14:textId="77777777" w:rsidTr="00AE3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A6749" w14:textId="77777777" w:rsidR="00684AF6" w:rsidRPr="00DA0FDC" w:rsidRDefault="00684AF6" w:rsidP="008E4109">
            <w:pPr>
              <w:spacing w:line="25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DA0FDC">
              <w:rPr>
                <w:b/>
                <w:bCs/>
                <w:color w:val="000000" w:themeColor="text1"/>
                <w:sz w:val="16"/>
                <w:szCs w:val="16"/>
              </w:rPr>
              <w:t>NATIONAL PRIORITY OR GOAL:</w:t>
            </w:r>
            <w:r w:rsidRPr="00DA0F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E02F4" w:rsidRPr="00DA0FDC">
              <w:rPr>
                <w:b/>
                <w:color w:val="000000" w:themeColor="text1"/>
                <w:sz w:val="16"/>
                <w:szCs w:val="16"/>
              </w:rPr>
              <w:t>Revitalize Productive Sector and Stimulate Employment Creation</w:t>
            </w:r>
          </w:p>
        </w:tc>
      </w:tr>
      <w:tr w:rsidR="00684AF6" w:rsidRPr="00FB155C" w14:paraId="6E912C24" w14:textId="77777777" w:rsidTr="00AE3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6A1FD" w14:textId="77777777" w:rsidR="00684AF6" w:rsidRPr="00DA0FDC" w:rsidRDefault="00684AF6" w:rsidP="008E4109">
            <w:pPr>
              <w:spacing w:line="25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DA0FDC">
              <w:rPr>
                <w:b/>
                <w:bCs/>
                <w:color w:val="000000" w:themeColor="text1"/>
                <w:sz w:val="16"/>
                <w:szCs w:val="16"/>
              </w:rPr>
              <w:t>UNDAF OUTCOME INVOLVING UNDP: Outcome 4.</w:t>
            </w:r>
            <w:r w:rsidR="006E02F4" w:rsidRPr="00DA0FDC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DA0FD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A0FDC">
              <w:rPr>
                <w:b/>
                <w:color w:val="000000" w:themeColor="text1"/>
                <w:sz w:val="16"/>
                <w:szCs w:val="16"/>
              </w:rPr>
              <w:t>By 2020, populations, especially vulnerable groups, in target areas are more resilient to climatic and environmental shocks</w:t>
            </w:r>
          </w:p>
        </w:tc>
      </w:tr>
      <w:tr w:rsidR="00684AF6" w:rsidRPr="00FB155C" w14:paraId="7C4A63C3" w14:textId="77777777" w:rsidTr="00AE34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75AFC" w14:textId="77777777" w:rsidR="00684AF6" w:rsidRPr="00DA0FDC" w:rsidRDefault="00684AF6" w:rsidP="008E4109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A0FDC">
              <w:rPr>
                <w:b/>
                <w:bCs/>
                <w:color w:val="000000" w:themeColor="text1"/>
                <w:sz w:val="16"/>
                <w:szCs w:val="16"/>
              </w:rPr>
              <w:t xml:space="preserve">RELATED STRATEGIC PLAN OUTCOME: </w:t>
            </w:r>
            <w:r w:rsidR="00665A67" w:rsidRPr="00DA0FDC">
              <w:rPr>
                <w:b/>
                <w:color w:val="000000" w:themeColor="text1"/>
                <w:sz w:val="16"/>
                <w:szCs w:val="16"/>
              </w:rPr>
              <w:t>Countries are able to reduce the likelihood of conflict and lower the risk of natural disasters, including from climate change</w:t>
            </w:r>
          </w:p>
        </w:tc>
      </w:tr>
      <w:tr w:rsidR="00684AF6" w:rsidRPr="00FB155C" w14:paraId="388A060A" w14:textId="77777777" w:rsidTr="00AE34E0">
        <w:tblPrEx>
          <w:tblCellMar>
            <w:top w:w="0" w:type="dxa"/>
            <w:bottom w:w="0" w:type="dxa"/>
          </w:tblCellMar>
        </w:tblPrEx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E23776" w14:textId="77777777" w:rsidR="00684AF6" w:rsidRPr="00DA0FDC" w:rsidRDefault="00684AF6" w:rsidP="00A529BC">
            <w:pPr>
              <w:spacing w:line="256" w:lineRule="auto"/>
              <w:rPr>
                <w:sz w:val="16"/>
                <w:szCs w:val="16"/>
              </w:rPr>
            </w:pPr>
            <w:r w:rsidRPr="00DA0FDC">
              <w:rPr>
                <w:sz w:val="16"/>
                <w:szCs w:val="16"/>
              </w:rPr>
              <w:t>Number of persons vulnerable to climatic, environmental shocks</w:t>
            </w:r>
          </w:p>
          <w:p w14:paraId="1D767B04" w14:textId="77777777" w:rsidR="00684AF6" w:rsidRPr="00DA0FDC" w:rsidRDefault="00684AF6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Baseline: 1,053,000 (2016) Target: 400,000 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176D" w14:textId="77777777" w:rsidR="00684AF6" w:rsidRPr="00DA0FDC" w:rsidRDefault="00684AF6" w:rsidP="00A529BC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DA0FDC">
              <w:rPr>
                <w:sz w:val="16"/>
                <w:szCs w:val="16"/>
              </w:rPr>
              <w:t xml:space="preserve">National Council of Emergency Relief and Rehabilitation ‘s Annual Report </w:t>
            </w:r>
          </w:p>
          <w:p w14:paraId="4C419BAB" w14:textId="27A27EB2" w:rsidR="00684AF6" w:rsidRPr="00DA0FDC" w:rsidRDefault="00684AF6" w:rsidP="00A529BC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DA0FDC">
              <w:rPr>
                <w:color w:val="000000"/>
                <w:sz w:val="16"/>
                <w:szCs w:val="16"/>
              </w:rPr>
              <w:t xml:space="preserve">Responsibility: </w:t>
            </w:r>
            <w:r w:rsidR="00210835" w:rsidRPr="00DA0FDC">
              <w:rPr>
                <w:sz w:val="16"/>
                <w:szCs w:val="16"/>
              </w:rPr>
              <w:t xml:space="preserve">National Council </w:t>
            </w:r>
            <w:r w:rsidR="00F03A46">
              <w:rPr>
                <w:sz w:val="16"/>
                <w:szCs w:val="16"/>
              </w:rPr>
              <w:t>for</w:t>
            </w:r>
            <w:r w:rsidR="00210835" w:rsidRPr="00DA0FDC">
              <w:rPr>
                <w:sz w:val="16"/>
                <w:szCs w:val="16"/>
              </w:rPr>
              <w:t xml:space="preserve"> Emergency Relief and Rehabilitation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DDE9E" w14:textId="77777777" w:rsidR="00684AF6" w:rsidRPr="00DA0FDC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t>Output</w:t>
            </w:r>
            <w:r w:rsidR="00665A27" w:rsidRPr="00074798">
              <w:rPr>
                <w:b/>
                <w:bCs/>
                <w:sz w:val="16"/>
                <w:szCs w:val="16"/>
              </w:rPr>
              <w:t xml:space="preserve"> </w:t>
            </w:r>
            <w:r w:rsidRPr="00074798">
              <w:rPr>
                <w:b/>
                <w:bCs/>
                <w:sz w:val="16"/>
                <w:szCs w:val="16"/>
              </w:rPr>
              <w:t>3.1</w:t>
            </w:r>
            <w:r w:rsidRPr="00764B74">
              <w:rPr>
                <w:bCs/>
                <w:sz w:val="16"/>
                <w:szCs w:val="16"/>
              </w:rPr>
              <w:t>:</w:t>
            </w:r>
            <w:r w:rsidRPr="00DA0FDC">
              <w:rPr>
                <w:bCs/>
                <w:sz w:val="16"/>
                <w:szCs w:val="16"/>
              </w:rPr>
              <w:t xml:space="preserve"> National and local institutions have a gender sensitive risk management/governance system in place focusing on disaster prevention, prepared</w:t>
            </w:r>
            <w:r w:rsidR="00665A27" w:rsidRPr="00DA0FDC">
              <w:rPr>
                <w:bCs/>
                <w:sz w:val="16"/>
                <w:szCs w:val="16"/>
              </w:rPr>
              <w:t>ness interventions and recovery</w:t>
            </w:r>
          </w:p>
          <w:p w14:paraId="255211AA" w14:textId="77777777" w:rsidR="00684AF6" w:rsidRPr="00DA0FDC" w:rsidRDefault="00684AF6" w:rsidP="008E4109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  <w:p w14:paraId="587C7E6C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/>
                <w:bCs/>
                <w:sz w:val="16"/>
                <w:szCs w:val="16"/>
              </w:rPr>
              <w:t>Indicator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 </w:t>
            </w:r>
            <w:r w:rsidRPr="00DA0FDC">
              <w:rPr>
                <w:b/>
                <w:bCs/>
                <w:sz w:val="16"/>
                <w:szCs w:val="16"/>
              </w:rPr>
              <w:t>3.1.1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: </w:t>
            </w:r>
            <w:r w:rsidRPr="00DA0FDC">
              <w:rPr>
                <w:sz w:val="16"/>
                <w:szCs w:val="16"/>
              </w:rPr>
              <w:t xml:space="preserve">Number of </w:t>
            </w:r>
            <w:r w:rsidRPr="00DA0FDC">
              <w:rPr>
                <w:bCs/>
                <w:sz w:val="16"/>
                <w:szCs w:val="16"/>
              </w:rPr>
              <w:t>national and local institutions with a gender sensitive risk management/governance system for disaster prevention, preparedness, response and recovery.</w:t>
            </w:r>
          </w:p>
          <w:p w14:paraId="3B0AE301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>Baseline: 8 Target: 12</w:t>
            </w:r>
          </w:p>
          <w:p w14:paraId="2BB37B2D" w14:textId="7BC30AE2" w:rsidR="0089648F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Source: </w:t>
            </w:r>
            <w:r w:rsidR="00CB1069">
              <w:rPr>
                <w:sz w:val="16"/>
                <w:szCs w:val="16"/>
              </w:rPr>
              <w:t>(SP/</w:t>
            </w:r>
            <w:r w:rsidRPr="00DA0FDC">
              <w:rPr>
                <w:sz w:val="16"/>
                <w:szCs w:val="16"/>
              </w:rPr>
              <w:t>CONASUR</w:t>
            </w:r>
            <w:r w:rsidRPr="00DA0FDC">
              <w:rPr>
                <w:bCs/>
                <w:sz w:val="16"/>
                <w:szCs w:val="16"/>
              </w:rPr>
              <w:t>) annual report</w:t>
            </w:r>
          </w:p>
          <w:p w14:paraId="1F8930B6" w14:textId="77777777" w:rsidR="00684AF6" w:rsidRPr="00DA0FDC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DA0FDC">
              <w:rPr>
                <w:color w:val="000000"/>
                <w:sz w:val="16"/>
                <w:szCs w:val="16"/>
              </w:rPr>
              <w:t>Frequency: Annual</w:t>
            </w:r>
          </w:p>
          <w:p w14:paraId="6D1E74E8" w14:textId="77777777" w:rsidR="00AF5272" w:rsidRPr="00DA0FDC" w:rsidRDefault="00AF5272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14:paraId="4477CA5D" w14:textId="77777777" w:rsidR="00684AF6" w:rsidRPr="00DA0FDC" w:rsidRDefault="00684AF6" w:rsidP="008E4109">
            <w:pPr>
              <w:spacing w:line="256" w:lineRule="auto"/>
              <w:rPr>
                <w:sz w:val="16"/>
                <w:szCs w:val="16"/>
                <w:lang w:val="en"/>
              </w:rPr>
            </w:pPr>
            <w:r w:rsidRPr="00DA0FDC">
              <w:rPr>
                <w:b/>
                <w:bCs/>
                <w:sz w:val="16"/>
                <w:szCs w:val="16"/>
              </w:rPr>
              <w:t>Indicator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 </w:t>
            </w:r>
            <w:r w:rsidRPr="00DA0FDC">
              <w:rPr>
                <w:b/>
                <w:bCs/>
                <w:sz w:val="16"/>
                <w:szCs w:val="16"/>
              </w:rPr>
              <w:t>3.1.2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: </w:t>
            </w:r>
            <w:r w:rsidRPr="00DA0FDC">
              <w:rPr>
                <w:sz w:val="16"/>
                <w:szCs w:val="16"/>
                <w:lang w:val="en"/>
              </w:rPr>
              <w:t>Proportion of indicators related to disaster victims or persons at risk of disasters disaggregated by sex</w:t>
            </w:r>
          </w:p>
          <w:p w14:paraId="429B22C8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>Baseline: 40% Target: 70%</w:t>
            </w:r>
          </w:p>
          <w:p w14:paraId="54923A0E" w14:textId="11ABF5AC" w:rsidR="00684AF6" w:rsidRPr="00DA0FDC" w:rsidRDefault="00684AF6" w:rsidP="008E4109">
            <w:pPr>
              <w:spacing w:line="256" w:lineRule="auto"/>
              <w:rPr>
                <w:color w:val="000000"/>
                <w:sz w:val="16"/>
                <w:szCs w:val="16"/>
                <w:lang w:val="en"/>
              </w:rPr>
            </w:pPr>
            <w:r w:rsidRPr="00DA0FDC">
              <w:rPr>
                <w:bCs/>
                <w:sz w:val="16"/>
                <w:szCs w:val="16"/>
              </w:rPr>
              <w:t xml:space="preserve">Source: </w:t>
            </w:r>
            <w:r w:rsidR="00CB1069">
              <w:rPr>
                <w:sz w:val="16"/>
                <w:szCs w:val="16"/>
              </w:rPr>
              <w:t>(SP/</w:t>
            </w:r>
            <w:r w:rsidRPr="00DA0FDC">
              <w:rPr>
                <w:sz w:val="16"/>
                <w:szCs w:val="16"/>
              </w:rPr>
              <w:t>CONASUR</w:t>
            </w:r>
            <w:r w:rsidRPr="00DA0FDC">
              <w:rPr>
                <w:bCs/>
                <w:sz w:val="16"/>
                <w:szCs w:val="16"/>
              </w:rPr>
              <w:t>) annual report;</w:t>
            </w:r>
            <w:r w:rsidRPr="00DA0FDC">
              <w:rPr>
                <w:sz w:val="16"/>
                <w:szCs w:val="16"/>
              </w:rPr>
              <w:t xml:space="preserve"> </w:t>
            </w:r>
            <w:r w:rsidRPr="00DA0FDC">
              <w:rPr>
                <w:color w:val="000000"/>
                <w:sz w:val="16"/>
                <w:szCs w:val="16"/>
              </w:rPr>
              <w:t>Frequency: Annual</w:t>
            </w:r>
          </w:p>
          <w:p w14:paraId="08CA1E67" w14:textId="77777777" w:rsidR="00684AF6" w:rsidRPr="00DA0FDC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DA0FDC">
              <w:rPr>
                <w:b/>
                <w:bCs/>
                <w:sz w:val="16"/>
                <w:szCs w:val="16"/>
              </w:rPr>
              <w:t>Indicator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 </w:t>
            </w:r>
            <w:r w:rsidR="00665A27" w:rsidRPr="00DA0FDC">
              <w:rPr>
                <w:b/>
                <w:bCs/>
                <w:sz w:val="16"/>
                <w:szCs w:val="16"/>
              </w:rPr>
              <w:t>3.1</w:t>
            </w:r>
            <w:r w:rsidRPr="00DA0FDC">
              <w:rPr>
                <w:b/>
                <w:bCs/>
                <w:sz w:val="16"/>
                <w:szCs w:val="16"/>
              </w:rPr>
              <w:t>.3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: </w:t>
            </w:r>
            <w:r w:rsidRPr="00DA0FDC">
              <w:rPr>
                <w:sz w:val="16"/>
                <w:szCs w:val="16"/>
              </w:rPr>
              <w:t xml:space="preserve">Number of </w:t>
            </w:r>
            <w:r w:rsidRPr="00DA0FDC">
              <w:rPr>
                <w:bCs/>
                <w:sz w:val="16"/>
                <w:szCs w:val="16"/>
              </w:rPr>
              <w:t xml:space="preserve">region with </w:t>
            </w:r>
            <w:r w:rsidRPr="00DA0FDC">
              <w:rPr>
                <w:rStyle w:val="shorttext"/>
                <w:sz w:val="16"/>
                <w:szCs w:val="16"/>
                <w:lang w:val="en"/>
              </w:rPr>
              <w:t>population resilience plan</w:t>
            </w:r>
            <w:r w:rsidRPr="00DA0FDC">
              <w:rPr>
                <w:sz w:val="16"/>
                <w:szCs w:val="16"/>
              </w:rPr>
              <w:t>.</w:t>
            </w:r>
          </w:p>
          <w:p w14:paraId="4CFD1DCC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Baseline: 2 Target: 13 </w:t>
            </w:r>
          </w:p>
          <w:p w14:paraId="256D06C9" w14:textId="472AF39A" w:rsidR="0089648F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Source: </w:t>
            </w:r>
            <w:r w:rsidR="00CB1069">
              <w:rPr>
                <w:sz w:val="16"/>
                <w:szCs w:val="16"/>
              </w:rPr>
              <w:t>SP/</w:t>
            </w:r>
            <w:r w:rsidRPr="00DA0FDC">
              <w:rPr>
                <w:sz w:val="16"/>
                <w:szCs w:val="16"/>
              </w:rPr>
              <w:t xml:space="preserve">CONASUR </w:t>
            </w:r>
            <w:r w:rsidRPr="00DA0FDC">
              <w:rPr>
                <w:bCs/>
                <w:sz w:val="16"/>
                <w:szCs w:val="16"/>
              </w:rPr>
              <w:t>annual report</w:t>
            </w:r>
          </w:p>
          <w:p w14:paraId="62AA012B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BB8A5" w14:textId="77777777" w:rsidR="00684AF6" w:rsidRPr="00567CEF" w:rsidRDefault="00684AF6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7CEF">
              <w:rPr>
                <w:sz w:val="16"/>
                <w:szCs w:val="16"/>
              </w:rPr>
              <w:t>Ministries in charge of social affairs</w:t>
            </w:r>
            <w:r w:rsidR="0089648F" w:rsidRPr="00567CEF">
              <w:rPr>
                <w:sz w:val="16"/>
                <w:szCs w:val="16"/>
              </w:rPr>
              <w:t>,</w:t>
            </w:r>
            <w:r w:rsidRPr="00567CEF">
              <w:rPr>
                <w:sz w:val="16"/>
                <w:szCs w:val="16"/>
              </w:rPr>
              <w:t xml:space="preserve"> economy</w:t>
            </w:r>
            <w:r w:rsidR="0089648F" w:rsidRPr="00567CEF">
              <w:rPr>
                <w:sz w:val="16"/>
                <w:szCs w:val="16"/>
              </w:rPr>
              <w:t xml:space="preserve">, and </w:t>
            </w:r>
            <w:r w:rsidRPr="00567CEF">
              <w:rPr>
                <w:sz w:val="16"/>
                <w:szCs w:val="16"/>
              </w:rPr>
              <w:t>security</w:t>
            </w:r>
            <w:r w:rsidR="0089648F" w:rsidRPr="00567CEF">
              <w:rPr>
                <w:sz w:val="16"/>
                <w:szCs w:val="16"/>
              </w:rPr>
              <w:t>.</w:t>
            </w:r>
            <w:r w:rsidRPr="00567CEF">
              <w:rPr>
                <w:sz w:val="16"/>
                <w:szCs w:val="16"/>
              </w:rPr>
              <w:br/>
            </w:r>
          </w:p>
          <w:p w14:paraId="09E76C9C" w14:textId="77777777" w:rsidR="00684AF6" w:rsidRPr="00567CEF" w:rsidRDefault="0089648F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7CEF">
              <w:rPr>
                <w:bCs/>
                <w:color w:val="000000"/>
                <w:sz w:val="16"/>
                <w:szCs w:val="16"/>
              </w:rPr>
              <w:t xml:space="preserve">Governments of </w:t>
            </w:r>
            <w:r w:rsidR="00684AF6" w:rsidRPr="00567CEF">
              <w:rPr>
                <w:bCs/>
                <w:color w:val="000000"/>
                <w:sz w:val="16"/>
                <w:szCs w:val="16"/>
              </w:rPr>
              <w:t>Luxemb</w:t>
            </w:r>
            <w:r w:rsidR="00665A27" w:rsidRPr="00567CEF">
              <w:rPr>
                <w:bCs/>
                <w:color w:val="000000"/>
                <w:sz w:val="16"/>
                <w:szCs w:val="16"/>
              </w:rPr>
              <w:t>o</w:t>
            </w:r>
            <w:r w:rsidR="00684AF6" w:rsidRPr="00567CEF">
              <w:rPr>
                <w:bCs/>
                <w:color w:val="000000"/>
                <w:sz w:val="16"/>
                <w:szCs w:val="16"/>
              </w:rPr>
              <w:t>urg</w:t>
            </w:r>
            <w:r w:rsidRPr="00567CEF">
              <w:rPr>
                <w:bCs/>
                <w:color w:val="000000"/>
                <w:sz w:val="16"/>
                <w:szCs w:val="16"/>
              </w:rPr>
              <w:t xml:space="preserve"> and </w:t>
            </w:r>
            <w:r w:rsidR="00684AF6" w:rsidRPr="00567CEF">
              <w:rPr>
                <w:bCs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E47E9" w14:textId="600F7547" w:rsidR="00684AF6" w:rsidRPr="00567CEF" w:rsidRDefault="00684AF6" w:rsidP="00A529BC">
            <w:pPr>
              <w:spacing w:line="256" w:lineRule="auto"/>
              <w:rPr>
                <w:b/>
                <w:sz w:val="16"/>
                <w:szCs w:val="16"/>
              </w:rPr>
            </w:pPr>
            <w:r w:rsidRPr="00567CEF">
              <w:rPr>
                <w:b/>
                <w:sz w:val="16"/>
                <w:szCs w:val="16"/>
              </w:rPr>
              <w:t xml:space="preserve">Regular: </w:t>
            </w:r>
            <w:r w:rsidR="00F03A46" w:rsidRPr="00567CEF">
              <w:rPr>
                <w:b/>
                <w:sz w:val="16"/>
                <w:szCs w:val="16"/>
              </w:rPr>
              <w:t>5</w:t>
            </w:r>
            <w:r w:rsidRPr="00567CEF">
              <w:rPr>
                <w:b/>
                <w:sz w:val="16"/>
                <w:szCs w:val="16"/>
              </w:rPr>
              <w:t>,</w:t>
            </w:r>
            <w:r w:rsidR="00F03A46" w:rsidRPr="00567CEF">
              <w:rPr>
                <w:b/>
                <w:sz w:val="16"/>
                <w:szCs w:val="16"/>
              </w:rPr>
              <w:t>500</w:t>
            </w:r>
            <w:r w:rsidR="00CB72C9" w:rsidRPr="00567CEF">
              <w:rPr>
                <w:b/>
                <w:sz w:val="16"/>
                <w:szCs w:val="16"/>
              </w:rPr>
              <w:t>,04</w:t>
            </w:r>
            <w:r w:rsidR="007A44E1" w:rsidRPr="00567CEF">
              <w:rPr>
                <w:b/>
                <w:sz w:val="16"/>
                <w:szCs w:val="16"/>
              </w:rPr>
              <w:t>0</w:t>
            </w:r>
          </w:p>
          <w:p w14:paraId="065961B5" w14:textId="77777777" w:rsidR="00684AF6" w:rsidRPr="00567CEF" w:rsidRDefault="00684AF6" w:rsidP="00A529BC">
            <w:pPr>
              <w:spacing w:line="256" w:lineRule="auto"/>
              <w:rPr>
                <w:b/>
                <w:sz w:val="16"/>
                <w:szCs w:val="16"/>
              </w:rPr>
            </w:pPr>
          </w:p>
          <w:p w14:paraId="2E0608BD" w14:textId="77777777" w:rsidR="00684AF6" w:rsidRPr="00567CEF" w:rsidRDefault="00684AF6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7CEF">
              <w:rPr>
                <w:b/>
                <w:sz w:val="16"/>
                <w:szCs w:val="16"/>
              </w:rPr>
              <w:t>Other: 2,500</w:t>
            </w:r>
            <w:r w:rsidR="007A44E1" w:rsidRPr="00567CEF">
              <w:rPr>
                <w:b/>
                <w:sz w:val="16"/>
                <w:szCs w:val="16"/>
              </w:rPr>
              <w:t>,000</w:t>
            </w:r>
          </w:p>
        </w:tc>
      </w:tr>
      <w:tr w:rsidR="00684AF6" w:rsidRPr="00FB155C" w14:paraId="07A2BB9F" w14:textId="77777777" w:rsidTr="00AE34E0">
        <w:tblPrEx>
          <w:tblCellMar>
            <w:top w:w="0" w:type="dxa"/>
            <w:bottom w:w="0" w:type="dxa"/>
          </w:tblCellMar>
        </w:tblPrEx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D22" w14:textId="77777777" w:rsidR="00684AF6" w:rsidRPr="00DA0FDC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507A" w14:textId="77777777" w:rsidR="00684AF6" w:rsidRPr="00DA0FDC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B2AF8" w14:textId="77777777" w:rsidR="00684AF6" w:rsidRPr="00DA0FDC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t>Output</w:t>
            </w:r>
            <w:r w:rsidR="00AF5272" w:rsidRPr="00074798">
              <w:rPr>
                <w:b/>
                <w:bCs/>
                <w:sz w:val="16"/>
                <w:szCs w:val="16"/>
              </w:rPr>
              <w:t xml:space="preserve"> </w:t>
            </w:r>
            <w:r w:rsidRPr="00074798">
              <w:rPr>
                <w:b/>
                <w:bCs/>
                <w:sz w:val="16"/>
                <w:szCs w:val="16"/>
              </w:rPr>
              <w:t>3.2</w:t>
            </w:r>
            <w:r w:rsidRPr="00764B74">
              <w:rPr>
                <w:bCs/>
                <w:sz w:val="16"/>
                <w:szCs w:val="16"/>
              </w:rPr>
              <w:t>:</w:t>
            </w:r>
            <w:r w:rsidRPr="00DA0FDC">
              <w:rPr>
                <w:bCs/>
                <w:sz w:val="16"/>
                <w:szCs w:val="16"/>
              </w:rPr>
              <w:t xml:space="preserve"> National and local institutions involved in disaster risk management have strengthened technical capacities</w:t>
            </w:r>
            <w:r w:rsidRPr="00DA0FDC">
              <w:rPr>
                <w:sz w:val="16"/>
                <w:szCs w:val="16"/>
              </w:rPr>
              <w:t xml:space="preserve"> </w:t>
            </w:r>
            <w:r w:rsidRPr="00DA0FDC">
              <w:rPr>
                <w:bCs/>
                <w:sz w:val="16"/>
                <w:szCs w:val="16"/>
              </w:rPr>
              <w:t xml:space="preserve">to address disasters and other emergencies </w:t>
            </w:r>
          </w:p>
          <w:p w14:paraId="280C2CFC" w14:textId="77777777" w:rsidR="00AF5272" w:rsidRPr="00DA0FDC" w:rsidRDefault="00AF5272" w:rsidP="008E4109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  <w:p w14:paraId="76267E8F" w14:textId="77777777" w:rsidR="00684AF6" w:rsidRPr="00DA0FDC" w:rsidRDefault="00684AF6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DA0FDC">
              <w:rPr>
                <w:b/>
                <w:bCs/>
                <w:sz w:val="16"/>
                <w:szCs w:val="16"/>
              </w:rPr>
              <w:t>Indicator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 </w:t>
            </w:r>
            <w:r w:rsidRPr="00DA0FDC">
              <w:rPr>
                <w:b/>
                <w:bCs/>
                <w:sz w:val="16"/>
                <w:szCs w:val="16"/>
              </w:rPr>
              <w:t>3.2.1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: </w:t>
            </w:r>
            <w:r w:rsidRPr="00DA0FDC">
              <w:rPr>
                <w:sz w:val="16"/>
                <w:szCs w:val="16"/>
              </w:rPr>
              <w:t>Number</w:t>
            </w:r>
            <w:r w:rsidRPr="00DA0FDC">
              <w:rPr>
                <w:color w:val="000000"/>
                <w:sz w:val="16"/>
                <w:szCs w:val="16"/>
              </w:rPr>
              <w:t xml:space="preserve"> of contingency plans developed at regional and local level with</w:t>
            </w:r>
            <w:r w:rsidRPr="00DA0FDC">
              <w:rPr>
                <w:sz w:val="16"/>
                <w:szCs w:val="16"/>
              </w:rPr>
              <w:t xml:space="preserve"> </w:t>
            </w:r>
            <w:r w:rsidRPr="00DA0FDC">
              <w:rPr>
                <w:color w:val="000000"/>
                <w:sz w:val="16"/>
                <w:szCs w:val="16"/>
              </w:rPr>
              <w:t>contributions from women and youth</w:t>
            </w:r>
          </w:p>
          <w:p w14:paraId="3DD22AF0" w14:textId="2A7B2190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>Baseline: 21 (local:</w:t>
            </w:r>
            <w:r w:rsidR="0056625C">
              <w:rPr>
                <w:bCs/>
                <w:sz w:val="16"/>
                <w:szCs w:val="16"/>
              </w:rPr>
              <w:t xml:space="preserve"> </w:t>
            </w:r>
            <w:r w:rsidRPr="00DA0FDC">
              <w:rPr>
                <w:bCs/>
                <w:sz w:val="16"/>
                <w:szCs w:val="16"/>
              </w:rPr>
              <w:t xml:space="preserve">14, </w:t>
            </w:r>
            <w:r w:rsidR="00AF5272" w:rsidRPr="00DA0FDC">
              <w:rPr>
                <w:bCs/>
                <w:sz w:val="16"/>
                <w:szCs w:val="16"/>
              </w:rPr>
              <w:t>r</w:t>
            </w:r>
            <w:r w:rsidRPr="00DA0FDC">
              <w:rPr>
                <w:bCs/>
                <w:sz w:val="16"/>
                <w:szCs w:val="16"/>
              </w:rPr>
              <w:t>egional: 7)</w:t>
            </w:r>
            <w:r w:rsidR="00AF5272" w:rsidRPr="00DA0FDC">
              <w:rPr>
                <w:bCs/>
                <w:sz w:val="16"/>
                <w:szCs w:val="16"/>
              </w:rPr>
              <w:t xml:space="preserve"> Target: 67 (local 54; regional</w:t>
            </w:r>
            <w:r w:rsidR="0056625C" w:rsidRPr="00DA0FDC">
              <w:rPr>
                <w:bCs/>
                <w:sz w:val="16"/>
                <w:szCs w:val="16"/>
              </w:rPr>
              <w:t>: 13</w:t>
            </w:r>
            <w:r w:rsidRPr="00DA0FDC">
              <w:rPr>
                <w:bCs/>
                <w:sz w:val="16"/>
                <w:szCs w:val="16"/>
              </w:rPr>
              <w:t>)</w:t>
            </w:r>
          </w:p>
          <w:p w14:paraId="42C5FDBF" w14:textId="31715E94" w:rsidR="00684AF6" w:rsidRPr="00DA0FDC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Source: </w:t>
            </w:r>
            <w:r w:rsidR="00CB1069">
              <w:rPr>
                <w:sz w:val="16"/>
                <w:szCs w:val="16"/>
              </w:rPr>
              <w:t>SP/</w:t>
            </w:r>
            <w:r w:rsidRPr="00DA0FDC">
              <w:rPr>
                <w:sz w:val="16"/>
                <w:szCs w:val="16"/>
              </w:rPr>
              <w:t xml:space="preserve">CONASUR </w:t>
            </w:r>
            <w:r w:rsidR="00AF5272" w:rsidRPr="00DA0FDC">
              <w:rPr>
                <w:bCs/>
                <w:sz w:val="16"/>
                <w:szCs w:val="16"/>
              </w:rPr>
              <w:t>annual report</w:t>
            </w:r>
            <w:r w:rsidRPr="00DA0FD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469F2" w14:textId="77777777" w:rsidR="00684AF6" w:rsidRPr="00DA0FDC" w:rsidRDefault="00684AF6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A0FDC">
              <w:rPr>
                <w:sz w:val="16"/>
                <w:szCs w:val="16"/>
              </w:rPr>
              <w:t>Ministries in charge of social action</w:t>
            </w:r>
            <w:r w:rsidR="0089648F">
              <w:rPr>
                <w:sz w:val="16"/>
                <w:szCs w:val="16"/>
              </w:rPr>
              <w:t>,</w:t>
            </w:r>
            <w:r w:rsidRPr="00DA0FDC">
              <w:rPr>
                <w:sz w:val="16"/>
                <w:szCs w:val="16"/>
              </w:rPr>
              <w:t xml:space="preserve"> economy</w:t>
            </w:r>
            <w:r w:rsidR="0089648F">
              <w:rPr>
                <w:sz w:val="16"/>
                <w:szCs w:val="16"/>
              </w:rPr>
              <w:t>, and</w:t>
            </w:r>
            <w:r w:rsidRPr="00DA0FDC">
              <w:rPr>
                <w:sz w:val="16"/>
                <w:szCs w:val="16"/>
              </w:rPr>
              <w:t xml:space="preserve"> security</w:t>
            </w:r>
            <w:r w:rsidR="0089648F">
              <w:rPr>
                <w:sz w:val="16"/>
                <w:szCs w:val="16"/>
              </w:rPr>
              <w:t>.</w:t>
            </w:r>
            <w:r w:rsidRPr="00DA0FDC">
              <w:rPr>
                <w:sz w:val="16"/>
                <w:szCs w:val="16"/>
              </w:rPr>
              <w:br/>
            </w:r>
          </w:p>
          <w:p w14:paraId="7E812F6B" w14:textId="77777777" w:rsidR="00684AF6" w:rsidRPr="00DA0FDC" w:rsidRDefault="0089648F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Governments of </w:t>
            </w:r>
            <w:r w:rsidRPr="00DA0FDC">
              <w:rPr>
                <w:bCs/>
                <w:color w:val="000000"/>
                <w:sz w:val="16"/>
                <w:szCs w:val="16"/>
              </w:rPr>
              <w:t>Luxembourg</w:t>
            </w:r>
            <w:r>
              <w:rPr>
                <w:bCs/>
                <w:color w:val="000000"/>
                <w:sz w:val="16"/>
                <w:szCs w:val="16"/>
              </w:rPr>
              <w:t xml:space="preserve"> and </w:t>
            </w:r>
            <w:r w:rsidRPr="00DA0FDC">
              <w:rPr>
                <w:bCs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1927" w14:textId="77777777" w:rsidR="00684AF6" w:rsidRPr="00DA0FDC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4AF6" w:rsidRPr="00FB155C" w14:paraId="1DD8311E" w14:textId="77777777" w:rsidTr="00AE34E0">
        <w:tblPrEx>
          <w:tblCellMar>
            <w:top w:w="0" w:type="dxa"/>
            <w:bottom w:w="0" w:type="dxa"/>
          </w:tblCellMar>
        </w:tblPrEx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7D0F" w14:textId="77777777" w:rsidR="00684AF6" w:rsidRPr="00DA0FDC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811" w14:textId="77777777" w:rsidR="00684AF6" w:rsidRPr="00DA0FDC" w:rsidRDefault="00684AF6" w:rsidP="008E410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B0FD1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074798">
              <w:rPr>
                <w:b/>
                <w:bCs/>
                <w:sz w:val="16"/>
                <w:szCs w:val="16"/>
              </w:rPr>
              <w:t>Output</w:t>
            </w:r>
            <w:r w:rsidR="00AF5272" w:rsidRPr="00074798">
              <w:rPr>
                <w:b/>
                <w:bCs/>
                <w:sz w:val="16"/>
                <w:szCs w:val="16"/>
              </w:rPr>
              <w:t xml:space="preserve"> </w:t>
            </w:r>
            <w:r w:rsidRPr="00074798">
              <w:rPr>
                <w:b/>
                <w:bCs/>
                <w:sz w:val="16"/>
                <w:szCs w:val="16"/>
              </w:rPr>
              <w:t>3.3</w:t>
            </w:r>
            <w:r w:rsidRPr="00DA0FDC">
              <w:rPr>
                <w:bCs/>
                <w:sz w:val="16"/>
                <w:szCs w:val="16"/>
              </w:rPr>
              <w:t xml:space="preserve">: Central and local </w:t>
            </w:r>
            <w:r w:rsidRPr="00DA0FDC">
              <w:rPr>
                <w:sz w:val="16"/>
                <w:szCs w:val="16"/>
                <w:lang w:val="en"/>
              </w:rPr>
              <w:t>institutions in charge of emergenc</w:t>
            </w:r>
            <w:r w:rsidR="00F1252B" w:rsidRPr="00DA0FDC">
              <w:rPr>
                <w:sz w:val="16"/>
                <w:szCs w:val="16"/>
                <w:lang w:val="en"/>
              </w:rPr>
              <w:t>y</w:t>
            </w:r>
            <w:r w:rsidRPr="00DA0FDC">
              <w:rPr>
                <w:sz w:val="16"/>
                <w:szCs w:val="16"/>
                <w:lang w:val="en"/>
              </w:rPr>
              <w:t xml:space="preserve"> response have the capacity to ensure coordinated response in case of disasters</w:t>
            </w:r>
          </w:p>
          <w:p w14:paraId="7C0AB53D" w14:textId="77777777" w:rsidR="00684AF6" w:rsidRPr="00DA0FDC" w:rsidRDefault="00684AF6" w:rsidP="008E4109">
            <w:pPr>
              <w:spacing w:line="256" w:lineRule="auto"/>
              <w:rPr>
                <w:rStyle w:val="shorttext"/>
                <w:sz w:val="16"/>
                <w:szCs w:val="16"/>
              </w:rPr>
            </w:pPr>
          </w:p>
          <w:p w14:paraId="41D7F014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/>
                <w:bCs/>
                <w:sz w:val="16"/>
                <w:szCs w:val="16"/>
              </w:rPr>
              <w:t>Indicator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 </w:t>
            </w:r>
            <w:r w:rsidRPr="00DA0FDC">
              <w:rPr>
                <w:b/>
                <w:bCs/>
                <w:sz w:val="16"/>
                <w:szCs w:val="16"/>
              </w:rPr>
              <w:t>3.3.</w:t>
            </w:r>
            <w:r w:rsidR="00745158" w:rsidRPr="00DA0FDC">
              <w:rPr>
                <w:b/>
                <w:bCs/>
                <w:sz w:val="16"/>
                <w:szCs w:val="16"/>
              </w:rPr>
              <w:t>1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: </w:t>
            </w:r>
            <w:r w:rsidRPr="00DA0FDC">
              <w:rPr>
                <w:sz w:val="16"/>
                <w:szCs w:val="16"/>
              </w:rPr>
              <w:t xml:space="preserve">Number of </w:t>
            </w:r>
            <w:r w:rsidRPr="00DA0FDC">
              <w:rPr>
                <w:bCs/>
                <w:sz w:val="16"/>
                <w:szCs w:val="16"/>
              </w:rPr>
              <w:t xml:space="preserve">regions with </w:t>
            </w:r>
            <w:r w:rsidRPr="00DA0FDC">
              <w:rPr>
                <w:sz w:val="16"/>
                <w:szCs w:val="16"/>
                <w:lang w:val="en"/>
              </w:rPr>
              <w:t>capacity to ensure coordinated response in case of disasters</w:t>
            </w:r>
          </w:p>
          <w:p w14:paraId="1422001E" w14:textId="77777777" w:rsidR="00745158" w:rsidRPr="00DA0FDC" w:rsidRDefault="00745158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Baseline: 0 Target: 13 </w:t>
            </w:r>
          </w:p>
          <w:p w14:paraId="776B31FF" w14:textId="4E1FDE33" w:rsidR="0089648F" w:rsidRDefault="00745158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lastRenderedPageBreak/>
              <w:t xml:space="preserve">Source: </w:t>
            </w:r>
            <w:r w:rsidR="00CB1069">
              <w:rPr>
                <w:sz w:val="16"/>
                <w:szCs w:val="16"/>
              </w:rPr>
              <w:t>SP/</w:t>
            </w:r>
            <w:r w:rsidRPr="00DA0FDC">
              <w:rPr>
                <w:sz w:val="16"/>
                <w:szCs w:val="16"/>
              </w:rPr>
              <w:t xml:space="preserve">CONASUR </w:t>
            </w:r>
            <w:r w:rsidRPr="00DA0FDC">
              <w:rPr>
                <w:bCs/>
                <w:sz w:val="16"/>
                <w:szCs w:val="16"/>
              </w:rPr>
              <w:t>annual report</w:t>
            </w:r>
          </w:p>
          <w:p w14:paraId="6669FF31" w14:textId="77777777" w:rsidR="00745158" w:rsidRPr="00DA0FDC" w:rsidRDefault="00745158" w:rsidP="008E4109">
            <w:pPr>
              <w:spacing w:line="256" w:lineRule="auto"/>
              <w:rPr>
                <w:color w:val="000000"/>
                <w:sz w:val="16"/>
                <w:szCs w:val="16"/>
              </w:rPr>
            </w:pPr>
            <w:r w:rsidRPr="00DA0FDC">
              <w:rPr>
                <w:color w:val="000000"/>
                <w:sz w:val="16"/>
                <w:szCs w:val="16"/>
              </w:rPr>
              <w:t>Frequency: Annual</w:t>
            </w:r>
          </w:p>
          <w:p w14:paraId="0B6FE8E0" w14:textId="77777777" w:rsidR="00AF5272" w:rsidRPr="00DA0FDC" w:rsidRDefault="00AF5272" w:rsidP="008E4109">
            <w:pPr>
              <w:spacing w:line="256" w:lineRule="auto"/>
              <w:rPr>
                <w:sz w:val="16"/>
                <w:szCs w:val="16"/>
              </w:rPr>
            </w:pPr>
          </w:p>
          <w:p w14:paraId="5F458655" w14:textId="77777777" w:rsidR="00684AF6" w:rsidRPr="00DA0FDC" w:rsidRDefault="00684AF6" w:rsidP="008E4109">
            <w:pPr>
              <w:spacing w:line="256" w:lineRule="auto"/>
              <w:rPr>
                <w:sz w:val="16"/>
                <w:szCs w:val="16"/>
              </w:rPr>
            </w:pPr>
            <w:r w:rsidRPr="00DA0FDC">
              <w:rPr>
                <w:b/>
                <w:bCs/>
                <w:sz w:val="16"/>
                <w:szCs w:val="16"/>
              </w:rPr>
              <w:t>Indicator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 </w:t>
            </w:r>
            <w:r w:rsidRPr="00DA0FDC">
              <w:rPr>
                <w:b/>
                <w:bCs/>
                <w:sz w:val="16"/>
                <w:szCs w:val="16"/>
              </w:rPr>
              <w:t>3.3.2</w:t>
            </w:r>
            <w:r w:rsidR="00AF5272" w:rsidRPr="00DA0FDC">
              <w:rPr>
                <w:b/>
                <w:bCs/>
                <w:sz w:val="16"/>
                <w:szCs w:val="16"/>
              </w:rPr>
              <w:t xml:space="preserve">: </w:t>
            </w:r>
            <w:r w:rsidRPr="00DA0FDC">
              <w:rPr>
                <w:sz w:val="16"/>
                <w:szCs w:val="16"/>
                <w:lang w:val="en"/>
              </w:rPr>
              <w:t>Existence of a single coordinating decision-making structure at the central level</w:t>
            </w:r>
          </w:p>
          <w:p w14:paraId="093F441F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Baseline: no Target: yes </w:t>
            </w:r>
          </w:p>
          <w:p w14:paraId="5B25198D" w14:textId="7BCD2016" w:rsidR="0089648F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bCs/>
                <w:sz w:val="16"/>
                <w:szCs w:val="16"/>
              </w:rPr>
              <w:t xml:space="preserve">Source: </w:t>
            </w:r>
            <w:r w:rsidR="00CB1069">
              <w:rPr>
                <w:sz w:val="16"/>
                <w:szCs w:val="16"/>
              </w:rPr>
              <w:t>SP/</w:t>
            </w:r>
            <w:r w:rsidRPr="00DA0FDC">
              <w:rPr>
                <w:sz w:val="16"/>
                <w:szCs w:val="16"/>
              </w:rPr>
              <w:t xml:space="preserve">CONASUR </w:t>
            </w:r>
            <w:r w:rsidRPr="00DA0FDC">
              <w:rPr>
                <w:bCs/>
                <w:sz w:val="16"/>
                <w:szCs w:val="16"/>
              </w:rPr>
              <w:t>annual report</w:t>
            </w:r>
          </w:p>
          <w:p w14:paraId="39520A38" w14:textId="77777777" w:rsidR="00684AF6" w:rsidRPr="00DA0FDC" w:rsidRDefault="00684AF6" w:rsidP="008E4109">
            <w:pPr>
              <w:spacing w:line="256" w:lineRule="auto"/>
              <w:rPr>
                <w:bCs/>
                <w:sz w:val="16"/>
                <w:szCs w:val="16"/>
              </w:rPr>
            </w:pPr>
            <w:r w:rsidRPr="00DA0FDC">
              <w:rPr>
                <w:color w:val="000000"/>
                <w:sz w:val="16"/>
                <w:szCs w:val="16"/>
              </w:rPr>
              <w:t>Frequency: Annual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ED193" w14:textId="77777777" w:rsidR="00684AF6" w:rsidRDefault="0089648F" w:rsidP="00A529BC">
            <w:pPr>
              <w:spacing w:line="256" w:lineRule="auto"/>
              <w:rPr>
                <w:sz w:val="16"/>
                <w:szCs w:val="16"/>
              </w:rPr>
            </w:pPr>
            <w:r w:rsidRPr="00DA0FDC">
              <w:rPr>
                <w:sz w:val="16"/>
                <w:szCs w:val="16"/>
              </w:rPr>
              <w:lastRenderedPageBreak/>
              <w:t>Ministries in charge of social action</w:t>
            </w:r>
            <w:r>
              <w:rPr>
                <w:sz w:val="16"/>
                <w:szCs w:val="16"/>
              </w:rPr>
              <w:t>,</w:t>
            </w:r>
            <w:r w:rsidRPr="00DA0FDC">
              <w:rPr>
                <w:sz w:val="16"/>
                <w:szCs w:val="16"/>
              </w:rPr>
              <w:t xml:space="preserve"> economy</w:t>
            </w:r>
            <w:r>
              <w:rPr>
                <w:sz w:val="16"/>
                <w:szCs w:val="16"/>
              </w:rPr>
              <w:t>, and</w:t>
            </w:r>
            <w:r w:rsidRPr="00DA0FDC">
              <w:rPr>
                <w:sz w:val="16"/>
                <w:szCs w:val="16"/>
              </w:rPr>
              <w:t xml:space="preserve"> security</w:t>
            </w:r>
            <w:r>
              <w:rPr>
                <w:sz w:val="16"/>
                <w:szCs w:val="16"/>
              </w:rPr>
              <w:t>.</w:t>
            </w:r>
          </w:p>
          <w:p w14:paraId="1F9AB5F8" w14:textId="77777777" w:rsidR="0089648F" w:rsidRPr="00DA0FDC" w:rsidRDefault="0089648F" w:rsidP="00A529BC">
            <w:pPr>
              <w:spacing w:line="256" w:lineRule="auto"/>
              <w:rPr>
                <w:sz w:val="16"/>
                <w:szCs w:val="16"/>
              </w:rPr>
            </w:pPr>
          </w:p>
          <w:p w14:paraId="0D439C1A" w14:textId="77777777" w:rsidR="00684AF6" w:rsidRPr="00DA0FDC" w:rsidRDefault="0089648F" w:rsidP="00A529BC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Governments of </w:t>
            </w:r>
            <w:r w:rsidRPr="00DA0FDC">
              <w:rPr>
                <w:bCs/>
                <w:color w:val="000000"/>
                <w:sz w:val="16"/>
                <w:szCs w:val="16"/>
              </w:rPr>
              <w:t>Luxembourg</w:t>
            </w:r>
            <w:r>
              <w:rPr>
                <w:bCs/>
                <w:color w:val="000000"/>
                <w:sz w:val="16"/>
                <w:szCs w:val="16"/>
              </w:rPr>
              <w:t xml:space="preserve"> and </w:t>
            </w:r>
            <w:r w:rsidRPr="00DA0FDC">
              <w:rPr>
                <w:bCs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3CFA" w14:textId="77777777" w:rsidR="00684AF6" w:rsidRPr="00DA0FDC" w:rsidRDefault="00684AF6" w:rsidP="008E410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9E10DC4" w14:textId="77777777" w:rsidR="00737FB0" w:rsidRDefault="00737FB0" w:rsidP="008E4109"/>
    <w:p w14:paraId="19D9BEB8" w14:textId="77777777" w:rsidR="00E5329F" w:rsidRPr="00C6009E" w:rsidRDefault="00737FB0" w:rsidP="00737FB0">
      <w:pPr>
        <w:jc w:val="center"/>
      </w:pPr>
      <w:r w:rsidRPr="00737FB0">
        <w:rPr>
          <w:b/>
          <w:noProof/>
          <w:snapToGrid/>
          <w:color w:val="000000"/>
          <w:sz w:val="16"/>
          <w:szCs w:val="16"/>
          <w:lang w:eastAsia="en-US"/>
        </w:rPr>
        <w:drawing>
          <wp:inline distT="0" distB="0" distL="0" distR="0" wp14:anchorId="51765A41" wp14:editId="44715F68">
            <wp:extent cx="942975" cy="28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29F" w:rsidRPr="00C6009E" w:rsidSect="004200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152" w:bottom="144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2096" w14:textId="77777777" w:rsidR="00EB0E53" w:rsidRPr="00816CFE" w:rsidRDefault="00EB0E53">
      <w:r w:rsidRPr="00816CFE">
        <w:separator/>
      </w:r>
    </w:p>
  </w:endnote>
  <w:endnote w:type="continuationSeparator" w:id="0">
    <w:p w14:paraId="15D78DB6" w14:textId="77777777" w:rsidR="00EB0E53" w:rsidRPr="00816CFE" w:rsidRDefault="00EB0E53">
      <w:r w:rsidRPr="00816CFE">
        <w:continuationSeparator/>
      </w:r>
    </w:p>
  </w:endnote>
  <w:endnote w:type="continuationNotice" w:id="1">
    <w:p w14:paraId="671AAD0B" w14:textId="77777777" w:rsidR="00EB0E53" w:rsidRPr="00816CFE" w:rsidRDefault="00EB0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FC18" w14:textId="18ED4DC9" w:rsidR="002175A0" w:rsidRPr="00816CFE" w:rsidRDefault="002175A0" w:rsidP="004B6DA5">
    <w:pPr>
      <w:pStyle w:val="Footer"/>
      <w:ind w:firstLine="360"/>
      <w:rPr>
        <w:b/>
        <w:sz w:val="17"/>
      </w:rPr>
    </w:pPr>
    <w:r w:rsidRPr="00816CFE">
      <w:rPr>
        <w:b/>
        <w:sz w:val="17"/>
      </w:rPr>
      <w:fldChar w:fldCharType="begin"/>
    </w:r>
    <w:r w:rsidRPr="00816CFE">
      <w:rPr>
        <w:b/>
        <w:sz w:val="17"/>
      </w:rPr>
      <w:instrText xml:space="preserve"> PAGE   \* MERGEFORMAT </w:instrText>
    </w:r>
    <w:r w:rsidRPr="00816CFE">
      <w:rPr>
        <w:b/>
        <w:sz w:val="17"/>
      </w:rPr>
      <w:fldChar w:fldCharType="separate"/>
    </w:r>
    <w:r>
      <w:rPr>
        <w:b/>
        <w:noProof/>
        <w:sz w:val="17"/>
      </w:rPr>
      <w:t>10</w:t>
    </w:r>
    <w:r w:rsidRPr="00816CFE">
      <w:rPr>
        <w:b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7D67" w14:textId="102F08D5" w:rsidR="002175A0" w:rsidRPr="00816CFE" w:rsidRDefault="002175A0" w:rsidP="000E1D02">
    <w:pPr>
      <w:pStyle w:val="Footer"/>
      <w:ind w:right="-385"/>
      <w:jc w:val="right"/>
      <w:rPr>
        <w:b/>
        <w:sz w:val="17"/>
      </w:rPr>
    </w:pPr>
    <w:r w:rsidRPr="00816CFE">
      <w:rPr>
        <w:b/>
        <w:sz w:val="17"/>
      </w:rPr>
      <w:fldChar w:fldCharType="begin"/>
    </w:r>
    <w:r w:rsidRPr="00816CFE">
      <w:rPr>
        <w:b/>
        <w:sz w:val="17"/>
      </w:rPr>
      <w:instrText xml:space="preserve"> PAGE   \* MERGEFORMAT </w:instrText>
    </w:r>
    <w:r w:rsidRPr="00816CFE">
      <w:rPr>
        <w:b/>
        <w:sz w:val="17"/>
      </w:rPr>
      <w:fldChar w:fldCharType="separate"/>
    </w:r>
    <w:r>
      <w:rPr>
        <w:b/>
        <w:noProof/>
        <w:sz w:val="17"/>
      </w:rPr>
      <w:t>11</w:t>
    </w:r>
    <w:r w:rsidRPr="00816CFE">
      <w:rPr>
        <w:b/>
        <w:sz w:val="17"/>
      </w:rPr>
      <w:fldChar w:fldCharType="end"/>
    </w:r>
  </w:p>
  <w:p w14:paraId="6CC2A225" w14:textId="77777777" w:rsidR="002175A0" w:rsidRPr="00816CFE" w:rsidRDefault="002175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731" w14:textId="77777777" w:rsidR="004B6DA5" w:rsidRPr="00816CFE" w:rsidRDefault="004B6DA5" w:rsidP="004B6DA5">
    <w:pPr>
      <w:pStyle w:val="Footer"/>
      <w:ind w:hanging="360"/>
      <w:rPr>
        <w:b/>
        <w:sz w:val="17"/>
      </w:rPr>
    </w:pPr>
    <w:r w:rsidRPr="00816CFE">
      <w:rPr>
        <w:b/>
        <w:sz w:val="17"/>
      </w:rPr>
      <w:fldChar w:fldCharType="begin"/>
    </w:r>
    <w:r w:rsidRPr="00816CFE">
      <w:rPr>
        <w:b/>
        <w:sz w:val="17"/>
      </w:rPr>
      <w:instrText xml:space="preserve"> PAGE   \* MERGEFORMAT </w:instrText>
    </w:r>
    <w:r w:rsidRPr="00816CFE">
      <w:rPr>
        <w:b/>
        <w:sz w:val="17"/>
      </w:rPr>
      <w:fldChar w:fldCharType="separate"/>
    </w:r>
    <w:r>
      <w:rPr>
        <w:b/>
        <w:noProof/>
        <w:sz w:val="17"/>
      </w:rPr>
      <w:t>10</w:t>
    </w:r>
    <w:r w:rsidRPr="00816CFE">
      <w:rPr>
        <w:b/>
        <w:sz w:val="1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ABF1" w14:textId="77777777" w:rsidR="004B6DA5" w:rsidRPr="00816CFE" w:rsidRDefault="004B6DA5" w:rsidP="004B6DA5">
    <w:pPr>
      <w:pStyle w:val="Footer"/>
      <w:ind w:right="126"/>
      <w:jc w:val="right"/>
      <w:rPr>
        <w:b/>
        <w:sz w:val="17"/>
      </w:rPr>
    </w:pPr>
    <w:r w:rsidRPr="00816CFE">
      <w:rPr>
        <w:b/>
        <w:sz w:val="17"/>
      </w:rPr>
      <w:fldChar w:fldCharType="begin"/>
    </w:r>
    <w:r w:rsidRPr="00816CFE">
      <w:rPr>
        <w:b/>
        <w:sz w:val="17"/>
      </w:rPr>
      <w:instrText xml:space="preserve"> PAGE   \* MERGEFORMAT </w:instrText>
    </w:r>
    <w:r w:rsidRPr="00816CFE">
      <w:rPr>
        <w:b/>
        <w:sz w:val="17"/>
      </w:rPr>
      <w:fldChar w:fldCharType="separate"/>
    </w:r>
    <w:r>
      <w:rPr>
        <w:b/>
        <w:noProof/>
        <w:sz w:val="17"/>
      </w:rPr>
      <w:t>11</w:t>
    </w:r>
    <w:r w:rsidRPr="00816CFE">
      <w:rPr>
        <w:b/>
        <w:sz w:val="17"/>
      </w:rPr>
      <w:fldChar w:fldCharType="end"/>
    </w:r>
  </w:p>
  <w:p w14:paraId="2A0F120C" w14:textId="77777777" w:rsidR="004B6DA5" w:rsidRPr="00816CFE" w:rsidRDefault="004B6DA5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362822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057AB0E8" w14:textId="3A41D909" w:rsidR="002175A0" w:rsidRPr="002175A0" w:rsidRDefault="002175A0">
        <w:pPr>
          <w:pStyle w:val="Footer"/>
          <w:jc w:val="right"/>
          <w:rPr>
            <w:b/>
            <w:sz w:val="17"/>
            <w:szCs w:val="17"/>
          </w:rPr>
        </w:pPr>
        <w:r w:rsidRPr="002175A0">
          <w:rPr>
            <w:b/>
            <w:sz w:val="17"/>
            <w:szCs w:val="17"/>
          </w:rPr>
          <w:fldChar w:fldCharType="begin"/>
        </w:r>
        <w:r w:rsidRPr="002175A0">
          <w:rPr>
            <w:b/>
            <w:sz w:val="17"/>
            <w:szCs w:val="17"/>
          </w:rPr>
          <w:instrText xml:space="preserve"> PAGE   \* MERGEFORMAT </w:instrText>
        </w:r>
        <w:r w:rsidRPr="002175A0">
          <w:rPr>
            <w:b/>
            <w:sz w:val="17"/>
            <w:szCs w:val="17"/>
          </w:rPr>
          <w:fldChar w:fldCharType="separate"/>
        </w:r>
        <w:r w:rsidRPr="002175A0">
          <w:rPr>
            <w:b/>
            <w:noProof/>
            <w:sz w:val="17"/>
            <w:szCs w:val="17"/>
          </w:rPr>
          <w:t>2</w:t>
        </w:r>
        <w:r w:rsidRPr="002175A0">
          <w:rPr>
            <w:b/>
            <w:noProof/>
            <w:sz w:val="17"/>
            <w:szCs w:val="17"/>
          </w:rPr>
          <w:fldChar w:fldCharType="end"/>
        </w:r>
      </w:p>
    </w:sdtContent>
  </w:sdt>
  <w:p w14:paraId="6FABE6C1" w14:textId="77777777" w:rsidR="002175A0" w:rsidRDefault="0021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2C3A" w14:textId="77777777" w:rsidR="00EB0E53" w:rsidRPr="00816CFE" w:rsidRDefault="00EB0E53">
      <w:r w:rsidRPr="00816CFE">
        <w:separator/>
      </w:r>
    </w:p>
  </w:footnote>
  <w:footnote w:type="continuationSeparator" w:id="0">
    <w:p w14:paraId="5F0FC885" w14:textId="77777777" w:rsidR="00EB0E53" w:rsidRPr="00816CFE" w:rsidRDefault="00EB0E53">
      <w:r w:rsidRPr="00816CFE">
        <w:continuationSeparator/>
      </w:r>
    </w:p>
  </w:footnote>
  <w:footnote w:type="continuationNotice" w:id="1">
    <w:p w14:paraId="5980349E" w14:textId="77777777" w:rsidR="00EB0E53" w:rsidRPr="00816CFE" w:rsidRDefault="00EB0E53"/>
  </w:footnote>
  <w:footnote w:id="2">
    <w:p w14:paraId="2D8C68C8" w14:textId="0DBFFE2D" w:rsidR="002175A0" w:rsidRPr="002F2B76" w:rsidRDefault="002175A0" w:rsidP="002343C7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Style w:val="FootnoteReference"/>
          <w:rFonts w:ascii="Times New Roman" w:hAnsi="Times New Roman"/>
          <w:sz w:val="16"/>
          <w:szCs w:val="16"/>
        </w:rPr>
        <w:t xml:space="preserve"> </w:t>
      </w:r>
      <w:r w:rsidRPr="002F2B76">
        <w:rPr>
          <w:rFonts w:ascii="Times New Roman" w:hAnsi="Times New Roman"/>
          <w:sz w:val="16"/>
          <w:szCs w:val="16"/>
        </w:rPr>
        <w:t>Pact for Renewal of the Justice System to promote rule of law and address impunity, signed 28 March 2015.</w:t>
      </w:r>
    </w:p>
  </w:footnote>
  <w:footnote w:id="3">
    <w:p w14:paraId="7E9C96AC" w14:textId="77777777" w:rsidR="002175A0" w:rsidRPr="002F2B76" w:rsidRDefault="002175A0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Fonts w:ascii="Times New Roman" w:hAnsi="Times New Roman"/>
          <w:sz w:val="16"/>
          <w:szCs w:val="16"/>
        </w:rPr>
        <w:t xml:space="preserve"> Accessed online from: </w:t>
      </w:r>
      <w:hyperlink r:id="rId1" w:history="1">
        <w:r w:rsidRPr="002F2B76">
          <w:rPr>
            <w:rStyle w:val="Hyperlink"/>
            <w:rFonts w:ascii="Times New Roman" w:hAnsi="Times New Roman"/>
            <w:color w:val="auto"/>
            <w:sz w:val="16"/>
            <w:szCs w:val="16"/>
          </w:rPr>
          <w:t>www.insd.bf/</w:t>
        </w:r>
      </w:hyperlink>
      <w:r w:rsidRPr="002F2B76">
        <w:rPr>
          <w:rStyle w:val="Hyperlink"/>
          <w:rFonts w:ascii="Times New Roman" w:hAnsi="Times New Roman"/>
          <w:color w:val="auto"/>
          <w:sz w:val="16"/>
          <w:szCs w:val="16"/>
        </w:rPr>
        <w:t>.</w:t>
      </w:r>
      <w:r w:rsidRPr="002F2B76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584D3267" w14:textId="74E72BAC" w:rsidR="002175A0" w:rsidRPr="002F2B76" w:rsidRDefault="002175A0" w:rsidP="002343C7">
      <w:pPr>
        <w:pStyle w:val="FootnoteText"/>
        <w:tabs>
          <w:tab w:val="left" w:pos="8789"/>
        </w:tabs>
        <w:jc w:val="both"/>
        <w:rPr>
          <w:rStyle w:val="FootnoteReference"/>
          <w:rFonts w:ascii="Times New Roman" w:hAnsi="Times New Roman"/>
          <w:sz w:val="16"/>
          <w:szCs w:val="16"/>
          <w:vertAlign w:val="baseline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>
        <w:rPr>
          <w:rFonts w:ascii="Times New Roman" w:hAnsi="Times New Roman"/>
          <w:sz w:val="16"/>
          <w:szCs w:val="16"/>
        </w:rPr>
        <w:t>Continuous M</w:t>
      </w:r>
      <w:r w:rsidRPr="002F2B76">
        <w:rPr>
          <w:rFonts w:ascii="Times New Roman" w:hAnsi="Times New Roman"/>
          <w:sz w:val="16"/>
          <w:szCs w:val="16"/>
        </w:rPr>
        <w:t>ulti-</w:t>
      </w:r>
      <w:r>
        <w:rPr>
          <w:rFonts w:ascii="Times New Roman" w:hAnsi="Times New Roman"/>
          <w:sz w:val="16"/>
          <w:szCs w:val="16"/>
        </w:rPr>
        <w:t>S</w:t>
      </w:r>
      <w:r w:rsidRPr="002F2B76">
        <w:rPr>
          <w:rFonts w:ascii="Times New Roman" w:hAnsi="Times New Roman"/>
          <w:sz w:val="16"/>
          <w:szCs w:val="16"/>
        </w:rPr>
        <w:t>ector Survey (CMS)</w:t>
      </w:r>
      <w:r w:rsidRPr="002F2B76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2014</w:t>
      </w:r>
      <w:r w:rsidRPr="002F2B76">
        <w:rPr>
          <w:rFonts w:ascii="Times New Roman" w:hAnsi="Times New Roman"/>
          <w:sz w:val="16"/>
          <w:szCs w:val="16"/>
        </w:rPr>
        <w:t>.</w:t>
      </w:r>
    </w:p>
  </w:footnote>
  <w:footnote w:id="5">
    <w:p w14:paraId="2493853E" w14:textId="175F241C" w:rsidR="002175A0" w:rsidRPr="002F2B76" w:rsidRDefault="002175A0" w:rsidP="002343C7">
      <w:pPr>
        <w:pStyle w:val="FootnoteText"/>
        <w:tabs>
          <w:tab w:val="left" w:pos="8789"/>
        </w:tabs>
        <w:jc w:val="both"/>
        <w:rPr>
          <w:rStyle w:val="FootnoteReference"/>
          <w:rFonts w:ascii="Times New Roman" w:hAnsi="Times New Roman"/>
          <w:sz w:val="16"/>
          <w:szCs w:val="16"/>
          <w:vertAlign w:val="baseline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Pr="002F2B76">
        <w:rPr>
          <w:rFonts w:ascii="Times New Roman" w:hAnsi="Times New Roman"/>
          <w:sz w:val="16"/>
          <w:szCs w:val="16"/>
        </w:rPr>
        <w:t xml:space="preserve">Demographic and Health Survey </w:t>
      </w:r>
      <w:r w:rsidRPr="002F2B76">
        <w:rPr>
          <w:rStyle w:val="FootnoteReference"/>
          <w:rFonts w:ascii="Times New Roman" w:hAnsi="Times New Roman"/>
          <w:sz w:val="16"/>
          <w:szCs w:val="16"/>
          <w:vertAlign w:val="baseline"/>
        </w:rPr>
        <w:t>(DHS) 2010</w:t>
      </w:r>
      <w:r w:rsidRPr="002F2B76">
        <w:rPr>
          <w:rFonts w:ascii="Times New Roman" w:hAnsi="Times New Roman"/>
          <w:sz w:val="16"/>
          <w:szCs w:val="16"/>
        </w:rPr>
        <w:t>.</w:t>
      </w:r>
    </w:p>
  </w:footnote>
  <w:footnote w:id="6">
    <w:p w14:paraId="4A6B5D9C" w14:textId="73E222A8" w:rsidR="002175A0" w:rsidRPr="002F2B76" w:rsidRDefault="002175A0" w:rsidP="002343C7">
      <w:pPr>
        <w:pStyle w:val="FootnoteText"/>
        <w:tabs>
          <w:tab w:val="left" w:pos="8789"/>
        </w:tabs>
        <w:jc w:val="both"/>
        <w:rPr>
          <w:rStyle w:val="FootnoteReference"/>
          <w:rFonts w:ascii="Times New Roman" w:hAnsi="Times New Roman"/>
          <w:sz w:val="16"/>
          <w:szCs w:val="16"/>
          <w:vertAlign w:val="baseline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Pr="002F2B76">
        <w:rPr>
          <w:rFonts w:ascii="Times New Roman" w:hAnsi="Times New Roman"/>
          <w:sz w:val="16"/>
          <w:szCs w:val="16"/>
        </w:rPr>
        <w:t>National Institute of Statistics and Demography</w:t>
      </w:r>
      <w:r w:rsidRPr="002F2B76" w:rsidDel="00B63C20">
        <w:rPr>
          <w:rFonts w:ascii="Times New Roman" w:hAnsi="Times New Roman"/>
          <w:sz w:val="16"/>
          <w:szCs w:val="16"/>
        </w:rPr>
        <w:t xml:space="preserve"> </w:t>
      </w:r>
      <w:r w:rsidRPr="002F2B76">
        <w:rPr>
          <w:rStyle w:val="FootnoteReference"/>
          <w:rFonts w:ascii="Times New Roman" w:hAnsi="Times New Roman"/>
          <w:sz w:val="16"/>
          <w:szCs w:val="16"/>
          <w:vertAlign w:val="baseline"/>
        </w:rPr>
        <w:t>2015.</w:t>
      </w:r>
    </w:p>
  </w:footnote>
  <w:footnote w:id="7">
    <w:p w14:paraId="13F30B75" w14:textId="41D2AED7" w:rsidR="002175A0" w:rsidRPr="002F2B76" w:rsidRDefault="002175A0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Fonts w:ascii="Times New Roman" w:hAnsi="Times New Roman"/>
          <w:sz w:val="16"/>
          <w:szCs w:val="16"/>
        </w:rPr>
        <w:t xml:space="preserve"> Refers to the practice of combining forestry and grazing of domesticated animals in a </w:t>
      </w:r>
      <w:r>
        <w:rPr>
          <w:rFonts w:ascii="Times New Roman" w:hAnsi="Times New Roman"/>
          <w:sz w:val="16"/>
          <w:szCs w:val="16"/>
        </w:rPr>
        <w:t>sustainable manner</w:t>
      </w:r>
      <w:r w:rsidRPr="002F2B76">
        <w:rPr>
          <w:rFonts w:ascii="Times New Roman" w:hAnsi="Times New Roman"/>
          <w:sz w:val="16"/>
          <w:szCs w:val="16"/>
        </w:rPr>
        <w:t>.</w:t>
      </w:r>
    </w:p>
  </w:footnote>
  <w:footnote w:id="8">
    <w:p w14:paraId="6E0B3C8D" w14:textId="60EAD6A7" w:rsidR="002175A0" w:rsidRPr="002F2B76" w:rsidRDefault="002175A0" w:rsidP="002343C7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NESDP (2016-2020)</w:t>
      </w:r>
      <w:r w:rsidRPr="002F2B76">
        <w:rPr>
          <w:rFonts w:ascii="Times New Roman" w:hAnsi="Times New Roman"/>
          <w:sz w:val="16"/>
          <w:szCs w:val="16"/>
        </w:rPr>
        <w:t>.</w:t>
      </w:r>
    </w:p>
  </w:footnote>
  <w:footnote w:id="9">
    <w:p w14:paraId="401EDE24" w14:textId="3B1DB8EE" w:rsidR="002175A0" w:rsidRPr="002F2B76" w:rsidRDefault="002175A0" w:rsidP="002343C7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Style w:val="FootnoteReference"/>
          <w:rFonts w:ascii="Times New Roman" w:hAnsi="Times New Roman"/>
          <w:sz w:val="16"/>
          <w:szCs w:val="16"/>
        </w:rPr>
        <w:t xml:space="preserve"> </w:t>
      </w:r>
      <w:r w:rsidRPr="002F2B76">
        <w:rPr>
          <w:rFonts w:ascii="Times New Roman" w:hAnsi="Times New Roman"/>
          <w:sz w:val="16"/>
          <w:szCs w:val="16"/>
        </w:rPr>
        <w:t>Post Disaster Needs Assessment, final report, by the Government of Burkina Faso, United Nations, and the World Bank, April 2010.</w:t>
      </w:r>
    </w:p>
  </w:footnote>
  <w:footnote w:id="10">
    <w:p w14:paraId="7B3CDAB9" w14:textId="4A8A5236" w:rsidR="002175A0" w:rsidRPr="002F2B76" w:rsidRDefault="002175A0" w:rsidP="002343C7">
      <w:pPr>
        <w:pStyle w:val="FootnoteText"/>
        <w:tabs>
          <w:tab w:val="left" w:pos="8789"/>
        </w:tabs>
        <w:jc w:val="both"/>
        <w:rPr>
          <w:rFonts w:ascii="Times New Roman" w:hAnsi="Times New Roman"/>
          <w:sz w:val="16"/>
          <w:szCs w:val="16"/>
        </w:rPr>
      </w:pPr>
      <w:r w:rsidRPr="002F2B76">
        <w:rPr>
          <w:rFonts w:ascii="Times New Roman" w:hAnsi="Times New Roman"/>
          <w:sz w:val="16"/>
          <w:szCs w:val="16"/>
          <w:vertAlign w:val="superscript"/>
        </w:rPr>
        <w:footnoteRef/>
      </w:r>
      <w:r w:rsidRPr="002F2B7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F2B76">
        <w:rPr>
          <w:rFonts w:ascii="Times New Roman" w:hAnsi="Times New Roman"/>
          <w:sz w:val="16"/>
          <w:szCs w:val="16"/>
        </w:rPr>
        <w:t>Index for risk management is a collaborative project between the Inter-Agency Standing Committee and European Commission.</w:t>
      </w:r>
    </w:p>
  </w:footnote>
  <w:footnote w:id="11">
    <w:p w14:paraId="689FEEA1" w14:textId="77777777" w:rsidR="002175A0" w:rsidRPr="002F2B76" w:rsidRDefault="002175A0" w:rsidP="002343C7">
      <w:pPr>
        <w:pStyle w:val="FootnoteText"/>
        <w:tabs>
          <w:tab w:val="left" w:pos="8789"/>
        </w:tabs>
        <w:jc w:val="both"/>
        <w:rPr>
          <w:rFonts w:ascii="Times New Roman" w:hAnsi="Times New Roman"/>
          <w:sz w:val="16"/>
          <w:szCs w:val="16"/>
        </w:rPr>
      </w:pPr>
      <w:r w:rsidRPr="002F2B76">
        <w:rPr>
          <w:rFonts w:ascii="Times New Roman" w:hAnsi="Times New Roman"/>
          <w:sz w:val="16"/>
          <w:szCs w:val="16"/>
          <w:vertAlign w:val="superscript"/>
        </w:rPr>
        <w:footnoteRef/>
      </w:r>
      <w:r w:rsidRPr="002F2B7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F2B76">
        <w:rPr>
          <w:rFonts w:ascii="Times New Roman" w:hAnsi="Times New Roman"/>
          <w:sz w:val="16"/>
          <w:szCs w:val="16"/>
        </w:rPr>
        <w:t>Review of Projects Financed by UNDP, March 2017.</w:t>
      </w:r>
    </w:p>
  </w:footnote>
  <w:footnote w:id="12">
    <w:p w14:paraId="5A928767" w14:textId="77777777" w:rsidR="002175A0" w:rsidRPr="002F2B76" w:rsidRDefault="002175A0" w:rsidP="002343C7">
      <w:pPr>
        <w:pStyle w:val="FootnoteText"/>
        <w:tabs>
          <w:tab w:val="left" w:pos="8789"/>
        </w:tabs>
        <w:jc w:val="both"/>
        <w:rPr>
          <w:rFonts w:ascii="Times New Roman" w:hAnsi="Times New Roman"/>
          <w:sz w:val="16"/>
          <w:szCs w:val="16"/>
        </w:rPr>
      </w:pPr>
      <w:r w:rsidRPr="002F2B76">
        <w:rPr>
          <w:rFonts w:ascii="Times New Roman" w:hAnsi="Times New Roman"/>
          <w:sz w:val="16"/>
          <w:szCs w:val="16"/>
          <w:vertAlign w:val="superscript"/>
        </w:rPr>
        <w:footnoteRef/>
      </w:r>
      <w:r w:rsidRPr="002F2B7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F2B76">
        <w:rPr>
          <w:rFonts w:ascii="Times New Roman" w:hAnsi="Times New Roman"/>
          <w:i/>
          <w:sz w:val="16"/>
          <w:szCs w:val="16"/>
        </w:rPr>
        <w:t>Ibid</w:t>
      </w:r>
      <w:r w:rsidRPr="002F2B76">
        <w:rPr>
          <w:rFonts w:ascii="Times New Roman" w:hAnsi="Times New Roman"/>
          <w:sz w:val="16"/>
          <w:szCs w:val="16"/>
        </w:rPr>
        <w:t>.</w:t>
      </w:r>
    </w:p>
  </w:footnote>
  <w:footnote w:id="13">
    <w:p w14:paraId="2F202927" w14:textId="77777777" w:rsidR="002175A0" w:rsidRPr="002F2B76" w:rsidRDefault="002175A0">
      <w:pPr>
        <w:rPr>
          <w:sz w:val="16"/>
          <w:szCs w:val="16"/>
        </w:rPr>
      </w:pPr>
    </w:p>
  </w:footnote>
  <w:footnote w:id="14">
    <w:p w14:paraId="7FD78BB0" w14:textId="74A7F686" w:rsidR="002175A0" w:rsidRPr="002F2B76" w:rsidRDefault="002175A0" w:rsidP="006370ED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t>12</w:t>
      </w:r>
      <w:r w:rsidRPr="002F2B76">
        <w:rPr>
          <w:rFonts w:ascii="Times New Roman" w:hAnsi="Times New Roman"/>
          <w:sz w:val="16"/>
          <w:szCs w:val="16"/>
        </w:rPr>
        <w:t xml:space="preserve"> The “3S” initiative focuses on sustainability, security and stability.</w:t>
      </w:r>
    </w:p>
  </w:footnote>
  <w:footnote w:id="15">
    <w:p w14:paraId="0B16ECEE" w14:textId="357BE2FF" w:rsidR="002175A0" w:rsidRDefault="002175A0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t>13</w:t>
      </w:r>
      <w:r w:rsidRPr="002F2B76">
        <w:rPr>
          <w:rFonts w:ascii="Times New Roman" w:hAnsi="Times New Roman"/>
          <w:sz w:val="16"/>
          <w:szCs w:val="16"/>
        </w:rPr>
        <w:t xml:space="preserve"> See YouthConneckt Africa: </w:t>
      </w:r>
      <w:hyperlink r:id="rId2" w:history="1">
        <w:r w:rsidRPr="002F2B76">
          <w:rPr>
            <w:rStyle w:val="Hyperlink"/>
            <w:rFonts w:ascii="Times New Roman" w:hAnsi="Times New Roman"/>
            <w:sz w:val="16"/>
            <w:szCs w:val="16"/>
          </w:rPr>
          <w:t>https://www.youthconnektafrica.org/</w:t>
        </w:r>
      </w:hyperlink>
      <w:r w:rsidRPr="002F2B76">
        <w:rPr>
          <w:rFonts w:ascii="Times New Roman" w:hAnsi="Times New Roman"/>
          <w:sz w:val="16"/>
          <w:szCs w:val="16"/>
        </w:rPr>
        <w:t>.</w:t>
      </w:r>
    </w:p>
    <w:p w14:paraId="015FD481" w14:textId="009BAEB8" w:rsidR="002175A0" w:rsidRDefault="002175A0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F2B76">
        <w:rPr>
          <w:rFonts w:ascii="Times New Roman" w:hAnsi="Times New Roman"/>
          <w:sz w:val="16"/>
          <w:szCs w:val="16"/>
        </w:rPr>
        <w:t xml:space="preserve"> </w:t>
      </w:r>
      <w:r w:rsidRPr="00915A3D">
        <w:rPr>
          <w:rFonts w:ascii="Times New Roman" w:hAnsi="Times New Roman"/>
          <w:sz w:val="16"/>
        </w:rPr>
        <w:t xml:space="preserve">Partners include </w:t>
      </w:r>
      <w:r w:rsidRPr="00915A3D">
        <w:rPr>
          <w:rFonts w:ascii="Times New Roman" w:hAnsi="Times New Roman"/>
          <w:color w:val="000000"/>
          <w:sz w:val="16"/>
        </w:rPr>
        <w:t>UNDP, the United Nations Industrial Development Organization, the United Nations Environment Programme, the International Labour Organization, the United Nations Institute for Training and Research, and the Global Green Growth Institute.</w:t>
      </w:r>
    </w:p>
    <w:p w14:paraId="178C8E7F" w14:textId="0824014B" w:rsidR="002175A0" w:rsidRPr="002F2B76" w:rsidRDefault="002175A0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16">
    <w:p w14:paraId="60024FE4" w14:textId="1DF66A39" w:rsidR="002175A0" w:rsidRPr="002F2B76" w:rsidRDefault="002175A0">
      <w:pPr>
        <w:pStyle w:val="FootnoteText"/>
        <w:rPr>
          <w:rFonts w:ascii="Times New Roman" w:hAnsi="Times New Roman"/>
          <w:sz w:val="16"/>
          <w:szCs w:val="16"/>
        </w:rPr>
      </w:pPr>
      <w:r w:rsidRPr="002F2B76"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Private organization.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37CE" w14:textId="77777777" w:rsidR="002175A0" w:rsidRPr="00816CFE" w:rsidRDefault="002175A0">
    <w:pPr>
      <w:pStyle w:val="Header"/>
      <w:jc w:val="center"/>
      <w:rPr>
        <w:rFonts w:ascii="Times New Roman" w:hAnsi="Times New Roman"/>
        <w:sz w:val="18"/>
        <w:lang w:val="en-US"/>
      </w:rPr>
    </w:pPr>
    <w:r w:rsidRPr="00816CFE">
      <w:rPr>
        <w:rFonts w:ascii="Times New Roman" w:hAnsi="Times New Roman"/>
        <w:b/>
        <w:sz w:val="18"/>
        <w:lang w:val="en-US"/>
      </w:rPr>
      <w:t>Version Date</w:t>
    </w:r>
    <w:r w:rsidRPr="00816CFE">
      <w:rPr>
        <w:rFonts w:ascii="Times New Roman" w:hAnsi="Times New Roman"/>
        <w:b/>
        <w:noProof/>
        <w:sz w:val="18"/>
      </w:rPr>
      <w:t>:</w:t>
    </w:r>
    <w:r w:rsidRPr="00816CFE">
      <w:rPr>
        <w:rFonts w:ascii="Times New Roman" w:hAnsi="Times New Roman"/>
        <w:sz w:val="18"/>
        <w:lang w:val="en-US"/>
      </w:rPr>
      <w:t xml:space="preserve"> 2017</w:t>
    </w:r>
  </w:p>
  <w:p w14:paraId="78D5C1C2" w14:textId="77777777" w:rsidR="002175A0" w:rsidRPr="00816CFE" w:rsidRDefault="00217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1"/>
    </w:tblGrid>
    <w:tr w:rsidR="002175A0" w:rsidRPr="00343B05" w14:paraId="169A834A" w14:textId="77777777" w:rsidTr="001343B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4684E47" w14:textId="77777777" w:rsidR="002175A0" w:rsidRPr="00343B05" w:rsidRDefault="002175A0" w:rsidP="00343B05">
          <w:pPr>
            <w:tabs>
              <w:tab w:val="center" w:pos="4320"/>
              <w:tab w:val="right" w:pos="8640"/>
            </w:tabs>
            <w:spacing w:after="120"/>
            <w:rPr>
              <w:noProof/>
              <w:snapToGrid/>
              <w:sz w:val="17"/>
              <w:lang w:eastAsia="en-US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8FCB2B" w14:textId="77777777" w:rsidR="002175A0" w:rsidRPr="00343B05" w:rsidRDefault="002175A0" w:rsidP="00343B05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napToGrid/>
              <w:spacing w:val="2"/>
              <w:w w:val="96"/>
              <w:kern w:val="14"/>
              <w:sz w:val="28"/>
              <w:lang w:val="en-GB" w:eastAsia="en-US"/>
            </w:rPr>
          </w:pPr>
          <w:r w:rsidRPr="00343B05">
            <w:rPr>
              <w:snapToGrid/>
              <w:spacing w:val="2"/>
              <w:w w:val="96"/>
              <w:kern w:val="14"/>
              <w:sz w:val="28"/>
              <w:lang w:val="en-GB" w:eastAsia="en-US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7720524" w14:textId="77777777" w:rsidR="002175A0" w:rsidRPr="00343B05" w:rsidRDefault="002175A0" w:rsidP="00343B05">
          <w:pPr>
            <w:tabs>
              <w:tab w:val="center" w:pos="4320"/>
              <w:tab w:val="right" w:pos="8640"/>
            </w:tabs>
            <w:spacing w:after="120"/>
            <w:rPr>
              <w:noProof/>
              <w:snapToGrid/>
              <w:sz w:val="17"/>
              <w:lang w:eastAsia="en-US"/>
            </w:rPr>
          </w:pPr>
        </w:p>
      </w:tc>
      <w:tc>
        <w:tcPr>
          <w:tcW w:w="651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C3C0BB9" w14:textId="77777777" w:rsidR="002175A0" w:rsidRPr="00343B05" w:rsidRDefault="002175A0" w:rsidP="00343B05">
          <w:pPr>
            <w:suppressAutoHyphens/>
            <w:spacing w:after="80"/>
            <w:jc w:val="right"/>
            <w:rPr>
              <w:snapToGrid/>
              <w:spacing w:val="4"/>
              <w:w w:val="103"/>
              <w:kern w:val="14"/>
              <w:position w:val="-4"/>
              <w:lang w:val="en-GB" w:eastAsia="en-US"/>
            </w:rPr>
          </w:pPr>
          <w:r w:rsidRPr="00343B05">
            <w:rPr>
              <w:snapToGrid/>
              <w:spacing w:val="4"/>
              <w:w w:val="103"/>
              <w:kern w:val="14"/>
              <w:position w:val="-4"/>
              <w:sz w:val="40"/>
              <w:lang w:val="en-GB" w:eastAsia="en-US"/>
            </w:rPr>
            <w:t>DP</w:t>
          </w:r>
          <w:r w:rsidRPr="00343B05">
            <w:rPr>
              <w:snapToGrid/>
              <w:spacing w:val="4"/>
              <w:w w:val="103"/>
              <w:kern w:val="14"/>
              <w:position w:val="-4"/>
              <w:lang w:val="en-GB" w:eastAsia="en-US"/>
            </w:rPr>
            <w:t>/</w:t>
          </w:r>
          <w:r w:rsidRPr="00BE55A1">
            <w:rPr>
              <w:snapToGrid/>
              <w:spacing w:val="4"/>
              <w:w w:val="103"/>
              <w:kern w:val="14"/>
              <w:position w:val="-4"/>
              <w:sz w:val="20"/>
              <w:szCs w:val="20"/>
              <w:lang w:val="en-GB" w:eastAsia="en-US"/>
            </w:rPr>
            <w:t>DCP/BFA/3</w:t>
          </w:r>
        </w:p>
      </w:tc>
    </w:tr>
    <w:tr w:rsidR="002175A0" w:rsidRPr="00343B05" w14:paraId="043C35E0" w14:textId="77777777" w:rsidTr="001343B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AB6182" w14:textId="77777777" w:rsidR="002175A0" w:rsidRPr="00343B05" w:rsidRDefault="002175A0" w:rsidP="00343B05">
          <w:pPr>
            <w:tabs>
              <w:tab w:val="center" w:pos="4320"/>
              <w:tab w:val="right" w:pos="8640"/>
            </w:tabs>
            <w:spacing w:before="109"/>
            <w:rPr>
              <w:noProof/>
              <w:snapToGrid/>
              <w:sz w:val="17"/>
              <w:lang w:eastAsia="en-US"/>
            </w:rPr>
          </w:pPr>
          <w:r w:rsidRPr="00343B05">
            <w:rPr>
              <w:noProof/>
              <w:snapToGrid/>
              <w:sz w:val="17"/>
              <w:lang w:eastAsia="en-US"/>
            </w:rPr>
            <w:t xml:space="preserve"> </w:t>
          </w:r>
          <w:r w:rsidRPr="00343B05">
            <w:rPr>
              <w:noProof/>
              <w:snapToGrid/>
              <w:sz w:val="17"/>
              <w:lang w:eastAsia="en-US"/>
            </w:rPr>
            <w:drawing>
              <wp:inline distT="0" distB="0" distL="0" distR="0" wp14:anchorId="0AA248B1" wp14:editId="0ECB6FCB">
                <wp:extent cx="702945" cy="592455"/>
                <wp:effectExtent l="0" t="0" r="1905" b="0"/>
                <wp:docPr id="5" name="Picture 5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C897D7" w14:textId="77777777" w:rsidR="002175A0" w:rsidRPr="00343B05" w:rsidRDefault="002175A0" w:rsidP="00343B05">
          <w:pPr>
            <w:tabs>
              <w:tab w:val="center" w:pos="4320"/>
              <w:tab w:val="right" w:pos="8640"/>
            </w:tabs>
            <w:spacing w:before="109"/>
            <w:rPr>
              <w:noProof/>
              <w:snapToGrid/>
              <w:sz w:val="17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75BDE3" w14:textId="77777777" w:rsidR="002175A0" w:rsidRPr="00343B05" w:rsidRDefault="002175A0" w:rsidP="00343B05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napToGrid/>
              <w:spacing w:val="-4"/>
              <w:w w:val="98"/>
              <w:kern w:val="14"/>
              <w:sz w:val="34"/>
              <w:lang w:val="en-GB" w:eastAsia="en-US"/>
            </w:rPr>
          </w:pPr>
          <w:r w:rsidRPr="00343B05">
            <w:rPr>
              <w:b/>
              <w:snapToGrid/>
              <w:sz w:val="34"/>
              <w:lang w:eastAsia="en-US"/>
            </w:rPr>
            <w:t>Executive Board of the</w:t>
          </w:r>
          <w:r w:rsidRPr="00343B05">
            <w:rPr>
              <w:b/>
              <w:snapToGrid/>
              <w:sz w:val="34"/>
              <w:lang w:eastAsia="en-US"/>
            </w:rPr>
            <w:br/>
            <w:t>United Nations Development</w:t>
          </w:r>
          <w:r w:rsidRPr="00343B05">
            <w:rPr>
              <w:b/>
              <w:snapToGrid/>
              <w:sz w:val="34"/>
              <w:lang w:eastAsia="en-US"/>
            </w:rPr>
            <w:br/>
            <w:t xml:space="preserve">Programme, the United Nations Population Fund and the </w:t>
          </w:r>
          <w:r w:rsidRPr="00343B05">
            <w:rPr>
              <w:b/>
              <w:snapToGrid/>
              <w:sz w:val="34"/>
              <w:lang w:eastAsia="en-US"/>
            </w:rPr>
            <w:br/>
            <w:t xml:space="preserve">United Nations Office for </w:t>
          </w:r>
          <w:r w:rsidRPr="00343B05">
            <w:rPr>
              <w:b/>
              <w:snapToGrid/>
              <w:sz w:val="34"/>
              <w:lang w:eastAsia="en-US"/>
            </w:rPr>
            <w:br/>
            <w:t>Project Services</w:t>
          </w:r>
        </w:p>
        <w:p w14:paraId="1302A2CE" w14:textId="77777777" w:rsidR="002175A0" w:rsidRPr="00343B05" w:rsidRDefault="002175A0" w:rsidP="00343B05">
          <w:pPr>
            <w:rPr>
              <w:snapToGrid/>
              <w:sz w:val="34"/>
              <w:lang w:val="en-GB" w:eastAsia="en-US"/>
            </w:rPr>
          </w:pPr>
        </w:p>
        <w:p w14:paraId="672C7DB1" w14:textId="77777777" w:rsidR="002175A0" w:rsidRPr="00343B05" w:rsidRDefault="002175A0" w:rsidP="00343B05">
          <w:pPr>
            <w:ind w:firstLine="720"/>
            <w:rPr>
              <w:snapToGrid/>
              <w:sz w:val="34"/>
              <w:lang w:val="en-GB" w:eastAsia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DEECBB" w14:textId="77777777" w:rsidR="002175A0" w:rsidRPr="00BE55A1" w:rsidRDefault="002175A0" w:rsidP="00343B05">
          <w:pPr>
            <w:tabs>
              <w:tab w:val="center" w:pos="4320"/>
              <w:tab w:val="right" w:pos="8640"/>
            </w:tabs>
            <w:spacing w:before="109"/>
            <w:rPr>
              <w:noProof/>
              <w:snapToGrid/>
              <w:sz w:val="20"/>
              <w:szCs w:val="20"/>
              <w:lang w:eastAsia="en-US"/>
            </w:rPr>
          </w:pPr>
        </w:p>
      </w:tc>
      <w:tc>
        <w:tcPr>
          <w:tcW w:w="3161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32C9E51" w14:textId="77777777" w:rsidR="002175A0" w:rsidRPr="00BE55A1" w:rsidRDefault="002175A0" w:rsidP="00343B05">
          <w:pPr>
            <w:suppressAutoHyphens/>
            <w:spacing w:before="240" w:line="240" w:lineRule="exact"/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  <w:r w:rsidRPr="00BE55A1"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  <w:t>Distr.: General</w:t>
          </w:r>
        </w:p>
        <w:p w14:paraId="11C28835" w14:textId="77777777" w:rsidR="002175A0" w:rsidRPr="00BE55A1" w:rsidRDefault="002175A0" w:rsidP="00343B05">
          <w:pPr>
            <w:suppressAutoHyphens/>
            <w:spacing w:line="240" w:lineRule="exact"/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  <w:r w:rsidRPr="00BE55A1"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  <w:t>30 October 2017</w:t>
          </w:r>
        </w:p>
        <w:p w14:paraId="6EF0199D" w14:textId="77777777" w:rsidR="002175A0" w:rsidRPr="00BE55A1" w:rsidRDefault="002175A0" w:rsidP="00343B05">
          <w:pPr>
            <w:suppressAutoHyphens/>
            <w:spacing w:line="240" w:lineRule="exact"/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</w:p>
        <w:p w14:paraId="0C139D5D" w14:textId="77777777" w:rsidR="002175A0" w:rsidRPr="00BE55A1" w:rsidRDefault="002175A0" w:rsidP="00343B05">
          <w:pPr>
            <w:suppressAutoHyphens/>
            <w:spacing w:line="240" w:lineRule="exact"/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  <w:r w:rsidRPr="00BE55A1">
            <w:rPr>
              <w:snapToGrid/>
              <w:spacing w:val="4"/>
              <w:w w:val="103"/>
              <w:kern w:val="14"/>
              <w:sz w:val="20"/>
              <w:szCs w:val="20"/>
              <w:lang w:val="en-GB" w:eastAsia="en-US"/>
            </w:rPr>
            <w:t>Original: English</w:t>
          </w:r>
        </w:p>
        <w:p w14:paraId="6788C00A" w14:textId="77777777" w:rsidR="002175A0" w:rsidRPr="00BE55A1" w:rsidRDefault="002175A0" w:rsidP="00343B05">
          <w:pPr>
            <w:rPr>
              <w:snapToGrid/>
              <w:sz w:val="20"/>
              <w:szCs w:val="20"/>
              <w:lang w:val="en-GB" w:eastAsia="en-US"/>
            </w:rPr>
          </w:pPr>
        </w:p>
      </w:tc>
    </w:tr>
  </w:tbl>
  <w:p w14:paraId="14EB779E" w14:textId="77777777" w:rsidR="002175A0" w:rsidRPr="00D101FF" w:rsidRDefault="002175A0">
    <w:pPr>
      <w:pStyle w:val="Header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2175A0" w:rsidRPr="00816CFE" w14:paraId="245773B8" w14:textId="7777777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BF5FFCF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</w:rPr>
          </w:pPr>
          <w:r w:rsidRPr="00816CFE">
            <w:rPr>
              <w:b/>
              <w:noProof/>
              <w:sz w:val="17"/>
            </w:rPr>
            <w:t>DP/DCP/BFA/</w:t>
          </w:r>
          <w:r>
            <w:rPr>
              <w:b/>
              <w:noProof/>
              <w:sz w:val="17"/>
            </w:rPr>
            <w:t>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5763A255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rPr>
              <w:sz w:val="17"/>
            </w:rPr>
          </w:pPr>
        </w:p>
      </w:tc>
    </w:tr>
  </w:tbl>
  <w:p w14:paraId="49FF0F58" w14:textId="77777777" w:rsidR="002175A0" w:rsidRPr="00816CFE" w:rsidRDefault="002175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2175A0" w:rsidRPr="00816CFE" w14:paraId="4BFD9189" w14:textId="7777777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tbl>
          <w:tblPr>
            <w:tblW w:w="0" w:type="auto"/>
            <w:tblBorders>
              <w:bottom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38"/>
            <w:gridCol w:w="5047"/>
          </w:tblGrid>
          <w:tr w:rsidR="002175A0" w:rsidRPr="00816CFE" w14:paraId="5E20E39B" w14:textId="77777777">
            <w:trPr>
              <w:trHeight w:hRule="exact" w:val="864"/>
            </w:trPr>
            <w:tc>
              <w:tcPr>
                <w:tcW w:w="48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86B74D" w14:textId="77777777" w:rsidR="002175A0" w:rsidRPr="00816CFE" w:rsidRDefault="002175A0">
                <w:pPr>
                  <w:widowControl w:val="0"/>
                  <w:tabs>
                    <w:tab w:val="center" w:pos="4320"/>
                    <w:tab w:val="right" w:pos="8640"/>
                  </w:tabs>
                  <w:spacing w:after="80"/>
                  <w:rPr>
                    <w:b/>
                    <w:sz w:val="17"/>
                  </w:rPr>
                </w:pPr>
              </w:p>
            </w:tc>
            <w:tc>
              <w:tcPr>
                <w:tcW w:w="50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63303AD" w14:textId="77777777" w:rsidR="002175A0" w:rsidRPr="00816CFE" w:rsidRDefault="002175A0">
                <w:pPr>
                  <w:widowControl w:val="0"/>
                  <w:tabs>
                    <w:tab w:val="center" w:pos="4320"/>
                    <w:tab w:val="right" w:pos="8640"/>
                  </w:tabs>
                  <w:rPr>
                    <w:sz w:val="17"/>
                  </w:rPr>
                </w:pPr>
              </w:p>
            </w:tc>
          </w:tr>
        </w:tbl>
        <w:p w14:paraId="2EC89065" w14:textId="77777777" w:rsidR="002175A0" w:rsidRPr="00816CFE" w:rsidRDefault="002175A0">
          <w:pPr>
            <w:pStyle w:val="Header"/>
          </w:pPr>
        </w:p>
        <w:p w14:paraId="5F58396C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569FD00E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</w:rPr>
          </w:pPr>
          <w:r w:rsidRPr="00816CFE">
            <w:rPr>
              <w:b/>
              <w:noProof/>
              <w:sz w:val="17"/>
            </w:rPr>
            <w:t>DP/DCP/BFA</w:t>
          </w:r>
          <w:r>
            <w:rPr>
              <w:b/>
              <w:noProof/>
              <w:sz w:val="17"/>
            </w:rPr>
            <w:t>/3</w:t>
          </w:r>
        </w:p>
      </w:tc>
    </w:tr>
  </w:tbl>
  <w:p w14:paraId="59C5168D" w14:textId="77777777" w:rsidR="002175A0" w:rsidRPr="00816CFE" w:rsidRDefault="002175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4"/>
      <w:gridCol w:w="6649"/>
    </w:tblGrid>
    <w:tr w:rsidR="002175A0" w:rsidRPr="00816CFE" w14:paraId="33320D0B" w14:textId="77777777" w:rsidTr="00AE34E0">
      <w:trPr>
        <w:trHeight w:hRule="exact" w:val="818"/>
      </w:trPr>
      <w:tc>
        <w:tcPr>
          <w:tcW w:w="6374" w:type="dxa"/>
          <w:tcBorders>
            <w:bottom w:val="single" w:sz="4" w:space="0" w:color="auto"/>
          </w:tcBorders>
          <w:vAlign w:val="bottom"/>
        </w:tcPr>
        <w:p w14:paraId="68E209C4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</w:rPr>
          </w:pPr>
          <w:r w:rsidRPr="00816CFE">
            <w:rPr>
              <w:b/>
              <w:noProof/>
              <w:sz w:val="17"/>
            </w:rPr>
            <w:t>DP/DCP/BFA/</w:t>
          </w:r>
          <w:r>
            <w:rPr>
              <w:b/>
              <w:noProof/>
              <w:sz w:val="17"/>
            </w:rPr>
            <w:t>3</w:t>
          </w:r>
        </w:p>
      </w:tc>
      <w:tc>
        <w:tcPr>
          <w:tcW w:w="6649" w:type="dxa"/>
          <w:tcBorders>
            <w:bottom w:val="single" w:sz="4" w:space="0" w:color="auto"/>
          </w:tcBorders>
          <w:vAlign w:val="bottom"/>
        </w:tcPr>
        <w:p w14:paraId="429D9A37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rPr>
              <w:sz w:val="17"/>
            </w:rPr>
          </w:pPr>
        </w:p>
      </w:tc>
    </w:tr>
  </w:tbl>
  <w:p w14:paraId="222B2967" w14:textId="77777777" w:rsidR="002175A0" w:rsidRPr="00816CFE" w:rsidRDefault="002175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48"/>
      <w:gridCol w:w="6726"/>
    </w:tblGrid>
    <w:tr w:rsidR="002175A0" w:rsidRPr="00816CFE" w14:paraId="47269323" w14:textId="77777777" w:rsidTr="00AE34E0">
      <w:trPr>
        <w:trHeight w:hRule="exact" w:val="576"/>
      </w:trPr>
      <w:tc>
        <w:tcPr>
          <w:tcW w:w="6448" w:type="dxa"/>
          <w:tcBorders>
            <w:bottom w:val="single" w:sz="4" w:space="0" w:color="auto"/>
          </w:tcBorders>
          <w:vAlign w:val="bottom"/>
        </w:tcPr>
        <w:p w14:paraId="60902E3B" w14:textId="77777777" w:rsidR="002175A0" w:rsidRPr="00816CFE" w:rsidRDefault="002175A0">
          <w:pPr>
            <w:pStyle w:val="Header"/>
          </w:pPr>
          <w:bookmarkStart w:id="3" w:name="_Hlk495419849"/>
        </w:p>
        <w:p w14:paraId="164A6F4B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</w:rPr>
          </w:pPr>
        </w:p>
      </w:tc>
      <w:tc>
        <w:tcPr>
          <w:tcW w:w="6726" w:type="dxa"/>
          <w:tcBorders>
            <w:bottom w:val="single" w:sz="4" w:space="0" w:color="auto"/>
          </w:tcBorders>
          <w:vAlign w:val="bottom"/>
        </w:tcPr>
        <w:p w14:paraId="409C4C44" w14:textId="77777777" w:rsidR="002175A0" w:rsidRPr="00816CFE" w:rsidRDefault="002175A0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</w:rPr>
          </w:pPr>
          <w:r w:rsidRPr="00816CFE">
            <w:rPr>
              <w:b/>
              <w:noProof/>
              <w:sz w:val="17"/>
            </w:rPr>
            <w:t>DP/DCP/BFA</w:t>
          </w:r>
          <w:r>
            <w:rPr>
              <w:b/>
              <w:noProof/>
              <w:sz w:val="17"/>
            </w:rPr>
            <w:t>/3</w:t>
          </w:r>
        </w:p>
      </w:tc>
    </w:tr>
    <w:bookmarkEnd w:id="3"/>
  </w:tbl>
  <w:p w14:paraId="2DE775AA" w14:textId="77777777" w:rsidR="002175A0" w:rsidRPr="00816CFE" w:rsidRDefault="002175A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48"/>
      <w:gridCol w:w="6726"/>
    </w:tblGrid>
    <w:tr w:rsidR="002175A0" w:rsidRPr="00816CFE" w14:paraId="1AB94F6B" w14:textId="77777777" w:rsidTr="001343B7">
      <w:trPr>
        <w:trHeight w:hRule="exact" w:val="576"/>
      </w:trPr>
      <w:tc>
        <w:tcPr>
          <w:tcW w:w="6448" w:type="dxa"/>
          <w:tcBorders>
            <w:bottom w:val="single" w:sz="4" w:space="0" w:color="auto"/>
          </w:tcBorders>
          <w:vAlign w:val="bottom"/>
        </w:tcPr>
        <w:p w14:paraId="4A22D3D1" w14:textId="77777777" w:rsidR="002175A0" w:rsidRPr="00816CFE" w:rsidRDefault="002175A0" w:rsidP="000E1D02">
          <w:pPr>
            <w:pStyle w:val="Header"/>
          </w:pPr>
        </w:p>
        <w:p w14:paraId="3524C8BA" w14:textId="77777777" w:rsidR="002175A0" w:rsidRPr="00816CFE" w:rsidRDefault="002175A0" w:rsidP="000E1D02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</w:rPr>
          </w:pPr>
        </w:p>
      </w:tc>
      <w:tc>
        <w:tcPr>
          <w:tcW w:w="6726" w:type="dxa"/>
          <w:tcBorders>
            <w:bottom w:val="single" w:sz="4" w:space="0" w:color="auto"/>
          </w:tcBorders>
          <w:vAlign w:val="bottom"/>
        </w:tcPr>
        <w:p w14:paraId="5F354C34" w14:textId="77777777" w:rsidR="002175A0" w:rsidRPr="00816CFE" w:rsidRDefault="002175A0" w:rsidP="000E1D02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</w:rPr>
          </w:pPr>
          <w:r w:rsidRPr="00816CFE">
            <w:rPr>
              <w:b/>
              <w:noProof/>
              <w:sz w:val="17"/>
            </w:rPr>
            <w:t>DP/DCP/BFA</w:t>
          </w:r>
          <w:r>
            <w:rPr>
              <w:b/>
              <w:noProof/>
              <w:sz w:val="17"/>
            </w:rPr>
            <w:t>/3</w:t>
          </w:r>
        </w:p>
      </w:tc>
    </w:tr>
  </w:tbl>
  <w:p w14:paraId="52287E42" w14:textId="77777777" w:rsidR="002175A0" w:rsidRPr="00D101FF" w:rsidRDefault="002175A0">
    <w:pPr>
      <w:pStyle w:val="Header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ADF"/>
    <w:multiLevelType w:val="hybridMultilevel"/>
    <w:tmpl w:val="0686B498"/>
    <w:lvl w:ilvl="0" w:tplc="B646399A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  <w:bCs w:val="0"/>
        <w:lang w:val="en-GB"/>
      </w:rPr>
    </w:lvl>
    <w:lvl w:ilvl="1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EE997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7F4014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6B6999"/>
    <w:multiLevelType w:val="hybridMultilevel"/>
    <w:tmpl w:val="08701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647AB"/>
    <w:multiLevelType w:val="hybridMultilevel"/>
    <w:tmpl w:val="3B1ABEBC"/>
    <w:lvl w:ilvl="0" w:tplc="D988F978">
      <w:start w:val="1"/>
      <w:numFmt w:val="decimal"/>
      <w:lvlText w:val="%1."/>
      <w:lvlJc w:val="left"/>
      <w:pPr>
        <w:tabs>
          <w:tab w:val="num" w:pos="1800"/>
        </w:tabs>
        <w:ind w:left="12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4CC474">
      <w:start w:val="1"/>
      <w:numFmt w:val="lowerLetter"/>
      <w:lvlText w:val="%2."/>
      <w:lvlJc w:val="left"/>
      <w:pPr>
        <w:ind w:left="1800" w:hanging="7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5AE694">
      <w:start w:val="1"/>
      <w:numFmt w:val="lowerRoman"/>
      <w:lvlText w:val="%3."/>
      <w:lvlJc w:val="left"/>
      <w:pPr>
        <w:ind w:left="1800" w:hanging="7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14B654">
      <w:start w:val="1"/>
      <w:numFmt w:val="decimal"/>
      <w:lvlText w:val="%4."/>
      <w:lvlJc w:val="left"/>
      <w:pPr>
        <w:ind w:left="125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2F3DA">
      <w:start w:val="1"/>
      <w:numFmt w:val="lowerLetter"/>
      <w:lvlText w:val="%5."/>
      <w:lvlJc w:val="left"/>
      <w:pPr>
        <w:tabs>
          <w:tab w:val="num" w:pos="1800"/>
        </w:tabs>
        <w:ind w:left="12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58366A">
      <w:start w:val="1"/>
      <w:numFmt w:val="lowerRoman"/>
      <w:lvlText w:val="%6."/>
      <w:lvlJc w:val="left"/>
      <w:pPr>
        <w:tabs>
          <w:tab w:val="num" w:pos="2520"/>
        </w:tabs>
        <w:ind w:left="1987" w:firstLine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4BCCC">
      <w:start w:val="1"/>
      <w:numFmt w:val="decimal"/>
      <w:lvlText w:val="%7."/>
      <w:lvlJc w:val="left"/>
      <w:pPr>
        <w:tabs>
          <w:tab w:val="num" w:pos="3240"/>
        </w:tabs>
        <w:ind w:left="2707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96F982">
      <w:start w:val="1"/>
      <w:numFmt w:val="lowerLetter"/>
      <w:lvlText w:val="%8."/>
      <w:lvlJc w:val="left"/>
      <w:pPr>
        <w:tabs>
          <w:tab w:val="num" w:pos="3960"/>
        </w:tabs>
        <w:ind w:left="3427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AEA44">
      <w:start w:val="1"/>
      <w:numFmt w:val="lowerRoman"/>
      <w:lvlText w:val="%9."/>
      <w:lvlJc w:val="left"/>
      <w:pPr>
        <w:tabs>
          <w:tab w:val="num" w:pos="4680"/>
        </w:tabs>
        <w:ind w:left="4147" w:firstLine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E32A64"/>
    <w:multiLevelType w:val="hybridMultilevel"/>
    <w:tmpl w:val="56346C18"/>
    <w:lvl w:ilvl="0" w:tplc="040C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 w15:restartNumberingAfterBreak="0">
    <w:nsid w:val="100A749E"/>
    <w:multiLevelType w:val="hybridMultilevel"/>
    <w:tmpl w:val="CA02308C"/>
    <w:lvl w:ilvl="0" w:tplc="040C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" w15:restartNumberingAfterBreak="0">
    <w:nsid w:val="14757027"/>
    <w:multiLevelType w:val="hybridMultilevel"/>
    <w:tmpl w:val="3780B582"/>
    <w:lvl w:ilvl="0" w:tplc="040C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7C46"/>
    <w:multiLevelType w:val="hybridMultilevel"/>
    <w:tmpl w:val="44C25232"/>
    <w:lvl w:ilvl="0" w:tplc="42C03E52">
      <w:start w:val="2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382BB2"/>
    <w:multiLevelType w:val="hybridMultilevel"/>
    <w:tmpl w:val="6C1E2A92"/>
    <w:lvl w:ilvl="0" w:tplc="FFFFFFFF">
      <w:start w:val="1"/>
      <w:numFmt w:val="decimal"/>
      <w:pStyle w:val="UNpara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BE3A25"/>
    <w:multiLevelType w:val="hybridMultilevel"/>
    <w:tmpl w:val="1D2C6044"/>
    <w:lvl w:ilvl="0" w:tplc="AA76F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485B"/>
    <w:multiLevelType w:val="hybridMultilevel"/>
    <w:tmpl w:val="0E5AF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C60DB"/>
    <w:multiLevelType w:val="hybridMultilevel"/>
    <w:tmpl w:val="3B1ABEBC"/>
    <w:numStyleLink w:val="ImportedStyle3"/>
  </w:abstractNum>
  <w:abstractNum w:abstractNumId="11" w15:restartNumberingAfterBreak="0">
    <w:nsid w:val="441B0C40"/>
    <w:multiLevelType w:val="hybridMultilevel"/>
    <w:tmpl w:val="830A770E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46375E0F"/>
    <w:multiLevelType w:val="multilevel"/>
    <w:tmpl w:val="C980D120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917397C"/>
    <w:multiLevelType w:val="hybridMultilevel"/>
    <w:tmpl w:val="01F42832"/>
    <w:lvl w:ilvl="0" w:tplc="AB52E8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5A7D71"/>
    <w:multiLevelType w:val="hybridMultilevel"/>
    <w:tmpl w:val="F6DAA636"/>
    <w:lvl w:ilvl="0" w:tplc="040C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5D9D14FF"/>
    <w:multiLevelType w:val="hybridMultilevel"/>
    <w:tmpl w:val="3B1ABEBC"/>
    <w:styleLink w:val="ImportedStyle3"/>
    <w:lvl w:ilvl="0" w:tplc="A2B8F1BC">
      <w:start w:val="1"/>
      <w:numFmt w:val="decimal"/>
      <w:pStyle w:val="Para1"/>
      <w:lvlText w:val="%1."/>
      <w:lvlJc w:val="left"/>
      <w:pPr>
        <w:tabs>
          <w:tab w:val="num" w:pos="1800"/>
        </w:tabs>
        <w:ind w:left="12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5CE3C6">
      <w:start w:val="1"/>
      <w:numFmt w:val="lowerLetter"/>
      <w:lvlText w:val="%2."/>
      <w:lvlJc w:val="left"/>
      <w:pPr>
        <w:ind w:left="1800" w:hanging="7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467CEC">
      <w:start w:val="1"/>
      <w:numFmt w:val="lowerRoman"/>
      <w:lvlText w:val="%3."/>
      <w:lvlJc w:val="left"/>
      <w:pPr>
        <w:ind w:left="1800" w:hanging="7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ED97A">
      <w:start w:val="1"/>
      <w:numFmt w:val="decimal"/>
      <w:lvlText w:val="%4."/>
      <w:lvlJc w:val="left"/>
      <w:pPr>
        <w:ind w:left="125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2AA94">
      <w:start w:val="1"/>
      <w:numFmt w:val="lowerLetter"/>
      <w:lvlText w:val="%5."/>
      <w:lvlJc w:val="left"/>
      <w:pPr>
        <w:tabs>
          <w:tab w:val="num" w:pos="1800"/>
        </w:tabs>
        <w:ind w:left="12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56D584">
      <w:start w:val="1"/>
      <w:numFmt w:val="lowerRoman"/>
      <w:lvlText w:val="%6."/>
      <w:lvlJc w:val="left"/>
      <w:pPr>
        <w:tabs>
          <w:tab w:val="num" w:pos="2520"/>
        </w:tabs>
        <w:ind w:left="1987" w:firstLine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AF290">
      <w:start w:val="1"/>
      <w:numFmt w:val="decimal"/>
      <w:lvlText w:val="%7."/>
      <w:lvlJc w:val="left"/>
      <w:pPr>
        <w:tabs>
          <w:tab w:val="num" w:pos="3240"/>
        </w:tabs>
        <w:ind w:left="2707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6C8A7A">
      <w:start w:val="1"/>
      <w:numFmt w:val="lowerLetter"/>
      <w:lvlText w:val="%8."/>
      <w:lvlJc w:val="left"/>
      <w:pPr>
        <w:tabs>
          <w:tab w:val="num" w:pos="3960"/>
        </w:tabs>
        <w:ind w:left="3427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672F4">
      <w:start w:val="1"/>
      <w:numFmt w:val="lowerRoman"/>
      <w:lvlText w:val="%9."/>
      <w:lvlJc w:val="left"/>
      <w:pPr>
        <w:tabs>
          <w:tab w:val="num" w:pos="4680"/>
        </w:tabs>
        <w:ind w:left="4147" w:firstLine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3D0472"/>
    <w:multiLevelType w:val="hybridMultilevel"/>
    <w:tmpl w:val="FBEE947C"/>
    <w:lvl w:ilvl="0" w:tplc="0E88FAF4">
      <w:start w:val="2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10"/>
    <w:lvlOverride w:ilvl="0">
      <w:startOverride w:val="14"/>
    </w:lvlOverride>
  </w:num>
  <w:num w:numId="9">
    <w:abstractNumId w:val="2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53"/>
    <w:rsid w:val="0000069C"/>
    <w:rsid w:val="00000C85"/>
    <w:rsid w:val="00000FFA"/>
    <w:rsid w:val="00002F65"/>
    <w:rsid w:val="00003423"/>
    <w:rsid w:val="0000350D"/>
    <w:rsid w:val="00003B7B"/>
    <w:rsid w:val="00003CB8"/>
    <w:rsid w:val="000042F4"/>
    <w:rsid w:val="0000445E"/>
    <w:rsid w:val="00004BCC"/>
    <w:rsid w:val="0000553C"/>
    <w:rsid w:val="00005B8E"/>
    <w:rsid w:val="00005CAA"/>
    <w:rsid w:val="00005EF7"/>
    <w:rsid w:val="00006558"/>
    <w:rsid w:val="000067CA"/>
    <w:rsid w:val="00006EBE"/>
    <w:rsid w:val="0000720D"/>
    <w:rsid w:val="0000797C"/>
    <w:rsid w:val="000105E3"/>
    <w:rsid w:val="000112B9"/>
    <w:rsid w:val="00013C1C"/>
    <w:rsid w:val="000140C8"/>
    <w:rsid w:val="00014BBB"/>
    <w:rsid w:val="0001536F"/>
    <w:rsid w:val="0001545D"/>
    <w:rsid w:val="000155D3"/>
    <w:rsid w:val="00015885"/>
    <w:rsid w:val="0001642C"/>
    <w:rsid w:val="00017216"/>
    <w:rsid w:val="00017CE6"/>
    <w:rsid w:val="00017F7A"/>
    <w:rsid w:val="0002035E"/>
    <w:rsid w:val="00020594"/>
    <w:rsid w:val="00020D7E"/>
    <w:rsid w:val="000211D5"/>
    <w:rsid w:val="000212DA"/>
    <w:rsid w:val="0002192E"/>
    <w:rsid w:val="00021ED4"/>
    <w:rsid w:val="000221FC"/>
    <w:rsid w:val="00023361"/>
    <w:rsid w:val="00023B5D"/>
    <w:rsid w:val="00023F6C"/>
    <w:rsid w:val="00025180"/>
    <w:rsid w:val="00025672"/>
    <w:rsid w:val="00025A35"/>
    <w:rsid w:val="00025CF2"/>
    <w:rsid w:val="00026D1B"/>
    <w:rsid w:val="00026E0A"/>
    <w:rsid w:val="00026FFA"/>
    <w:rsid w:val="00027231"/>
    <w:rsid w:val="00027508"/>
    <w:rsid w:val="00027CA8"/>
    <w:rsid w:val="00027DC2"/>
    <w:rsid w:val="000311DD"/>
    <w:rsid w:val="00031A2B"/>
    <w:rsid w:val="00031A36"/>
    <w:rsid w:val="0003206C"/>
    <w:rsid w:val="00032D85"/>
    <w:rsid w:val="0003318E"/>
    <w:rsid w:val="000332D4"/>
    <w:rsid w:val="00033700"/>
    <w:rsid w:val="00033C28"/>
    <w:rsid w:val="00034CDF"/>
    <w:rsid w:val="0003543B"/>
    <w:rsid w:val="000358AA"/>
    <w:rsid w:val="00035DA5"/>
    <w:rsid w:val="00035E9B"/>
    <w:rsid w:val="000360DA"/>
    <w:rsid w:val="00036C78"/>
    <w:rsid w:val="0003706A"/>
    <w:rsid w:val="0003708B"/>
    <w:rsid w:val="000370B0"/>
    <w:rsid w:val="00037A71"/>
    <w:rsid w:val="00037E41"/>
    <w:rsid w:val="00037FE8"/>
    <w:rsid w:val="0004017F"/>
    <w:rsid w:val="00040872"/>
    <w:rsid w:val="00040D05"/>
    <w:rsid w:val="000417A6"/>
    <w:rsid w:val="000423E7"/>
    <w:rsid w:val="000439F4"/>
    <w:rsid w:val="00043BB4"/>
    <w:rsid w:val="0004436C"/>
    <w:rsid w:val="000446E3"/>
    <w:rsid w:val="00044B28"/>
    <w:rsid w:val="00044C7E"/>
    <w:rsid w:val="00044CBE"/>
    <w:rsid w:val="000460DF"/>
    <w:rsid w:val="0004664C"/>
    <w:rsid w:val="00046877"/>
    <w:rsid w:val="00046E95"/>
    <w:rsid w:val="00046F1C"/>
    <w:rsid w:val="00047054"/>
    <w:rsid w:val="00047A82"/>
    <w:rsid w:val="00050625"/>
    <w:rsid w:val="00050A68"/>
    <w:rsid w:val="00050F0A"/>
    <w:rsid w:val="00051538"/>
    <w:rsid w:val="000526D1"/>
    <w:rsid w:val="00052A1C"/>
    <w:rsid w:val="00052D73"/>
    <w:rsid w:val="00052DFA"/>
    <w:rsid w:val="000538FA"/>
    <w:rsid w:val="00053A6E"/>
    <w:rsid w:val="00053D49"/>
    <w:rsid w:val="0005433D"/>
    <w:rsid w:val="00055161"/>
    <w:rsid w:val="000558F3"/>
    <w:rsid w:val="00055FB7"/>
    <w:rsid w:val="000563C2"/>
    <w:rsid w:val="00056D58"/>
    <w:rsid w:val="00057105"/>
    <w:rsid w:val="00057389"/>
    <w:rsid w:val="00057485"/>
    <w:rsid w:val="00057813"/>
    <w:rsid w:val="00057C52"/>
    <w:rsid w:val="00057D46"/>
    <w:rsid w:val="00057EB6"/>
    <w:rsid w:val="000602D7"/>
    <w:rsid w:val="00060BDE"/>
    <w:rsid w:val="000618BB"/>
    <w:rsid w:val="00061F8C"/>
    <w:rsid w:val="00062540"/>
    <w:rsid w:val="00063BAF"/>
    <w:rsid w:val="0006475B"/>
    <w:rsid w:val="00064CCC"/>
    <w:rsid w:val="00064F3F"/>
    <w:rsid w:val="00065BBB"/>
    <w:rsid w:val="00065E30"/>
    <w:rsid w:val="0006640D"/>
    <w:rsid w:val="00066E52"/>
    <w:rsid w:val="0006785C"/>
    <w:rsid w:val="00067A1B"/>
    <w:rsid w:val="00067FAE"/>
    <w:rsid w:val="00070A2E"/>
    <w:rsid w:val="00071D7C"/>
    <w:rsid w:val="00071FE6"/>
    <w:rsid w:val="000724FE"/>
    <w:rsid w:val="000724FF"/>
    <w:rsid w:val="0007338E"/>
    <w:rsid w:val="0007340D"/>
    <w:rsid w:val="0007436D"/>
    <w:rsid w:val="00074610"/>
    <w:rsid w:val="00074686"/>
    <w:rsid w:val="00074720"/>
    <w:rsid w:val="00074798"/>
    <w:rsid w:val="000747E2"/>
    <w:rsid w:val="00074F1A"/>
    <w:rsid w:val="00074F95"/>
    <w:rsid w:val="000755B3"/>
    <w:rsid w:val="00075AE2"/>
    <w:rsid w:val="00075F4E"/>
    <w:rsid w:val="0007667B"/>
    <w:rsid w:val="000804A9"/>
    <w:rsid w:val="00081968"/>
    <w:rsid w:val="00082200"/>
    <w:rsid w:val="000827D1"/>
    <w:rsid w:val="00082E8F"/>
    <w:rsid w:val="00082ED9"/>
    <w:rsid w:val="000834E5"/>
    <w:rsid w:val="000838CA"/>
    <w:rsid w:val="00083AA1"/>
    <w:rsid w:val="00083BA5"/>
    <w:rsid w:val="00083EC7"/>
    <w:rsid w:val="00084268"/>
    <w:rsid w:val="000843D8"/>
    <w:rsid w:val="00084695"/>
    <w:rsid w:val="00084AF1"/>
    <w:rsid w:val="000850B7"/>
    <w:rsid w:val="00085352"/>
    <w:rsid w:val="00085D06"/>
    <w:rsid w:val="0008688A"/>
    <w:rsid w:val="000868B8"/>
    <w:rsid w:val="00086E6A"/>
    <w:rsid w:val="00087372"/>
    <w:rsid w:val="00087F2A"/>
    <w:rsid w:val="00090533"/>
    <w:rsid w:val="00090776"/>
    <w:rsid w:val="000919E2"/>
    <w:rsid w:val="00091B39"/>
    <w:rsid w:val="00092254"/>
    <w:rsid w:val="0009275A"/>
    <w:rsid w:val="0009284B"/>
    <w:rsid w:val="00092E59"/>
    <w:rsid w:val="00092F03"/>
    <w:rsid w:val="00093376"/>
    <w:rsid w:val="00093F93"/>
    <w:rsid w:val="000940E6"/>
    <w:rsid w:val="00094FDC"/>
    <w:rsid w:val="00095F22"/>
    <w:rsid w:val="000967E8"/>
    <w:rsid w:val="0009692D"/>
    <w:rsid w:val="000A03B9"/>
    <w:rsid w:val="000A0DAC"/>
    <w:rsid w:val="000A154A"/>
    <w:rsid w:val="000A19F9"/>
    <w:rsid w:val="000A1C9F"/>
    <w:rsid w:val="000A2171"/>
    <w:rsid w:val="000A222C"/>
    <w:rsid w:val="000A2370"/>
    <w:rsid w:val="000A26F0"/>
    <w:rsid w:val="000A2778"/>
    <w:rsid w:val="000A27B0"/>
    <w:rsid w:val="000A2DFF"/>
    <w:rsid w:val="000A3817"/>
    <w:rsid w:val="000A3955"/>
    <w:rsid w:val="000A4977"/>
    <w:rsid w:val="000A574D"/>
    <w:rsid w:val="000A587B"/>
    <w:rsid w:val="000A674C"/>
    <w:rsid w:val="000A6A05"/>
    <w:rsid w:val="000A6D36"/>
    <w:rsid w:val="000A6DDE"/>
    <w:rsid w:val="000A6E2C"/>
    <w:rsid w:val="000A7466"/>
    <w:rsid w:val="000A78E0"/>
    <w:rsid w:val="000B0CC7"/>
    <w:rsid w:val="000B0FF4"/>
    <w:rsid w:val="000B2923"/>
    <w:rsid w:val="000B2BFA"/>
    <w:rsid w:val="000B2DCD"/>
    <w:rsid w:val="000B40D3"/>
    <w:rsid w:val="000B46AA"/>
    <w:rsid w:val="000B4DBD"/>
    <w:rsid w:val="000B54B0"/>
    <w:rsid w:val="000B5AC7"/>
    <w:rsid w:val="000B5B52"/>
    <w:rsid w:val="000B5C76"/>
    <w:rsid w:val="000B5CF4"/>
    <w:rsid w:val="000B69E4"/>
    <w:rsid w:val="000B7187"/>
    <w:rsid w:val="000B79B4"/>
    <w:rsid w:val="000C007A"/>
    <w:rsid w:val="000C0C58"/>
    <w:rsid w:val="000C17A6"/>
    <w:rsid w:val="000C1890"/>
    <w:rsid w:val="000C1AF3"/>
    <w:rsid w:val="000C2442"/>
    <w:rsid w:val="000C27F3"/>
    <w:rsid w:val="000C3633"/>
    <w:rsid w:val="000C372B"/>
    <w:rsid w:val="000C3C7E"/>
    <w:rsid w:val="000C4456"/>
    <w:rsid w:val="000C5AE6"/>
    <w:rsid w:val="000C5B76"/>
    <w:rsid w:val="000C62E2"/>
    <w:rsid w:val="000C6AFB"/>
    <w:rsid w:val="000C74D8"/>
    <w:rsid w:val="000C78B6"/>
    <w:rsid w:val="000C7AE3"/>
    <w:rsid w:val="000C7E57"/>
    <w:rsid w:val="000C7F83"/>
    <w:rsid w:val="000D1E93"/>
    <w:rsid w:val="000D2765"/>
    <w:rsid w:val="000D276E"/>
    <w:rsid w:val="000D4646"/>
    <w:rsid w:val="000D4922"/>
    <w:rsid w:val="000D52FA"/>
    <w:rsid w:val="000D5DAA"/>
    <w:rsid w:val="000D6E94"/>
    <w:rsid w:val="000D7002"/>
    <w:rsid w:val="000D7745"/>
    <w:rsid w:val="000D7D9E"/>
    <w:rsid w:val="000D7E20"/>
    <w:rsid w:val="000E02A0"/>
    <w:rsid w:val="000E1280"/>
    <w:rsid w:val="000E1756"/>
    <w:rsid w:val="000E1D02"/>
    <w:rsid w:val="000E244E"/>
    <w:rsid w:val="000E24CB"/>
    <w:rsid w:val="000E2892"/>
    <w:rsid w:val="000E2B77"/>
    <w:rsid w:val="000E3589"/>
    <w:rsid w:val="000E394A"/>
    <w:rsid w:val="000E3ACF"/>
    <w:rsid w:val="000E3B3E"/>
    <w:rsid w:val="000E3D5B"/>
    <w:rsid w:val="000E3E0D"/>
    <w:rsid w:val="000E408C"/>
    <w:rsid w:val="000E4714"/>
    <w:rsid w:val="000E4C67"/>
    <w:rsid w:val="000E4C8E"/>
    <w:rsid w:val="000E4E53"/>
    <w:rsid w:val="000E4F74"/>
    <w:rsid w:val="000E55EB"/>
    <w:rsid w:val="000E5670"/>
    <w:rsid w:val="000E579C"/>
    <w:rsid w:val="000E63E7"/>
    <w:rsid w:val="000E68BF"/>
    <w:rsid w:val="000E781F"/>
    <w:rsid w:val="000F0436"/>
    <w:rsid w:val="000F060F"/>
    <w:rsid w:val="000F0A4A"/>
    <w:rsid w:val="000F13CD"/>
    <w:rsid w:val="000F1BED"/>
    <w:rsid w:val="000F1CCE"/>
    <w:rsid w:val="000F1F38"/>
    <w:rsid w:val="000F1F6D"/>
    <w:rsid w:val="000F242C"/>
    <w:rsid w:val="000F3B7D"/>
    <w:rsid w:val="000F3D4A"/>
    <w:rsid w:val="000F3F26"/>
    <w:rsid w:val="000F4B07"/>
    <w:rsid w:val="000F4B8C"/>
    <w:rsid w:val="000F4D12"/>
    <w:rsid w:val="000F504D"/>
    <w:rsid w:val="000F50E5"/>
    <w:rsid w:val="000F519A"/>
    <w:rsid w:val="000F52E9"/>
    <w:rsid w:val="000F5B28"/>
    <w:rsid w:val="000F5C2B"/>
    <w:rsid w:val="000F64CD"/>
    <w:rsid w:val="000F655A"/>
    <w:rsid w:val="000F6E84"/>
    <w:rsid w:val="000F7A90"/>
    <w:rsid w:val="000F7C43"/>
    <w:rsid w:val="00100EC9"/>
    <w:rsid w:val="001013B5"/>
    <w:rsid w:val="00101DB9"/>
    <w:rsid w:val="00101F64"/>
    <w:rsid w:val="00103A25"/>
    <w:rsid w:val="00104797"/>
    <w:rsid w:val="00104ADA"/>
    <w:rsid w:val="00104DD3"/>
    <w:rsid w:val="0010546D"/>
    <w:rsid w:val="0010566D"/>
    <w:rsid w:val="001057BB"/>
    <w:rsid w:val="0010792B"/>
    <w:rsid w:val="00107A28"/>
    <w:rsid w:val="00107A98"/>
    <w:rsid w:val="00110BC8"/>
    <w:rsid w:val="001114A1"/>
    <w:rsid w:val="001119CA"/>
    <w:rsid w:val="00111E74"/>
    <w:rsid w:val="00111F44"/>
    <w:rsid w:val="0011211D"/>
    <w:rsid w:val="001124AF"/>
    <w:rsid w:val="00112652"/>
    <w:rsid w:val="00112C36"/>
    <w:rsid w:val="00112F7A"/>
    <w:rsid w:val="0011387D"/>
    <w:rsid w:val="0011400F"/>
    <w:rsid w:val="00114F80"/>
    <w:rsid w:val="0011536E"/>
    <w:rsid w:val="00115835"/>
    <w:rsid w:val="00115A85"/>
    <w:rsid w:val="001200CF"/>
    <w:rsid w:val="00121114"/>
    <w:rsid w:val="00121EA8"/>
    <w:rsid w:val="001229D3"/>
    <w:rsid w:val="001231EC"/>
    <w:rsid w:val="001237EE"/>
    <w:rsid w:val="00123EFA"/>
    <w:rsid w:val="00123F8F"/>
    <w:rsid w:val="0012449A"/>
    <w:rsid w:val="00124698"/>
    <w:rsid w:val="00125432"/>
    <w:rsid w:val="001263A9"/>
    <w:rsid w:val="00126B18"/>
    <w:rsid w:val="00126B6A"/>
    <w:rsid w:val="00126C29"/>
    <w:rsid w:val="00130643"/>
    <w:rsid w:val="00130D02"/>
    <w:rsid w:val="00130E26"/>
    <w:rsid w:val="001320AC"/>
    <w:rsid w:val="00132119"/>
    <w:rsid w:val="001324E2"/>
    <w:rsid w:val="0013267A"/>
    <w:rsid w:val="00133259"/>
    <w:rsid w:val="00133599"/>
    <w:rsid w:val="001343B7"/>
    <w:rsid w:val="00134689"/>
    <w:rsid w:val="00134705"/>
    <w:rsid w:val="001354B3"/>
    <w:rsid w:val="00135A3D"/>
    <w:rsid w:val="001368CF"/>
    <w:rsid w:val="001377C9"/>
    <w:rsid w:val="0014075B"/>
    <w:rsid w:val="00141759"/>
    <w:rsid w:val="00141B1F"/>
    <w:rsid w:val="00142CE6"/>
    <w:rsid w:val="00143C85"/>
    <w:rsid w:val="00144405"/>
    <w:rsid w:val="0014560D"/>
    <w:rsid w:val="0014616E"/>
    <w:rsid w:val="00147A09"/>
    <w:rsid w:val="00150037"/>
    <w:rsid w:val="001506C4"/>
    <w:rsid w:val="00152629"/>
    <w:rsid w:val="00152B5D"/>
    <w:rsid w:val="001530FB"/>
    <w:rsid w:val="00153C2F"/>
    <w:rsid w:val="00154FD9"/>
    <w:rsid w:val="00155FA3"/>
    <w:rsid w:val="0015640A"/>
    <w:rsid w:val="00156A04"/>
    <w:rsid w:val="001572B3"/>
    <w:rsid w:val="00157ABC"/>
    <w:rsid w:val="00157FD9"/>
    <w:rsid w:val="0016012F"/>
    <w:rsid w:val="001608BF"/>
    <w:rsid w:val="00160907"/>
    <w:rsid w:val="001609E4"/>
    <w:rsid w:val="00160AC3"/>
    <w:rsid w:val="00160FBB"/>
    <w:rsid w:val="001611EB"/>
    <w:rsid w:val="0016163B"/>
    <w:rsid w:val="00161A56"/>
    <w:rsid w:val="00162780"/>
    <w:rsid w:val="00162DEF"/>
    <w:rsid w:val="0016310B"/>
    <w:rsid w:val="0016370E"/>
    <w:rsid w:val="00163CD2"/>
    <w:rsid w:val="00165F71"/>
    <w:rsid w:val="00166493"/>
    <w:rsid w:val="00166763"/>
    <w:rsid w:val="00166B33"/>
    <w:rsid w:val="00170208"/>
    <w:rsid w:val="001704D7"/>
    <w:rsid w:val="00170CB7"/>
    <w:rsid w:val="0017151C"/>
    <w:rsid w:val="00171792"/>
    <w:rsid w:val="0017240D"/>
    <w:rsid w:val="00172EF9"/>
    <w:rsid w:val="00173415"/>
    <w:rsid w:val="00173858"/>
    <w:rsid w:val="00173955"/>
    <w:rsid w:val="00173964"/>
    <w:rsid w:val="00173FE7"/>
    <w:rsid w:val="0017484D"/>
    <w:rsid w:val="00174912"/>
    <w:rsid w:val="00175437"/>
    <w:rsid w:val="00175666"/>
    <w:rsid w:val="00176242"/>
    <w:rsid w:val="0017750C"/>
    <w:rsid w:val="00177FAF"/>
    <w:rsid w:val="0018003E"/>
    <w:rsid w:val="001809EF"/>
    <w:rsid w:val="00181C11"/>
    <w:rsid w:val="00182130"/>
    <w:rsid w:val="00182A40"/>
    <w:rsid w:val="00182B63"/>
    <w:rsid w:val="00183CA4"/>
    <w:rsid w:val="001845C2"/>
    <w:rsid w:val="00185598"/>
    <w:rsid w:val="00186712"/>
    <w:rsid w:val="001869CC"/>
    <w:rsid w:val="00186E7B"/>
    <w:rsid w:val="00187684"/>
    <w:rsid w:val="00187ACD"/>
    <w:rsid w:val="0019093C"/>
    <w:rsid w:val="00190D49"/>
    <w:rsid w:val="001919AD"/>
    <w:rsid w:val="00192181"/>
    <w:rsid w:val="0019292C"/>
    <w:rsid w:val="0019294B"/>
    <w:rsid w:val="00193025"/>
    <w:rsid w:val="001934C1"/>
    <w:rsid w:val="00193A8C"/>
    <w:rsid w:val="0019413A"/>
    <w:rsid w:val="00194378"/>
    <w:rsid w:val="00194744"/>
    <w:rsid w:val="001947BE"/>
    <w:rsid w:val="00194F03"/>
    <w:rsid w:val="00195861"/>
    <w:rsid w:val="00195ACD"/>
    <w:rsid w:val="00196077"/>
    <w:rsid w:val="00196609"/>
    <w:rsid w:val="001969BB"/>
    <w:rsid w:val="00196C36"/>
    <w:rsid w:val="001A0A4B"/>
    <w:rsid w:val="001A0F09"/>
    <w:rsid w:val="001A0F58"/>
    <w:rsid w:val="001A200C"/>
    <w:rsid w:val="001A22FF"/>
    <w:rsid w:val="001A242E"/>
    <w:rsid w:val="001A2B25"/>
    <w:rsid w:val="001A3803"/>
    <w:rsid w:val="001A3C5C"/>
    <w:rsid w:val="001A40AF"/>
    <w:rsid w:val="001A468B"/>
    <w:rsid w:val="001A475B"/>
    <w:rsid w:val="001A4FF9"/>
    <w:rsid w:val="001A59E0"/>
    <w:rsid w:val="001A5D97"/>
    <w:rsid w:val="001A6057"/>
    <w:rsid w:val="001A621C"/>
    <w:rsid w:val="001A62A3"/>
    <w:rsid w:val="001A6F5E"/>
    <w:rsid w:val="001A72E8"/>
    <w:rsid w:val="001A7520"/>
    <w:rsid w:val="001A7B6A"/>
    <w:rsid w:val="001A7C3A"/>
    <w:rsid w:val="001B065B"/>
    <w:rsid w:val="001B13B6"/>
    <w:rsid w:val="001B1914"/>
    <w:rsid w:val="001B1A23"/>
    <w:rsid w:val="001B4C12"/>
    <w:rsid w:val="001B509A"/>
    <w:rsid w:val="001B5B01"/>
    <w:rsid w:val="001B64C4"/>
    <w:rsid w:val="001B6A23"/>
    <w:rsid w:val="001B6D1F"/>
    <w:rsid w:val="001B6E9C"/>
    <w:rsid w:val="001B7531"/>
    <w:rsid w:val="001C22D3"/>
    <w:rsid w:val="001C2C8D"/>
    <w:rsid w:val="001C36CE"/>
    <w:rsid w:val="001C38A3"/>
    <w:rsid w:val="001C3D5E"/>
    <w:rsid w:val="001C463D"/>
    <w:rsid w:val="001C46E8"/>
    <w:rsid w:val="001C4995"/>
    <w:rsid w:val="001C5560"/>
    <w:rsid w:val="001C566D"/>
    <w:rsid w:val="001C610F"/>
    <w:rsid w:val="001C62D5"/>
    <w:rsid w:val="001C64D6"/>
    <w:rsid w:val="001C67CE"/>
    <w:rsid w:val="001C6E73"/>
    <w:rsid w:val="001C758B"/>
    <w:rsid w:val="001C7687"/>
    <w:rsid w:val="001C7D85"/>
    <w:rsid w:val="001C7D86"/>
    <w:rsid w:val="001D0477"/>
    <w:rsid w:val="001D065D"/>
    <w:rsid w:val="001D0749"/>
    <w:rsid w:val="001D0824"/>
    <w:rsid w:val="001D08FB"/>
    <w:rsid w:val="001D0B99"/>
    <w:rsid w:val="001D13BB"/>
    <w:rsid w:val="001D224C"/>
    <w:rsid w:val="001D22BB"/>
    <w:rsid w:val="001D28B6"/>
    <w:rsid w:val="001D2EF1"/>
    <w:rsid w:val="001D37C2"/>
    <w:rsid w:val="001D41F9"/>
    <w:rsid w:val="001D49CC"/>
    <w:rsid w:val="001D4B15"/>
    <w:rsid w:val="001D523F"/>
    <w:rsid w:val="001D5309"/>
    <w:rsid w:val="001D5383"/>
    <w:rsid w:val="001D5600"/>
    <w:rsid w:val="001D575E"/>
    <w:rsid w:val="001D58CD"/>
    <w:rsid w:val="001D5F27"/>
    <w:rsid w:val="001D5F90"/>
    <w:rsid w:val="001D6020"/>
    <w:rsid w:val="001D63C5"/>
    <w:rsid w:val="001D6447"/>
    <w:rsid w:val="001D6C5E"/>
    <w:rsid w:val="001D6D52"/>
    <w:rsid w:val="001D7319"/>
    <w:rsid w:val="001D7725"/>
    <w:rsid w:val="001D780E"/>
    <w:rsid w:val="001D7858"/>
    <w:rsid w:val="001E0310"/>
    <w:rsid w:val="001E1457"/>
    <w:rsid w:val="001E1980"/>
    <w:rsid w:val="001E23BA"/>
    <w:rsid w:val="001E2CAC"/>
    <w:rsid w:val="001E3011"/>
    <w:rsid w:val="001E304A"/>
    <w:rsid w:val="001E3C69"/>
    <w:rsid w:val="001E41CC"/>
    <w:rsid w:val="001E4960"/>
    <w:rsid w:val="001E4AB6"/>
    <w:rsid w:val="001E531C"/>
    <w:rsid w:val="001E5451"/>
    <w:rsid w:val="001E54F7"/>
    <w:rsid w:val="001E6271"/>
    <w:rsid w:val="001E6546"/>
    <w:rsid w:val="001E6FE6"/>
    <w:rsid w:val="001E70CA"/>
    <w:rsid w:val="001E7569"/>
    <w:rsid w:val="001F1794"/>
    <w:rsid w:val="001F2E35"/>
    <w:rsid w:val="001F30BC"/>
    <w:rsid w:val="001F4071"/>
    <w:rsid w:val="001F443D"/>
    <w:rsid w:val="001F4AC5"/>
    <w:rsid w:val="001F4EC2"/>
    <w:rsid w:val="001F5A5A"/>
    <w:rsid w:val="001F5EB7"/>
    <w:rsid w:val="001F61DC"/>
    <w:rsid w:val="001F6558"/>
    <w:rsid w:val="001F737D"/>
    <w:rsid w:val="002009B3"/>
    <w:rsid w:val="002009DB"/>
    <w:rsid w:val="00200A2E"/>
    <w:rsid w:val="00200C14"/>
    <w:rsid w:val="00201445"/>
    <w:rsid w:val="00201BFD"/>
    <w:rsid w:val="00201EAF"/>
    <w:rsid w:val="00202A5C"/>
    <w:rsid w:val="00203862"/>
    <w:rsid w:val="00203B19"/>
    <w:rsid w:val="00203B5A"/>
    <w:rsid w:val="00203CAD"/>
    <w:rsid w:val="00204032"/>
    <w:rsid w:val="00204434"/>
    <w:rsid w:val="00204AD3"/>
    <w:rsid w:val="00204EF1"/>
    <w:rsid w:val="00205176"/>
    <w:rsid w:val="002054C2"/>
    <w:rsid w:val="002057AA"/>
    <w:rsid w:val="00205C28"/>
    <w:rsid w:val="00207673"/>
    <w:rsid w:val="0020774F"/>
    <w:rsid w:val="00207942"/>
    <w:rsid w:val="00207B63"/>
    <w:rsid w:val="002107D4"/>
    <w:rsid w:val="00210835"/>
    <w:rsid w:val="00210AD8"/>
    <w:rsid w:val="00211247"/>
    <w:rsid w:val="0021155E"/>
    <w:rsid w:val="00212405"/>
    <w:rsid w:val="0021250F"/>
    <w:rsid w:val="002125DC"/>
    <w:rsid w:val="00212606"/>
    <w:rsid w:val="00212EAB"/>
    <w:rsid w:val="00213020"/>
    <w:rsid w:val="0021315C"/>
    <w:rsid w:val="00213331"/>
    <w:rsid w:val="002144DC"/>
    <w:rsid w:val="0021489B"/>
    <w:rsid w:val="00214A33"/>
    <w:rsid w:val="00215466"/>
    <w:rsid w:val="00215ED8"/>
    <w:rsid w:val="00215F33"/>
    <w:rsid w:val="00215F92"/>
    <w:rsid w:val="002169E4"/>
    <w:rsid w:val="002172DB"/>
    <w:rsid w:val="002175A0"/>
    <w:rsid w:val="00220C49"/>
    <w:rsid w:val="00220D43"/>
    <w:rsid w:val="00222681"/>
    <w:rsid w:val="00222815"/>
    <w:rsid w:val="00223102"/>
    <w:rsid w:val="0022312E"/>
    <w:rsid w:val="00223395"/>
    <w:rsid w:val="00223824"/>
    <w:rsid w:val="00223CDF"/>
    <w:rsid w:val="00224200"/>
    <w:rsid w:val="00224536"/>
    <w:rsid w:val="00224836"/>
    <w:rsid w:val="00224AE4"/>
    <w:rsid w:val="002250EF"/>
    <w:rsid w:val="00225282"/>
    <w:rsid w:val="00225A97"/>
    <w:rsid w:val="00225D2C"/>
    <w:rsid w:val="00225F2D"/>
    <w:rsid w:val="002261D8"/>
    <w:rsid w:val="0022644B"/>
    <w:rsid w:val="00226555"/>
    <w:rsid w:val="00226A6F"/>
    <w:rsid w:val="002275C9"/>
    <w:rsid w:val="00227CA9"/>
    <w:rsid w:val="00227E14"/>
    <w:rsid w:val="00230937"/>
    <w:rsid w:val="00231559"/>
    <w:rsid w:val="002318DE"/>
    <w:rsid w:val="00231AC0"/>
    <w:rsid w:val="002321CD"/>
    <w:rsid w:val="0023230E"/>
    <w:rsid w:val="002323C9"/>
    <w:rsid w:val="002327E6"/>
    <w:rsid w:val="00232ED2"/>
    <w:rsid w:val="00233278"/>
    <w:rsid w:val="002343C7"/>
    <w:rsid w:val="00234554"/>
    <w:rsid w:val="00234621"/>
    <w:rsid w:val="00234CF1"/>
    <w:rsid w:val="002351CF"/>
    <w:rsid w:val="002351D6"/>
    <w:rsid w:val="00235209"/>
    <w:rsid w:val="002353CA"/>
    <w:rsid w:val="00235EF4"/>
    <w:rsid w:val="002365AA"/>
    <w:rsid w:val="00236698"/>
    <w:rsid w:val="00236D47"/>
    <w:rsid w:val="00237905"/>
    <w:rsid w:val="00240453"/>
    <w:rsid w:val="00240BB9"/>
    <w:rsid w:val="0024139B"/>
    <w:rsid w:val="00241B6C"/>
    <w:rsid w:val="00242E1B"/>
    <w:rsid w:val="00243357"/>
    <w:rsid w:val="00243649"/>
    <w:rsid w:val="00244135"/>
    <w:rsid w:val="002446B6"/>
    <w:rsid w:val="00244D3A"/>
    <w:rsid w:val="00244EF2"/>
    <w:rsid w:val="00245182"/>
    <w:rsid w:val="00245297"/>
    <w:rsid w:val="00245997"/>
    <w:rsid w:val="00245EB2"/>
    <w:rsid w:val="00246001"/>
    <w:rsid w:val="00246633"/>
    <w:rsid w:val="00246A04"/>
    <w:rsid w:val="00246B73"/>
    <w:rsid w:val="002471B6"/>
    <w:rsid w:val="00247BC5"/>
    <w:rsid w:val="0025059B"/>
    <w:rsid w:val="00251085"/>
    <w:rsid w:val="002514C3"/>
    <w:rsid w:val="002514D5"/>
    <w:rsid w:val="00251E34"/>
    <w:rsid w:val="0025215E"/>
    <w:rsid w:val="002532DE"/>
    <w:rsid w:val="00253908"/>
    <w:rsid w:val="00254456"/>
    <w:rsid w:val="002547F4"/>
    <w:rsid w:val="00254B69"/>
    <w:rsid w:val="002551B8"/>
    <w:rsid w:val="00255448"/>
    <w:rsid w:val="0025574F"/>
    <w:rsid w:val="002558E5"/>
    <w:rsid w:val="0025593C"/>
    <w:rsid w:val="00256B74"/>
    <w:rsid w:val="002570CF"/>
    <w:rsid w:val="002575FF"/>
    <w:rsid w:val="00257698"/>
    <w:rsid w:val="00257A76"/>
    <w:rsid w:val="00257BCF"/>
    <w:rsid w:val="00260538"/>
    <w:rsid w:val="0026161E"/>
    <w:rsid w:val="00262957"/>
    <w:rsid w:val="00262B9A"/>
    <w:rsid w:val="00262E08"/>
    <w:rsid w:val="0026309A"/>
    <w:rsid w:val="002636AF"/>
    <w:rsid w:val="002640AC"/>
    <w:rsid w:val="002658B8"/>
    <w:rsid w:val="00265C58"/>
    <w:rsid w:val="00265D45"/>
    <w:rsid w:val="00266ACC"/>
    <w:rsid w:val="00266DAB"/>
    <w:rsid w:val="00267155"/>
    <w:rsid w:val="002675E6"/>
    <w:rsid w:val="00267A16"/>
    <w:rsid w:val="00267BFE"/>
    <w:rsid w:val="0027102D"/>
    <w:rsid w:val="0027117D"/>
    <w:rsid w:val="002725E5"/>
    <w:rsid w:val="00272790"/>
    <w:rsid w:val="00272A8D"/>
    <w:rsid w:val="00272FAB"/>
    <w:rsid w:val="002732B0"/>
    <w:rsid w:val="00274A98"/>
    <w:rsid w:val="0027543C"/>
    <w:rsid w:val="0027555B"/>
    <w:rsid w:val="002759EF"/>
    <w:rsid w:val="002775BB"/>
    <w:rsid w:val="002777F7"/>
    <w:rsid w:val="00277CE7"/>
    <w:rsid w:val="00280177"/>
    <w:rsid w:val="00280B8B"/>
    <w:rsid w:val="0028106C"/>
    <w:rsid w:val="002810E0"/>
    <w:rsid w:val="00281FCF"/>
    <w:rsid w:val="002837EF"/>
    <w:rsid w:val="00283835"/>
    <w:rsid w:val="00283960"/>
    <w:rsid w:val="00283EBF"/>
    <w:rsid w:val="002844A1"/>
    <w:rsid w:val="00285397"/>
    <w:rsid w:val="0028567A"/>
    <w:rsid w:val="002863C3"/>
    <w:rsid w:val="00286651"/>
    <w:rsid w:val="00286A98"/>
    <w:rsid w:val="00286B85"/>
    <w:rsid w:val="00287B47"/>
    <w:rsid w:val="00287E4F"/>
    <w:rsid w:val="002900C7"/>
    <w:rsid w:val="00290583"/>
    <w:rsid w:val="002907F8"/>
    <w:rsid w:val="00290916"/>
    <w:rsid w:val="00291266"/>
    <w:rsid w:val="00291403"/>
    <w:rsid w:val="00291D03"/>
    <w:rsid w:val="00291D90"/>
    <w:rsid w:val="00292C7D"/>
    <w:rsid w:val="00292F1C"/>
    <w:rsid w:val="00294DB1"/>
    <w:rsid w:val="002956F4"/>
    <w:rsid w:val="0029571B"/>
    <w:rsid w:val="00295C5B"/>
    <w:rsid w:val="00296359"/>
    <w:rsid w:val="0029670E"/>
    <w:rsid w:val="002A02C9"/>
    <w:rsid w:val="002A03D7"/>
    <w:rsid w:val="002A0960"/>
    <w:rsid w:val="002A1894"/>
    <w:rsid w:val="002A1E5D"/>
    <w:rsid w:val="002A32A9"/>
    <w:rsid w:val="002A3C6E"/>
    <w:rsid w:val="002A4305"/>
    <w:rsid w:val="002A48E5"/>
    <w:rsid w:val="002A4E4E"/>
    <w:rsid w:val="002A4E74"/>
    <w:rsid w:val="002A6409"/>
    <w:rsid w:val="002A6FC5"/>
    <w:rsid w:val="002A7213"/>
    <w:rsid w:val="002A75B4"/>
    <w:rsid w:val="002A7830"/>
    <w:rsid w:val="002A7914"/>
    <w:rsid w:val="002A7943"/>
    <w:rsid w:val="002A7E3E"/>
    <w:rsid w:val="002B0D15"/>
    <w:rsid w:val="002B1086"/>
    <w:rsid w:val="002B139C"/>
    <w:rsid w:val="002B240A"/>
    <w:rsid w:val="002B258B"/>
    <w:rsid w:val="002B2700"/>
    <w:rsid w:val="002B2853"/>
    <w:rsid w:val="002B330B"/>
    <w:rsid w:val="002B3468"/>
    <w:rsid w:val="002B3AEE"/>
    <w:rsid w:val="002B52A4"/>
    <w:rsid w:val="002B5338"/>
    <w:rsid w:val="002B5537"/>
    <w:rsid w:val="002B6976"/>
    <w:rsid w:val="002B7280"/>
    <w:rsid w:val="002C0067"/>
    <w:rsid w:val="002C01AE"/>
    <w:rsid w:val="002C0996"/>
    <w:rsid w:val="002C1628"/>
    <w:rsid w:val="002C2AFB"/>
    <w:rsid w:val="002C3FB7"/>
    <w:rsid w:val="002C4189"/>
    <w:rsid w:val="002C4C47"/>
    <w:rsid w:val="002C4EDB"/>
    <w:rsid w:val="002C539F"/>
    <w:rsid w:val="002C58C9"/>
    <w:rsid w:val="002C5942"/>
    <w:rsid w:val="002C5BFD"/>
    <w:rsid w:val="002C6783"/>
    <w:rsid w:val="002C7236"/>
    <w:rsid w:val="002C7315"/>
    <w:rsid w:val="002C7CF7"/>
    <w:rsid w:val="002D018C"/>
    <w:rsid w:val="002D06D3"/>
    <w:rsid w:val="002D159F"/>
    <w:rsid w:val="002D15C8"/>
    <w:rsid w:val="002D19EA"/>
    <w:rsid w:val="002D226D"/>
    <w:rsid w:val="002D2F45"/>
    <w:rsid w:val="002D3BE2"/>
    <w:rsid w:val="002D42C5"/>
    <w:rsid w:val="002D44DB"/>
    <w:rsid w:val="002D52D4"/>
    <w:rsid w:val="002D582A"/>
    <w:rsid w:val="002D6045"/>
    <w:rsid w:val="002D634A"/>
    <w:rsid w:val="002D6BCC"/>
    <w:rsid w:val="002D6F87"/>
    <w:rsid w:val="002D70CE"/>
    <w:rsid w:val="002D7D48"/>
    <w:rsid w:val="002D7FC7"/>
    <w:rsid w:val="002E0096"/>
    <w:rsid w:val="002E010B"/>
    <w:rsid w:val="002E0261"/>
    <w:rsid w:val="002E10ED"/>
    <w:rsid w:val="002E1B20"/>
    <w:rsid w:val="002E1C78"/>
    <w:rsid w:val="002E20CF"/>
    <w:rsid w:val="002E2498"/>
    <w:rsid w:val="002E2F6E"/>
    <w:rsid w:val="002E3263"/>
    <w:rsid w:val="002E6799"/>
    <w:rsid w:val="002E67C1"/>
    <w:rsid w:val="002E6EB0"/>
    <w:rsid w:val="002E7148"/>
    <w:rsid w:val="002E7642"/>
    <w:rsid w:val="002E79DE"/>
    <w:rsid w:val="002F1993"/>
    <w:rsid w:val="002F1FD3"/>
    <w:rsid w:val="002F2B76"/>
    <w:rsid w:val="002F2C56"/>
    <w:rsid w:val="002F3F16"/>
    <w:rsid w:val="002F54A7"/>
    <w:rsid w:val="002F56A0"/>
    <w:rsid w:val="002F57E3"/>
    <w:rsid w:val="002F5C7C"/>
    <w:rsid w:val="002F5DF9"/>
    <w:rsid w:val="002F6AE1"/>
    <w:rsid w:val="002F6EF3"/>
    <w:rsid w:val="002F70B1"/>
    <w:rsid w:val="002F730B"/>
    <w:rsid w:val="00300187"/>
    <w:rsid w:val="003003C0"/>
    <w:rsid w:val="00300839"/>
    <w:rsid w:val="00300DAF"/>
    <w:rsid w:val="00300FA8"/>
    <w:rsid w:val="00301369"/>
    <w:rsid w:val="00301C55"/>
    <w:rsid w:val="00301F92"/>
    <w:rsid w:val="00302188"/>
    <w:rsid w:val="003025B3"/>
    <w:rsid w:val="00302769"/>
    <w:rsid w:val="00302D8C"/>
    <w:rsid w:val="00302ED1"/>
    <w:rsid w:val="003039B3"/>
    <w:rsid w:val="00303A6E"/>
    <w:rsid w:val="00304459"/>
    <w:rsid w:val="00304F7E"/>
    <w:rsid w:val="00305084"/>
    <w:rsid w:val="00305363"/>
    <w:rsid w:val="00307DE8"/>
    <w:rsid w:val="00310177"/>
    <w:rsid w:val="0031108B"/>
    <w:rsid w:val="0031125B"/>
    <w:rsid w:val="00311DEE"/>
    <w:rsid w:val="00313148"/>
    <w:rsid w:val="00313B02"/>
    <w:rsid w:val="00313C5A"/>
    <w:rsid w:val="00314126"/>
    <w:rsid w:val="003142A3"/>
    <w:rsid w:val="003142F2"/>
    <w:rsid w:val="00314353"/>
    <w:rsid w:val="00314810"/>
    <w:rsid w:val="00314A15"/>
    <w:rsid w:val="003150D5"/>
    <w:rsid w:val="0031518A"/>
    <w:rsid w:val="0031574D"/>
    <w:rsid w:val="00315B0D"/>
    <w:rsid w:val="00315D2E"/>
    <w:rsid w:val="00316117"/>
    <w:rsid w:val="003166AC"/>
    <w:rsid w:val="00316F94"/>
    <w:rsid w:val="0031715C"/>
    <w:rsid w:val="003172FA"/>
    <w:rsid w:val="003175AB"/>
    <w:rsid w:val="003176DE"/>
    <w:rsid w:val="003204B3"/>
    <w:rsid w:val="00320C04"/>
    <w:rsid w:val="00321378"/>
    <w:rsid w:val="0032273F"/>
    <w:rsid w:val="00322856"/>
    <w:rsid w:val="00323D0B"/>
    <w:rsid w:val="00324590"/>
    <w:rsid w:val="003246EA"/>
    <w:rsid w:val="0032533F"/>
    <w:rsid w:val="00325A49"/>
    <w:rsid w:val="003264D4"/>
    <w:rsid w:val="00326579"/>
    <w:rsid w:val="00326CAC"/>
    <w:rsid w:val="00327195"/>
    <w:rsid w:val="00327F65"/>
    <w:rsid w:val="0033003F"/>
    <w:rsid w:val="00330519"/>
    <w:rsid w:val="00330A96"/>
    <w:rsid w:val="00331A97"/>
    <w:rsid w:val="00331B35"/>
    <w:rsid w:val="00331B58"/>
    <w:rsid w:val="00331DB3"/>
    <w:rsid w:val="00332F0A"/>
    <w:rsid w:val="00334834"/>
    <w:rsid w:val="00334EB7"/>
    <w:rsid w:val="00334EC4"/>
    <w:rsid w:val="00335514"/>
    <w:rsid w:val="00335746"/>
    <w:rsid w:val="00335889"/>
    <w:rsid w:val="00335C1D"/>
    <w:rsid w:val="00336203"/>
    <w:rsid w:val="0033621E"/>
    <w:rsid w:val="00336B07"/>
    <w:rsid w:val="0033716A"/>
    <w:rsid w:val="00337175"/>
    <w:rsid w:val="0033731E"/>
    <w:rsid w:val="00337544"/>
    <w:rsid w:val="003400A6"/>
    <w:rsid w:val="00342BFD"/>
    <w:rsid w:val="003434A8"/>
    <w:rsid w:val="0034378C"/>
    <w:rsid w:val="00343B05"/>
    <w:rsid w:val="00343D13"/>
    <w:rsid w:val="003442DB"/>
    <w:rsid w:val="00344874"/>
    <w:rsid w:val="003457C3"/>
    <w:rsid w:val="00346A9B"/>
    <w:rsid w:val="0034748A"/>
    <w:rsid w:val="003477CD"/>
    <w:rsid w:val="00347BE4"/>
    <w:rsid w:val="00347EFC"/>
    <w:rsid w:val="003501F5"/>
    <w:rsid w:val="0035089B"/>
    <w:rsid w:val="00350D97"/>
    <w:rsid w:val="0035168B"/>
    <w:rsid w:val="003523A6"/>
    <w:rsid w:val="00353140"/>
    <w:rsid w:val="00353BAE"/>
    <w:rsid w:val="00354044"/>
    <w:rsid w:val="003544C2"/>
    <w:rsid w:val="003557AB"/>
    <w:rsid w:val="00355CB1"/>
    <w:rsid w:val="00355FEA"/>
    <w:rsid w:val="00356654"/>
    <w:rsid w:val="00357508"/>
    <w:rsid w:val="0035763B"/>
    <w:rsid w:val="003578F3"/>
    <w:rsid w:val="00357A0E"/>
    <w:rsid w:val="003600DB"/>
    <w:rsid w:val="003606B7"/>
    <w:rsid w:val="003606C8"/>
    <w:rsid w:val="0036297D"/>
    <w:rsid w:val="003636C7"/>
    <w:rsid w:val="00363ED0"/>
    <w:rsid w:val="003641D5"/>
    <w:rsid w:val="003641DB"/>
    <w:rsid w:val="00364550"/>
    <w:rsid w:val="00364552"/>
    <w:rsid w:val="003645FA"/>
    <w:rsid w:val="00364757"/>
    <w:rsid w:val="00365870"/>
    <w:rsid w:val="003658F2"/>
    <w:rsid w:val="003661F4"/>
    <w:rsid w:val="003663C9"/>
    <w:rsid w:val="0036666B"/>
    <w:rsid w:val="00366C4C"/>
    <w:rsid w:val="00366F06"/>
    <w:rsid w:val="00366F68"/>
    <w:rsid w:val="00366FA2"/>
    <w:rsid w:val="00367BA9"/>
    <w:rsid w:val="00367C6F"/>
    <w:rsid w:val="00367F17"/>
    <w:rsid w:val="003701A9"/>
    <w:rsid w:val="003703EC"/>
    <w:rsid w:val="00371E06"/>
    <w:rsid w:val="00372C57"/>
    <w:rsid w:val="00374685"/>
    <w:rsid w:val="00374891"/>
    <w:rsid w:val="00375191"/>
    <w:rsid w:val="003751B6"/>
    <w:rsid w:val="00375337"/>
    <w:rsid w:val="00375946"/>
    <w:rsid w:val="00376FD2"/>
    <w:rsid w:val="003770B2"/>
    <w:rsid w:val="003771FA"/>
    <w:rsid w:val="00377622"/>
    <w:rsid w:val="00377EF7"/>
    <w:rsid w:val="00377F6D"/>
    <w:rsid w:val="003801AC"/>
    <w:rsid w:val="00380D2A"/>
    <w:rsid w:val="00381012"/>
    <w:rsid w:val="003816DC"/>
    <w:rsid w:val="0038194F"/>
    <w:rsid w:val="003819AF"/>
    <w:rsid w:val="003822D1"/>
    <w:rsid w:val="0038242D"/>
    <w:rsid w:val="003824F5"/>
    <w:rsid w:val="003828EC"/>
    <w:rsid w:val="00382AF0"/>
    <w:rsid w:val="003839E6"/>
    <w:rsid w:val="003844C0"/>
    <w:rsid w:val="00384A8F"/>
    <w:rsid w:val="0038533A"/>
    <w:rsid w:val="0038556B"/>
    <w:rsid w:val="003860EC"/>
    <w:rsid w:val="0038612F"/>
    <w:rsid w:val="003865F9"/>
    <w:rsid w:val="00386D98"/>
    <w:rsid w:val="00387139"/>
    <w:rsid w:val="00390955"/>
    <w:rsid w:val="003916A2"/>
    <w:rsid w:val="00392035"/>
    <w:rsid w:val="00392ADA"/>
    <w:rsid w:val="003931DE"/>
    <w:rsid w:val="00393F1E"/>
    <w:rsid w:val="003943FB"/>
    <w:rsid w:val="00394696"/>
    <w:rsid w:val="00394735"/>
    <w:rsid w:val="00394AFE"/>
    <w:rsid w:val="00394B2C"/>
    <w:rsid w:val="00394B65"/>
    <w:rsid w:val="00394D91"/>
    <w:rsid w:val="003955C3"/>
    <w:rsid w:val="003958B2"/>
    <w:rsid w:val="00395D41"/>
    <w:rsid w:val="00396576"/>
    <w:rsid w:val="00396ACE"/>
    <w:rsid w:val="00396D79"/>
    <w:rsid w:val="00397875"/>
    <w:rsid w:val="003A0065"/>
    <w:rsid w:val="003A0242"/>
    <w:rsid w:val="003A0694"/>
    <w:rsid w:val="003A07D6"/>
    <w:rsid w:val="003A1040"/>
    <w:rsid w:val="003A16C3"/>
    <w:rsid w:val="003A1A0F"/>
    <w:rsid w:val="003A26A4"/>
    <w:rsid w:val="003A27B6"/>
    <w:rsid w:val="003A2D91"/>
    <w:rsid w:val="003A3B94"/>
    <w:rsid w:val="003A4001"/>
    <w:rsid w:val="003A4F0B"/>
    <w:rsid w:val="003A621D"/>
    <w:rsid w:val="003A6BDC"/>
    <w:rsid w:val="003A6D5F"/>
    <w:rsid w:val="003A7037"/>
    <w:rsid w:val="003A79D0"/>
    <w:rsid w:val="003A7CA9"/>
    <w:rsid w:val="003A7D99"/>
    <w:rsid w:val="003B04AF"/>
    <w:rsid w:val="003B077B"/>
    <w:rsid w:val="003B0EEC"/>
    <w:rsid w:val="003B0F8B"/>
    <w:rsid w:val="003B1712"/>
    <w:rsid w:val="003B193B"/>
    <w:rsid w:val="003B20F4"/>
    <w:rsid w:val="003B25A5"/>
    <w:rsid w:val="003B2C98"/>
    <w:rsid w:val="003B2F0C"/>
    <w:rsid w:val="003B345D"/>
    <w:rsid w:val="003B3B2C"/>
    <w:rsid w:val="003B41F3"/>
    <w:rsid w:val="003B4543"/>
    <w:rsid w:val="003B477F"/>
    <w:rsid w:val="003B4A96"/>
    <w:rsid w:val="003B4DEE"/>
    <w:rsid w:val="003B57C1"/>
    <w:rsid w:val="003B5DA7"/>
    <w:rsid w:val="003B6446"/>
    <w:rsid w:val="003B6F87"/>
    <w:rsid w:val="003B72DC"/>
    <w:rsid w:val="003B78AB"/>
    <w:rsid w:val="003B7CF7"/>
    <w:rsid w:val="003B7D85"/>
    <w:rsid w:val="003C0A09"/>
    <w:rsid w:val="003C1C05"/>
    <w:rsid w:val="003C24D0"/>
    <w:rsid w:val="003C28A1"/>
    <w:rsid w:val="003C2BCE"/>
    <w:rsid w:val="003C2DA6"/>
    <w:rsid w:val="003C30A4"/>
    <w:rsid w:val="003C3746"/>
    <w:rsid w:val="003C46C4"/>
    <w:rsid w:val="003C4B36"/>
    <w:rsid w:val="003C5123"/>
    <w:rsid w:val="003C521C"/>
    <w:rsid w:val="003C657F"/>
    <w:rsid w:val="003C6926"/>
    <w:rsid w:val="003C692B"/>
    <w:rsid w:val="003C6E89"/>
    <w:rsid w:val="003C743C"/>
    <w:rsid w:val="003C75B6"/>
    <w:rsid w:val="003D00CF"/>
    <w:rsid w:val="003D01D7"/>
    <w:rsid w:val="003D03B6"/>
    <w:rsid w:val="003D0692"/>
    <w:rsid w:val="003D12A2"/>
    <w:rsid w:val="003D14C8"/>
    <w:rsid w:val="003D19E7"/>
    <w:rsid w:val="003D1A2E"/>
    <w:rsid w:val="003D1EAE"/>
    <w:rsid w:val="003D29A3"/>
    <w:rsid w:val="003D2B00"/>
    <w:rsid w:val="003D460A"/>
    <w:rsid w:val="003D4673"/>
    <w:rsid w:val="003D4AA6"/>
    <w:rsid w:val="003D616B"/>
    <w:rsid w:val="003D7561"/>
    <w:rsid w:val="003E00BC"/>
    <w:rsid w:val="003E027A"/>
    <w:rsid w:val="003E048F"/>
    <w:rsid w:val="003E1037"/>
    <w:rsid w:val="003E1808"/>
    <w:rsid w:val="003E19F2"/>
    <w:rsid w:val="003E1BC1"/>
    <w:rsid w:val="003E208A"/>
    <w:rsid w:val="003E2930"/>
    <w:rsid w:val="003E295B"/>
    <w:rsid w:val="003E29C4"/>
    <w:rsid w:val="003E2E8B"/>
    <w:rsid w:val="003E3312"/>
    <w:rsid w:val="003E399F"/>
    <w:rsid w:val="003E3E33"/>
    <w:rsid w:val="003E4A6F"/>
    <w:rsid w:val="003E4DA9"/>
    <w:rsid w:val="003E56E9"/>
    <w:rsid w:val="003E5B03"/>
    <w:rsid w:val="003E5F1D"/>
    <w:rsid w:val="003E6ABF"/>
    <w:rsid w:val="003E7CAA"/>
    <w:rsid w:val="003F11C1"/>
    <w:rsid w:val="003F285F"/>
    <w:rsid w:val="003F2DF8"/>
    <w:rsid w:val="003F2EE6"/>
    <w:rsid w:val="003F323F"/>
    <w:rsid w:val="003F3E58"/>
    <w:rsid w:val="003F4194"/>
    <w:rsid w:val="003F4618"/>
    <w:rsid w:val="003F4746"/>
    <w:rsid w:val="003F4DBC"/>
    <w:rsid w:val="003F5187"/>
    <w:rsid w:val="003F537B"/>
    <w:rsid w:val="003F56D8"/>
    <w:rsid w:val="003F5C0C"/>
    <w:rsid w:val="003F6119"/>
    <w:rsid w:val="003F64A3"/>
    <w:rsid w:val="003F6BDE"/>
    <w:rsid w:val="003F6E72"/>
    <w:rsid w:val="003F73C1"/>
    <w:rsid w:val="003F78D3"/>
    <w:rsid w:val="003F7CF3"/>
    <w:rsid w:val="00400903"/>
    <w:rsid w:val="00400954"/>
    <w:rsid w:val="004009B8"/>
    <w:rsid w:val="00400B9B"/>
    <w:rsid w:val="004010AF"/>
    <w:rsid w:val="0040174F"/>
    <w:rsid w:val="00401E2D"/>
    <w:rsid w:val="004021A7"/>
    <w:rsid w:val="0040279D"/>
    <w:rsid w:val="0040325A"/>
    <w:rsid w:val="0040342F"/>
    <w:rsid w:val="00403943"/>
    <w:rsid w:val="00405571"/>
    <w:rsid w:val="004057C1"/>
    <w:rsid w:val="0040585C"/>
    <w:rsid w:val="004079F3"/>
    <w:rsid w:val="00407C3C"/>
    <w:rsid w:val="00410302"/>
    <w:rsid w:val="004109B3"/>
    <w:rsid w:val="00411375"/>
    <w:rsid w:val="00411467"/>
    <w:rsid w:val="0041152E"/>
    <w:rsid w:val="0041153C"/>
    <w:rsid w:val="0041176D"/>
    <w:rsid w:val="00411A4B"/>
    <w:rsid w:val="0041243F"/>
    <w:rsid w:val="004129DC"/>
    <w:rsid w:val="004132AE"/>
    <w:rsid w:val="004136EA"/>
    <w:rsid w:val="00413D92"/>
    <w:rsid w:val="004146F1"/>
    <w:rsid w:val="00414709"/>
    <w:rsid w:val="00414824"/>
    <w:rsid w:val="00414D2F"/>
    <w:rsid w:val="00414E69"/>
    <w:rsid w:val="0041543B"/>
    <w:rsid w:val="00415D3E"/>
    <w:rsid w:val="004167A3"/>
    <w:rsid w:val="00416E85"/>
    <w:rsid w:val="00417157"/>
    <w:rsid w:val="004177C2"/>
    <w:rsid w:val="00417A41"/>
    <w:rsid w:val="00417AD6"/>
    <w:rsid w:val="0042008E"/>
    <w:rsid w:val="00420585"/>
    <w:rsid w:val="00420645"/>
    <w:rsid w:val="00420984"/>
    <w:rsid w:val="00421760"/>
    <w:rsid w:val="0042244C"/>
    <w:rsid w:val="0042274F"/>
    <w:rsid w:val="00422E9D"/>
    <w:rsid w:val="004237ED"/>
    <w:rsid w:val="004238E5"/>
    <w:rsid w:val="00423A84"/>
    <w:rsid w:val="00423B86"/>
    <w:rsid w:val="00423D38"/>
    <w:rsid w:val="00423F02"/>
    <w:rsid w:val="00424193"/>
    <w:rsid w:val="00424A10"/>
    <w:rsid w:val="00425399"/>
    <w:rsid w:val="00425513"/>
    <w:rsid w:val="0042756B"/>
    <w:rsid w:val="00427AE8"/>
    <w:rsid w:val="00427CA3"/>
    <w:rsid w:val="004302E4"/>
    <w:rsid w:val="0043033F"/>
    <w:rsid w:val="00430A27"/>
    <w:rsid w:val="00430B14"/>
    <w:rsid w:val="00431BAC"/>
    <w:rsid w:val="0043240C"/>
    <w:rsid w:val="00432EC1"/>
    <w:rsid w:val="00433B3B"/>
    <w:rsid w:val="00434021"/>
    <w:rsid w:val="00434927"/>
    <w:rsid w:val="004359F8"/>
    <w:rsid w:val="00435D30"/>
    <w:rsid w:val="0043666A"/>
    <w:rsid w:val="004374AE"/>
    <w:rsid w:val="0043751D"/>
    <w:rsid w:val="004375D4"/>
    <w:rsid w:val="00437B97"/>
    <w:rsid w:val="004403CF"/>
    <w:rsid w:val="004407EA"/>
    <w:rsid w:val="00440C67"/>
    <w:rsid w:val="00440F69"/>
    <w:rsid w:val="00441104"/>
    <w:rsid w:val="00441F10"/>
    <w:rsid w:val="00442E6E"/>
    <w:rsid w:val="004435A0"/>
    <w:rsid w:val="00443D45"/>
    <w:rsid w:val="004440FF"/>
    <w:rsid w:val="0044432A"/>
    <w:rsid w:val="00444642"/>
    <w:rsid w:val="00444661"/>
    <w:rsid w:val="00445055"/>
    <w:rsid w:val="00445304"/>
    <w:rsid w:val="004455C8"/>
    <w:rsid w:val="00445C72"/>
    <w:rsid w:val="00446088"/>
    <w:rsid w:val="00446197"/>
    <w:rsid w:val="00446412"/>
    <w:rsid w:val="00446464"/>
    <w:rsid w:val="00447025"/>
    <w:rsid w:val="0044753C"/>
    <w:rsid w:val="00447551"/>
    <w:rsid w:val="0044763E"/>
    <w:rsid w:val="00450878"/>
    <w:rsid w:val="0045094A"/>
    <w:rsid w:val="00450DBE"/>
    <w:rsid w:val="00451845"/>
    <w:rsid w:val="00451B28"/>
    <w:rsid w:val="00451FD1"/>
    <w:rsid w:val="00452590"/>
    <w:rsid w:val="004528EB"/>
    <w:rsid w:val="00453BFE"/>
    <w:rsid w:val="00453C9C"/>
    <w:rsid w:val="00453FC9"/>
    <w:rsid w:val="00455178"/>
    <w:rsid w:val="00455870"/>
    <w:rsid w:val="00455E5B"/>
    <w:rsid w:val="00455EF1"/>
    <w:rsid w:val="00456E69"/>
    <w:rsid w:val="00456F88"/>
    <w:rsid w:val="00457035"/>
    <w:rsid w:val="00457E32"/>
    <w:rsid w:val="00460CEA"/>
    <w:rsid w:val="00460FED"/>
    <w:rsid w:val="004611AC"/>
    <w:rsid w:val="00461B97"/>
    <w:rsid w:val="0046230D"/>
    <w:rsid w:val="00462C2A"/>
    <w:rsid w:val="004635BC"/>
    <w:rsid w:val="00463AA3"/>
    <w:rsid w:val="004644BB"/>
    <w:rsid w:val="00464C08"/>
    <w:rsid w:val="00465648"/>
    <w:rsid w:val="00465C19"/>
    <w:rsid w:val="00465C2C"/>
    <w:rsid w:val="004662A7"/>
    <w:rsid w:val="004671DC"/>
    <w:rsid w:val="004673B7"/>
    <w:rsid w:val="00467497"/>
    <w:rsid w:val="00467570"/>
    <w:rsid w:val="00470016"/>
    <w:rsid w:val="004701D2"/>
    <w:rsid w:val="0047020B"/>
    <w:rsid w:val="0047034F"/>
    <w:rsid w:val="00470F7C"/>
    <w:rsid w:val="00470F85"/>
    <w:rsid w:val="004712EC"/>
    <w:rsid w:val="00471AB2"/>
    <w:rsid w:val="00471F23"/>
    <w:rsid w:val="00472253"/>
    <w:rsid w:val="0047269C"/>
    <w:rsid w:val="004729E6"/>
    <w:rsid w:val="00472E08"/>
    <w:rsid w:val="0047316A"/>
    <w:rsid w:val="00473460"/>
    <w:rsid w:val="0047353B"/>
    <w:rsid w:val="004736EA"/>
    <w:rsid w:val="0047392B"/>
    <w:rsid w:val="00473B63"/>
    <w:rsid w:val="00473F8F"/>
    <w:rsid w:val="00474A7E"/>
    <w:rsid w:val="00474DC7"/>
    <w:rsid w:val="004761A2"/>
    <w:rsid w:val="004761C1"/>
    <w:rsid w:val="004772DF"/>
    <w:rsid w:val="00477A0E"/>
    <w:rsid w:val="00477AEA"/>
    <w:rsid w:val="00477C1D"/>
    <w:rsid w:val="00480841"/>
    <w:rsid w:val="004809B6"/>
    <w:rsid w:val="004809E5"/>
    <w:rsid w:val="00481003"/>
    <w:rsid w:val="004811B4"/>
    <w:rsid w:val="0048137F"/>
    <w:rsid w:val="00482765"/>
    <w:rsid w:val="00483E9C"/>
    <w:rsid w:val="00483F11"/>
    <w:rsid w:val="00484000"/>
    <w:rsid w:val="004847C0"/>
    <w:rsid w:val="00484901"/>
    <w:rsid w:val="00484EB8"/>
    <w:rsid w:val="0048539F"/>
    <w:rsid w:val="0048574B"/>
    <w:rsid w:val="004861C1"/>
    <w:rsid w:val="00487174"/>
    <w:rsid w:val="004874BD"/>
    <w:rsid w:val="004908D0"/>
    <w:rsid w:val="00491757"/>
    <w:rsid w:val="00492635"/>
    <w:rsid w:val="00494BFF"/>
    <w:rsid w:val="00495A0C"/>
    <w:rsid w:val="00495D4F"/>
    <w:rsid w:val="0049678E"/>
    <w:rsid w:val="00496EB4"/>
    <w:rsid w:val="004970AA"/>
    <w:rsid w:val="004A0302"/>
    <w:rsid w:val="004A080E"/>
    <w:rsid w:val="004A08E8"/>
    <w:rsid w:val="004A0B60"/>
    <w:rsid w:val="004A0EBE"/>
    <w:rsid w:val="004A25CB"/>
    <w:rsid w:val="004A2B62"/>
    <w:rsid w:val="004A35F6"/>
    <w:rsid w:val="004A397A"/>
    <w:rsid w:val="004A3ADF"/>
    <w:rsid w:val="004A3F2B"/>
    <w:rsid w:val="004A47AF"/>
    <w:rsid w:val="004A634C"/>
    <w:rsid w:val="004A6CF6"/>
    <w:rsid w:val="004A6E48"/>
    <w:rsid w:val="004A7B57"/>
    <w:rsid w:val="004B06D4"/>
    <w:rsid w:val="004B15B5"/>
    <w:rsid w:val="004B1DD3"/>
    <w:rsid w:val="004B2433"/>
    <w:rsid w:val="004B2519"/>
    <w:rsid w:val="004B3468"/>
    <w:rsid w:val="004B3544"/>
    <w:rsid w:val="004B4DF7"/>
    <w:rsid w:val="004B51D0"/>
    <w:rsid w:val="004B5E80"/>
    <w:rsid w:val="004B65CB"/>
    <w:rsid w:val="004B6DA5"/>
    <w:rsid w:val="004B7A85"/>
    <w:rsid w:val="004B7C27"/>
    <w:rsid w:val="004C0325"/>
    <w:rsid w:val="004C12D1"/>
    <w:rsid w:val="004C2D40"/>
    <w:rsid w:val="004C2DE4"/>
    <w:rsid w:val="004C3CF6"/>
    <w:rsid w:val="004C4429"/>
    <w:rsid w:val="004C4600"/>
    <w:rsid w:val="004C4781"/>
    <w:rsid w:val="004C57B2"/>
    <w:rsid w:val="004C5E6E"/>
    <w:rsid w:val="004C615D"/>
    <w:rsid w:val="004C668B"/>
    <w:rsid w:val="004C68EC"/>
    <w:rsid w:val="004C7112"/>
    <w:rsid w:val="004C7258"/>
    <w:rsid w:val="004C74C3"/>
    <w:rsid w:val="004C7AA9"/>
    <w:rsid w:val="004D1A84"/>
    <w:rsid w:val="004D1FF6"/>
    <w:rsid w:val="004D23AC"/>
    <w:rsid w:val="004D2464"/>
    <w:rsid w:val="004D2527"/>
    <w:rsid w:val="004D29F3"/>
    <w:rsid w:val="004D32BF"/>
    <w:rsid w:val="004D37E7"/>
    <w:rsid w:val="004D3D9E"/>
    <w:rsid w:val="004D5552"/>
    <w:rsid w:val="004D58DD"/>
    <w:rsid w:val="004D5BF3"/>
    <w:rsid w:val="004D5F43"/>
    <w:rsid w:val="004D61D1"/>
    <w:rsid w:val="004D634B"/>
    <w:rsid w:val="004D67D7"/>
    <w:rsid w:val="004D6834"/>
    <w:rsid w:val="004D7047"/>
    <w:rsid w:val="004D7131"/>
    <w:rsid w:val="004D770B"/>
    <w:rsid w:val="004D7C2A"/>
    <w:rsid w:val="004E026D"/>
    <w:rsid w:val="004E049D"/>
    <w:rsid w:val="004E0917"/>
    <w:rsid w:val="004E0EC3"/>
    <w:rsid w:val="004E11DB"/>
    <w:rsid w:val="004E179B"/>
    <w:rsid w:val="004E17CF"/>
    <w:rsid w:val="004E24FB"/>
    <w:rsid w:val="004E2829"/>
    <w:rsid w:val="004E2CAD"/>
    <w:rsid w:val="004E3803"/>
    <w:rsid w:val="004E4C8F"/>
    <w:rsid w:val="004E5FE1"/>
    <w:rsid w:val="004E6085"/>
    <w:rsid w:val="004E64AF"/>
    <w:rsid w:val="004E665F"/>
    <w:rsid w:val="004F025C"/>
    <w:rsid w:val="004F0A33"/>
    <w:rsid w:val="004F0A45"/>
    <w:rsid w:val="004F0FC0"/>
    <w:rsid w:val="004F11F2"/>
    <w:rsid w:val="004F1D3B"/>
    <w:rsid w:val="004F2270"/>
    <w:rsid w:val="004F2B9D"/>
    <w:rsid w:val="004F328C"/>
    <w:rsid w:val="004F34C7"/>
    <w:rsid w:val="004F3860"/>
    <w:rsid w:val="004F3936"/>
    <w:rsid w:val="004F4177"/>
    <w:rsid w:val="004F5036"/>
    <w:rsid w:val="004F503C"/>
    <w:rsid w:val="004F5626"/>
    <w:rsid w:val="004F5AEA"/>
    <w:rsid w:val="004F5B5B"/>
    <w:rsid w:val="004F5C17"/>
    <w:rsid w:val="004F5CA6"/>
    <w:rsid w:val="004F6206"/>
    <w:rsid w:val="004F679C"/>
    <w:rsid w:val="004F6998"/>
    <w:rsid w:val="004F6A06"/>
    <w:rsid w:val="004F78C6"/>
    <w:rsid w:val="00500444"/>
    <w:rsid w:val="005006BE"/>
    <w:rsid w:val="005013AA"/>
    <w:rsid w:val="00501961"/>
    <w:rsid w:val="00501A81"/>
    <w:rsid w:val="00501B59"/>
    <w:rsid w:val="00501D29"/>
    <w:rsid w:val="00502264"/>
    <w:rsid w:val="00502470"/>
    <w:rsid w:val="00502524"/>
    <w:rsid w:val="00502F0D"/>
    <w:rsid w:val="0050340E"/>
    <w:rsid w:val="0050350B"/>
    <w:rsid w:val="005040B2"/>
    <w:rsid w:val="005055D4"/>
    <w:rsid w:val="00505C01"/>
    <w:rsid w:val="00505E07"/>
    <w:rsid w:val="00506459"/>
    <w:rsid w:val="005069D8"/>
    <w:rsid w:val="00507021"/>
    <w:rsid w:val="0050704E"/>
    <w:rsid w:val="0050719B"/>
    <w:rsid w:val="005075C4"/>
    <w:rsid w:val="005075CD"/>
    <w:rsid w:val="00507D54"/>
    <w:rsid w:val="00510A53"/>
    <w:rsid w:val="005115E9"/>
    <w:rsid w:val="00511E49"/>
    <w:rsid w:val="00511FBF"/>
    <w:rsid w:val="005121B3"/>
    <w:rsid w:val="00512616"/>
    <w:rsid w:val="00512CCE"/>
    <w:rsid w:val="00513468"/>
    <w:rsid w:val="00513637"/>
    <w:rsid w:val="0051367A"/>
    <w:rsid w:val="00513FA0"/>
    <w:rsid w:val="00514176"/>
    <w:rsid w:val="00514A36"/>
    <w:rsid w:val="005159FF"/>
    <w:rsid w:val="00515FBD"/>
    <w:rsid w:val="005163CF"/>
    <w:rsid w:val="0051670A"/>
    <w:rsid w:val="005168AC"/>
    <w:rsid w:val="0052059A"/>
    <w:rsid w:val="005208B3"/>
    <w:rsid w:val="005211F9"/>
    <w:rsid w:val="0052195C"/>
    <w:rsid w:val="00521D21"/>
    <w:rsid w:val="0052235A"/>
    <w:rsid w:val="00522627"/>
    <w:rsid w:val="00523ADE"/>
    <w:rsid w:val="00523C0B"/>
    <w:rsid w:val="00524851"/>
    <w:rsid w:val="00524A36"/>
    <w:rsid w:val="005252BE"/>
    <w:rsid w:val="00525404"/>
    <w:rsid w:val="005258CA"/>
    <w:rsid w:val="00525C0C"/>
    <w:rsid w:val="005264CC"/>
    <w:rsid w:val="0052694C"/>
    <w:rsid w:val="00526C52"/>
    <w:rsid w:val="00527218"/>
    <w:rsid w:val="0052737D"/>
    <w:rsid w:val="00527800"/>
    <w:rsid w:val="00527D00"/>
    <w:rsid w:val="00527E6A"/>
    <w:rsid w:val="00527E9B"/>
    <w:rsid w:val="00530111"/>
    <w:rsid w:val="0053030F"/>
    <w:rsid w:val="005303F5"/>
    <w:rsid w:val="0053217A"/>
    <w:rsid w:val="005323CD"/>
    <w:rsid w:val="00532C4F"/>
    <w:rsid w:val="00533173"/>
    <w:rsid w:val="00533B38"/>
    <w:rsid w:val="00533F39"/>
    <w:rsid w:val="00534159"/>
    <w:rsid w:val="00534164"/>
    <w:rsid w:val="00534DE3"/>
    <w:rsid w:val="00534E09"/>
    <w:rsid w:val="00535DE3"/>
    <w:rsid w:val="005365A7"/>
    <w:rsid w:val="00536D31"/>
    <w:rsid w:val="00537732"/>
    <w:rsid w:val="00537DD2"/>
    <w:rsid w:val="005400EC"/>
    <w:rsid w:val="0054023E"/>
    <w:rsid w:val="00540396"/>
    <w:rsid w:val="005404BC"/>
    <w:rsid w:val="005405EA"/>
    <w:rsid w:val="00540737"/>
    <w:rsid w:val="00540F1C"/>
    <w:rsid w:val="00540F3C"/>
    <w:rsid w:val="00541FEE"/>
    <w:rsid w:val="00542631"/>
    <w:rsid w:val="00542653"/>
    <w:rsid w:val="005431AA"/>
    <w:rsid w:val="0054326D"/>
    <w:rsid w:val="00543A50"/>
    <w:rsid w:val="00543D1C"/>
    <w:rsid w:val="0054597A"/>
    <w:rsid w:val="00545A1E"/>
    <w:rsid w:val="00545BB1"/>
    <w:rsid w:val="00546F94"/>
    <w:rsid w:val="005473CC"/>
    <w:rsid w:val="0054744C"/>
    <w:rsid w:val="005474AB"/>
    <w:rsid w:val="00547730"/>
    <w:rsid w:val="00547A38"/>
    <w:rsid w:val="005505D8"/>
    <w:rsid w:val="005509AD"/>
    <w:rsid w:val="00550F4A"/>
    <w:rsid w:val="0055176B"/>
    <w:rsid w:val="00551B5B"/>
    <w:rsid w:val="00551C55"/>
    <w:rsid w:val="00552B0F"/>
    <w:rsid w:val="00552FF4"/>
    <w:rsid w:val="00553247"/>
    <w:rsid w:val="005536AD"/>
    <w:rsid w:val="0055382A"/>
    <w:rsid w:val="005549BD"/>
    <w:rsid w:val="00554C29"/>
    <w:rsid w:val="0055565F"/>
    <w:rsid w:val="00555EEC"/>
    <w:rsid w:val="00556019"/>
    <w:rsid w:val="00556325"/>
    <w:rsid w:val="00556392"/>
    <w:rsid w:val="00556ACA"/>
    <w:rsid w:val="00556AFF"/>
    <w:rsid w:val="00556F72"/>
    <w:rsid w:val="00556FF5"/>
    <w:rsid w:val="0055727B"/>
    <w:rsid w:val="00560299"/>
    <w:rsid w:val="00560329"/>
    <w:rsid w:val="00560E90"/>
    <w:rsid w:val="00561492"/>
    <w:rsid w:val="00561A27"/>
    <w:rsid w:val="005625BF"/>
    <w:rsid w:val="005628F5"/>
    <w:rsid w:val="00562A54"/>
    <w:rsid w:val="00563409"/>
    <w:rsid w:val="005634B7"/>
    <w:rsid w:val="00563F22"/>
    <w:rsid w:val="00563FDE"/>
    <w:rsid w:val="0056443B"/>
    <w:rsid w:val="00564D5F"/>
    <w:rsid w:val="00564F85"/>
    <w:rsid w:val="0056540E"/>
    <w:rsid w:val="00565919"/>
    <w:rsid w:val="00565BBF"/>
    <w:rsid w:val="0056625C"/>
    <w:rsid w:val="005663AA"/>
    <w:rsid w:val="005666D5"/>
    <w:rsid w:val="005668BB"/>
    <w:rsid w:val="00566E98"/>
    <w:rsid w:val="00566F9F"/>
    <w:rsid w:val="00567CEF"/>
    <w:rsid w:val="0057009F"/>
    <w:rsid w:val="0057064D"/>
    <w:rsid w:val="0057096A"/>
    <w:rsid w:val="00570D6D"/>
    <w:rsid w:val="0057118D"/>
    <w:rsid w:val="00571287"/>
    <w:rsid w:val="0057191D"/>
    <w:rsid w:val="005719F1"/>
    <w:rsid w:val="00571DA6"/>
    <w:rsid w:val="00572E81"/>
    <w:rsid w:val="00573073"/>
    <w:rsid w:val="005736DF"/>
    <w:rsid w:val="00573B14"/>
    <w:rsid w:val="0057485F"/>
    <w:rsid w:val="005755A0"/>
    <w:rsid w:val="005762EF"/>
    <w:rsid w:val="005767FE"/>
    <w:rsid w:val="0057680A"/>
    <w:rsid w:val="00576AA3"/>
    <w:rsid w:val="00577646"/>
    <w:rsid w:val="00580276"/>
    <w:rsid w:val="00580E57"/>
    <w:rsid w:val="00580FCD"/>
    <w:rsid w:val="00581CCD"/>
    <w:rsid w:val="00582867"/>
    <w:rsid w:val="005831FD"/>
    <w:rsid w:val="005832A2"/>
    <w:rsid w:val="0058384B"/>
    <w:rsid w:val="00583ABA"/>
    <w:rsid w:val="00584086"/>
    <w:rsid w:val="005841B8"/>
    <w:rsid w:val="005843D5"/>
    <w:rsid w:val="0058457F"/>
    <w:rsid w:val="00585896"/>
    <w:rsid w:val="00585AB3"/>
    <w:rsid w:val="00585D8E"/>
    <w:rsid w:val="00585FA6"/>
    <w:rsid w:val="0058680E"/>
    <w:rsid w:val="00587017"/>
    <w:rsid w:val="00587410"/>
    <w:rsid w:val="00587D3C"/>
    <w:rsid w:val="00591BB6"/>
    <w:rsid w:val="00592D47"/>
    <w:rsid w:val="00592DDF"/>
    <w:rsid w:val="00592DF0"/>
    <w:rsid w:val="00593264"/>
    <w:rsid w:val="00593F26"/>
    <w:rsid w:val="00595047"/>
    <w:rsid w:val="005956B5"/>
    <w:rsid w:val="00596589"/>
    <w:rsid w:val="00596918"/>
    <w:rsid w:val="00597058"/>
    <w:rsid w:val="00597981"/>
    <w:rsid w:val="00597A08"/>
    <w:rsid w:val="00597FAD"/>
    <w:rsid w:val="005A07B7"/>
    <w:rsid w:val="005A0D43"/>
    <w:rsid w:val="005A128C"/>
    <w:rsid w:val="005A12A4"/>
    <w:rsid w:val="005A28E8"/>
    <w:rsid w:val="005A298B"/>
    <w:rsid w:val="005A312B"/>
    <w:rsid w:val="005A3537"/>
    <w:rsid w:val="005A3543"/>
    <w:rsid w:val="005A3AA2"/>
    <w:rsid w:val="005A3CC5"/>
    <w:rsid w:val="005A4198"/>
    <w:rsid w:val="005A54AB"/>
    <w:rsid w:val="005A5D1D"/>
    <w:rsid w:val="005A5E7B"/>
    <w:rsid w:val="005A6E19"/>
    <w:rsid w:val="005A7FF2"/>
    <w:rsid w:val="005B01A3"/>
    <w:rsid w:val="005B0494"/>
    <w:rsid w:val="005B0C38"/>
    <w:rsid w:val="005B1700"/>
    <w:rsid w:val="005B1E30"/>
    <w:rsid w:val="005B21C8"/>
    <w:rsid w:val="005B267D"/>
    <w:rsid w:val="005B2EDD"/>
    <w:rsid w:val="005B312C"/>
    <w:rsid w:val="005B3269"/>
    <w:rsid w:val="005B32C1"/>
    <w:rsid w:val="005B374A"/>
    <w:rsid w:val="005B3799"/>
    <w:rsid w:val="005B3B02"/>
    <w:rsid w:val="005B4D3E"/>
    <w:rsid w:val="005B51FF"/>
    <w:rsid w:val="005B589B"/>
    <w:rsid w:val="005B59C7"/>
    <w:rsid w:val="005B5C37"/>
    <w:rsid w:val="005B5F11"/>
    <w:rsid w:val="005B60F6"/>
    <w:rsid w:val="005B676F"/>
    <w:rsid w:val="005B6821"/>
    <w:rsid w:val="005B6930"/>
    <w:rsid w:val="005B69D8"/>
    <w:rsid w:val="005B7BD1"/>
    <w:rsid w:val="005B7C13"/>
    <w:rsid w:val="005C05B8"/>
    <w:rsid w:val="005C079C"/>
    <w:rsid w:val="005C07AE"/>
    <w:rsid w:val="005C0807"/>
    <w:rsid w:val="005C15AC"/>
    <w:rsid w:val="005C1C63"/>
    <w:rsid w:val="005C1D47"/>
    <w:rsid w:val="005C2A8F"/>
    <w:rsid w:val="005C2BFE"/>
    <w:rsid w:val="005C376F"/>
    <w:rsid w:val="005C3972"/>
    <w:rsid w:val="005C39BE"/>
    <w:rsid w:val="005C3A46"/>
    <w:rsid w:val="005C4195"/>
    <w:rsid w:val="005C46D9"/>
    <w:rsid w:val="005C4EE5"/>
    <w:rsid w:val="005C524D"/>
    <w:rsid w:val="005C5683"/>
    <w:rsid w:val="005C5D4B"/>
    <w:rsid w:val="005C6526"/>
    <w:rsid w:val="005C6DF8"/>
    <w:rsid w:val="005C6FFF"/>
    <w:rsid w:val="005C7320"/>
    <w:rsid w:val="005C73CD"/>
    <w:rsid w:val="005C77F8"/>
    <w:rsid w:val="005C7E87"/>
    <w:rsid w:val="005D01C1"/>
    <w:rsid w:val="005D057D"/>
    <w:rsid w:val="005D08B3"/>
    <w:rsid w:val="005D0A72"/>
    <w:rsid w:val="005D0D8F"/>
    <w:rsid w:val="005D1099"/>
    <w:rsid w:val="005D14C4"/>
    <w:rsid w:val="005D1BEF"/>
    <w:rsid w:val="005D275E"/>
    <w:rsid w:val="005D2EC9"/>
    <w:rsid w:val="005D43E3"/>
    <w:rsid w:val="005D468A"/>
    <w:rsid w:val="005D49B0"/>
    <w:rsid w:val="005D4D35"/>
    <w:rsid w:val="005D5933"/>
    <w:rsid w:val="005D767E"/>
    <w:rsid w:val="005D7C59"/>
    <w:rsid w:val="005D7DD8"/>
    <w:rsid w:val="005E0A0A"/>
    <w:rsid w:val="005E0CF9"/>
    <w:rsid w:val="005E18D2"/>
    <w:rsid w:val="005E1933"/>
    <w:rsid w:val="005E23FD"/>
    <w:rsid w:val="005E26E5"/>
    <w:rsid w:val="005E2E54"/>
    <w:rsid w:val="005E3A2D"/>
    <w:rsid w:val="005E3C0E"/>
    <w:rsid w:val="005E48B6"/>
    <w:rsid w:val="005E4B33"/>
    <w:rsid w:val="005E4E36"/>
    <w:rsid w:val="005E64D0"/>
    <w:rsid w:val="005E72AF"/>
    <w:rsid w:val="005E77EE"/>
    <w:rsid w:val="005E7B09"/>
    <w:rsid w:val="005E7CF7"/>
    <w:rsid w:val="005E7D44"/>
    <w:rsid w:val="005E7FC4"/>
    <w:rsid w:val="005F010F"/>
    <w:rsid w:val="005F12A1"/>
    <w:rsid w:val="005F1A4C"/>
    <w:rsid w:val="005F1AF3"/>
    <w:rsid w:val="005F2748"/>
    <w:rsid w:val="005F2936"/>
    <w:rsid w:val="005F2FF7"/>
    <w:rsid w:val="005F3076"/>
    <w:rsid w:val="005F3FE3"/>
    <w:rsid w:val="005F41A5"/>
    <w:rsid w:val="005F4256"/>
    <w:rsid w:val="005F428B"/>
    <w:rsid w:val="005F4D69"/>
    <w:rsid w:val="005F5875"/>
    <w:rsid w:val="005F5B0B"/>
    <w:rsid w:val="005F7CEC"/>
    <w:rsid w:val="0060008B"/>
    <w:rsid w:val="00600558"/>
    <w:rsid w:val="00600D8D"/>
    <w:rsid w:val="006019B5"/>
    <w:rsid w:val="00601AFB"/>
    <w:rsid w:val="00602BC1"/>
    <w:rsid w:val="006031F5"/>
    <w:rsid w:val="006033A3"/>
    <w:rsid w:val="00604A2B"/>
    <w:rsid w:val="00604B8B"/>
    <w:rsid w:val="00604E50"/>
    <w:rsid w:val="00604F95"/>
    <w:rsid w:val="006050E3"/>
    <w:rsid w:val="006055B9"/>
    <w:rsid w:val="006056A3"/>
    <w:rsid w:val="00605E27"/>
    <w:rsid w:val="006060B0"/>
    <w:rsid w:val="00606644"/>
    <w:rsid w:val="00607113"/>
    <w:rsid w:val="00607528"/>
    <w:rsid w:val="006076E9"/>
    <w:rsid w:val="00607E8B"/>
    <w:rsid w:val="006103E0"/>
    <w:rsid w:val="0061057D"/>
    <w:rsid w:val="0061096B"/>
    <w:rsid w:val="006113B6"/>
    <w:rsid w:val="0061191D"/>
    <w:rsid w:val="00612CDB"/>
    <w:rsid w:val="00613AD1"/>
    <w:rsid w:val="006143BB"/>
    <w:rsid w:val="0061472C"/>
    <w:rsid w:val="00616143"/>
    <w:rsid w:val="00616292"/>
    <w:rsid w:val="006168C5"/>
    <w:rsid w:val="00616E24"/>
    <w:rsid w:val="00616F33"/>
    <w:rsid w:val="0062050A"/>
    <w:rsid w:val="00621D7A"/>
    <w:rsid w:val="006234A9"/>
    <w:rsid w:val="00623660"/>
    <w:rsid w:val="00623888"/>
    <w:rsid w:val="00624970"/>
    <w:rsid w:val="006249C0"/>
    <w:rsid w:val="00624D3E"/>
    <w:rsid w:val="00624E11"/>
    <w:rsid w:val="00625401"/>
    <w:rsid w:val="00625DB4"/>
    <w:rsid w:val="00626E88"/>
    <w:rsid w:val="00627213"/>
    <w:rsid w:val="006302ED"/>
    <w:rsid w:val="00630540"/>
    <w:rsid w:val="00631064"/>
    <w:rsid w:val="00631CC3"/>
    <w:rsid w:val="00631F13"/>
    <w:rsid w:val="00632196"/>
    <w:rsid w:val="006324F5"/>
    <w:rsid w:val="00632A91"/>
    <w:rsid w:val="00633801"/>
    <w:rsid w:val="00634465"/>
    <w:rsid w:val="006346B9"/>
    <w:rsid w:val="00634F66"/>
    <w:rsid w:val="00635895"/>
    <w:rsid w:val="00635E66"/>
    <w:rsid w:val="00636748"/>
    <w:rsid w:val="00636B8F"/>
    <w:rsid w:val="006370ED"/>
    <w:rsid w:val="00637154"/>
    <w:rsid w:val="00637D36"/>
    <w:rsid w:val="006400DD"/>
    <w:rsid w:val="0064155E"/>
    <w:rsid w:val="00641DDF"/>
    <w:rsid w:val="00642279"/>
    <w:rsid w:val="0064239B"/>
    <w:rsid w:val="0064294D"/>
    <w:rsid w:val="00642BBA"/>
    <w:rsid w:val="00643D7B"/>
    <w:rsid w:val="00643D85"/>
    <w:rsid w:val="006441DE"/>
    <w:rsid w:val="006442EF"/>
    <w:rsid w:val="006445C5"/>
    <w:rsid w:val="006446A9"/>
    <w:rsid w:val="00644B78"/>
    <w:rsid w:val="0064516C"/>
    <w:rsid w:val="0064562D"/>
    <w:rsid w:val="00645C23"/>
    <w:rsid w:val="00645F6D"/>
    <w:rsid w:val="006466FA"/>
    <w:rsid w:val="00646F60"/>
    <w:rsid w:val="00647795"/>
    <w:rsid w:val="00650613"/>
    <w:rsid w:val="00650E5A"/>
    <w:rsid w:val="00650FB5"/>
    <w:rsid w:val="00651129"/>
    <w:rsid w:val="006514EE"/>
    <w:rsid w:val="0065185F"/>
    <w:rsid w:val="006518E7"/>
    <w:rsid w:val="006519BD"/>
    <w:rsid w:val="006524EC"/>
    <w:rsid w:val="00653865"/>
    <w:rsid w:val="00653DC1"/>
    <w:rsid w:val="00653ECB"/>
    <w:rsid w:val="006547A3"/>
    <w:rsid w:val="00654C2F"/>
    <w:rsid w:val="006565E4"/>
    <w:rsid w:val="006566F2"/>
    <w:rsid w:val="00656819"/>
    <w:rsid w:val="00657E08"/>
    <w:rsid w:val="0066088D"/>
    <w:rsid w:val="00660DA2"/>
    <w:rsid w:val="00660E66"/>
    <w:rsid w:val="00660EE4"/>
    <w:rsid w:val="00660F87"/>
    <w:rsid w:val="00661763"/>
    <w:rsid w:val="00661868"/>
    <w:rsid w:val="00661886"/>
    <w:rsid w:val="006638EA"/>
    <w:rsid w:val="00664372"/>
    <w:rsid w:val="00665A27"/>
    <w:rsid w:val="00665A67"/>
    <w:rsid w:val="00665AD9"/>
    <w:rsid w:val="006660E6"/>
    <w:rsid w:val="00666168"/>
    <w:rsid w:val="00666BCE"/>
    <w:rsid w:val="006676E4"/>
    <w:rsid w:val="0066796E"/>
    <w:rsid w:val="006679B1"/>
    <w:rsid w:val="00667A4B"/>
    <w:rsid w:val="00667F76"/>
    <w:rsid w:val="0067076B"/>
    <w:rsid w:val="00670FBB"/>
    <w:rsid w:val="00673255"/>
    <w:rsid w:val="006732D4"/>
    <w:rsid w:val="006735E0"/>
    <w:rsid w:val="00673774"/>
    <w:rsid w:val="00673E92"/>
    <w:rsid w:val="00675BDA"/>
    <w:rsid w:val="00676121"/>
    <w:rsid w:val="00676640"/>
    <w:rsid w:val="006767FB"/>
    <w:rsid w:val="0067719D"/>
    <w:rsid w:val="00677D62"/>
    <w:rsid w:val="00680005"/>
    <w:rsid w:val="006813BE"/>
    <w:rsid w:val="00681AE3"/>
    <w:rsid w:val="00682951"/>
    <w:rsid w:val="00682C41"/>
    <w:rsid w:val="006832F8"/>
    <w:rsid w:val="006838AF"/>
    <w:rsid w:val="00683F97"/>
    <w:rsid w:val="00684AF6"/>
    <w:rsid w:val="00684B15"/>
    <w:rsid w:val="00684C62"/>
    <w:rsid w:val="00684FCC"/>
    <w:rsid w:val="00685003"/>
    <w:rsid w:val="00685A2D"/>
    <w:rsid w:val="00686CE9"/>
    <w:rsid w:val="0068732A"/>
    <w:rsid w:val="006873E5"/>
    <w:rsid w:val="00687A9C"/>
    <w:rsid w:val="00690323"/>
    <w:rsid w:val="00690BE0"/>
    <w:rsid w:val="00690BFB"/>
    <w:rsid w:val="00691AE4"/>
    <w:rsid w:val="00691B5F"/>
    <w:rsid w:val="006920A6"/>
    <w:rsid w:val="006924AD"/>
    <w:rsid w:val="00692658"/>
    <w:rsid w:val="00692CB3"/>
    <w:rsid w:val="00692D74"/>
    <w:rsid w:val="00693068"/>
    <w:rsid w:val="00693715"/>
    <w:rsid w:val="00693943"/>
    <w:rsid w:val="00693CC6"/>
    <w:rsid w:val="00694D17"/>
    <w:rsid w:val="0069507C"/>
    <w:rsid w:val="0069588A"/>
    <w:rsid w:val="00695B3C"/>
    <w:rsid w:val="00695C4D"/>
    <w:rsid w:val="00696419"/>
    <w:rsid w:val="00696D78"/>
    <w:rsid w:val="0069786C"/>
    <w:rsid w:val="006979C3"/>
    <w:rsid w:val="006A0559"/>
    <w:rsid w:val="006A0D09"/>
    <w:rsid w:val="006A11E2"/>
    <w:rsid w:val="006A1923"/>
    <w:rsid w:val="006A197C"/>
    <w:rsid w:val="006A2DF0"/>
    <w:rsid w:val="006A2F60"/>
    <w:rsid w:val="006A3B9C"/>
    <w:rsid w:val="006A4471"/>
    <w:rsid w:val="006A4ACE"/>
    <w:rsid w:val="006A5140"/>
    <w:rsid w:val="006A543A"/>
    <w:rsid w:val="006A5793"/>
    <w:rsid w:val="006A674B"/>
    <w:rsid w:val="006A72F8"/>
    <w:rsid w:val="006A7C9D"/>
    <w:rsid w:val="006B0257"/>
    <w:rsid w:val="006B060E"/>
    <w:rsid w:val="006B14E2"/>
    <w:rsid w:val="006B1E38"/>
    <w:rsid w:val="006B2295"/>
    <w:rsid w:val="006B2377"/>
    <w:rsid w:val="006B2600"/>
    <w:rsid w:val="006B26A6"/>
    <w:rsid w:val="006B2FD9"/>
    <w:rsid w:val="006B3060"/>
    <w:rsid w:val="006B30EA"/>
    <w:rsid w:val="006B3225"/>
    <w:rsid w:val="006B3676"/>
    <w:rsid w:val="006B3A74"/>
    <w:rsid w:val="006B3F59"/>
    <w:rsid w:val="006B4F99"/>
    <w:rsid w:val="006B5773"/>
    <w:rsid w:val="006B5A78"/>
    <w:rsid w:val="006B5C6B"/>
    <w:rsid w:val="006B6C31"/>
    <w:rsid w:val="006B6D8D"/>
    <w:rsid w:val="006B72BA"/>
    <w:rsid w:val="006B7618"/>
    <w:rsid w:val="006C151E"/>
    <w:rsid w:val="006C238A"/>
    <w:rsid w:val="006C26CA"/>
    <w:rsid w:val="006C2AB2"/>
    <w:rsid w:val="006C2D15"/>
    <w:rsid w:val="006C2F30"/>
    <w:rsid w:val="006C3672"/>
    <w:rsid w:val="006C420E"/>
    <w:rsid w:val="006C4261"/>
    <w:rsid w:val="006C4810"/>
    <w:rsid w:val="006C4C84"/>
    <w:rsid w:val="006C54C8"/>
    <w:rsid w:val="006C5B43"/>
    <w:rsid w:val="006C5B7B"/>
    <w:rsid w:val="006C602E"/>
    <w:rsid w:val="006C61E2"/>
    <w:rsid w:val="006C6827"/>
    <w:rsid w:val="006C6B85"/>
    <w:rsid w:val="006C6EC8"/>
    <w:rsid w:val="006C6FFB"/>
    <w:rsid w:val="006C71CF"/>
    <w:rsid w:val="006C7AB3"/>
    <w:rsid w:val="006C7B54"/>
    <w:rsid w:val="006C7C43"/>
    <w:rsid w:val="006D04EF"/>
    <w:rsid w:val="006D0759"/>
    <w:rsid w:val="006D0FAC"/>
    <w:rsid w:val="006D1103"/>
    <w:rsid w:val="006D13FA"/>
    <w:rsid w:val="006D24FD"/>
    <w:rsid w:val="006D2A21"/>
    <w:rsid w:val="006D2B8B"/>
    <w:rsid w:val="006D3AF4"/>
    <w:rsid w:val="006D3D52"/>
    <w:rsid w:val="006D4313"/>
    <w:rsid w:val="006D486F"/>
    <w:rsid w:val="006D4ED1"/>
    <w:rsid w:val="006D5200"/>
    <w:rsid w:val="006D547B"/>
    <w:rsid w:val="006D5B05"/>
    <w:rsid w:val="006D6560"/>
    <w:rsid w:val="006D6B0B"/>
    <w:rsid w:val="006D6CA0"/>
    <w:rsid w:val="006D6D78"/>
    <w:rsid w:val="006D70B2"/>
    <w:rsid w:val="006D73DD"/>
    <w:rsid w:val="006D75B7"/>
    <w:rsid w:val="006D7B9C"/>
    <w:rsid w:val="006D7C08"/>
    <w:rsid w:val="006D7D0B"/>
    <w:rsid w:val="006D7D83"/>
    <w:rsid w:val="006E02F4"/>
    <w:rsid w:val="006E04D0"/>
    <w:rsid w:val="006E0B1F"/>
    <w:rsid w:val="006E0C87"/>
    <w:rsid w:val="006E0ED3"/>
    <w:rsid w:val="006E1433"/>
    <w:rsid w:val="006E14E4"/>
    <w:rsid w:val="006E15D7"/>
    <w:rsid w:val="006E1618"/>
    <w:rsid w:val="006E19BF"/>
    <w:rsid w:val="006E1C90"/>
    <w:rsid w:val="006E1D90"/>
    <w:rsid w:val="006E1E30"/>
    <w:rsid w:val="006E2600"/>
    <w:rsid w:val="006E2B2C"/>
    <w:rsid w:val="006E2C1E"/>
    <w:rsid w:val="006E2D10"/>
    <w:rsid w:val="006E2E95"/>
    <w:rsid w:val="006E3058"/>
    <w:rsid w:val="006E35D3"/>
    <w:rsid w:val="006E3D6C"/>
    <w:rsid w:val="006E4370"/>
    <w:rsid w:val="006E4533"/>
    <w:rsid w:val="006E5B9B"/>
    <w:rsid w:val="006E5DAF"/>
    <w:rsid w:val="006E6A16"/>
    <w:rsid w:val="006E723C"/>
    <w:rsid w:val="006E7BDD"/>
    <w:rsid w:val="006F0F20"/>
    <w:rsid w:val="006F1EF1"/>
    <w:rsid w:val="006F28E0"/>
    <w:rsid w:val="006F2F92"/>
    <w:rsid w:val="006F38B2"/>
    <w:rsid w:val="006F3F98"/>
    <w:rsid w:val="006F431D"/>
    <w:rsid w:val="006F5097"/>
    <w:rsid w:val="006F51E2"/>
    <w:rsid w:val="006F55BF"/>
    <w:rsid w:val="006F6160"/>
    <w:rsid w:val="006F646B"/>
    <w:rsid w:val="006F647A"/>
    <w:rsid w:val="006F64A7"/>
    <w:rsid w:val="006F6514"/>
    <w:rsid w:val="006F6CC1"/>
    <w:rsid w:val="006F70EE"/>
    <w:rsid w:val="006F74DF"/>
    <w:rsid w:val="006F767C"/>
    <w:rsid w:val="006F7F46"/>
    <w:rsid w:val="0070055B"/>
    <w:rsid w:val="00700C10"/>
    <w:rsid w:val="00700E81"/>
    <w:rsid w:val="00701199"/>
    <w:rsid w:val="007015E2"/>
    <w:rsid w:val="0070196E"/>
    <w:rsid w:val="007024E2"/>
    <w:rsid w:val="0070294F"/>
    <w:rsid w:val="007030C9"/>
    <w:rsid w:val="007037B1"/>
    <w:rsid w:val="007039AA"/>
    <w:rsid w:val="00703A99"/>
    <w:rsid w:val="00703BB1"/>
    <w:rsid w:val="00703C23"/>
    <w:rsid w:val="00704033"/>
    <w:rsid w:val="00704985"/>
    <w:rsid w:val="00704F3B"/>
    <w:rsid w:val="0070523F"/>
    <w:rsid w:val="00705337"/>
    <w:rsid w:val="00705894"/>
    <w:rsid w:val="00705BE1"/>
    <w:rsid w:val="0070678D"/>
    <w:rsid w:val="00706B44"/>
    <w:rsid w:val="00706E17"/>
    <w:rsid w:val="007073C3"/>
    <w:rsid w:val="00707416"/>
    <w:rsid w:val="00707572"/>
    <w:rsid w:val="00710096"/>
    <w:rsid w:val="00710306"/>
    <w:rsid w:val="007107A3"/>
    <w:rsid w:val="0071158C"/>
    <w:rsid w:val="00711F11"/>
    <w:rsid w:val="00712154"/>
    <w:rsid w:val="007125B4"/>
    <w:rsid w:val="007127F3"/>
    <w:rsid w:val="00712E81"/>
    <w:rsid w:val="007139DA"/>
    <w:rsid w:val="00713A5D"/>
    <w:rsid w:val="0071450E"/>
    <w:rsid w:val="00714566"/>
    <w:rsid w:val="00715158"/>
    <w:rsid w:val="00715AC9"/>
    <w:rsid w:val="00716084"/>
    <w:rsid w:val="00716BB4"/>
    <w:rsid w:val="00716C5E"/>
    <w:rsid w:val="00716F38"/>
    <w:rsid w:val="007175BF"/>
    <w:rsid w:val="00717A60"/>
    <w:rsid w:val="00720FCA"/>
    <w:rsid w:val="00720FCF"/>
    <w:rsid w:val="00721807"/>
    <w:rsid w:val="00721F28"/>
    <w:rsid w:val="007222C3"/>
    <w:rsid w:val="00722488"/>
    <w:rsid w:val="007228B8"/>
    <w:rsid w:val="00723053"/>
    <w:rsid w:val="00724197"/>
    <w:rsid w:val="00724CFD"/>
    <w:rsid w:val="00724FCC"/>
    <w:rsid w:val="007250EC"/>
    <w:rsid w:val="007258F2"/>
    <w:rsid w:val="00726378"/>
    <w:rsid w:val="00726595"/>
    <w:rsid w:val="00726EFB"/>
    <w:rsid w:val="00727155"/>
    <w:rsid w:val="00727996"/>
    <w:rsid w:val="00727C7B"/>
    <w:rsid w:val="00727CA9"/>
    <w:rsid w:val="00730D39"/>
    <w:rsid w:val="00730ED5"/>
    <w:rsid w:val="00731823"/>
    <w:rsid w:val="007326FD"/>
    <w:rsid w:val="00732FCE"/>
    <w:rsid w:val="00733558"/>
    <w:rsid w:val="00733692"/>
    <w:rsid w:val="00733CCA"/>
    <w:rsid w:val="00734453"/>
    <w:rsid w:val="007348D7"/>
    <w:rsid w:val="00734930"/>
    <w:rsid w:val="00734A48"/>
    <w:rsid w:val="00734ED0"/>
    <w:rsid w:val="00735441"/>
    <w:rsid w:val="00735691"/>
    <w:rsid w:val="00735A7C"/>
    <w:rsid w:val="00735F87"/>
    <w:rsid w:val="00736592"/>
    <w:rsid w:val="0073659A"/>
    <w:rsid w:val="0073707F"/>
    <w:rsid w:val="00737A5C"/>
    <w:rsid w:val="00737FB0"/>
    <w:rsid w:val="00740AEF"/>
    <w:rsid w:val="00740EDF"/>
    <w:rsid w:val="00740F95"/>
    <w:rsid w:val="00741689"/>
    <w:rsid w:val="007418D0"/>
    <w:rsid w:val="00741C69"/>
    <w:rsid w:val="0074289C"/>
    <w:rsid w:val="0074299C"/>
    <w:rsid w:val="0074314F"/>
    <w:rsid w:val="0074346E"/>
    <w:rsid w:val="00743766"/>
    <w:rsid w:val="00744494"/>
    <w:rsid w:val="00744ECB"/>
    <w:rsid w:val="00745158"/>
    <w:rsid w:val="007454E5"/>
    <w:rsid w:val="007455AC"/>
    <w:rsid w:val="00745CF0"/>
    <w:rsid w:val="00746AAA"/>
    <w:rsid w:val="00746C10"/>
    <w:rsid w:val="007473B8"/>
    <w:rsid w:val="00747A55"/>
    <w:rsid w:val="0075005D"/>
    <w:rsid w:val="0075015D"/>
    <w:rsid w:val="0075107F"/>
    <w:rsid w:val="0075148F"/>
    <w:rsid w:val="00751AA9"/>
    <w:rsid w:val="007522AA"/>
    <w:rsid w:val="00754782"/>
    <w:rsid w:val="00754E5E"/>
    <w:rsid w:val="0075539E"/>
    <w:rsid w:val="00755614"/>
    <w:rsid w:val="00755639"/>
    <w:rsid w:val="007559F2"/>
    <w:rsid w:val="00756F67"/>
    <w:rsid w:val="007606F7"/>
    <w:rsid w:val="0076107A"/>
    <w:rsid w:val="007616A0"/>
    <w:rsid w:val="00761F78"/>
    <w:rsid w:val="00762AE3"/>
    <w:rsid w:val="00762B75"/>
    <w:rsid w:val="00762FBC"/>
    <w:rsid w:val="00763413"/>
    <w:rsid w:val="007637E7"/>
    <w:rsid w:val="0076428F"/>
    <w:rsid w:val="00764511"/>
    <w:rsid w:val="00764B74"/>
    <w:rsid w:val="007655C1"/>
    <w:rsid w:val="00765A47"/>
    <w:rsid w:val="007661AA"/>
    <w:rsid w:val="0076679C"/>
    <w:rsid w:val="007668B8"/>
    <w:rsid w:val="00766F2F"/>
    <w:rsid w:val="00767A00"/>
    <w:rsid w:val="00767DE9"/>
    <w:rsid w:val="0077040F"/>
    <w:rsid w:val="00770F1C"/>
    <w:rsid w:val="00770F62"/>
    <w:rsid w:val="00771352"/>
    <w:rsid w:val="00771A09"/>
    <w:rsid w:val="00772526"/>
    <w:rsid w:val="007727EC"/>
    <w:rsid w:val="00773780"/>
    <w:rsid w:val="00773B3E"/>
    <w:rsid w:val="00773DA5"/>
    <w:rsid w:val="00774299"/>
    <w:rsid w:val="00774EA4"/>
    <w:rsid w:val="00774EA7"/>
    <w:rsid w:val="007750AA"/>
    <w:rsid w:val="007752B9"/>
    <w:rsid w:val="00775830"/>
    <w:rsid w:val="007758A6"/>
    <w:rsid w:val="00775B24"/>
    <w:rsid w:val="00775B6C"/>
    <w:rsid w:val="00775FB5"/>
    <w:rsid w:val="00776518"/>
    <w:rsid w:val="0077652D"/>
    <w:rsid w:val="0077653A"/>
    <w:rsid w:val="0077706F"/>
    <w:rsid w:val="0077730B"/>
    <w:rsid w:val="0078063A"/>
    <w:rsid w:val="00780C04"/>
    <w:rsid w:val="00780ED7"/>
    <w:rsid w:val="00781327"/>
    <w:rsid w:val="00781A4C"/>
    <w:rsid w:val="007820A3"/>
    <w:rsid w:val="00782177"/>
    <w:rsid w:val="007825D3"/>
    <w:rsid w:val="00782779"/>
    <w:rsid w:val="00782D5E"/>
    <w:rsid w:val="00783323"/>
    <w:rsid w:val="007833B5"/>
    <w:rsid w:val="00783525"/>
    <w:rsid w:val="00783814"/>
    <w:rsid w:val="00783952"/>
    <w:rsid w:val="00783BBA"/>
    <w:rsid w:val="00784558"/>
    <w:rsid w:val="00784753"/>
    <w:rsid w:val="00784929"/>
    <w:rsid w:val="00785A97"/>
    <w:rsid w:val="00785B42"/>
    <w:rsid w:val="00785CC2"/>
    <w:rsid w:val="00785E89"/>
    <w:rsid w:val="007868F6"/>
    <w:rsid w:val="00786C5E"/>
    <w:rsid w:val="007870C3"/>
    <w:rsid w:val="007870E0"/>
    <w:rsid w:val="00787E13"/>
    <w:rsid w:val="0079097F"/>
    <w:rsid w:val="00790C60"/>
    <w:rsid w:val="00790D97"/>
    <w:rsid w:val="00791747"/>
    <w:rsid w:val="00792101"/>
    <w:rsid w:val="00792129"/>
    <w:rsid w:val="007922EE"/>
    <w:rsid w:val="0079296E"/>
    <w:rsid w:val="0079372B"/>
    <w:rsid w:val="00793DD4"/>
    <w:rsid w:val="00794D22"/>
    <w:rsid w:val="0079503F"/>
    <w:rsid w:val="0079519F"/>
    <w:rsid w:val="0079587E"/>
    <w:rsid w:val="00795983"/>
    <w:rsid w:val="0079608F"/>
    <w:rsid w:val="007961D5"/>
    <w:rsid w:val="00796277"/>
    <w:rsid w:val="0079642E"/>
    <w:rsid w:val="00796940"/>
    <w:rsid w:val="007A0E04"/>
    <w:rsid w:val="007A17D5"/>
    <w:rsid w:val="007A2ADE"/>
    <w:rsid w:val="007A2C88"/>
    <w:rsid w:val="007A44E1"/>
    <w:rsid w:val="007A4850"/>
    <w:rsid w:val="007A5081"/>
    <w:rsid w:val="007A50E1"/>
    <w:rsid w:val="007A53CB"/>
    <w:rsid w:val="007A5595"/>
    <w:rsid w:val="007A573A"/>
    <w:rsid w:val="007A5A11"/>
    <w:rsid w:val="007A5CBE"/>
    <w:rsid w:val="007A628A"/>
    <w:rsid w:val="007A697E"/>
    <w:rsid w:val="007A72DF"/>
    <w:rsid w:val="007A7482"/>
    <w:rsid w:val="007A755E"/>
    <w:rsid w:val="007A7637"/>
    <w:rsid w:val="007B001E"/>
    <w:rsid w:val="007B0340"/>
    <w:rsid w:val="007B24D0"/>
    <w:rsid w:val="007B2BE6"/>
    <w:rsid w:val="007B3B5B"/>
    <w:rsid w:val="007B4264"/>
    <w:rsid w:val="007B4548"/>
    <w:rsid w:val="007B4E88"/>
    <w:rsid w:val="007B55E7"/>
    <w:rsid w:val="007B6149"/>
    <w:rsid w:val="007B7FCE"/>
    <w:rsid w:val="007C0030"/>
    <w:rsid w:val="007C0181"/>
    <w:rsid w:val="007C0FDC"/>
    <w:rsid w:val="007C11C7"/>
    <w:rsid w:val="007C1997"/>
    <w:rsid w:val="007C33B1"/>
    <w:rsid w:val="007C3D23"/>
    <w:rsid w:val="007C5055"/>
    <w:rsid w:val="007C508A"/>
    <w:rsid w:val="007C5341"/>
    <w:rsid w:val="007C5564"/>
    <w:rsid w:val="007C563E"/>
    <w:rsid w:val="007C594A"/>
    <w:rsid w:val="007C5EC0"/>
    <w:rsid w:val="007C61F2"/>
    <w:rsid w:val="007C6245"/>
    <w:rsid w:val="007C717F"/>
    <w:rsid w:val="007C79FD"/>
    <w:rsid w:val="007C7B47"/>
    <w:rsid w:val="007D0433"/>
    <w:rsid w:val="007D11EA"/>
    <w:rsid w:val="007D136D"/>
    <w:rsid w:val="007D13BF"/>
    <w:rsid w:val="007D24EF"/>
    <w:rsid w:val="007D2662"/>
    <w:rsid w:val="007D27D4"/>
    <w:rsid w:val="007D2C1F"/>
    <w:rsid w:val="007D36B1"/>
    <w:rsid w:val="007D3959"/>
    <w:rsid w:val="007D3DC9"/>
    <w:rsid w:val="007D5562"/>
    <w:rsid w:val="007D5A00"/>
    <w:rsid w:val="007D5F73"/>
    <w:rsid w:val="007D6003"/>
    <w:rsid w:val="007D633B"/>
    <w:rsid w:val="007D6709"/>
    <w:rsid w:val="007D6840"/>
    <w:rsid w:val="007D6846"/>
    <w:rsid w:val="007D6C84"/>
    <w:rsid w:val="007D789A"/>
    <w:rsid w:val="007E0877"/>
    <w:rsid w:val="007E0FAE"/>
    <w:rsid w:val="007E1623"/>
    <w:rsid w:val="007E167A"/>
    <w:rsid w:val="007E1CBB"/>
    <w:rsid w:val="007E1E93"/>
    <w:rsid w:val="007E1F36"/>
    <w:rsid w:val="007E28A2"/>
    <w:rsid w:val="007E35F3"/>
    <w:rsid w:val="007E3D8E"/>
    <w:rsid w:val="007E4D0F"/>
    <w:rsid w:val="007E5BCC"/>
    <w:rsid w:val="007E5C2C"/>
    <w:rsid w:val="007E6C6B"/>
    <w:rsid w:val="007E7435"/>
    <w:rsid w:val="007E750D"/>
    <w:rsid w:val="007E7531"/>
    <w:rsid w:val="007E7DE2"/>
    <w:rsid w:val="007E7E83"/>
    <w:rsid w:val="007F0769"/>
    <w:rsid w:val="007F162B"/>
    <w:rsid w:val="007F17B8"/>
    <w:rsid w:val="007F1980"/>
    <w:rsid w:val="007F1D77"/>
    <w:rsid w:val="007F219B"/>
    <w:rsid w:val="007F25C2"/>
    <w:rsid w:val="007F36E7"/>
    <w:rsid w:val="007F46F8"/>
    <w:rsid w:val="007F49D7"/>
    <w:rsid w:val="007F56AC"/>
    <w:rsid w:val="007F5761"/>
    <w:rsid w:val="007F5AC3"/>
    <w:rsid w:val="007F62BD"/>
    <w:rsid w:val="007F72F7"/>
    <w:rsid w:val="007F7AF3"/>
    <w:rsid w:val="0080033A"/>
    <w:rsid w:val="00800C66"/>
    <w:rsid w:val="00800F61"/>
    <w:rsid w:val="008013C1"/>
    <w:rsid w:val="00801625"/>
    <w:rsid w:val="00802113"/>
    <w:rsid w:val="00802ADF"/>
    <w:rsid w:val="00802FED"/>
    <w:rsid w:val="00803673"/>
    <w:rsid w:val="00803816"/>
    <w:rsid w:val="00803B1B"/>
    <w:rsid w:val="008040EC"/>
    <w:rsid w:val="0080438A"/>
    <w:rsid w:val="008043A3"/>
    <w:rsid w:val="00804416"/>
    <w:rsid w:val="00804CF0"/>
    <w:rsid w:val="00804E59"/>
    <w:rsid w:val="008053F0"/>
    <w:rsid w:val="00805A66"/>
    <w:rsid w:val="00805EE7"/>
    <w:rsid w:val="00806DFE"/>
    <w:rsid w:val="00810318"/>
    <w:rsid w:val="00810E61"/>
    <w:rsid w:val="00811C01"/>
    <w:rsid w:val="00811D78"/>
    <w:rsid w:val="00811EE6"/>
    <w:rsid w:val="00812574"/>
    <w:rsid w:val="00812909"/>
    <w:rsid w:val="0081354C"/>
    <w:rsid w:val="008137CA"/>
    <w:rsid w:val="008144A9"/>
    <w:rsid w:val="00816923"/>
    <w:rsid w:val="00816CFE"/>
    <w:rsid w:val="008173C5"/>
    <w:rsid w:val="008178B3"/>
    <w:rsid w:val="00817980"/>
    <w:rsid w:val="00817ABE"/>
    <w:rsid w:val="008209D9"/>
    <w:rsid w:val="00821945"/>
    <w:rsid w:val="00821B50"/>
    <w:rsid w:val="00821D8C"/>
    <w:rsid w:val="00822432"/>
    <w:rsid w:val="008230DE"/>
    <w:rsid w:val="0082316C"/>
    <w:rsid w:val="00823382"/>
    <w:rsid w:val="008234C0"/>
    <w:rsid w:val="00823EE7"/>
    <w:rsid w:val="008245F2"/>
    <w:rsid w:val="0082537E"/>
    <w:rsid w:val="0082548B"/>
    <w:rsid w:val="00825E0F"/>
    <w:rsid w:val="008261BE"/>
    <w:rsid w:val="008262F0"/>
    <w:rsid w:val="008263C2"/>
    <w:rsid w:val="008265D1"/>
    <w:rsid w:val="0082684C"/>
    <w:rsid w:val="0082791B"/>
    <w:rsid w:val="00827B02"/>
    <w:rsid w:val="00827CAD"/>
    <w:rsid w:val="008301B2"/>
    <w:rsid w:val="00830389"/>
    <w:rsid w:val="00831387"/>
    <w:rsid w:val="00831709"/>
    <w:rsid w:val="00831782"/>
    <w:rsid w:val="00831DE3"/>
    <w:rsid w:val="008320DF"/>
    <w:rsid w:val="00832245"/>
    <w:rsid w:val="00832258"/>
    <w:rsid w:val="0083263C"/>
    <w:rsid w:val="008326F0"/>
    <w:rsid w:val="008328FF"/>
    <w:rsid w:val="00832B3C"/>
    <w:rsid w:val="008331FF"/>
    <w:rsid w:val="00833672"/>
    <w:rsid w:val="00833C20"/>
    <w:rsid w:val="00834EB0"/>
    <w:rsid w:val="00834FAC"/>
    <w:rsid w:val="0083522B"/>
    <w:rsid w:val="00835E9D"/>
    <w:rsid w:val="00836D95"/>
    <w:rsid w:val="00837C3E"/>
    <w:rsid w:val="00837FB3"/>
    <w:rsid w:val="008405ED"/>
    <w:rsid w:val="00840867"/>
    <w:rsid w:val="008413CA"/>
    <w:rsid w:val="00842012"/>
    <w:rsid w:val="0084223B"/>
    <w:rsid w:val="0084248D"/>
    <w:rsid w:val="008434DA"/>
    <w:rsid w:val="008436EA"/>
    <w:rsid w:val="00843A22"/>
    <w:rsid w:val="00843A84"/>
    <w:rsid w:val="00843D78"/>
    <w:rsid w:val="00844F04"/>
    <w:rsid w:val="00846B7C"/>
    <w:rsid w:val="00847BDF"/>
    <w:rsid w:val="00847DAA"/>
    <w:rsid w:val="00850D55"/>
    <w:rsid w:val="00851271"/>
    <w:rsid w:val="00851DB3"/>
    <w:rsid w:val="008529F2"/>
    <w:rsid w:val="008537E1"/>
    <w:rsid w:val="00853BCE"/>
    <w:rsid w:val="00853E74"/>
    <w:rsid w:val="00853E85"/>
    <w:rsid w:val="00853E9E"/>
    <w:rsid w:val="00853F68"/>
    <w:rsid w:val="0085406E"/>
    <w:rsid w:val="00855B5C"/>
    <w:rsid w:val="00856892"/>
    <w:rsid w:val="00856C89"/>
    <w:rsid w:val="0086058F"/>
    <w:rsid w:val="00860749"/>
    <w:rsid w:val="00860A63"/>
    <w:rsid w:val="00860FD2"/>
    <w:rsid w:val="008612EB"/>
    <w:rsid w:val="00861E53"/>
    <w:rsid w:val="0086201B"/>
    <w:rsid w:val="0086556D"/>
    <w:rsid w:val="0086557C"/>
    <w:rsid w:val="008657B6"/>
    <w:rsid w:val="008661AB"/>
    <w:rsid w:val="008664DC"/>
    <w:rsid w:val="008665D1"/>
    <w:rsid w:val="008679AD"/>
    <w:rsid w:val="00867D67"/>
    <w:rsid w:val="00870AFE"/>
    <w:rsid w:val="00870D24"/>
    <w:rsid w:val="00870DD5"/>
    <w:rsid w:val="00870E37"/>
    <w:rsid w:val="00871DF3"/>
    <w:rsid w:val="00872323"/>
    <w:rsid w:val="0087252C"/>
    <w:rsid w:val="00872612"/>
    <w:rsid w:val="00872B05"/>
    <w:rsid w:val="00872C99"/>
    <w:rsid w:val="00873D8F"/>
    <w:rsid w:val="00874132"/>
    <w:rsid w:val="00874622"/>
    <w:rsid w:val="00874AA2"/>
    <w:rsid w:val="00875261"/>
    <w:rsid w:val="00875756"/>
    <w:rsid w:val="00875B68"/>
    <w:rsid w:val="008760F0"/>
    <w:rsid w:val="00876621"/>
    <w:rsid w:val="008766DF"/>
    <w:rsid w:val="00877668"/>
    <w:rsid w:val="008803A0"/>
    <w:rsid w:val="008804A7"/>
    <w:rsid w:val="008814CA"/>
    <w:rsid w:val="00884170"/>
    <w:rsid w:val="008845D2"/>
    <w:rsid w:val="00884954"/>
    <w:rsid w:val="00884B18"/>
    <w:rsid w:val="008854F1"/>
    <w:rsid w:val="008858E8"/>
    <w:rsid w:val="00885946"/>
    <w:rsid w:val="00885BA8"/>
    <w:rsid w:val="00886553"/>
    <w:rsid w:val="00886A6B"/>
    <w:rsid w:val="00887250"/>
    <w:rsid w:val="00890041"/>
    <w:rsid w:val="008900DA"/>
    <w:rsid w:val="0089031D"/>
    <w:rsid w:val="0089099E"/>
    <w:rsid w:val="00890A41"/>
    <w:rsid w:val="00891274"/>
    <w:rsid w:val="0089138D"/>
    <w:rsid w:val="008918F2"/>
    <w:rsid w:val="00892105"/>
    <w:rsid w:val="00892F88"/>
    <w:rsid w:val="00893522"/>
    <w:rsid w:val="008945A0"/>
    <w:rsid w:val="008947D6"/>
    <w:rsid w:val="00894AC2"/>
    <w:rsid w:val="0089568A"/>
    <w:rsid w:val="008956F7"/>
    <w:rsid w:val="00895B58"/>
    <w:rsid w:val="0089648F"/>
    <w:rsid w:val="008968D9"/>
    <w:rsid w:val="008969C5"/>
    <w:rsid w:val="00896FEA"/>
    <w:rsid w:val="0089715B"/>
    <w:rsid w:val="00897409"/>
    <w:rsid w:val="0089753A"/>
    <w:rsid w:val="0089778C"/>
    <w:rsid w:val="008979AE"/>
    <w:rsid w:val="008A168A"/>
    <w:rsid w:val="008A25F3"/>
    <w:rsid w:val="008A2C65"/>
    <w:rsid w:val="008A30D3"/>
    <w:rsid w:val="008A31BA"/>
    <w:rsid w:val="008A3804"/>
    <w:rsid w:val="008A421A"/>
    <w:rsid w:val="008A475A"/>
    <w:rsid w:val="008A4C1A"/>
    <w:rsid w:val="008A4C62"/>
    <w:rsid w:val="008A4DD4"/>
    <w:rsid w:val="008A4E00"/>
    <w:rsid w:val="008A4E60"/>
    <w:rsid w:val="008A50EA"/>
    <w:rsid w:val="008A55BA"/>
    <w:rsid w:val="008A5B23"/>
    <w:rsid w:val="008A6BA1"/>
    <w:rsid w:val="008A6CBD"/>
    <w:rsid w:val="008A705E"/>
    <w:rsid w:val="008A732B"/>
    <w:rsid w:val="008A7910"/>
    <w:rsid w:val="008A7932"/>
    <w:rsid w:val="008A7B84"/>
    <w:rsid w:val="008A7C14"/>
    <w:rsid w:val="008B0623"/>
    <w:rsid w:val="008B1061"/>
    <w:rsid w:val="008B147E"/>
    <w:rsid w:val="008B1CCB"/>
    <w:rsid w:val="008B23B9"/>
    <w:rsid w:val="008B31C6"/>
    <w:rsid w:val="008B37DC"/>
    <w:rsid w:val="008B3EBE"/>
    <w:rsid w:val="008B4567"/>
    <w:rsid w:val="008B4A53"/>
    <w:rsid w:val="008B4A6C"/>
    <w:rsid w:val="008B503C"/>
    <w:rsid w:val="008B524E"/>
    <w:rsid w:val="008B560B"/>
    <w:rsid w:val="008B6003"/>
    <w:rsid w:val="008B633C"/>
    <w:rsid w:val="008B70CA"/>
    <w:rsid w:val="008B7424"/>
    <w:rsid w:val="008B78B3"/>
    <w:rsid w:val="008B7C22"/>
    <w:rsid w:val="008B7EC5"/>
    <w:rsid w:val="008B7F09"/>
    <w:rsid w:val="008C0007"/>
    <w:rsid w:val="008C02F8"/>
    <w:rsid w:val="008C03C8"/>
    <w:rsid w:val="008C0976"/>
    <w:rsid w:val="008C0CB3"/>
    <w:rsid w:val="008C119F"/>
    <w:rsid w:val="008C13F2"/>
    <w:rsid w:val="008C191D"/>
    <w:rsid w:val="008C23FB"/>
    <w:rsid w:val="008C3393"/>
    <w:rsid w:val="008C37D0"/>
    <w:rsid w:val="008C3CC4"/>
    <w:rsid w:val="008C5D10"/>
    <w:rsid w:val="008C5E4F"/>
    <w:rsid w:val="008C6AE6"/>
    <w:rsid w:val="008C6C58"/>
    <w:rsid w:val="008C6EE3"/>
    <w:rsid w:val="008C789B"/>
    <w:rsid w:val="008D0615"/>
    <w:rsid w:val="008D0DBD"/>
    <w:rsid w:val="008D12DB"/>
    <w:rsid w:val="008D24D5"/>
    <w:rsid w:val="008D2D10"/>
    <w:rsid w:val="008D30A9"/>
    <w:rsid w:val="008D311C"/>
    <w:rsid w:val="008D370C"/>
    <w:rsid w:val="008D465F"/>
    <w:rsid w:val="008D46B1"/>
    <w:rsid w:val="008D4A56"/>
    <w:rsid w:val="008D4B1A"/>
    <w:rsid w:val="008D506E"/>
    <w:rsid w:val="008D52A4"/>
    <w:rsid w:val="008D5363"/>
    <w:rsid w:val="008D5A4E"/>
    <w:rsid w:val="008D66CA"/>
    <w:rsid w:val="008D70A4"/>
    <w:rsid w:val="008D718B"/>
    <w:rsid w:val="008D781A"/>
    <w:rsid w:val="008E0D57"/>
    <w:rsid w:val="008E0E11"/>
    <w:rsid w:val="008E1282"/>
    <w:rsid w:val="008E14B9"/>
    <w:rsid w:val="008E2448"/>
    <w:rsid w:val="008E2597"/>
    <w:rsid w:val="008E26F2"/>
    <w:rsid w:val="008E2938"/>
    <w:rsid w:val="008E2B3A"/>
    <w:rsid w:val="008E343C"/>
    <w:rsid w:val="008E39C7"/>
    <w:rsid w:val="008E4109"/>
    <w:rsid w:val="008E412D"/>
    <w:rsid w:val="008E4774"/>
    <w:rsid w:val="008E48CD"/>
    <w:rsid w:val="008E4CA9"/>
    <w:rsid w:val="008E4FE5"/>
    <w:rsid w:val="008E5BD6"/>
    <w:rsid w:val="008E709A"/>
    <w:rsid w:val="008E7779"/>
    <w:rsid w:val="008E7844"/>
    <w:rsid w:val="008E7A05"/>
    <w:rsid w:val="008F0381"/>
    <w:rsid w:val="008F0D90"/>
    <w:rsid w:val="008F25C7"/>
    <w:rsid w:val="008F25D6"/>
    <w:rsid w:val="008F2D2D"/>
    <w:rsid w:val="008F4163"/>
    <w:rsid w:val="008F4746"/>
    <w:rsid w:val="008F4E74"/>
    <w:rsid w:val="008F56B5"/>
    <w:rsid w:val="008F5D49"/>
    <w:rsid w:val="008F620C"/>
    <w:rsid w:val="008F67AD"/>
    <w:rsid w:val="008F6E40"/>
    <w:rsid w:val="008F7468"/>
    <w:rsid w:val="008F74F8"/>
    <w:rsid w:val="008F75A3"/>
    <w:rsid w:val="008F7DD9"/>
    <w:rsid w:val="008F7DFB"/>
    <w:rsid w:val="00900D44"/>
    <w:rsid w:val="0090100E"/>
    <w:rsid w:val="009011F9"/>
    <w:rsid w:val="009020CA"/>
    <w:rsid w:val="00902495"/>
    <w:rsid w:val="00904BF6"/>
    <w:rsid w:val="00904D34"/>
    <w:rsid w:val="00905587"/>
    <w:rsid w:val="009057C6"/>
    <w:rsid w:val="009067CE"/>
    <w:rsid w:val="0090738F"/>
    <w:rsid w:val="00907B45"/>
    <w:rsid w:val="009104C1"/>
    <w:rsid w:val="0091085E"/>
    <w:rsid w:val="009116AE"/>
    <w:rsid w:val="00911D49"/>
    <w:rsid w:val="00911D99"/>
    <w:rsid w:val="009127CC"/>
    <w:rsid w:val="00912EFA"/>
    <w:rsid w:val="00913311"/>
    <w:rsid w:val="0091348A"/>
    <w:rsid w:val="009136E1"/>
    <w:rsid w:val="00913892"/>
    <w:rsid w:val="00913935"/>
    <w:rsid w:val="00913BCE"/>
    <w:rsid w:val="00913C52"/>
    <w:rsid w:val="00913E98"/>
    <w:rsid w:val="009140F7"/>
    <w:rsid w:val="00915A3D"/>
    <w:rsid w:val="009168CA"/>
    <w:rsid w:val="00916AAC"/>
    <w:rsid w:val="00917965"/>
    <w:rsid w:val="009179B3"/>
    <w:rsid w:val="00917AE7"/>
    <w:rsid w:val="00917EDA"/>
    <w:rsid w:val="0092044E"/>
    <w:rsid w:val="00920587"/>
    <w:rsid w:val="00920EAD"/>
    <w:rsid w:val="0092151E"/>
    <w:rsid w:val="00921C99"/>
    <w:rsid w:val="00921D4F"/>
    <w:rsid w:val="009231AB"/>
    <w:rsid w:val="00923407"/>
    <w:rsid w:val="0092377F"/>
    <w:rsid w:val="00923FC6"/>
    <w:rsid w:val="00924430"/>
    <w:rsid w:val="00924DE1"/>
    <w:rsid w:val="00924FF0"/>
    <w:rsid w:val="00925126"/>
    <w:rsid w:val="00925609"/>
    <w:rsid w:val="009274CF"/>
    <w:rsid w:val="00927DC6"/>
    <w:rsid w:val="00930521"/>
    <w:rsid w:val="009306E4"/>
    <w:rsid w:val="00931A0F"/>
    <w:rsid w:val="00931CF8"/>
    <w:rsid w:val="009328B8"/>
    <w:rsid w:val="00932F88"/>
    <w:rsid w:val="0093335D"/>
    <w:rsid w:val="00933547"/>
    <w:rsid w:val="00934512"/>
    <w:rsid w:val="00934BE7"/>
    <w:rsid w:val="00934D74"/>
    <w:rsid w:val="00935498"/>
    <w:rsid w:val="00935962"/>
    <w:rsid w:val="00935BEE"/>
    <w:rsid w:val="00935DE1"/>
    <w:rsid w:val="009364D4"/>
    <w:rsid w:val="00936C0C"/>
    <w:rsid w:val="00936DC3"/>
    <w:rsid w:val="00937675"/>
    <w:rsid w:val="009379F4"/>
    <w:rsid w:val="00937A75"/>
    <w:rsid w:val="009406AF"/>
    <w:rsid w:val="00940D1A"/>
    <w:rsid w:val="00941880"/>
    <w:rsid w:val="00941DAA"/>
    <w:rsid w:val="00942434"/>
    <w:rsid w:val="00942EEF"/>
    <w:rsid w:val="00942F1C"/>
    <w:rsid w:val="00943593"/>
    <w:rsid w:val="00943A35"/>
    <w:rsid w:val="00943D90"/>
    <w:rsid w:val="00944DC2"/>
    <w:rsid w:val="00944F69"/>
    <w:rsid w:val="00945E78"/>
    <w:rsid w:val="00945E9C"/>
    <w:rsid w:val="0094613D"/>
    <w:rsid w:val="00946515"/>
    <w:rsid w:val="00946519"/>
    <w:rsid w:val="009467F8"/>
    <w:rsid w:val="00946884"/>
    <w:rsid w:val="00947012"/>
    <w:rsid w:val="009476A3"/>
    <w:rsid w:val="00947F1F"/>
    <w:rsid w:val="009502C4"/>
    <w:rsid w:val="009508FB"/>
    <w:rsid w:val="00950DB2"/>
    <w:rsid w:val="00950F72"/>
    <w:rsid w:val="00950FC5"/>
    <w:rsid w:val="00951A1E"/>
    <w:rsid w:val="00951F33"/>
    <w:rsid w:val="00952170"/>
    <w:rsid w:val="00953188"/>
    <w:rsid w:val="00953999"/>
    <w:rsid w:val="00954082"/>
    <w:rsid w:val="009546B6"/>
    <w:rsid w:val="00955866"/>
    <w:rsid w:val="00955E10"/>
    <w:rsid w:val="009578B2"/>
    <w:rsid w:val="00960349"/>
    <w:rsid w:val="009607A4"/>
    <w:rsid w:val="00960928"/>
    <w:rsid w:val="00960B6B"/>
    <w:rsid w:val="00960B8A"/>
    <w:rsid w:val="00961246"/>
    <w:rsid w:val="00961491"/>
    <w:rsid w:val="00961577"/>
    <w:rsid w:val="009617F0"/>
    <w:rsid w:val="0096190B"/>
    <w:rsid w:val="00961F8A"/>
    <w:rsid w:val="009621E9"/>
    <w:rsid w:val="00962A38"/>
    <w:rsid w:val="00963C7A"/>
    <w:rsid w:val="00963E64"/>
    <w:rsid w:val="00963E86"/>
    <w:rsid w:val="009642AA"/>
    <w:rsid w:val="00964BFE"/>
    <w:rsid w:val="00965105"/>
    <w:rsid w:val="00965E50"/>
    <w:rsid w:val="00965E6F"/>
    <w:rsid w:val="00966E0E"/>
    <w:rsid w:val="00967135"/>
    <w:rsid w:val="00967318"/>
    <w:rsid w:val="00967672"/>
    <w:rsid w:val="009678AB"/>
    <w:rsid w:val="00967E73"/>
    <w:rsid w:val="00970006"/>
    <w:rsid w:val="009706EF"/>
    <w:rsid w:val="009708B8"/>
    <w:rsid w:val="009712A8"/>
    <w:rsid w:val="0097130A"/>
    <w:rsid w:val="0097169B"/>
    <w:rsid w:val="00971D7F"/>
    <w:rsid w:val="00971EFA"/>
    <w:rsid w:val="00973919"/>
    <w:rsid w:val="00973BF2"/>
    <w:rsid w:val="00973EAE"/>
    <w:rsid w:val="00973F4B"/>
    <w:rsid w:val="00974537"/>
    <w:rsid w:val="00974CBD"/>
    <w:rsid w:val="0097516B"/>
    <w:rsid w:val="00975445"/>
    <w:rsid w:val="009756B4"/>
    <w:rsid w:val="00975DA5"/>
    <w:rsid w:val="009762BD"/>
    <w:rsid w:val="0097638E"/>
    <w:rsid w:val="0097713C"/>
    <w:rsid w:val="00977839"/>
    <w:rsid w:val="00977E63"/>
    <w:rsid w:val="0098046F"/>
    <w:rsid w:val="00981190"/>
    <w:rsid w:val="009822CC"/>
    <w:rsid w:val="00982814"/>
    <w:rsid w:val="00983479"/>
    <w:rsid w:val="00983A9E"/>
    <w:rsid w:val="009845F8"/>
    <w:rsid w:val="00984779"/>
    <w:rsid w:val="00984A4A"/>
    <w:rsid w:val="00984E38"/>
    <w:rsid w:val="009855DC"/>
    <w:rsid w:val="00985CE1"/>
    <w:rsid w:val="00985D11"/>
    <w:rsid w:val="00985F0E"/>
    <w:rsid w:val="00986B52"/>
    <w:rsid w:val="00986B9C"/>
    <w:rsid w:val="00986C2D"/>
    <w:rsid w:val="009876F9"/>
    <w:rsid w:val="00987C7C"/>
    <w:rsid w:val="00987C9C"/>
    <w:rsid w:val="00990019"/>
    <w:rsid w:val="00990066"/>
    <w:rsid w:val="00991040"/>
    <w:rsid w:val="00991A0E"/>
    <w:rsid w:val="00993107"/>
    <w:rsid w:val="00993401"/>
    <w:rsid w:val="00993553"/>
    <w:rsid w:val="00993721"/>
    <w:rsid w:val="00993C04"/>
    <w:rsid w:val="00994666"/>
    <w:rsid w:val="009952FD"/>
    <w:rsid w:val="0099608D"/>
    <w:rsid w:val="009963B6"/>
    <w:rsid w:val="00996514"/>
    <w:rsid w:val="00997479"/>
    <w:rsid w:val="00997BC7"/>
    <w:rsid w:val="00997D99"/>
    <w:rsid w:val="009A094C"/>
    <w:rsid w:val="009A0995"/>
    <w:rsid w:val="009A1936"/>
    <w:rsid w:val="009A1AE7"/>
    <w:rsid w:val="009A218B"/>
    <w:rsid w:val="009A2AC4"/>
    <w:rsid w:val="009A340A"/>
    <w:rsid w:val="009A34FD"/>
    <w:rsid w:val="009A38BC"/>
    <w:rsid w:val="009A3BBC"/>
    <w:rsid w:val="009A4508"/>
    <w:rsid w:val="009A4552"/>
    <w:rsid w:val="009A561F"/>
    <w:rsid w:val="009A5D64"/>
    <w:rsid w:val="009A60F9"/>
    <w:rsid w:val="009A75CA"/>
    <w:rsid w:val="009A78F4"/>
    <w:rsid w:val="009A79C1"/>
    <w:rsid w:val="009A7DB5"/>
    <w:rsid w:val="009A7E22"/>
    <w:rsid w:val="009B1827"/>
    <w:rsid w:val="009B219B"/>
    <w:rsid w:val="009B21B7"/>
    <w:rsid w:val="009B26CD"/>
    <w:rsid w:val="009B3F50"/>
    <w:rsid w:val="009B4AFC"/>
    <w:rsid w:val="009B6B61"/>
    <w:rsid w:val="009B772F"/>
    <w:rsid w:val="009C051B"/>
    <w:rsid w:val="009C0545"/>
    <w:rsid w:val="009C075B"/>
    <w:rsid w:val="009C07DF"/>
    <w:rsid w:val="009C0E4E"/>
    <w:rsid w:val="009C17F5"/>
    <w:rsid w:val="009C191D"/>
    <w:rsid w:val="009C1D2C"/>
    <w:rsid w:val="009C3DD7"/>
    <w:rsid w:val="009C522A"/>
    <w:rsid w:val="009C56BD"/>
    <w:rsid w:val="009C5B54"/>
    <w:rsid w:val="009C6295"/>
    <w:rsid w:val="009C65B1"/>
    <w:rsid w:val="009C7329"/>
    <w:rsid w:val="009C736A"/>
    <w:rsid w:val="009C73C7"/>
    <w:rsid w:val="009C74FB"/>
    <w:rsid w:val="009C7AFB"/>
    <w:rsid w:val="009D0668"/>
    <w:rsid w:val="009D0A5F"/>
    <w:rsid w:val="009D159C"/>
    <w:rsid w:val="009D1628"/>
    <w:rsid w:val="009D174B"/>
    <w:rsid w:val="009D1B95"/>
    <w:rsid w:val="009D1D73"/>
    <w:rsid w:val="009D3A71"/>
    <w:rsid w:val="009D440C"/>
    <w:rsid w:val="009D44F8"/>
    <w:rsid w:val="009D4740"/>
    <w:rsid w:val="009E071A"/>
    <w:rsid w:val="009E163B"/>
    <w:rsid w:val="009E1668"/>
    <w:rsid w:val="009E1801"/>
    <w:rsid w:val="009E1A34"/>
    <w:rsid w:val="009E1A49"/>
    <w:rsid w:val="009E21DD"/>
    <w:rsid w:val="009E255D"/>
    <w:rsid w:val="009E257E"/>
    <w:rsid w:val="009E29B2"/>
    <w:rsid w:val="009E2FB2"/>
    <w:rsid w:val="009E3448"/>
    <w:rsid w:val="009E379E"/>
    <w:rsid w:val="009E43A4"/>
    <w:rsid w:val="009E44C4"/>
    <w:rsid w:val="009E454E"/>
    <w:rsid w:val="009E4766"/>
    <w:rsid w:val="009E4BF3"/>
    <w:rsid w:val="009E5E9A"/>
    <w:rsid w:val="009E7890"/>
    <w:rsid w:val="009F08E0"/>
    <w:rsid w:val="009F09D2"/>
    <w:rsid w:val="009F0CF9"/>
    <w:rsid w:val="009F143F"/>
    <w:rsid w:val="009F1923"/>
    <w:rsid w:val="009F2134"/>
    <w:rsid w:val="009F3B15"/>
    <w:rsid w:val="009F4162"/>
    <w:rsid w:val="009F45EC"/>
    <w:rsid w:val="009F4863"/>
    <w:rsid w:val="009F4C80"/>
    <w:rsid w:val="009F4D19"/>
    <w:rsid w:val="009F4FA3"/>
    <w:rsid w:val="009F51A6"/>
    <w:rsid w:val="009F5362"/>
    <w:rsid w:val="009F5570"/>
    <w:rsid w:val="009F7222"/>
    <w:rsid w:val="009F73CF"/>
    <w:rsid w:val="009F7AFC"/>
    <w:rsid w:val="00A00235"/>
    <w:rsid w:val="00A00B6B"/>
    <w:rsid w:val="00A00E65"/>
    <w:rsid w:val="00A015A9"/>
    <w:rsid w:val="00A01FB6"/>
    <w:rsid w:val="00A02708"/>
    <w:rsid w:val="00A0332C"/>
    <w:rsid w:val="00A035B2"/>
    <w:rsid w:val="00A0366F"/>
    <w:rsid w:val="00A04187"/>
    <w:rsid w:val="00A04255"/>
    <w:rsid w:val="00A04626"/>
    <w:rsid w:val="00A0499F"/>
    <w:rsid w:val="00A05565"/>
    <w:rsid w:val="00A058A3"/>
    <w:rsid w:val="00A05A32"/>
    <w:rsid w:val="00A05B1C"/>
    <w:rsid w:val="00A05CE3"/>
    <w:rsid w:val="00A061AB"/>
    <w:rsid w:val="00A0634B"/>
    <w:rsid w:val="00A063BB"/>
    <w:rsid w:val="00A065D9"/>
    <w:rsid w:val="00A0682A"/>
    <w:rsid w:val="00A071A7"/>
    <w:rsid w:val="00A07BF1"/>
    <w:rsid w:val="00A1007D"/>
    <w:rsid w:val="00A101EE"/>
    <w:rsid w:val="00A10309"/>
    <w:rsid w:val="00A1091A"/>
    <w:rsid w:val="00A111DF"/>
    <w:rsid w:val="00A1125B"/>
    <w:rsid w:val="00A116FF"/>
    <w:rsid w:val="00A11FB1"/>
    <w:rsid w:val="00A122B6"/>
    <w:rsid w:val="00A12358"/>
    <w:rsid w:val="00A123E7"/>
    <w:rsid w:val="00A128AD"/>
    <w:rsid w:val="00A12D4E"/>
    <w:rsid w:val="00A13BA5"/>
    <w:rsid w:val="00A1568A"/>
    <w:rsid w:val="00A1569D"/>
    <w:rsid w:val="00A15B27"/>
    <w:rsid w:val="00A1670D"/>
    <w:rsid w:val="00A16D7B"/>
    <w:rsid w:val="00A17087"/>
    <w:rsid w:val="00A17A83"/>
    <w:rsid w:val="00A17A86"/>
    <w:rsid w:val="00A2008A"/>
    <w:rsid w:val="00A202E5"/>
    <w:rsid w:val="00A20ED8"/>
    <w:rsid w:val="00A21517"/>
    <w:rsid w:val="00A218B5"/>
    <w:rsid w:val="00A222A2"/>
    <w:rsid w:val="00A22725"/>
    <w:rsid w:val="00A23334"/>
    <w:rsid w:val="00A23422"/>
    <w:rsid w:val="00A23627"/>
    <w:rsid w:val="00A2368A"/>
    <w:rsid w:val="00A23809"/>
    <w:rsid w:val="00A23CB1"/>
    <w:rsid w:val="00A23EDC"/>
    <w:rsid w:val="00A24A72"/>
    <w:rsid w:val="00A25DB6"/>
    <w:rsid w:val="00A260F3"/>
    <w:rsid w:val="00A261C0"/>
    <w:rsid w:val="00A2649A"/>
    <w:rsid w:val="00A27D45"/>
    <w:rsid w:val="00A30C43"/>
    <w:rsid w:val="00A30D11"/>
    <w:rsid w:val="00A311E6"/>
    <w:rsid w:val="00A31390"/>
    <w:rsid w:val="00A330D9"/>
    <w:rsid w:val="00A33463"/>
    <w:rsid w:val="00A33E87"/>
    <w:rsid w:val="00A35656"/>
    <w:rsid w:val="00A36A3C"/>
    <w:rsid w:val="00A36B23"/>
    <w:rsid w:val="00A3769C"/>
    <w:rsid w:val="00A376F5"/>
    <w:rsid w:val="00A4134B"/>
    <w:rsid w:val="00A4189F"/>
    <w:rsid w:val="00A41DAE"/>
    <w:rsid w:val="00A42483"/>
    <w:rsid w:val="00A424C0"/>
    <w:rsid w:val="00A42C14"/>
    <w:rsid w:val="00A431F1"/>
    <w:rsid w:val="00A44675"/>
    <w:rsid w:val="00A45AE0"/>
    <w:rsid w:val="00A46106"/>
    <w:rsid w:val="00A46D37"/>
    <w:rsid w:val="00A46D80"/>
    <w:rsid w:val="00A470AE"/>
    <w:rsid w:val="00A47106"/>
    <w:rsid w:val="00A476DF"/>
    <w:rsid w:val="00A502C2"/>
    <w:rsid w:val="00A51480"/>
    <w:rsid w:val="00A51FFD"/>
    <w:rsid w:val="00A52033"/>
    <w:rsid w:val="00A520E0"/>
    <w:rsid w:val="00A529BC"/>
    <w:rsid w:val="00A52C5C"/>
    <w:rsid w:val="00A5338C"/>
    <w:rsid w:val="00A53807"/>
    <w:rsid w:val="00A53C8D"/>
    <w:rsid w:val="00A54A10"/>
    <w:rsid w:val="00A54D45"/>
    <w:rsid w:val="00A54F39"/>
    <w:rsid w:val="00A551CC"/>
    <w:rsid w:val="00A559CF"/>
    <w:rsid w:val="00A56511"/>
    <w:rsid w:val="00A5688B"/>
    <w:rsid w:val="00A5693E"/>
    <w:rsid w:val="00A5746F"/>
    <w:rsid w:val="00A57767"/>
    <w:rsid w:val="00A57B2A"/>
    <w:rsid w:val="00A60F9E"/>
    <w:rsid w:val="00A614E5"/>
    <w:rsid w:val="00A6163C"/>
    <w:rsid w:val="00A61820"/>
    <w:rsid w:val="00A61941"/>
    <w:rsid w:val="00A61AF6"/>
    <w:rsid w:val="00A61CB2"/>
    <w:rsid w:val="00A6242F"/>
    <w:rsid w:val="00A6244D"/>
    <w:rsid w:val="00A628FB"/>
    <w:rsid w:val="00A62D36"/>
    <w:rsid w:val="00A62FA6"/>
    <w:rsid w:val="00A62FF5"/>
    <w:rsid w:val="00A630A8"/>
    <w:rsid w:val="00A6315B"/>
    <w:rsid w:val="00A6337F"/>
    <w:rsid w:val="00A63642"/>
    <w:rsid w:val="00A641FA"/>
    <w:rsid w:val="00A642CD"/>
    <w:rsid w:val="00A6438F"/>
    <w:rsid w:val="00A643FF"/>
    <w:rsid w:val="00A644F5"/>
    <w:rsid w:val="00A649E8"/>
    <w:rsid w:val="00A64E88"/>
    <w:rsid w:val="00A64E93"/>
    <w:rsid w:val="00A6508B"/>
    <w:rsid w:val="00A6539F"/>
    <w:rsid w:val="00A657F8"/>
    <w:rsid w:val="00A65818"/>
    <w:rsid w:val="00A65DA0"/>
    <w:rsid w:val="00A670D3"/>
    <w:rsid w:val="00A70052"/>
    <w:rsid w:val="00A70821"/>
    <w:rsid w:val="00A715F3"/>
    <w:rsid w:val="00A71BA2"/>
    <w:rsid w:val="00A71E32"/>
    <w:rsid w:val="00A7204C"/>
    <w:rsid w:val="00A72ACA"/>
    <w:rsid w:val="00A72E06"/>
    <w:rsid w:val="00A731B7"/>
    <w:rsid w:val="00A732E1"/>
    <w:rsid w:val="00A7334F"/>
    <w:rsid w:val="00A73D14"/>
    <w:rsid w:val="00A73EC5"/>
    <w:rsid w:val="00A74ACE"/>
    <w:rsid w:val="00A74EF1"/>
    <w:rsid w:val="00A7525E"/>
    <w:rsid w:val="00A7636E"/>
    <w:rsid w:val="00A77170"/>
    <w:rsid w:val="00A77336"/>
    <w:rsid w:val="00A7775E"/>
    <w:rsid w:val="00A7791C"/>
    <w:rsid w:val="00A77A3E"/>
    <w:rsid w:val="00A8063A"/>
    <w:rsid w:val="00A80775"/>
    <w:rsid w:val="00A8081A"/>
    <w:rsid w:val="00A81CE8"/>
    <w:rsid w:val="00A8237E"/>
    <w:rsid w:val="00A835F7"/>
    <w:rsid w:val="00A836C7"/>
    <w:rsid w:val="00A85596"/>
    <w:rsid w:val="00A867F7"/>
    <w:rsid w:val="00A867FB"/>
    <w:rsid w:val="00A86D9E"/>
    <w:rsid w:val="00A871B9"/>
    <w:rsid w:val="00A8755F"/>
    <w:rsid w:val="00A90436"/>
    <w:rsid w:val="00A90C80"/>
    <w:rsid w:val="00A90EFC"/>
    <w:rsid w:val="00A91232"/>
    <w:rsid w:val="00A914E7"/>
    <w:rsid w:val="00A91556"/>
    <w:rsid w:val="00A921DF"/>
    <w:rsid w:val="00A927D9"/>
    <w:rsid w:val="00A93E64"/>
    <w:rsid w:val="00A9463F"/>
    <w:rsid w:val="00A948CA"/>
    <w:rsid w:val="00A94EF3"/>
    <w:rsid w:val="00A96712"/>
    <w:rsid w:val="00A96AF2"/>
    <w:rsid w:val="00A96BA8"/>
    <w:rsid w:val="00A97231"/>
    <w:rsid w:val="00A97680"/>
    <w:rsid w:val="00A977DE"/>
    <w:rsid w:val="00A978A9"/>
    <w:rsid w:val="00A97B8D"/>
    <w:rsid w:val="00A97C49"/>
    <w:rsid w:val="00AA0640"/>
    <w:rsid w:val="00AA0947"/>
    <w:rsid w:val="00AA147E"/>
    <w:rsid w:val="00AA1CEC"/>
    <w:rsid w:val="00AA1D6A"/>
    <w:rsid w:val="00AA1DDE"/>
    <w:rsid w:val="00AA2E55"/>
    <w:rsid w:val="00AA3ACB"/>
    <w:rsid w:val="00AA3C5B"/>
    <w:rsid w:val="00AA3D7E"/>
    <w:rsid w:val="00AA3E44"/>
    <w:rsid w:val="00AA4816"/>
    <w:rsid w:val="00AA57F9"/>
    <w:rsid w:val="00AA57FA"/>
    <w:rsid w:val="00AA5BAA"/>
    <w:rsid w:val="00AA77B3"/>
    <w:rsid w:val="00AA7BB6"/>
    <w:rsid w:val="00AB0100"/>
    <w:rsid w:val="00AB10AF"/>
    <w:rsid w:val="00AB18B2"/>
    <w:rsid w:val="00AB19AC"/>
    <w:rsid w:val="00AB22EB"/>
    <w:rsid w:val="00AB2364"/>
    <w:rsid w:val="00AB251C"/>
    <w:rsid w:val="00AB27DB"/>
    <w:rsid w:val="00AB2896"/>
    <w:rsid w:val="00AB33D5"/>
    <w:rsid w:val="00AB400B"/>
    <w:rsid w:val="00AB42F6"/>
    <w:rsid w:val="00AB52DF"/>
    <w:rsid w:val="00AB5750"/>
    <w:rsid w:val="00AB59E0"/>
    <w:rsid w:val="00AB5C12"/>
    <w:rsid w:val="00AB5C2D"/>
    <w:rsid w:val="00AB697F"/>
    <w:rsid w:val="00AB79D4"/>
    <w:rsid w:val="00AC0B00"/>
    <w:rsid w:val="00AC0FBE"/>
    <w:rsid w:val="00AC1538"/>
    <w:rsid w:val="00AC2569"/>
    <w:rsid w:val="00AC25DA"/>
    <w:rsid w:val="00AC292B"/>
    <w:rsid w:val="00AC29CD"/>
    <w:rsid w:val="00AC2FF7"/>
    <w:rsid w:val="00AC355E"/>
    <w:rsid w:val="00AC366C"/>
    <w:rsid w:val="00AC3B7E"/>
    <w:rsid w:val="00AC3F73"/>
    <w:rsid w:val="00AC4D40"/>
    <w:rsid w:val="00AC4F53"/>
    <w:rsid w:val="00AC53BD"/>
    <w:rsid w:val="00AC5822"/>
    <w:rsid w:val="00AC5D35"/>
    <w:rsid w:val="00AC72E1"/>
    <w:rsid w:val="00AC73C9"/>
    <w:rsid w:val="00AC761E"/>
    <w:rsid w:val="00AC7A14"/>
    <w:rsid w:val="00AD0431"/>
    <w:rsid w:val="00AD0499"/>
    <w:rsid w:val="00AD05C4"/>
    <w:rsid w:val="00AD13CC"/>
    <w:rsid w:val="00AD1647"/>
    <w:rsid w:val="00AD220D"/>
    <w:rsid w:val="00AD2DDD"/>
    <w:rsid w:val="00AD3379"/>
    <w:rsid w:val="00AD34C0"/>
    <w:rsid w:val="00AD3D51"/>
    <w:rsid w:val="00AD3F82"/>
    <w:rsid w:val="00AD40B2"/>
    <w:rsid w:val="00AD47E7"/>
    <w:rsid w:val="00AD5975"/>
    <w:rsid w:val="00AD65F7"/>
    <w:rsid w:val="00AD662E"/>
    <w:rsid w:val="00AD6E34"/>
    <w:rsid w:val="00AD722B"/>
    <w:rsid w:val="00AD733A"/>
    <w:rsid w:val="00AD779C"/>
    <w:rsid w:val="00AE014C"/>
    <w:rsid w:val="00AE01AB"/>
    <w:rsid w:val="00AE01DE"/>
    <w:rsid w:val="00AE1244"/>
    <w:rsid w:val="00AE13A3"/>
    <w:rsid w:val="00AE26AB"/>
    <w:rsid w:val="00AE2FC0"/>
    <w:rsid w:val="00AE3204"/>
    <w:rsid w:val="00AE34E0"/>
    <w:rsid w:val="00AE3565"/>
    <w:rsid w:val="00AE3816"/>
    <w:rsid w:val="00AE4425"/>
    <w:rsid w:val="00AE4488"/>
    <w:rsid w:val="00AE49D8"/>
    <w:rsid w:val="00AE50CE"/>
    <w:rsid w:val="00AE585F"/>
    <w:rsid w:val="00AE6144"/>
    <w:rsid w:val="00AE67F7"/>
    <w:rsid w:val="00AE6F64"/>
    <w:rsid w:val="00AE745E"/>
    <w:rsid w:val="00AE778D"/>
    <w:rsid w:val="00AE79C6"/>
    <w:rsid w:val="00AE7D0E"/>
    <w:rsid w:val="00AE7F45"/>
    <w:rsid w:val="00AE7FB2"/>
    <w:rsid w:val="00AF01A8"/>
    <w:rsid w:val="00AF0720"/>
    <w:rsid w:val="00AF0AF6"/>
    <w:rsid w:val="00AF0BA9"/>
    <w:rsid w:val="00AF0D3B"/>
    <w:rsid w:val="00AF0D44"/>
    <w:rsid w:val="00AF1128"/>
    <w:rsid w:val="00AF16E9"/>
    <w:rsid w:val="00AF17E9"/>
    <w:rsid w:val="00AF1A31"/>
    <w:rsid w:val="00AF1E14"/>
    <w:rsid w:val="00AF204F"/>
    <w:rsid w:val="00AF349A"/>
    <w:rsid w:val="00AF3625"/>
    <w:rsid w:val="00AF4201"/>
    <w:rsid w:val="00AF47C4"/>
    <w:rsid w:val="00AF5272"/>
    <w:rsid w:val="00AF5577"/>
    <w:rsid w:val="00AF5C9D"/>
    <w:rsid w:val="00AF6515"/>
    <w:rsid w:val="00AF6745"/>
    <w:rsid w:val="00AF6F98"/>
    <w:rsid w:val="00B00481"/>
    <w:rsid w:val="00B00746"/>
    <w:rsid w:val="00B0089A"/>
    <w:rsid w:val="00B01B42"/>
    <w:rsid w:val="00B02540"/>
    <w:rsid w:val="00B02F16"/>
    <w:rsid w:val="00B034D7"/>
    <w:rsid w:val="00B039B1"/>
    <w:rsid w:val="00B03B04"/>
    <w:rsid w:val="00B03CCD"/>
    <w:rsid w:val="00B03DF7"/>
    <w:rsid w:val="00B0492A"/>
    <w:rsid w:val="00B05292"/>
    <w:rsid w:val="00B059DD"/>
    <w:rsid w:val="00B05E19"/>
    <w:rsid w:val="00B064D7"/>
    <w:rsid w:val="00B067A8"/>
    <w:rsid w:val="00B075E3"/>
    <w:rsid w:val="00B076E4"/>
    <w:rsid w:val="00B07D91"/>
    <w:rsid w:val="00B1006D"/>
    <w:rsid w:val="00B102BD"/>
    <w:rsid w:val="00B105A3"/>
    <w:rsid w:val="00B122A1"/>
    <w:rsid w:val="00B136DF"/>
    <w:rsid w:val="00B1440C"/>
    <w:rsid w:val="00B145AB"/>
    <w:rsid w:val="00B148DC"/>
    <w:rsid w:val="00B14AAE"/>
    <w:rsid w:val="00B14B0C"/>
    <w:rsid w:val="00B14DA8"/>
    <w:rsid w:val="00B15718"/>
    <w:rsid w:val="00B16086"/>
    <w:rsid w:val="00B165C4"/>
    <w:rsid w:val="00B17D9E"/>
    <w:rsid w:val="00B20394"/>
    <w:rsid w:val="00B205B9"/>
    <w:rsid w:val="00B20764"/>
    <w:rsid w:val="00B20990"/>
    <w:rsid w:val="00B20D46"/>
    <w:rsid w:val="00B20D9D"/>
    <w:rsid w:val="00B21202"/>
    <w:rsid w:val="00B21456"/>
    <w:rsid w:val="00B214E7"/>
    <w:rsid w:val="00B2153E"/>
    <w:rsid w:val="00B22004"/>
    <w:rsid w:val="00B22162"/>
    <w:rsid w:val="00B22226"/>
    <w:rsid w:val="00B229A0"/>
    <w:rsid w:val="00B23265"/>
    <w:rsid w:val="00B23944"/>
    <w:rsid w:val="00B23A54"/>
    <w:rsid w:val="00B23DB0"/>
    <w:rsid w:val="00B23EE6"/>
    <w:rsid w:val="00B240EF"/>
    <w:rsid w:val="00B24176"/>
    <w:rsid w:val="00B24346"/>
    <w:rsid w:val="00B245CA"/>
    <w:rsid w:val="00B2481F"/>
    <w:rsid w:val="00B2566C"/>
    <w:rsid w:val="00B256F2"/>
    <w:rsid w:val="00B258F8"/>
    <w:rsid w:val="00B25CE4"/>
    <w:rsid w:val="00B25EC7"/>
    <w:rsid w:val="00B26709"/>
    <w:rsid w:val="00B27349"/>
    <w:rsid w:val="00B275DD"/>
    <w:rsid w:val="00B30DF0"/>
    <w:rsid w:val="00B3215A"/>
    <w:rsid w:val="00B32680"/>
    <w:rsid w:val="00B32C00"/>
    <w:rsid w:val="00B333B6"/>
    <w:rsid w:val="00B33D1F"/>
    <w:rsid w:val="00B34422"/>
    <w:rsid w:val="00B35122"/>
    <w:rsid w:val="00B352F3"/>
    <w:rsid w:val="00B35C3A"/>
    <w:rsid w:val="00B36115"/>
    <w:rsid w:val="00B36894"/>
    <w:rsid w:val="00B3692A"/>
    <w:rsid w:val="00B3708E"/>
    <w:rsid w:val="00B370A1"/>
    <w:rsid w:val="00B371D6"/>
    <w:rsid w:val="00B37514"/>
    <w:rsid w:val="00B40CC8"/>
    <w:rsid w:val="00B418DC"/>
    <w:rsid w:val="00B420D9"/>
    <w:rsid w:val="00B42FD1"/>
    <w:rsid w:val="00B4313E"/>
    <w:rsid w:val="00B43329"/>
    <w:rsid w:val="00B44BD5"/>
    <w:rsid w:val="00B44D4F"/>
    <w:rsid w:val="00B452D8"/>
    <w:rsid w:val="00B456F7"/>
    <w:rsid w:val="00B45BA0"/>
    <w:rsid w:val="00B45DF1"/>
    <w:rsid w:val="00B45F1D"/>
    <w:rsid w:val="00B45F8F"/>
    <w:rsid w:val="00B4626A"/>
    <w:rsid w:val="00B46364"/>
    <w:rsid w:val="00B46D4C"/>
    <w:rsid w:val="00B46E48"/>
    <w:rsid w:val="00B4743D"/>
    <w:rsid w:val="00B47D72"/>
    <w:rsid w:val="00B51224"/>
    <w:rsid w:val="00B5123E"/>
    <w:rsid w:val="00B513AD"/>
    <w:rsid w:val="00B51657"/>
    <w:rsid w:val="00B518DA"/>
    <w:rsid w:val="00B51FC2"/>
    <w:rsid w:val="00B52C41"/>
    <w:rsid w:val="00B530AC"/>
    <w:rsid w:val="00B53DD0"/>
    <w:rsid w:val="00B540F5"/>
    <w:rsid w:val="00B54662"/>
    <w:rsid w:val="00B54AD4"/>
    <w:rsid w:val="00B54D18"/>
    <w:rsid w:val="00B54F26"/>
    <w:rsid w:val="00B55585"/>
    <w:rsid w:val="00B55A75"/>
    <w:rsid w:val="00B56505"/>
    <w:rsid w:val="00B56629"/>
    <w:rsid w:val="00B56F83"/>
    <w:rsid w:val="00B572C1"/>
    <w:rsid w:val="00B574EA"/>
    <w:rsid w:val="00B57693"/>
    <w:rsid w:val="00B57E0D"/>
    <w:rsid w:val="00B57E2A"/>
    <w:rsid w:val="00B57E4D"/>
    <w:rsid w:val="00B57E4E"/>
    <w:rsid w:val="00B6103D"/>
    <w:rsid w:val="00B61609"/>
    <w:rsid w:val="00B618C2"/>
    <w:rsid w:val="00B61ADC"/>
    <w:rsid w:val="00B61EA0"/>
    <w:rsid w:val="00B62323"/>
    <w:rsid w:val="00B62564"/>
    <w:rsid w:val="00B62F8C"/>
    <w:rsid w:val="00B638D0"/>
    <w:rsid w:val="00B63C20"/>
    <w:rsid w:val="00B63F1D"/>
    <w:rsid w:val="00B64BD8"/>
    <w:rsid w:val="00B64C42"/>
    <w:rsid w:val="00B6613B"/>
    <w:rsid w:val="00B661F8"/>
    <w:rsid w:val="00B663CB"/>
    <w:rsid w:val="00B66609"/>
    <w:rsid w:val="00B66DB5"/>
    <w:rsid w:val="00B66EB6"/>
    <w:rsid w:val="00B673C4"/>
    <w:rsid w:val="00B710FC"/>
    <w:rsid w:val="00B71EA5"/>
    <w:rsid w:val="00B72E21"/>
    <w:rsid w:val="00B72E63"/>
    <w:rsid w:val="00B7375F"/>
    <w:rsid w:val="00B73D76"/>
    <w:rsid w:val="00B74B25"/>
    <w:rsid w:val="00B75507"/>
    <w:rsid w:val="00B7668F"/>
    <w:rsid w:val="00B76DC2"/>
    <w:rsid w:val="00B77512"/>
    <w:rsid w:val="00B800AA"/>
    <w:rsid w:val="00B80107"/>
    <w:rsid w:val="00B80158"/>
    <w:rsid w:val="00B8090A"/>
    <w:rsid w:val="00B80AA4"/>
    <w:rsid w:val="00B80BC5"/>
    <w:rsid w:val="00B80E36"/>
    <w:rsid w:val="00B810DF"/>
    <w:rsid w:val="00B81BF6"/>
    <w:rsid w:val="00B81F9C"/>
    <w:rsid w:val="00B82D4A"/>
    <w:rsid w:val="00B82FF9"/>
    <w:rsid w:val="00B8388E"/>
    <w:rsid w:val="00B83A4B"/>
    <w:rsid w:val="00B83B2A"/>
    <w:rsid w:val="00B84974"/>
    <w:rsid w:val="00B84A19"/>
    <w:rsid w:val="00B84DC2"/>
    <w:rsid w:val="00B8541A"/>
    <w:rsid w:val="00B85700"/>
    <w:rsid w:val="00B85E2F"/>
    <w:rsid w:val="00B862DE"/>
    <w:rsid w:val="00B863D1"/>
    <w:rsid w:val="00B86F99"/>
    <w:rsid w:val="00B87F6D"/>
    <w:rsid w:val="00B90850"/>
    <w:rsid w:val="00B90EBB"/>
    <w:rsid w:val="00B91419"/>
    <w:rsid w:val="00B91578"/>
    <w:rsid w:val="00B91A60"/>
    <w:rsid w:val="00B91D93"/>
    <w:rsid w:val="00B91FE0"/>
    <w:rsid w:val="00B921ED"/>
    <w:rsid w:val="00B9277F"/>
    <w:rsid w:val="00B92886"/>
    <w:rsid w:val="00B92B40"/>
    <w:rsid w:val="00B93C30"/>
    <w:rsid w:val="00B9497F"/>
    <w:rsid w:val="00B94CE3"/>
    <w:rsid w:val="00B95A6F"/>
    <w:rsid w:val="00B95A9F"/>
    <w:rsid w:val="00B96141"/>
    <w:rsid w:val="00B96512"/>
    <w:rsid w:val="00B96F20"/>
    <w:rsid w:val="00B9714D"/>
    <w:rsid w:val="00B971DF"/>
    <w:rsid w:val="00B97597"/>
    <w:rsid w:val="00B977F5"/>
    <w:rsid w:val="00B97E9C"/>
    <w:rsid w:val="00BA0513"/>
    <w:rsid w:val="00BA0E79"/>
    <w:rsid w:val="00BA1081"/>
    <w:rsid w:val="00BA15BF"/>
    <w:rsid w:val="00BA168D"/>
    <w:rsid w:val="00BA1C87"/>
    <w:rsid w:val="00BA225D"/>
    <w:rsid w:val="00BA2668"/>
    <w:rsid w:val="00BA3BD9"/>
    <w:rsid w:val="00BA3DF4"/>
    <w:rsid w:val="00BA4206"/>
    <w:rsid w:val="00BA45E6"/>
    <w:rsid w:val="00BA485D"/>
    <w:rsid w:val="00BA4CE1"/>
    <w:rsid w:val="00BA53D3"/>
    <w:rsid w:val="00BA549B"/>
    <w:rsid w:val="00BA5B26"/>
    <w:rsid w:val="00BA5BB5"/>
    <w:rsid w:val="00BA648B"/>
    <w:rsid w:val="00BA6579"/>
    <w:rsid w:val="00BA6838"/>
    <w:rsid w:val="00BA6DC4"/>
    <w:rsid w:val="00BA7AA9"/>
    <w:rsid w:val="00BB031E"/>
    <w:rsid w:val="00BB0377"/>
    <w:rsid w:val="00BB0A26"/>
    <w:rsid w:val="00BB0A47"/>
    <w:rsid w:val="00BB1EF5"/>
    <w:rsid w:val="00BB206A"/>
    <w:rsid w:val="00BB22F5"/>
    <w:rsid w:val="00BB32D5"/>
    <w:rsid w:val="00BB3C17"/>
    <w:rsid w:val="00BB3D1A"/>
    <w:rsid w:val="00BB5F75"/>
    <w:rsid w:val="00BB612C"/>
    <w:rsid w:val="00BB66BC"/>
    <w:rsid w:val="00BB6705"/>
    <w:rsid w:val="00BB6707"/>
    <w:rsid w:val="00BB6868"/>
    <w:rsid w:val="00BB697D"/>
    <w:rsid w:val="00BB6D56"/>
    <w:rsid w:val="00BB7C3D"/>
    <w:rsid w:val="00BB7C5F"/>
    <w:rsid w:val="00BB7E34"/>
    <w:rsid w:val="00BC0265"/>
    <w:rsid w:val="00BC02BC"/>
    <w:rsid w:val="00BC09DC"/>
    <w:rsid w:val="00BC0B8D"/>
    <w:rsid w:val="00BC0BA7"/>
    <w:rsid w:val="00BC14B1"/>
    <w:rsid w:val="00BC163B"/>
    <w:rsid w:val="00BC21FE"/>
    <w:rsid w:val="00BC3A95"/>
    <w:rsid w:val="00BC3C39"/>
    <w:rsid w:val="00BC4458"/>
    <w:rsid w:val="00BC454B"/>
    <w:rsid w:val="00BC4858"/>
    <w:rsid w:val="00BC49E0"/>
    <w:rsid w:val="00BC4F1B"/>
    <w:rsid w:val="00BC50E1"/>
    <w:rsid w:val="00BC5C24"/>
    <w:rsid w:val="00BC5CF6"/>
    <w:rsid w:val="00BC5F99"/>
    <w:rsid w:val="00BC6161"/>
    <w:rsid w:val="00BC63E5"/>
    <w:rsid w:val="00BC6466"/>
    <w:rsid w:val="00BC660C"/>
    <w:rsid w:val="00BC6707"/>
    <w:rsid w:val="00BC6724"/>
    <w:rsid w:val="00BC6949"/>
    <w:rsid w:val="00BC77BC"/>
    <w:rsid w:val="00BC7B08"/>
    <w:rsid w:val="00BC7D43"/>
    <w:rsid w:val="00BD005E"/>
    <w:rsid w:val="00BD0A12"/>
    <w:rsid w:val="00BD188C"/>
    <w:rsid w:val="00BD1AE1"/>
    <w:rsid w:val="00BD1E8D"/>
    <w:rsid w:val="00BD2EA3"/>
    <w:rsid w:val="00BD3C44"/>
    <w:rsid w:val="00BD4328"/>
    <w:rsid w:val="00BD4642"/>
    <w:rsid w:val="00BD4695"/>
    <w:rsid w:val="00BD478E"/>
    <w:rsid w:val="00BD48C9"/>
    <w:rsid w:val="00BD4B72"/>
    <w:rsid w:val="00BD4E72"/>
    <w:rsid w:val="00BD4EB2"/>
    <w:rsid w:val="00BD51B8"/>
    <w:rsid w:val="00BD600C"/>
    <w:rsid w:val="00BD7277"/>
    <w:rsid w:val="00BD72D1"/>
    <w:rsid w:val="00BD78BD"/>
    <w:rsid w:val="00BE02A0"/>
    <w:rsid w:val="00BE0AC6"/>
    <w:rsid w:val="00BE0B12"/>
    <w:rsid w:val="00BE1241"/>
    <w:rsid w:val="00BE1614"/>
    <w:rsid w:val="00BE18E6"/>
    <w:rsid w:val="00BE23C6"/>
    <w:rsid w:val="00BE3749"/>
    <w:rsid w:val="00BE3858"/>
    <w:rsid w:val="00BE4525"/>
    <w:rsid w:val="00BE4B21"/>
    <w:rsid w:val="00BE55A1"/>
    <w:rsid w:val="00BE57F7"/>
    <w:rsid w:val="00BE5CB5"/>
    <w:rsid w:val="00BE5ECD"/>
    <w:rsid w:val="00BE6186"/>
    <w:rsid w:val="00BE6204"/>
    <w:rsid w:val="00BE63D6"/>
    <w:rsid w:val="00BE6F5F"/>
    <w:rsid w:val="00BE7551"/>
    <w:rsid w:val="00BE7B1A"/>
    <w:rsid w:val="00BE7D5B"/>
    <w:rsid w:val="00BE7E6F"/>
    <w:rsid w:val="00BF02AF"/>
    <w:rsid w:val="00BF0580"/>
    <w:rsid w:val="00BF0B8A"/>
    <w:rsid w:val="00BF1BBE"/>
    <w:rsid w:val="00BF1C3F"/>
    <w:rsid w:val="00BF1E8C"/>
    <w:rsid w:val="00BF268A"/>
    <w:rsid w:val="00BF2B36"/>
    <w:rsid w:val="00BF2F96"/>
    <w:rsid w:val="00BF33EF"/>
    <w:rsid w:val="00BF3F0E"/>
    <w:rsid w:val="00BF43B6"/>
    <w:rsid w:val="00BF4763"/>
    <w:rsid w:val="00BF4A25"/>
    <w:rsid w:val="00BF4AB1"/>
    <w:rsid w:val="00BF4CFA"/>
    <w:rsid w:val="00BF5F85"/>
    <w:rsid w:val="00BF5FBC"/>
    <w:rsid w:val="00BF7229"/>
    <w:rsid w:val="00BF76C2"/>
    <w:rsid w:val="00BF7848"/>
    <w:rsid w:val="00BF7A00"/>
    <w:rsid w:val="00C006F9"/>
    <w:rsid w:val="00C00993"/>
    <w:rsid w:val="00C010B3"/>
    <w:rsid w:val="00C012C5"/>
    <w:rsid w:val="00C02209"/>
    <w:rsid w:val="00C02A99"/>
    <w:rsid w:val="00C03842"/>
    <w:rsid w:val="00C03D93"/>
    <w:rsid w:val="00C03EE9"/>
    <w:rsid w:val="00C047E6"/>
    <w:rsid w:val="00C04C9D"/>
    <w:rsid w:val="00C04DE7"/>
    <w:rsid w:val="00C0512E"/>
    <w:rsid w:val="00C0551C"/>
    <w:rsid w:val="00C05884"/>
    <w:rsid w:val="00C05CBD"/>
    <w:rsid w:val="00C05EB8"/>
    <w:rsid w:val="00C06438"/>
    <w:rsid w:val="00C073BB"/>
    <w:rsid w:val="00C0765D"/>
    <w:rsid w:val="00C0778D"/>
    <w:rsid w:val="00C10172"/>
    <w:rsid w:val="00C109AF"/>
    <w:rsid w:val="00C112D8"/>
    <w:rsid w:val="00C1130E"/>
    <w:rsid w:val="00C118AC"/>
    <w:rsid w:val="00C11971"/>
    <w:rsid w:val="00C11B56"/>
    <w:rsid w:val="00C11B84"/>
    <w:rsid w:val="00C11EA9"/>
    <w:rsid w:val="00C122CE"/>
    <w:rsid w:val="00C12DF7"/>
    <w:rsid w:val="00C14428"/>
    <w:rsid w:val="00C14DC4"/>
    <w:rsid w:val="00C15BDE"/>
    <w:rsid w:val="00C166AD"/>
    <w:rsid w:val="00C17233"/>
    <w:rsid w:val="00C1742D"/>
    <w:rsid w:val="00C2050D"/>
    <w:rsid w:val="00C20A30"/>
    <w:rsid w:val="00C20C6A"/>
    <w:rsid w:val="00C20DEA"/>
    <w:rsid w:val="00C20E81"/>
    <w:rsid w:val="00C20F91"/>
    <w:rsid w:val="00C21199"/>
    <w:rsid w:val="00C21DA4"/>
    <w:rsid w:val="00C22282"/>
    <w:rsid w:val="00C2240C"/>
    <w:rsid w:val="00C226E7"/>
    <w:rsid w:val="00C227CB"/>
    <w:rsid w:val="00C23441"/>
    <w:rsid w:val="00C23493"/>
    <w:rsid w:val="00C23803"/>
    <w:rsid w:val="00C245B3"/>
    <w:rsid w:val="00C2472C"/>
    <w:rsid w:val="00C2491C"/>
    <w:rsid w:val="00C24942"/>
    <w:rsid w:val="00C24AD6"/>
    <w:rsid w:val="00C2663C"/>
    <w:rsid w:val="00C26870"/>
    <w:rsid w:val="00C26E37"/>
    <w:rsid w:val="00C27752"/>
    <w:rsid w:val="00C27FE5"/>
    <w:rsid w:val="00C302EB"/>
    <w:rsid w:val="00C30971"/>
    <w:rsid w:val="00C309FA"/>
    <w:rsid w:val="00C31521"/>
    <w:rsid w:val="00C31922"/>
    <w:rsid w:val="00C319C2"/>
    <w:rsid w:val="00C31A0E"/>
    <w:rsid w:val="00C32091"/>
    <w:rsid w:val="00C321D3"/>
    <w:rsid w:val="00C33376"/>
    <w:rsid w:val="00C33B2A"/>
    <w:rsid w:val="00C34583"/>
    <w:rsid w:val="00C35C60"/>
    <w:rsid w:val="00C35D67"/>
    <w:rsid w:val="00C36999"/>
    <w:rsid w:val="00C36FDB"/>
    <w:rsid w:val="00C3790F"/>
    <w:rsid w:val="00C37EEA"/>
    <w:rsid w:val="00C4002C"/>
    <w:rsid w:val="00C403D0"/>
    <w:rsid w:val="00C4068F"/>
    <w:rsid w:val="00C411D9"/>
    <w:rsid w:val="00C41315"/>
    <w:rsid w:val="00C41BF2"/>
    <w:rsid w:val="00C4228F"/>
    <w:rsid w:val="00C42A7E"/>
    <w:rsid w:val="00C431B7"/>
    <w:rsid w:val="00C434CC"/>
    <w:rsid w:val="00C43540"/>
    <w:rsid w:val="00C43D9E"/>
    <w:rsid w:val="00C4429C"/>
    <w:rsid w:val="00C442FF"/>
    <w:rsid w:val="00C444F5"/>
    <w:rsid w:val="00C446D5"/>
    <w:rsid w:val="00C44D36"/>
    <w:rsid w:val="00C4566B"/>
    <w:rsid w:val="00C45BD4"/>
    <w:rsid w:val="00C4712D"/>
    <w:rsid w:val="00C4731E"/>
    <w:rsid w:val="00C47D36"/>
    <w:rsid w:val="00C5011D"/>
    <w:rsid w:val="00C505C4"/>
    <w:rsid w:val="00C5084F"/>
    <w:rsid w:val="00C509F8"/>
    <w:rsid w:val="00C52817"/>
    <w:rsid w:val="00C5283A"/>
    <w:rsid w:val="00C52898"/>
    <w:rsid w:val="00C529D0"/>
    <w:rsid w:val="00C52DA2"/>
    <w:rsid w:val="00C53041"/>
    <w:rsid w:val="00C53F26"/>
    <w:rsid w:val="00C547BD"/>
    <w:rsid w:val="00C5551D"/>
    <w:rsid w:val="00C55E0F"/>
    <w:rsid w:val="00C56420"/>
    <w:rsid w:val="00C57957"/>
    <w:rsid w:val="00C57AC7"/>
    <w:rsid w:val="00C6009E"/>
    <w:rsid w:val="00C604C0"/>
    <w:rsid w:val="00C60B35"/>
    <w:rsid w:val="00C60B8A"/>
    <w:rsid w:val="00C60EAA"/>
    <w:rsid w:val="00C61586"/>
    <w:rsid w:val="00C615D8"/>
    <w:rsid w:val="00C62165"/>
    <w:rsid w:val="00C627C4"/>
    <w:rsid w:val="00C62C18"/>
    <w:rsid w:val="00C62F5A"/>
    <w:rsid w:val="00C63AA7"/>
    <w:rsid w:val="00C63EA3"/>
    <w:rsid w:val="00C64759"/>
    <w:rsid w:val="00C65224"/>
    <w:rsid w:val="00C658AC"/>
    <w:rsid w:val="00C6617F"/>
    <w:rsid w:val="00C66584"/>
    <w:rsid w:val="00C66BF7"/>
    <w:rsid w:val="00C6762C"/>
    <w:rsid w:val="00C67BC9"/>
    <w:rsid w:val="00C71278"/>
    <w:rsid w:val="00C712FF"/>
    <w:rsid w:val="00C716FC"/>
    <w:rsid w:val="00C718BC"/>
    <w:rsid w:val="00C71A19"/>
    <w:rsid w:val="00C71EA3"/>
    <w:rsid w:val="00C7220B"/>
    <w:rsid w:val="00C728A1"/>
    <w:rsid w:val="00C7330E"/>
    <w:rsid w:val="00C733FB"/>
    <w:rsid w:val="00C741BB"/>
    <w:rsid w:val="00C7514D"/>
    <w:rsid w:val="00C75168"/>
    <w:rsid w:val="00C751CC"/>
    <w:rsid w:val="00C75C40"/>
    <w:rsid w:val="00C766BF"/>
    <w:rsid w:val="00C766FA"/>
    <w:rsid w:val="00C768A8"/>
    <w:rsid w:val="00C76B48"/>
    <w:rsid w:val="00C76BD1"/>
    <w:rsid w:val="00C77742"/>
    <w:rsid w:val="00C77B6C"/>
    <w:rsid w:val="00C77C55"/>
    <w:rsid w:val="00C77D25"/>
    <w:rsid w:val="00C803A5"/>
    <w:rsid w:val="00C804FA"/>
    <w:rsid w:val="00C80701"/>
    <w:rsid w:val="00C82BFE"/>
    <w:rsid w:val="00C82D49"/>
    <w:rsid w:val="00C835BE"/>
    <w:rsid w:val="00C83931"/>
    <w:rsid w:val="00C84BE1"/>
    <w:rsid w:val="00C85593"/>
    <w:rsid w:val="00C85D0D"/>
    <w:rsid w:val="00C85FCE"/>
    <w:rsid w:val="00C860DC"/>
    <w:rsid w:val="00C86AFE"/>
    <w:rsid w:val="00C86CDD"/>
    <w:rsid w:val="00C86E98"/>
    <w:rsid w:val="00C86FB8"/>
    <w:rsid w:val="00C87494"/>
    <w:rsid w:val="00C8785E"/>
    <w:rsid w:val="00C87EC3"/>
    <w:rsid w:val="00C919B2"/>
    <w:rsid w:val="00C91BB1"/>
    <w:rsid w:val="00C91F5D"/>
    <w:rsid w:val="00C923CC"/>
    <w:rsid w:val="00C92848"/>
    <w:rsid w:val="00C93BE1"/>
    <w:rsid w:val="00C93BEF"/>
    <w:rsid w:val="00C93BF7"/>
    <w:rsid w:val="00C93DEC"/>
    <w:rsid w:val="00C9508B"/>
    <w:rsid w:val="00C95421"/>
    <w:rsid w:val="00C95BE4"/>
    <w:rsid w:val="00C967BE"/>
    <w:rsid w:val="00CA04B5"/>
    <w:rsid w:val="00CA05AA"/>
    <w:rsid w:val="00CA16D6"/>
    <w:rsid w:val="00CA1859"/>
    <w:rsid w:val="00CA2602"/>
    <w:rsid w:val="00CA2764"/>
    <w:rsid w:val="00CA2881"/>
    <w:rsid w:val="00CA3D5E"/>
    <w:rsid w:val="00CA3DEB"/>
    <w:rsid w:val="00CA3EFC"/>
    <w:rsid w:val="00CA4D01"/>
    <w:rsid w:val="00CA50A7"/>
    <w:rsid w:val="00CA6092"/>
    <w:rsid w:val="00CA6208"/>
    <w:rsid w:val="00CA6D25"/>
    <w:rsid w:val="00CA75F1"/>
    <w:rsid w:val="00CA7D0E"/>
    <w:rsid w:val="00CB0C3C"/>
    <w:rsid w:val="00CB0EDE"/>
    <w:rsid w:val="00CB1069"/>
    <w:rsid w:val="00CB1212"/>
    <w:rsid w:val="00CB1C5E"/>
    <w:rsid w:val="00CB1E4C"/>
    <w:rsid w:val="00CB1EB4"/>
    <w:rsid w:val="00CB1EB8"/>
    <w:rsid w:val="00CB236C"/>
    <w:rsid w:val="00CB2458"/>
    <w:rsid w:val="00CB25A3"/>
    <w:rsid w:val="00CB292B"/>
    <w:rsid w:val="00CB2EC0"/>
    <w:rsid w:val="00CB2ED6"/>
    <w:rsid w:val="00CB4502"/>
    <w:rsid w:val="00CB4F04"/>
    <w:rsid w:val="00CB518D"/>
    <w:rsid w:val="00CB5C36"/>
    <w:rsid w:val="00CB5DCA"/>
    <w:rsid w:val="00CB61DE"/>
    <w:rsid w:val="00CB6EB7"/>
    <w:rsid w:val="00CB72C9"/>
    <w:rsid w:val="00CC01F1"/>
    <w:rsid w:val="00CC0843"/>
    <w:rsid w:val="00CC0912"/>
    <w:rsid w:val="00CC10CE"/>
    <w:rsid w:val="00CC1511"/>
    <w:rsid w:val="00CC1616"/>
    <w:rsid w:val="00CC17E0"/>
    <w:rsid w:val="00CC1B1C"/>
    <w:rsid w:val="00CC1EE7"/>
    <w:rsid w:val="00CC2821"/>
    <w:rsid w:val="00CC2BF5"/>
    <w:rsid w:val="00CC30A5"/>
    <w:rsid w:val="00CC433E"/>
    <w:rsid w:val="00CC48ED"/>
    <w:rsid w:val="00CC5283"/>
    <w:rsid w:val="00CC5D64"/>
    <w:rsid w:val="00CC6564"/>
    <w:rsid w:val="00CC6E45"/>
    <w:rsid w:val="00CC73F2"/>
    <w:rsid w:val="00CC762C"/>
    <w:rsid w:val="00CD0446"/>
    <w:rsid w:val="00CD11F5"/>
    <w:rsid w:val="00CD129A"/>
    <w:rsid w:val="00CD1EAD"/>
    <w:rsid w:val="00CD1F43"/>
    <w:rsid w:val="00CD2370"/>
    <w:rsid w:val="00CD2830"/>
    <w:rsid w:val="00CD2FEF"/>
    <w:rsid w:val="00CD3498"/>
    <w:rsid w:val="00CD3CB6"/>
    <w:rsid w:val="00CD4556"/>
    <w:rsid w:val="00CD458C"/>
    <w:rsid w:val="00CD5AD3"/>
    <w:rsid w:val="00CD5C29"/>
    <w:rsid w:val="00CD632A"/>
    <w:rsid w:val="00CD6356"/>
    <w:rsid w:val="00CD6C00"/>
    <w:rsid w:val="00CD70B7"/>
    <w:rsid w:val="00CD7556"/>
    <w:rsid w:val="00CD7BEE"/>
    <w:rsid w:val="00CE005C"/>
    <w:rsid w:val="00CE0331"/>
    <w:rsid w:val="00CE041A"/>
    <w:rsid w:val="00CE228B"/>
    <w:rsid w:val="00CE272E"/>
    <w:rsid w:val="00CE2B59"/>
    <w:rsid w:val="00CE3554"/>
    <w:rsid w:val="00CE36DE"/>
    <w:rsid w:val="00CE3BCD"/>
    <w:rsid w:val="00CE3D50"/>
    <w:rsid w:val="00CE3E0B"/>
    <w:rsid w:val="00CE47A4"/>
    <w:rsid w:val="00CE4BCB"/>
    <w:rsid w:val="00CE4CBA"/>
    <w:rsid w:val="00CE5CB0"/>
    <w:rsid w:val="00CE64D3"/>
    <w:rsid w:val="00CE6752"/>
    <w:rsid w:val="00CE677A"/>
    <w:rsid w:val="00CE6AC2"/>
    <w:rsid w:val="00CE72DB"/>
    <w:rsid w:val="00CE7962"/>
    <w:rsid w:val="00CE797C"/>
    <w:rsid w:val="00CF046D"/>
    <w:rsid w:val="00CF1022"/>
    <w:rsid w:val="00CF1111"/>
    <w:rsid w:val="00CF1AC7"/>
    <w:rsid w:val="00CF1BF6"/>
    <w:rsid w:val="00CF1C2F"/>
    <w:rsid w:val="00CF2C1A"/>
    <w:rsid w:val="00CF2F5F"/>
    <w:rsid w:val="00CF30F6"/>
    <w:rsid w:val="00CF3509"/>
    <w:rsid w:val="00CF3788"/>
    <w:rsid w:val="00CF37EF"/>
    <w:rsid w:val="00CF39CA"/>
    <w:rsid w:val="00CF3B11"/>
    <w:rsid w:val="00CF3BE8"/>
    <w:rsid w:val="00CF3DDB"/>
    <w:rsid w:val="00CF3F3A"/>
    <w:rsid w:val="00CF479E"/>
    <w:rsid w:val="00CF5BEF"/>
    <w:rsid w:val="00CF653C"/>
    <w:rsid w:val="00CF7489"/>
    <w:rsid w:val="00CF7639"/>
    <w:rsid w:val="00CF7D1D"/>
    <w:rsid w:val="00CF7F9D"/>
    <w:rsid w:val="00D00F8B"/>
    <w:rsid w:val="00D0197A"/>
    <w:rsid w:val="00D01A4A"/>
    <w:rsid w:val="00D01D08"/>
    <w:rsid w:val="00D02469"/>
    <w:rsid w:val="00D02CBD"/>
    <w:rsid w:val="00D02E5F"/>
    <w:rsid w:val="00D034F5"/>
    <w:rsid w:val="00D03570"/>
    <w:rsid w:val="00D03659"/>
    <w:rsid w:val="00D043AA"/>
    <w:rsid w:val="00D04D79"/>
    <w:rsid w:val="00D04F0C"/>
    <w:rsid w:val="00D050C7"/>
    <w:rsid w:val="00D0675E"/>
    <w:rsid w:val="00D06CA9"/>
    <w:rsid w:val="00D072C6"/>
    <w:rsid w:val="00D0743F"/>
    <w:rsid w:val="00D07CBE"/>
    <w:rsid w:val="00D101FF"/>
    <w:rsid w:val="00D10ED7"/>
    <w:rsid w:val="00D113EB"/>
    <w:rsid w:val="00D114B3"/>
    <w:rsid w:val="00D11A6F"/>
    <w:rsid w:val="00D11E3D"/>
    <w:rsid w:val="00D12034"/>
    <w:rsid w:val="00D1206B"/>
    <w:rsid w:val="00D1249A"/>
    <w:rsid w:val="00D1280D"/>
    <w:rsid w:val="00D12886"/>
    <w:rsid w:val="00D128B2"/>
    <w:rsid w:val="00D12D3E"/>
    <w:rsid w:val="00D12EEC"/>
    <w:rsid w:val="00D136D2"/>
    <w:rsid w:val="00D13806"/>
    <w:rsid w:val="00D13922"/>
    <w:rsid w:val="00D14CBF"/>
    <w:rsid w:val="00D156BA"/>
    <w:rsid w:val="00D1583E"/>
    <w:rsid w:val="00D1617A"/>
    <w:rsid w:val="00D16DE7"/>
    <w:rsid w:val="00D16F1A"/>
    <w:rsid w:val="00D17736"/>
    <w:rsid w:val="00D17E70"/>
    <w:rsid w:val="00D17F84"/>
    <w:rsid w:val="00D20B80"/>
    <w:rsid w:val="00D219C7"/>
    <w:rsid w:val="00D21C9C"/>
    <w:rsid w:val="00D230AC"/>
    <w:rsid w:val="00D24988"/>
    <w:rsid w:val="00D2498F"/>
    <w:rsid w:val="00D24B1B"/>
    <w:rsid w:val="00D2518F"/>
    <w:rsid w:val="00D257DD"/>
    <w:rsid w:val="00D25A99"/>
    <w:rsid w:val="00D25E7A"/>
    <w:rsid w:val="00D26FF3"/>
    <w:rsid w:val="00D2740F"/>
    <w:rsid w:val="00D275EA"/>
    <w:rsid w:val="00D27AB1"/>
    <w:rsid w:val="00D27C3E"/>
    <w:rsid w:val="00D31D5E"/>
    <w:rsid w:val="00D33F97"/>
    <w:rsid w:val="00D35324"/>
    <w:rsid w:val="00D35660"/>
    <w:rsid w:val="00D35906"/>
    <w:rsid w:val="00D35A03"/>
    <w:rsid w:val="00D35B7A"/>
    <w:rsid w:val="00D36AE5"/>
    <w:rsid w:val="00D36EEA"/>
    <w:rsid w:val="00D37477"/>
    <w:rsid w:val="00D40A1D"/>
    <w:rsid w:val="00D417CB"/>
    <w:rsid w:val="00D42513"/>
    <w:rsid w:val="00D427A6"/>
    <w:rsid w:val="00D43291"/>
    <w:rsid w:val="00D449DC"/>
    <w:rsid w:val="00D45223"/>
    <w:rsid w:val="00D45239"/>
    <w:rsid w:val="00D4596F"/>
    <w:rsid w:val="00D45E4C"/>
    <w:rsid w:val="00D45FEE"/>
    <w:rsid w:val="00D4606E"/>
    <w:rsid w:val="00D4669C"/>
    <w:rsid w:val="00D46A43"/>
    <w:rsid w:val="00D470D5"/>
    <w:rsid w:val="00D47715"/>
    <w:rsid w:val="00D50065"/>
    <w:rsid w:val="00D5025E"/>
    <w:rsid w:val="00D5064A"/>
    <w:rsid w:val="00D50B9B"/>
    <w:rsid w:val="00D51635"/>
    <w:rsid w:val="00D51CBF"/>
    <w:rsid w:val="00D52936"/>
    <w:rsid w:val="00D53978"/>
    <w:rsid w:val="00D5432E"/>
    <w:rsid w:val="00D54856"/>
    <w:rsid w:val="00D55830"/>
    <w:rsid w:val="00D55EB1"/>
    <w:rsid w:val="00D56376"/>
    <w:rsid w:val="00D56396"/>
    <w:rsid w:val="00D5686D"/>
    <w:rsid w:val="00D57F89"/>
    <w:rsid w:val="00D60089"/>
    <w:rsid w:val="00D612D6"/>
    <w:rsid w:val="00D61C18"/>
    <w:rsid w:val="00D62491"/>
    <w:rsid w:val="00D62B5C"/>
    <w:rsid w:val="00D62C48"/>
    <w:rsid w:val="00D62E77"/>
    <w:rsid w:val="00D64468"/>
    <w:rsid w:val="00D6446F"/>
    <w:rsid w:val="00D644D3"/>
    <w:rsid w:val="00D6452A"/>
    <w:rsid w:val="00D6476A"/>
    <w:rsid w:val="00D64821"/>
    <w:rsid w:val="00D64AA4"/>
    <w:rsid w:val="00D6603D"/>
    <w:rsid w:val="00D661F4"/>
    <w:rsid w:val="00D66CCD"/>
    <w:rsid w:val="00D66F1F"/>
    <w:rsid w:val="00D6718B"/>
    <w:rsid w:val="00D67714"/>
    <w:rsid w:val="00D7025E"/>
    <w:rsid w:val="00D709EF"/>
    <w:rsid w:val="00D71118"/>
    <w:rsid w:val="00D71BA4"/>
    <w:rsid w:val="00D71F5E"/>
    <w:rsid w:val="00D72FDA"/>
    <w:rsid w:val="00D73738"/>
    <w:rsid w:val="00D737B1"/>
    <w:rsid w:val="00D741BA"/>
    <w:rsid w:val="00D74224"/>
    <w:rsid w:val="00D743A1"/>
    <w:rsid w:val="00D7464D"/>
    <w:rsid w:val="00D74B50"/>
    <w:rsid w:val="00D7527E"/>
    <w:rsid w:val="00D75698"/>
    <w:rsid w:val="00D757DD"/>
    <w:rsid w:val="00D76908"/>
    <w:rsid w:val="00D7735A"/>
    <w:rsid w:val="00D779F1"/>
    <w:rsid w:val="00D77C4E"/>
    <w:rsid w:val="00D804A9"/>
    <w:rsid w:val="00D80512"/>
    <w:rsid w:val="00D80853"/>
    <w:rsid w:val="00D81684"/>
    <w:rsid w:val="00D81F0F"/>
    <w:rsid w:val="00D8238F"/>
    <w:rsid w:val="00D823AD"/>
    <w:rsid w:val="00D83ECA"/>
    <w:rsid w:val="00D85163"/>
    <w:rsid w:val="00D85470"/>
    <w:rsid w:val="00D864A1"/>
    <w:rsid w:val="00D86A36"/>
    <w:rsid w:val="00D912AE"/>
    <w:rsid w:val="00D91624"/>
    <w:rsid w:val="00D93C47"/>
    <w:rsid w:val="00D94580"/>
    <w:rsid w:val="00D951C9"/>
    <w:rsid w:val="00D96014"/>
    <w:rsid w:val="00D96763"/>
    <w:rsid w:val="00D9725D"/>
    <w:rsid w:val="00D977D1"/>
    <w:rsid w:val="00DA0198"/>
    <w:rsid w:val="00DA076C"/>
    <w:rsid w:val="00DA079F"/>
    <w:rsid w:val="00DA097C"/>
    <w:rsid w:val="00DA0FDC"/>
    <w:rsid w:val="00DA14DA"/>
    <w:rsid w:val="00DA222A"/>
    <w:rsid w:val="00DA230C"/>
    <w:rsid w:val="00DA2653"/>
    <w:rsid w:val="00DA28DD"/>
    <w:rsid w:val="00DA2A60"/>
    <w:rsid w:val="00DA2CC3"/>
    <w:rsid w:val="00DA2D1E"/>
    <w:rsid w:val="00DA2FF6"/>
    <w:rsid w:val="00DA40ED"/>
    <w:rsid w:val="00DA43AE"/>
    <w:rsid w:val="00DA458F"/>
    <w:rsid w:val="00DA47BC"/>
    <w:rsid w:val="00DA4A51"/>
    <w:rsid w:val="00DA4D68"/>
    <w:rsid w:val="00DA4F47"/>
    <w:rsid w:val="00DA52A8"/>
    <w:rsid w:val="00DA6FE8"/>
    <w:rsid w:val="00DB0D00"/>
    <w:rsid w:val="00DB23A1"/>
    <w:rsid w:val="00DB24CB"/>
    <w:rsid w:val="00DB2749"/>
    <w:rsid w:val="00DB2E6E"/>
    <w:rsid w:val="00DB38D8"/>
    <w:rsid w:val="00DB3B30"/>
    <w:rsid w:val="00DB3F68"/>
    <w:rsid w:val="00DB6231"/>
    <w:rsid w:val="00DB623F"/>
    <w:rsid w:val="00DB6268"/>
    <w:rsid w:val="00DB6737"/>
    <w:rsid w:val="00DB6B63"/>
    <w:rsid w:val="00DB6C9C"/>
    <w:rsid w:val="00DB704F"/>
    <w:rsid w:val="00DB7716"/>
    <w:rsid w:val="00DB7798"/>
    <w:rsid w:val="00DB7831"/>
    <w:rsid w:val="00DB7F5B"/>
    <w:rsid w:val="00DC0021"/>
    <w:rsid w:val="00DC0186"/>
    <w:rsid w:val="00DC19AC"/>
    <w:rsid w:val="00DC2FEF"/>
    <w:rsid w:val="00DC344B"/>
    <w:rsid w:val="00DC3F16"/>
    <w:rsid w:val="00DC4CF9"/>
    <w:rsid w:val="00DC56DE"/>
    <w:rsid w:val="00DC58E4"/>
    <w:rsid w:val="00DC5B2A"/>
    <w:rsid w:val="00DC60BC"/>
    <w:rsid w:val="00DC692F"/>
    <w:rsid w:val="00DC7137"/>
    <w:rsid w:val="00DC78DD"/>
    <w:rsid w:val="00DD0998"/>
    <w:rsid w:val="00DD0E90"/>
    <w:rsid w:val="00DD0F5B"/>
    <w:rsid w:val="00DD1A57"/>
    <w:rsid w:val="00DD23F5"/>
    <w:rsid w:val="00DD2530"/>
    <w:rsid w:val="00DD5AE8"/>
    <w:rsid w:val="00DD6604"/>
    <w:rsid w:val="00DD6C58"/>
    <w:rsid w:val="00DD718F"/>
    <w:rsid w:val="00DD737B"/>
    <w:rsid w:val="00DD7FC1"/>
    <w:rsid w:val="00DE04D7"/>
    <w:rsid w:val="00DE0B1A"/>
    <w:rsid w:val="00DE11FC"/>
    <w:rsid w:val="00DE195D"/>
    <w:rsid w:val="00DE1B3A"/>
    <w:rsid w:val="00DE1B45"/>
    <w:rsid w:val="00DE1CB2"/>
    <w:rsid w:val="00DE2070"/>
    <w:rsid w:val="00DE209D"/>
    <w:rsid w:val="00DE2698"/>
    <w:rsid w:val="00DE2806"/>
    <w:rsid w:val="00DE5040"/>
    <w:rsid w:val="00DE530B"/>
    <w:rsid w:val="00DE5A2A"/>
    <w:rsid w:val="00DE5CD2"/>
    <w:rsid w:val="00DE72D5"/>
    <w:rsid w:val="00DE7644"/>
    <w:rsid w:val="00DE7F57"/>
    <w:rsid w:val="00DF023A"/>
    <w:rsid w:val="00DF08D2"/>
    <w:rsid w:val="00DF0C04"/>
    <w:rsid w:val="00DF10D9"/>
    <w:rsid w:val="00DF112D"/>
    <w:rsid w:val="00DF138E"/>
    <w:rsid w:val="00DF230B"/>
    <w:rsid w:val="00DF2413"/>
    <w:rsid w:val="00DF2B2E"/>
    <w:rsid w:val="00DF2EF1"/>
    <w:rsid w:val="00DF2EFB"/>
    <w:rsid w:val="00DF32BA"/>
    <w:rsid w:val="00DF3830"/>
    <w:rsid w:val="00DF45C5"/>
    <w:rsid w:val="00DF4B1B"/>
    <w:rsid w:val="00DF4C3B"/>
    <w:rsid w:val="00DF4C9F"/>
    <w:rsid w:val="00DF4EB4"/>
    <w:rsid w:val="00DF54C2"/>
    <w:rsid w:val="00DF57E3"/>
    <w:rsid w:val="00DF5E00"/>
    <w:rsid w:val="00DF5EAE"/>
    <w:rsid w:val="00DF5ED7"/>
    <w:rsid w:val="00DF5FC5"/>
    <w:rsid w:val="00DF67BE"/>
    <w:rsid w:val="00DF6B16"/>
    <w:rsid w:val="00DF6DDB"/>
    <w:rsid w:val="00DF79C4"/>
    <w:rsid w:val="00DF7F2A"/>
    <w:rsid w:val="00E02368"/>
    <w:rsid w:val="00E028C3"/>
    <w:rsid w:val="00E03012"/>
    <w:rsid w:val="00E039C8"/>
    <w:rsid w:val="00E04395"/>
    <w:rsid w:val="00E04FAA"/>
    <w:rsid w:val="00E05200"/>
    <w:rsid w:val="00E05749"/>
    <w:rsid w:val="00E05A17"/>
    <w:rsid w:val="00E0778F"/>
    <w:rsid w:val="00E07B42"/>
    <w:rsid w:val="00E108EA"/>
    <w:rsid w:val="00E11E78"/>
    <w:rsid w:val="00E1249B"/>
    <w:rsid w:val="00E12E0F"/>
    <w:rsid w:val="00E130C6"/>
    <w:rsid w:val="00E1317E"/>
    <w:rsid w:val="00E13F8C"/>
    <w:rsid w:val="00E13FF4"/>
    <w:rsid w:val="00E14C7E"/>
    <w:rsid w:val="00E14C8D"/>
    <w:rsid w:val="00E151D3"/>
    <w:rsid w:val="00E1547B"/>
    <w:rsid w:val="00E1570D"/>
    <w:rsid w:val="00E159C1"/>
    <w:rsid w:val="00E15D32"/>
    <w:rsid w:val="00E16CD0"/>
    <w:rsid w:val="00E17AD3"/>
    <w:rsid w:val="00E205A3"/>
    <w:rsid w:val="00E20A75"/>
    <w:rsid w:val="00E214BF"/>
    <w:rsid w:val="00E215D7"/>
    <w:rsid w:val="00E21829"/>
    <w:rsid w:val="00E24775"/>
    <w:rsid w:val="00E25C86"/>
    <w:rsid w:val="00E25E23"/>
    <w:rsid w:val="00E262EF"/>
    <w:rsid w:val="00E30F8E"/>
    <w:rsid w:val="00E31A8A"/>
    <w:rsid w:val="00E3229D"/>
    <w:rsid w:val="00E3280D"/>
    <w:rsid w:val="00E32A0D"/>
    <w:rsid w:val="00E32E08"/>
    <w:rsid w:val="00E33256"/>
    <w:rsid w:val="00E33333"/>
    <w:rsid w:val="00E337FF"/>
    <w:rsid w:val="00E3381E"/>
    <w:rsid w:val="00E33D64"/>
    <w:rsid w:val="00E3471F"/>
    <w:rsid w:val="00E352C8"/>
    <w:rsid w:val="00E354B6"/>
    <w:rsid w:val="00E3556E"/>
    <w:rsid w:val="00E3559D"/>
    <w:rsid w:val="00E3580E"/>
    <w:rsid w:val="00E35EE8"/>
    <w:rsid w:val="00E360FC"/>
    <w:rsid w:val="00E36138"/>
    <w:rsid w:val="00E363F6"/>
    <w:rsid w:val="00E3738C"/>
    <w:rsid w:val="00E373A8"/>
    <w:rsid w:val="00E37529"/>
    <w:rsid w:val="00E37B9C"/>
    <w:rsid w:val="00E37C3C"/>
    <w:rsid w:val="00E40D09"/>
    <w:rsid w:val="00E41EF9"/>
    <w:rsid w:val="00E43297"/>
    <w:rsid w:val="00E43300"/>
    <w:rsid w:val="00E43528"/>
    <w:rsid w:val="00E439E7"/>
    <w:rsid w:val="00E43CE6"/>
    <w:rsid w:val="00E4417D"/>
    <w:rsid w:val="00E4446A"/>
    <w:rsid w:val="00E447D8"/>
    <w:rsid w:val="00E44C01"/>
    <w:rsid w:val="00E44F8F"/>
    <w:rsid w:val="00E45302"/>
    <w:rsid w:val="00E4575F"/>
    <w:rsid w:val="00E45C2C"/>
    <w:rsid w:val="00E465BE"/>
    <w:rsid w:val="00E46633"/>
    <w:rsid w:val="00E50659"/>
    <w:rsid w:val="00E50B1A"/>
    <w:rsid w:val="00E50B7A"/>
    <w:rsid w:val="00E50E15"/>
    <w:rsid w:val="00E5132C"/>
    <w:rsid w:val="00E527DE"/>
    <w:rsid w:val="00E52AB4"/>
    <w:rsid w:val="00E52D0B"/>
    <w:rsid w:val="00E52EA5"/>
    <w:rsid w:val="00E52EB5"/>
    <w:rsid w:val="00E5329F"/>
    <w:rsid w:val="00E533E1"/>
    <w:rsid w:val="00E53E01"/>
    <w:rsid w:val="00E545EC"/>
    <w:rsid w:val="00E5460E"/>
    <w:rsid w:val="00E54E33"/>
    <w:rsid w:val="00E54F85"/>
    <w:rsid w:val="00E54F9F"/>
    <w:rsid w:val="00E555F0"/>
    <w:rsid w:val="00E5609F"/>
    <w:rsid w:val="00E56254"/>
    <w:rsid w:val="00E564AD"/>
    <w:rsid w:val="00E56FBC"/>
    <w:rsid w:val="00E5785D"/>
    <w:rsid w:val="00E57F5B"/>
    <w:rsid w:val="00E60112"/>
    <w:rsid w:val="00E60286"/>
    <w:rsid w:val="00E603EB"/>
    <w:rsid w:val="00E6049B"/>
    <w:rsid w:val="00E609F4"/>
    <w:rsid w:val="00E60AE0"/>
    <w:rsid w:val="00E60EC5"/>
    <w:rsid w:val="00E61314"/>
    <w:rsid w:val="00E61FA9"/>
    <w:rsid w:val="00E63554"/>
    <w:rsid w:val="00E637AE"/>
    <w:rsid w:val="00E639ED"/>
    <w:rsid w:val="00E63B47"/>
    <w:rsid w:val="00E642B5"/>
    <w:rsid w:val="00E64459"/>
    <w:rsid w:val="00E65F49"/>
    <w:rsid w:val="00E65F9A"/>
    <w:rsid w:val="00E672AA"/>
    <w:rsid w:val="00E67807"/>
    <w:rsid w:val="00E67A15"/>
    <w:rsid w:val="00E67A5D"/>
    <w:rsid w:val="00E67B40"/>
    <w:rsid w:val="00E67BD5"/>
    <w:rsid w:val="00E67D7B"/>
    <w:rsid w:val="00E70AD7"/>
    <w:rsid w:val="00E71918"/>
    <w:rsid w:val="00E72963"/>
    <w:rsid w:val="00E73124"/>
    <w:rsid w:val="00E7371D"/>
    <w:rsid w:val="00E73912"/>
    <w:rsid w:val="00E73DB8"/>
    <w:rsid w:val="00E73FAA"/>
    <w:rsid w:val="00E746F2"/>
    <w:rsid w:val="00E754B3"/>
    <w:rsid w:val="00E75731"/>
    <w:rsid w:val="00E76818"/>
    <w:rsid w:val="00E77D47"/>
    <w:rsid w:val="00E80595"/>
    <w:rsid w:val="00E80A6E"/>
    <w:rsid w:val="00E812E4"/>
    <w:rsid w:val="00E8154B"/>
    <w:rsid w:val="00E81B1C"/>
    <w:rsid w:val="00E82B16"/>
    <w:rsid w:val="00E82B3C"/>
    <w:rsid w:val="00E83213"/>
    <w:rsid w:val="00E8324D"/>
    <w:rsid w:val="00E837F7"/>
    <w:rsid w:val="00E8406D"/>
    <w:rsid w:val="00E84320"/>
    <w:rsid w:val="00E84720"/>
    <w:rsid w:val="00E8505E"/>
    <w:rsid w:val="00E85150"/>
    <w:rsid w:val="00E8517B"/>
    <w:rsid w:val="00E855D7"/>
    <w:rsid w:val="00E86D07"/>
    <w:rsid w:val="00E86DB4"/>
    <w:rsid w:val="00E87D8F"/>
    <w:rsid w:val="00E87DFF"/>
    <w:rsid w:val="00E87EE2"/>
    <w:rsid w:val="00E902AE"/>
    <w:rsid w:val="00E90856"/>
    <w:rsid w:val="00E91F2A"/>
    <w:rsid w:val="00E92525"/>
    <w:rsid w:val="00E9254A"/>
    <w:rsid w:val="00E926AC"/>
    <w:rsid w:val="00E92FFF"/>
    <w:rsid w:val="00E932A4"/>
    <w:rsid w:val="00E93C79"/>
    <w:rsid w:val="00E93FB8"/>
    <w:rsid w:val="00E948F9"/>
    <w:rsid w:val="00E94C60"/>
    <w:rsid w:val="00E95A06"/>
    <w:rsid w:val="00E96261"/>
    <w:rsid w:val="00E963A1"/>
    <w:rsid w:val="00E966EC"/>
    <w:rsid w:val="00E966F2"/>
    <w:rsid w:val="00E96B07"/>
    <w:rsid w:val="00E96BA4"/>
    <w:rsid w:val="00E970D7"/>
    <w:rsid w:val="00EA0347"/>
    <w:rsid w:val="00EA07F4"/>
    <w:rsid w:val="00EA08EE"/>
    <w:rsid w:val="00EA0F52"/>
    <w:rsid w:val="00EA186C"/>
    <w:rsid w:val="00EA207F"/>
    <w:rsid w:val="00EA217E"/>
    <w:rsid w:val="00EA2601"/>
    <w:rsid w:val="00EA3260"/>
    <w:rsid w:val="00EA4F81"/>
    <w:rsid w:val="00EA5C07"/>
    <w:rsid w:val="00EA6A82"/>
    <w:rsid w:val="00EA7033"/>
    <w:rsid w:val="00EA70FB"/>
    <w:rsid w:val="00EA79AD"/>
    <w:rsid w:val="00EA7EE2"/>
    <w:rsid w:val="00EB0068"/>
    <w:rsid w:val="00EB0393"/>
    <w:rsid w:val="00EB0453"/>
    <w:rsid w:val="00EB0E53"/>
    <w:rsid w:val="00EB0EBA"/>
    <w:rsid w:val="00EB0F0B"/>
    <w:rsid w:val="00EB17F4"/>
    <w:rsid w:val="00EB3961"/>
    <w:rsid w:val="00EB3A56"/>
    <w:rsid w:val="00EB420C"/>
    <w:rsid w:val="00EB5373"/>
    <w:rsid w:val="00EB62FE"/>
    <w:rsid w:val="00EB6320"/>
    <w:rsid w:val="00EB668C"/>
    <w:rsid w:val="00EB6997"/>
    <w:rsid w:val="00EB6B51"/>
    <w:rsid w:val="00EB6FF8"/>
    <w:rsid w:val="00EB70AF"/>
    <w:rsid w:val="00EB735F"/>
    <w:rsid w:val="00EB738F"/>
    <w:rsid w:val="00EB7BF8"/>
    <w:rsid w:val="00EB7CA2"/>
    <w:rsid w:val="00EC0133"/>
    <w:rsid w:val="00EC0A19"/>
    <w:rsid w:val="00EC0FB3"/>
    <w:rsid w:val="00EC19DD"/>
    <w:rsid w:val="00EC23E5"/>
    <w:rsid w:val="00EC32E6"/>
    <w:rsid w:val="00EC361F"/>
    <w:rsid w:val="00EC3991"/>
    <w:rsid w:val="00EC3D1D"/>
    <w:rsid w:val="00EC44CD"/>
    <w:rsid w:val="00EC4724"/>
    <w:rsid w:val="00EC4797"/>
    <w:rsid w:val="00EC5E53"/>
    <w:rsid w:val="00EC66B7"/>
    <w:rsid w:val="00EC6708"/>
    <w:rsid w:val="00EC69DE"/>
    <w:rsid w:val="00EC71E2"/>
    <w:rsid w:val="00EC71F4"/>
    <w:rsid w:val="00EC7243"/>
    <w:rsid w:val="00EC771E"/>
    <w:rsid w:val="00EC7D89"/>
    <w:rsid w:val="00ED0255"/>
    <w:rsid w:val="00ED04EE"/>
    <w:rsid w:val="00ED05D1"/>
    <w:rsid w:val="00ED0BB4"/>
    <w:rsid w:val="00ED1562"/>
    <w:rsid w:val="00ED1F2C"/>
    <w:rsid w:val="00ED2ACA"/>
    <w:rsid w:val="00ED2AEE"/>
    <w:rsid w:val="00ED2EF4"/>
    <w:rsid w:val="00ED304E"/>
    <w:rsid w:val="00ED37CF"/>
    <w:rsid w:val="00ED3B8F"/>
    <w:rsid w:val="00ED4C43"/>
    <w:rsid w:val="00ED4EE3"/>
    <w:rsid w:val="00ED4F96"/>
    <w:rsid w:val="00ED51AD"/>
    <w:rsid w:val="00ED5947"/>
    <w:rsid w:val="00ED5B70"/>
    <w:rsid w:val="00ED6B3D"/>
    <w:rsid w:val="00ED71AE"/>
    <w:rsid w:val="00ED7438"/>
    <w:rsid w:val="00ED7786"/>
    <w:rsid w:val="00ED7900"/>
    <w:rsid w:val="00ED7B02"/>
    <w:rsid w:val="00EE039C"/>
    <w:rsid w:val="00EE0695"/>
    <w:rsid w:val="00EE0891"/>
    <w:rsid w:val="00EE0972"/>
    <w:rsid w:val="00EE1C07"/>
    <w:rsid w:val="00EE20E7"/>
    <w:rsid w:val="00EE23C1"/>
    <w:rsid w:val="00EE32DC"/>
    <w:rsid w:val="00EE3BFE"/>
    <w:rsid w:val="00EE3CB3"/>
    <w:rsid w:val="00EE3D95"/>
    <w:rsid w:val="00EE3FF0"/>
    <w:rsid w:val="00EE40CE"/>
    <w:rsid w:val="00EE4433"/>
    <w:rsid w:val="00EE44CF"/>
    <w:rsid w:val="00EE4A72"/>
    <w:rsid w:val="00EE520E"/>
    <w:rsid w:val="00EE573F"/>
    <w:rsid w:val="00EE67CE"/>
    <w:rsid w:val="00EF1718"/>
    <w:rsid w:val="00EF1BA7"/>
    <w:rsid w:val="00EF2044"/>
    <w:rsid w:val="00EF230B"/>
    <w:rsid w:val="00EF2C77"/>
    <w:rsid w:val="00EF3931"/>
    <w:rsid w:val="00EF3962"/>
    <w:rsid w:val="00EF3BDD"/>
    <w:rsid w:val="00EF4A7B"/>
    <w:rsid w:val="00EF4DA0"/>
    <w:rsid w:val="00EF58CD"/>
    <w:rsid w:val="00EF5BD6"/>
    <w:rsid w:val="00EF5C91"/>
    <w:rsid w:val="00EF6C57"/>
    <w:rsid w:val="00EF70BB"/>
    <w:rsid w:val="00EF77F3"/>
    <w:rsid w:val="00EF7C3D"/>
    <w:rsid w:val="00F00848"/>
    <w:rsid w:val="00F0118C"/>
    <w:rsid w:val="00F0130C"/>
    <w:rsid w:val="00F01798"/>
    <w:rsid w:val="00F017E6"/>
    <w:rsid w:val="00F01B87"/>
    <w:rsid w:val="00F02440"/>
    <w:rsid w:val="00F02D6E"/>
    <w:rsid w:val="00F02DE4"/>
    <w:rsid w:val="00F02EB6"/>
    <w:rsid w:val="00F039E9"/>
    <w:rsid w:val="00F03A46"/>
    <w:rsid w:val="00F04377"/>
    <w:rsid w:val="00F04514"/>
    <w:rsid w:val="00F048D5"/>
    <w:rsid w:val="00F053B3"/>
    <w:rsid w:val="00F05571"/>
    <w:rsid w:val="00F05591"/>
    <w:rsid w:val="00F055D0"/>
    <w:rsid w:val="00F057B2"/>
    <w:rsid w:val="00F05BC0"/>
    <w:rsid w:val="00F05DBE"/>
    <w:rsid w:val="00F06160"/>
    <w:rsid w:val="00F061AC"/>
    <w:rsid w:val="00F073B2"/>
    <w:rsid w:val="00F07E63"/>
    <w:rsid w:val="00F10052"/>
    <w:rsid w:val="00F1009E"/>
    <w:rsid w:val="00F10900"/>
    <w:rsid w:val="00F111BD"/>
    <w:rsid w:val="00F11FDD"/>
    <w:rsid w:val="00F1252B"/>
    <w:rsid w:val="00F125E2"/>
    <w:rsid w:val="00F13672"/>
    <w:rsid w:val="00F14257"/>
    <w:rsid w:val="00F14BB4"/>
    <w:rsid w:val="00F15554"/>
    <w:rsid w:val="00F156EA"/>
    <w:rsid w:val="00F15BC3"/>
    <w:rsid w:val="00F1676C"/>
    <w:rsid w:val="00F16B66"/>
    <w:rsid w:val="00F17928"/>
    <w:rsid w:val="00F179E1"/>
    <w:rsid w:val="00F17A95"/>
    <w:rsid w:val="00F17F05"/>
    <w:rsid w:val="00F17FC9"/>
    <w:rsid w:val="00F21487"/>
    <w:rsid w:val="00F21B6C"/>
    <w:rsid w:val="00F21F0A"/>
    <w:rsid w:val="00F224AA"/>
    <w:rsid w:val="00F227CC"/>
    <w:rsid w:val="00F232B8"/>
    <w:rsid w:val="00F23A7F"/>
    <w:rsid w:val="00F23C2D"/>
    <w:rsid w:val="00F23C4F"/>
    <w:rsid w:val="00F23CAC"/>
    <w:rsid w:val="00F23F5A"/>
    <w:rsid w:val="00F24127"/>
    <w:rsid w:val="00F255D3"/>
    <w:rsid w:val="00F2581A"/>
    <w:rsid w:val="00F25B35"/>
    <w:rsid w:val="00F25C92"/>
    <w:rsid w:val="00F25E4D"/>
    <w:rsid w:val="00F26793"/>
    <w:rsid w:val="00F26887"/>
    <w:rsid w:val="00F26E33"/>
    <w:rsid w:val="00F2724B"/>
    <w:rsid w:val="00F27C15"/>
    <w:rsid w:val="00F300F5"/>
    <w:rsid w:val="00F302C4"/>
    <w:rsid w:val="00F304D7"/>
    <w:rsid w:val="00F3060F"/>
    <w:rsid w:val="00F31D60"/>
    <w:rsid w:val="00F31ED6"/>
    <w:rsid w:val="00F32225"/>
    <w:rsid w:val="00F3223E"/>
    <w:rsid w:val="00F322C1"/>
    <w:rsid w:val="00F33937"/>
    <w:rsid w:val="00F33A7C"/>
    <w:rsid w:val="00F33A7E"/>
    <w:rsid w:val="00F33E86"/>
    <w:rsid w:val="00F34AC2"/>
    <w:rsid w:val="00F35442"/>
    <w:rsid w:val="00F35BB7"/>
    <w:rsid w:val="00F35C85"/>
    <w:rsid w:val="00F36189"/>
    <w:rsid w:val="00F36334"/>
    <w:rsid w:val="00F3790C"/>
    <w:rsid w:val="00F40811"/>
    <w:rsid w:val="00F40C37"/>
    <w:rsid w:val="00F40F73"/>
    <w:rsid w:val="00F41B91"/>
    <w:rsid w:val="00F44386"/>
    <w:rsid w:val="00F447C1"/>
    <w:rsid w:val="00F44A18"/>
    <w:rsid w:val="00F44A3F"/>
    <w:rsid w:val="00F44B39"/>
    <w:rsid w:val="00F44B47"/>
    <w:rsid w:val="00F44CA8"/>
    <w:rsid w:val="00F45549"/>
    <w:rsid w:val="00F45D07"/>
    <w:rsid w:val="00F460B5"/>
    <w:rsid w:val="00F46100"/>
    <w:rsid w:val="00F46159"/>
    <w:rsid w:val="00F467E5"/>
    <w:rsid w:val="00F4681A"/>
    <w:rsid w:val="00F46874"/>
    <w:rsid w:val="00F46AEE"/>
    <w:rsid w:val="00F46BF7"/>
    <w:rsid w:val="00F46D49"/>
    <w:rsid w:val="00F4710A"/>
    <w:rsid w:val="00F47205"/>
    <w:rsid w:val="00F5052D"/>
    <w:rsid w:val="00F5060F"/>
    <w:rsid w:val="00F508BF"/>
    <w:rsid w:val="00F520C3"/>
    <w:rsid w:val="00F529B0"/>
    <w:rsid w:val="00F52B8E"/>
    <w:rsid w:val="00F532FC"/>
    <w:rsid w:val="00F53652"/>
    <w:rsid w:val="00F53659"/>
    <w:rsid w:val="00F53C85"/>
    <w:rsid w:val="00F544C1"/>
    <w:rsid w:val="00F54A9C"/>
    <w:rsid w:val="00F553D1"/>
    <w:rsid w:val="00F56717"/>
    <w:rsid w:val="00F568CA"/>
    <w:rsid w:val="00F56F5D"/>
    <w:rsid w:val="00F5788B"/>
    <w:rsid w:val="00F57FED"/>
    <w:rsid w:val="00F6115D"/>
    <w:rsid w:val="00F61541"/>
    <w:rsid w:val="00F61DA0"/>
    <w:rsid w:val="00F61FDA"/>
    <w:rsid w:val="00F62698"/>
    <w:rsid w:val="00F6273F"/>
    <w:rsid w:val="00F632A9"/>
    <w:rsid w:val="00F63496"/>
    <w:rsid w:val="00F63CA1"/>
    <w:rsid w:val="00F644CD"/>
    <w:rsid w:val="00F64512"/>
    <w:rsid w:val="00F64757"/>
    <w:rsid w:val="00F64A72"/>
    <w:rsid w:val="00F64C44"/>
    <w:rsid w:val="00F65E0D"/>
    <w:rsid w:val="00F65F61"/>
    <w:rsid w:val="00F660DA"/>
    <w:rsid w:val="00F6644D"/>
    <w:rsid w:val="00F66DE3"/>
    <w:rsid w:val="00F671FE"/>
    <w:rsid w:val="00F67414"/>
    <w:rsid w:val="00F67BCC"/>
    <w:rsid w:val="00F7002B"/>
    <w:rsid w:val="00F70101"/>
    <w:rsid w:val="00F70B2C"/>
    <w:rsid w:val="00F71612"/>
    <w:rsid w:val="00F71833"/>
    <w:rsid w:val="00F71B7C"/>
    <w:rsid w:val="00F7205F"/>
    <w:rsid w:val="00F72CE7"/>
    <w:rsid w:val="00F731E0"/>
    <w:rsid w:val="00F73579"/>
    <w:rsid w:val="00F738E5"/>
    <w:rsid w:val="00F751D0"/>
    <w:rsid w:val="00F7534F"/>
    <w:rsid w:val="00F75518"/>
    <w:rsid w:val="00F75C5F"/>
    <w:rsid w:val="00F75F05"/>
    <w:rsid w:val="00F76D5B"/>
    <w:rsid w:val="00F76DE6"/>
    <w:rsid w:val="00F76E24"/>
    <w:rsid w:val="00F77049"/>
    <w:rsid w:val="00F7777A"/>
    <w:rsid w:val="00F77926"/>
    <w:rsid w:val="00F77E1B"/>
    <w:rsid w:val="00F77EC5"/>
    <w:rsid w:val="00F77FB3"/>
    <w:rsid w:val="00F8098C"/>
    <w:rsid w:val="00F80E67"/>
    <w:rsid w:val="00F8164A"/>
    <w:rsid w:val="00F8191D"/>
    <w:rsid w:val="00F81CDE"/>
    <w:rsid w:val="00F82187"/>
    <w:rsid w:val="00F82849"/>
    <w:rsid w:val="00F82B73"/>
    <w:rsid w:val="00F82EBF"/>
    <w:rsid w:val="00F837C2"/>
    <w:rsid w:val="00F83BAB"/>
    <w:rsid w:val="00F83CFE"/>
    <w:rsid w:val="00F83F91"/>
    <w:rsid w:val="00F846F8"/>
    <w:rsid w:val="00F85899"/>
    <w:rsid w:val="00F862F6"/>
    <w:rsid w:val="00F8664A"/>
    <w:rsid w:val="00F86C29"/>
    <w:rsid w:val="00F8711B"/>
    <w:rsid w:val="00F8765F"/>
    <w:rsid w:val="00F876B7"/>
    <w:rsid w:val="00F910D6"/>
    <w:rsid w:val="00F911D2"/>
    <w:rsid w:val="00F9127B"/>
    <w:rsid w:val="00F9141A"/>
    <w:rsid w:val="00F91C6F"/>
    <w:rsid w:val="00F91D96"/>
    <w:rsid w:val="00F92384"/>
    <w:rsid w:val="00F932AC"/>
    <w:rsid w:val="00F93965"/>
    <w:rsid w:val="00F93A43"/>
    <w:rsid w:val="00F93C15"/>
    <w:rsid w:val="00F93E03"/>
    <w:rsid w:val="00F94D57"/>
    <w:rsid w:val="00F950DC"/>
    <w:rsid w:val="00F95CAC"/>
    <w:rsid w:val="00F95EE4"/>
    <w:rsid w:val="00F95F2E"/>
    <w:rsid w:val="00F962D4"/>
    <w:rsid w:val="00F967D0"/>
    <w:rsid w:val="00F96B1A"/>
    <w:rsid w:val="00F96F1D"/>
    <w:rsid w:val="00F97181"/>
    <w:rsid w:val="00F97C14"/>
    <w:rsid w:val="00FA01C6"/>
    <w:rsid w:val="00FA02C1"/>
    <w:rsid w:val="00FA0918"/>
    <w:rsid w:val="00FA0A2C"/>
    <w:rsid w:val="00FA0BE2"/>
    <w:rsid w:val="00FA1332"/>
    <w:rsid w:val="00FA237F"/>
    <w:rsid w:val="00FA26C3"/>
    <w:rsid w:val="00FA2770"/>
    <w:rsid w:val="00FA355F"/>
    <w:rsid w:val="00FA3560"/>
    <w:rsid w:val="00FA3AB6"/>
    <w:rsid w:val="00FA3F00"/>
    <w:rsid w:val="00FA3FC4"/>
    <w:rsid w:val="00FA427E"/>
    <w:rsid w:val="00FA4454"/>
    <w:rsid w:val="00FA495A"/>
    <w:rsid w:val="00FA4C67"/>
    <w:rsid w:val="00FA4D8F"/>
    <w:rsid w:val="00FA4F95"/>
    <w:rsid w:val="00FA512A"/>
    <w:rsid w:val="00FA5864"/>
    <w:rsid w:val="00FA5D78"/>
    <w:rsid w:val="00FA64B2"/>
    <w:rsid w:val="00FA65E9"/>
    <w:rsid w:val="00FA6AA5"/>
    <w:rsid w:val="00FA6CD8"/>
    <w:rsid w:val="00FA71AC"/>
    <w:rsid w:val="00FA7326"/>
    <w:rsid w:val="00FA7960"/>
    <w:rsid w:val="00FA7F32"/>
    <w:rsid w:val="00FB0192"/>
    <w:rsid w:val="00FB1028"/>
    <w:rsid w:val="00FB155C"/>
    <w:rsid w:val="00FB1F11"/>
    <w:rsid w:val="00FB201C"/>
    <w:rsid w:val="00FB237A"/>
    <w:rsid w:val="00FB2750"/>
    <w:rsid w:val="00FB3811"/>
    <w:rsid w:val="00FB3C02"/>
    <w:rsid w:val="00FB4B51"/>
    <w:rsid w:val="00FB646B"/>
    <w:rsid w:val="00FB6906"/>
    <w:rsid w:val="00FB6A19"/>
    <w:rsid w:val="00FB6EDD"/>
    <w:rsid w:val="00FB7074"/>
    <w:rsid w:val="00FB7225"/>
    <w:rsid w:val="00FB7445"/>
    <w:rsid w:val="00FB7645"/>
    <w:rsid w:val="00FB7CDB"/>
    <w:rsid w:val="00FC018E"/>
    <w:rsid w:val="00FC06B0"/>
    <w:rsid w:val="00FC094B"/>
    <w:rsid w:val="00FC099E"/>
    <w:rsid w:val="00FC0FAF"/>
    <w:rsid w:val="00FC185F"/>
    <w:rsid w:val="00FC1A1E"/>
    <w:rsid w:val="00FC1ABC"/>
    <w:rsid w:val="00FC2528"/>
    <w:rsid w:val="00FC3240"/>
    <w:rsid w:val="00FC329F"/>
    <w:rsid w:val="00FC3793"/>
    <w:rsid w:val="00FC426B"/>
    <w:rsid w:val="00FC45FF"/>
    <w:rsid w:val="00FC4646"/>
    <w:rsid w:val="00FC546D"/>
    <w:rsid w:val="00FC596C"/>
    <w:rsid w:val="00FC5EC6"/>
    <w:rsid w:val="00FC7644"/>
    <w:rsid w:val="00FC771D"/>
    <w:rsid w:val="00FC7BC2"/>
    <w:rsid w:val="00FD06C1"/>
    <w:rsid w:val="00FD2308"/>
    <w:rsid w:val="00FD290E"/>
    <w:rsid w:val="00FD3E01"/>
    <w:rsid w:val="00FD3E7F"/>
    <w:rsid w:val="00FD3EFE"/>
    <w:rsid w:val="00FD5052"/>
    <w:rsid w:val="00FD5297"/>
    <w:rsid w:val="00FD554F"/>
    <w:rsid w:val="00FD5674"/>
    <w:rsid w:val="00FD59DD"/>
    <w:rsid w:val="00FD5B9B"/>
    <w:rsid w:val="00FD61A3"/>
    <w:rsid w:val="00FD6322"/>
    <w:rsid w:val="00FD6525"/>
    <w:rsid w:val="00FD66F6"/>
    <w:rsid w:val="00FD67BA"/>
    <w:rsid w:val="00FD6894"/>
    <w:rsid w:val="00FD7707"/>
    <w:rsid w:val="00FD7D0A"/>
    <w:rsid w:val="00FE0310"/>
    <w:rsid w:val="00FE064C"/>
    <w:rsid w:val="00FE0E2E"/>
    <w:rsid w:val="00FE10FF"/>
    <w:rsid w:val="00FE14C4"/>
    <w:rsid w:val="00FE1640"/>
    <w:rsid w:val="00FE1929"/>
    <w:rsid w:val="00FE283D"/>
    <w:rsid w:val="00FE2972"/>
    <w:rsid w:val="00FE2C17"/>
    <w:rsid w:val="00FE35DD"/>
    <w:rsid w:val="00FE38BB"/>
    <w:rsid w:val="00FE4B3D"/>
    <w:rsid w:val="00FE4D03"/>
    <w:rsid w:val="00FE518C"/>
    <w:rsid w:val="00FE51C6"/>
    <w:rsid w:val="00FE5494"/>
    <w:rsid w:val="00FE5622"/>
    <w:rsid w:val="00FE5DBE"/>
    <w:rsid w:val="00FE60F9"/>
    <w:rsid w:val="00FE62D2"/>
    <w:rsid w:val="00FE7E9E"/>
    <w:rsid w:val="00FE7F6E"/>
    <w:rsid w:val="00FF01CA"/>
    <w:rsid w:val="00FF077F"/>
    <w:rsid w:val="00FF0FF7"/>
    <w:rsid w:val="00FF1232"/>
    <w:rsid w:val="00FF1B75"/>
    <w:rsid w:val="00FF264C"/>
    <w:rsid w:val="00FF2EC7"/>
    <w:rsid w:val="00FF4644"/>
    <w:rsid w:val="00FF4668"/>
    <w:rsid w:val="00FF4C15"/>
    <w:rsid w:val="00FF6CCB"/>
    <w:rsid w:val="00FF7C6B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FE77D"/>
  <w14:defaultImageDpi w14:val="0"/>
  <w15:docId w15:val="{F6104475-2CE9-4601-99BE-E20EBAA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napToGrid w:val="0"/>
      <w:lang w:val="en-US"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fr-FR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uiPriority w:val="9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uiPriority w:val="9"/>
    <w:locked/>
    <w:rPr>
      <w:rFonts w:ascii="Courier" w:hAnsi="Courier"/>
      <w:b/>
      <w:spacing w:val="-3"/>
      <w:sz w:val="20"/>
      <w:lang w:val="x-none"/>
    </w:rPr>
  </w:style>
  <w:style w:type="character" w:customStyle="1" w:styleId="Titre2Car">
    <w:name w:val="Titre 2 Car"/>
    <w:uiPriority w:val="9"/>
    <w:locked/>
    <w:rPr>
      <w:rFonts w:ascii="Arial" w:hAnsi="Arial"/>
      <w:b/>
      <w:sz w:val="20"/>
      <w:lang w:val="en-US"/>
    </w:rPr>
  </w:style>
  <w:style w:type="character" w:customStyle="1" w:styleId="Titre4Car">
    <w:name w:val="Titre 4 Car"/>
    <w:uiPriority w:val="9"/>
    <w:locked/>
    <w:rPr>
      <w:rFonts w:ascii="Arial" w:hAnsi="Arial"/>
      <w:b/>
      <w:sz w:val="20"/>
      <w:lang w:val="en-US"/>
    </w:rPr>
  </w:style>
  <w:style w:type="paragraph" w:styleId="Header">
    <w:name w:val="header"/>
    <w:basedOn w:val="Normal"/>
    <w:link w:val="CommentReference"/>
    <w:uiPriority w:val="99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fr-FR"/>
    </w:rPr>
  </w:style>
  <w:style w:type="character" w:customStyle="1" w:styleId="En-tteCar">
    <w:name w:val="En-tête Car"/>
    <w:uiPriority w:val="99"/>
    <w:locked/>
    <w:rPr>
      <w:rFonts w:ascii="Courier" w:hAnsi="Courier"/>
      <w:sz w:val="20"/>
      <w:lang w:val="x-none"/>
    </w:rPr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</w:rPr>
  </w:style>
  <w:style w:type="character" w:customStyle="1" w:styleId="NotedebasdepageCar">
    <w:name w:val="Note de bas de page Car"/>
    <w:semiHidden/>
    <w:locked/>
    <w:rPr>
      <w:rFonts w:ascii="Courier" w:hAnsi="Courier"/>
      <w:sz w:val="20"/>
      <w:lang w:val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Pr>
      <w:rFonts w:ascii="Arial" w:hAnsi="Arial"/>
      <w:sz w:val="24"/>
      <w:lang w:val="en-US"/>
    </w:rPr>
  </w:style>
  <w:style w:type="character" w:styleId="FootnoteReference">
    <w:name w:val="footnote reference"/>
    <w:aliases w:val="Note de bas de page Car1,ftref,16 Point,Superscript 6 Poi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link w:val="Footer"/>
    <w:uiPriority w:val="99"/>
    <w:locked/>
    <w:rPr>
      <w:rFonts w:ascii="Times New Roman" w:eastAsia="Times New Roman"/>
      <w:sz w:val="20"/>
      <w:lang w:val="x-none"/>
    </w:r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link w:val="FollowedHyperlink"/>
    <w:uiPriority w:val="99"/>
    <w:semiHidden/>
    <w:rPr>
      <w:sz w:val="16"/>
      <w:szCs w:val="16"/>
    </w:rPr>
  </w:style>
  <w:style w:type="character" w:customStyle="1" w:styleId="TextedebullesCar">
    <w:name w:val="Texte de bulles Car"/>
    <w:uiPriority w:val="99"/>
    <w:semiHidden/>
    <w:locked/>
    <w:rPr>
      <w:rFonts w:ascii="Times New Roman" w:eastAsia="Times New Roman"/>
      <w:sz w:val="16"/>
      <w:lang w:val="en-US"/>
    </w:rPr>
  </w:style>
  <w:style w:type="character" w:styleId="Hyperlink">
    <w:name w:val="Hyperlink"/>
    <w:uiPriority w:val="99"/>
    <w:rPr>
      <w:color w:val="336699"/>
      <w:u w:val="none"/>
      <w:effect w:val="none"/>
    </w:rPr>
  </w:style>
  <w:style w:type="paragraph" w:styleId="ListParagraph">
    <w:name w:val="List Paragraph"/>
    <w:aliases w:val="List Paragraph (numbered (a)),References,Paragraphe de liste1,L_4"/>
    <w:basedOn w:val="Normal"/>
    <w:uiPriority w:val="34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Pr>
      <w:sz w:val="16"/>
      <w:szCs w:val="16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eastAsia="Times New Roman"/>
      <w:sz w:val="16"/>
      <w:lang w:val="x-none"/>
    </w:rPr>
  </w:style>
  <w:style w:type="character" w:styleId="CommentReference">
    <w:name w:val="annotation reference"/>
    <w:aliases w:val="Header Char"/>
    <w:link w:val="Header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ascii="Times New Roman" w:eastAsia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lang w:val="fr-FR"/>
    </w:rPr>
  </w:style>
  <w:style w:type="character" w:customStyle="1" w:styleId="CommentSubjectChar">
    <w:name w:val="Comment Subject Char"/>
    <w:link w:val="CommentSubject"/>
    <w:locked/>
    <w:rPr>
      <w:rFonts w:ascii="Times New Roman" w:eastAsia="Times New Roman"/>
      <w:b/>
      <w:sz w:val="20"/>
      <w:lang w:val="x-none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eastAsia="Times New Roman"/>
      <w:b/>
      <w:sz w:val="20"/>
      <w:lang w:val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eastAsia="Times New Roman"/>
      <w:sz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eastAsia="Times New Roman"/>
      <w:sz w:val="20"/>
      <w:lang w:val="en-US"/>
    </w:rPr>
  </w:style>
  <w:style w:type="character" w:customStyle="1" w:styleId="ParagraphedelisteCar">
    <w:name w:val="Paragraphe de liste Car"/>
    <w:aliases w:val="List Paragraph (numbered (a)) Car,References Car,Paragraphe de liste1 Car,L_4 Car"/>
    <w:uiPriority w:val="34"/>
    <w:locked/>
    <w:rPr>
      <w:rFonts w:ascii="Times New Roman" w:eastAsia="Times New Roman"/>
      <w:sz w:val="20"/>
      <w:lang w:val="en-US"/>
    </w:rPr>
  </w:style>
  <w:style w:type="paragraph" w:styleId="Revision">
    <w:name w:val="Revision"/>
    <w:hidden/>
    <w:uiPriority w:val="99"/>
    <w:semiHidden/>
    <w:rPr>
      <w:rFonts w:ascii="Times New Roman" w:hAnsi="Times New Roman"/>
      <w:snapToGrid w:val="0"/>
      <w:lang w:val="en-US" w:eastAsia="fr-FR"/>
    </w:rPr>
  </w:style>
  <w:style w:type="character" w:styleId="FollowedHyperlink">
    <w:name w:val="FollowedHyperlink"/>
    <w:aliases w:val="Balloon Text Char"/>
    <w:link w:val="BalloonText"/>
    <w:uiPriority w:val="99"/>
    <w:semiHidden/>
    <w:rPr>
      <w:color w:val="800080"/>
      <w:u w:val="single"/>
    </w:rPr>
  </w:style>
  <w:style w:type="character" w:customStyle="1" w:styleId="Policepardfaut1">
    <w:name w:val="Police par défaut1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snapToGrid w:val="0"/>
      <w:color w:val="000000"/>
      <w:lang w:val="en-US" w:eastAsia="fr-FR"/>
    </w:rPr>
  </w:style>
  <w:style w:type="character" w:customStyle="1" w:styleId="shorttext">
    <w:name w:val="short_text"/>
  </w:style>
  <w:style w:type="paragraph" w:styleId="NoSpacing">
    <w:name w:val="No Spacing"/>
    <w:uiPriority w:val="1"/>
    <w:qFormat/>
    <w:rPr>
      <w:rFonts w:ascii="Times New Roman" w:hAnsi="Times New Roman"/>
      <w:snapToGrid w:val="0"/>
      <w:lang w:val="en-US" w:eastAsia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ention1">
    <w:name w:val="Mention1"/>
    <w:uiPriority w:val="99"/>
    <w:semiHidden/>
    <w:unhideWhenUsed/>
    <w:rsid w:val="00661763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C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CD2"/>
    <w:rPr>
      <w:rFonts w:ascii="Times New Roman" w:hAnsi="Times New Roman"/>
      <w:snapToGrid w:val="0"/>
      <w:lang w:val="en-US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63C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C74C3"/>
    <w:pPr>
      <w:spacing w:before="100" w:beforeAutospacing="1" w:after="100" w:afterAutospacing="1"/>
    </w:pPr>
    <w:rPr>
      <w:snapToGrid/>
      <w:lang w:val="fr-FR"/>
    </w:rPr>
  </w:style>
  <w:style w:type="numbering" w:customStyle="1" w:styleId="ImportedStyle3">
    <w:name w:val="Imported Style 3"/>
    <w:rsid w:val="00A0634B"/>
    <w:pPr>
      <w:numPr>
        <w:numId w:val="4"/>
      </w:numPr>
    </w:pPr>
  </w:style>
  <w:style w:type="paragraph" w:customStyle="1" w:styleId="Para1">
    <w:name w:val="Para 1."/>
    <w:basedOn w:val="Normal"/>
    <w:link w:val="Para1Char"/>
    <w:qFormat/>
    <w:rsid w:val="00A0634B"/>
    <w:pPr>
      <w:numPr>
        <w:numId w:val="5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800"/>
        <w:tab w:val="left" w:pos="1890"/>
      </w:tabs>
      <w:suppressAutoHyphens/>
      <w:spacing w:after="80"/>
      <w:ind w:right="547"/>
      <w:jc w:val="both"/>
    </w:pPr>
    <w:rPr>
      <w:rFonts w:eastAsia="Arial Unicode MS" w:cs="Arial Unicode MS"/>
      <w:snapToGrid/>
      <w:color w:val="000000"/>
      <w:spacing w:val="2"/>
      <w:kern w:val="14"/>
      <w:u w:color="000000"/>
      <w:bdr w:val="nil"/>
    </w:rPr>
  </w:style>
  <w:style w:type="character" w:customStyle="1" w:styleId="Para1Char">
    <w:name w:val="Para 1. Char"/>
    <w:basedOn w:val="DefaultParagraphFont"/>
    <w:link w:val="Para1"/>
    <w:rsid w:val="00A0634B"/>
    <w:rPr>
      <w:rFonts w:ascii="Times New Roman" w:eastAsia="Arial Unicode MS" w:hAnsi="Times New Roman" w:cs="Arial Unicode MS"/>
      <w:color w:val="000000"/>
      <w:spacing w:val="2"/>
      <w:kern w:val="14"/>
      <w:u w:color="000000"/>
      <w:bdr w:val="nil"/>
      <w:lang w:val="en-US" w:eastAsia="fr-FR"/>
    </w:rPr>
  </w:style>
  <w:style w:type="paragraph" w:customStyle="1" w:styleId="Num1para">
    <w:name w:val="Num 1 para"/>
    <w:link w:val="Num1paraChar"/>
    <w:rsid w:val="00A633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0"/>
      </w:tabs>
      <w:suppressAutoHyphens/>
      <w:spacing w:after="80"/>
      <w:ind w:right="547"/>
      <w:jc w:val="both"/>
    </w:pPr>
    <w:rPr>
      <w:rFonts w:ascii="Times New Roman" w:eastAsia="Arial Unicode MS" w:hAnsi="Times New Roman" w:cs="Arial Unicode MS"/>
      <w:color w:val="000000"/>
      <w:spacing w:val="2"/>
      <w:kern w:val="14"/>
      <w:u w:color="000000"/>
      <w:bdr w:val="nil"/>
      <w:lang w:val="en-US" w:eastAsia="fr-FR"/>
    </w:rPr>
  </w:style>
  <w:style w:type="character" w:customStyle="1" w:styleId="Num1paraChar">
    <w:name w:val="Num 1 para Char"/>
    <w:basedOn w:val="DefaultParagraphFont"/>
    <w:link w:val="Num1para"/>
    <w:rsid w:val="00A6337F"/>
    <w:rPr>
      <w:rFonts w:ascii="Times New Roman" w:eastAsia="Arial Unicode MS" w:hAnsi="Times New Roman" w:cs="Arial Unicode MS"/>
      <w:color w:val="000000"/>
      <w:spacing w:val="2"/>
      <w:kern w:val="14"/>
      <w:u w:color="000000"/>
      <w:bdr w:val="nil"/>
      <w:lang w:val="en-US" w:eastAsia="fr-FR"/>
    </w:rPr>
  </w:style>
  <w:style w:type="paragraph" w:customStyle="1" w:styleId="UNpara">
    <w:name w:val="UN para"/>
    <w:basedOn w:val="Normal"/>
    <w:qFormat/>
    <w:rsid w:val="0003706A"/>
    <w:pPr>
      <w:numPr>
        <w:numId w:val="10"/>
      </w:numPr>
      <w:tabs>
        <w:tab w:val="left" w:pos="1710"/>
      </w:tabs>
      <w:spacing w:after="120" w:line="240" w:lineRule="exact"/>
      <w:ind w:left="1267" w:right="1296" w:firstLine="0"/>
      <w:jc w:val="both"/>
    </w:pPr>
    <w:rPr>
      <w:rFonts w:eastAsia="Calibri"/>
      <w:snapToGrid/>
      <w:lang w:val="en-GB" w:eastAsia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B32C1"/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32C1"/>
    <w:rPr>
      <w:rFonts w:eastAsiaTheme="minorHAnsi" w:cstheme="minorBidi"/>
      <w:sz w:val="22"/>
      <w:szCs w:val="21"/>
      <w:lang w:val="en-US" w:eastAsia="en-US"/>
    </w:rPr>
  </w:style>
  <w:style w:type="character" w:customStyle="1" w:styleId="alt-edited">
    <w:name w:val="alt-edited"/>
    <w:basedOn w:val="DefaultParagraphFont"/>
    <w:rsid w:val="007D5A00"/>
  </w:style>
  <w:style w:type="character" w:customStyle="1" w:styleId="Mention2">
    <w:name w:val="Mention2"/>
    <w:basedOn w:val="DefaultParagraphFont"/>
    <w:uiPriority w:val="99"/>
    <w:semiHidden/>
    <w:unhideWhenUsed/>
    <w:rsid w:val="003C37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.undp.org/global/popp/rma/Pages/internal-control-framework.aspx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undp.org/content/undp/en/home/operations/accountability/programme_and_operationspoliciesandprocedures.htm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hconnektafrica.org/" TargetMode="External"/><Relationship Id="rId1" Type="http://schemas.openxmlformats.org/officeDocument/2006/relationships/hyperlink" Target="http://www.insd.b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B88D-FDEE-4AB2-B64B-0C0DE192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5887</Words>
  <Characters>36033</Characters>
  <Application>Microsoft Office Word</Application>
  <DocSecurity>0</DocSecurity>
  <Lines>900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41588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https://info.undp.org/global/popp/rma/Pages/internal-control-framework.aspx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http://www.undp.org/content/undp/en/home/operations/accountability/programme_and_operationspoliciesandprocedures.html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Corneille Agossou</dc:creator>
  <cp:keywords/>
  <dc:description/>
  <cp:lastModifiedBy>Svetlana Iazykova</cp:lastModifiedBy>
  <cp:revision>4</cp:revision>
  <cp:lastPrinted>2017-08-21T02:51:00Z</cp:lastPrinted>
  <dcterms:created xsi:type="dcterms:W3CDTF">2017-10-27T21:34:00Z</dcterms:created>
  <dcterms:modified xsi:type="dcterms:W3CDTF">2017-10-27T21:52:00Z</dcterms:modified>
</cp:coreProperties>
</file>