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6168" w:rsidRPr="00517955" w:rsidRDefault="008A3D3B" w:rsidP="00844110">
      <w:pPr>
        <w:pStyle w:val="Heading3"/>
      </w:pPr>
      <w:r>
        <w:t xml:space="preserve"> </w:t>
      </w:r>
      <w:r w:rsidR="00844110">
        <w:t>Country:</w:t>
      </w:r>
      <w:r w:rsidR="00844110">
        <w:tab/>
      </w:r>
      <w:r w:rsidR="00844110">
        <w:tab/>
        <w:t>[</w:t>
      </w:r>
      <w:r w:rsidR="00BB0B65">
        <w:t>BENIN</w:t>
      </w:r>
      <w:r w:rsidR="005C6168" w:rsidRPr="00517955">
        <w:t>]</w:t>
      </w:r>
    </w:p>
    <w:p w:rsidR="005C6168" w:rsidRPr="00517955" w:rsidRDefault="005C6168">
      <w:pPr>
        <w:pStyle w:val="Heading3"/>
        <w:rPr>
          <w:rFonts w:asciiTheme="minorHAnsi" w:hAnsiTheme="minorHAnsi"/>
        </w:rPr>
      </w:pPr>
    </w:p>
    <w:p w:rsidR="005C6168" w:rsidRPr="00517955" w:rsidRDefault="00BC38E0">
      <w:pPr>
        <w:pStyle w:val="Heading3"/>
        <w:rPr>
          <w:rFonts w:asciiTheme="minorHAnsi" w:hAnsiTheme="minorHAnsi"/>
          <w:b/>
          <w:bCs w:val="0"/>
        </w:rPr>
      </w:pPr>
      <w:r w:rsidRPr="00517955">
        <w:rPr>
          <w:rFonts w:asciiTheme="minorHAnsi" w:hAnsiTheme="minorHAnsi"/>
          <w:b/>
          <w:bCs w:val="0"/>
        </w:rPr>
        <w:t>COUNTRY PROGRAMME</w:t>
      </w:r>
      <w:r w:rsidR="00B32ADA">
        <w:rPr>
          <w:rFonts w:asciiTheme="minorHAnsi" w:hAnsiTheme="minorHAnsi"/>
          <w:b/>
          <w:bCs w:val="0"/>
        </w:rPr>
        <w:t xml:space="preserve"> PERFORMANCE SUMMARY</w:t>
      </w:r>
      <w:r w:rsidR="001F3524">
        <w:rPr>
          <w:rStyle w:val="FootnoteReference"/>
          <w:rFonts w:asciiTheme="minorHAnsi" w:hAnsiTheme="minorHAnsi"/>
          <w:b/>
          <w:bCs w:val="0"/>
        </w:rPr>
        <w:footnoteReference w:id="1"/>
      </w:r>
    </w:p>
    <w:p w:rsidR="005C6168" w:rsidRPr="00517955" w:rsidRDefault="005C6168">
      <w:pPr>
        <w:pStyle w:val="Heading3"/>
        <w:rPr>
          <w:rFonts w:asciiTheme="minorHAnsi" w:hAnsiTheme="minorHAnsi"/>
          <w:b/>
        </w:rPr>
      </w:pPr>
    </w:p>
    <w:p w:rsidR="005C6168" w:rsidRPr="00517955" w:rsidRDefault="00537A80">
      <w:pPr>
        <w:pStyle w:val="Heading3"/>
        <w:jc w:val="left"/>
        <w:rPr>
          <w:rFonts w:asciiTheme="minorHAnsi" w:hAnsiTheme="minorHAnsi"/>
        </w:rPr>
      </w:pPr>
      <w:r>
        <w:rPr>
          <w:rFonts w:asciiTheme="minorHAnsi" w:hAnsiTheme="minorHAnsi"/>
        </w:rPr>
        <w:t xml:space="preserve">Reporting period: </w:t>
      </w:r>
      <w:r>
        <w:rPr>
          <w:rFonts w:asciiTheme="minorHAnsi" w:hAnsiTheme="minorHAnsi"/>
        </w:rPr>
        <w:tab/>
        <w:t>201</w:t>
      </w:r>
      <w:r w:rsidR="0038305A">
        <w:rPr>
          <w:rFonts w:asciiTheme="minorHAnsi" w:hAnsiTheme="minorHAnsi"/>
        </w:rPr>
        <w:t>4-2018</w:t>
      </w:r>
    </w:p>
    <w:p w:rsidR="005C6168" w:rsidRPr="00517955" w:rsidRDefault="005C6168">
      <w:pPr>
        <w:pStyle w:val="Heading3"/>
        <w:rPr>
          <w:rFonts w:asciiTheme="minorHAnsi" w:hAnsiTheme="minorHAnsi"/>
        </w:rPr>
      </w:pPr>
    </w:p>
    <w:p w:rsidR="005C6168" w:rsidRPr="00517955" w:rsidRDefault="005C6168">
      <w:pPr>
        <w:rPr>
          <w:rFonts w:asciiTheme="minorHAnsi" w:hAnsiTheme="minorHAnsi"/>
        </w:rPr>
      </w:pPr>
    </w:p>
    <w:p w:rsidR="005C6168" w:rsidRPr="00517955" w:rsidRDefault="005C6168">
      <w:pPr>
        <w:pStyle w:val="Heading3"/>
        <w:rPr>
          <w:rFonts w:asciiTheme="minorHAnsi" w:hAnsiTheme="minorHAnsi"/>
          <w:b/>
          <w:bCs w:val="0"/>
        </w:rPr>
      </w:pPr>
      <w:r w:rsidRPr="00517955">
        <w:rPr>
          <w:rFonts w:asciiTheme="minorHAnsi" w:hAnsiTheme="minorHAnsi"/>
          <w:b/>
          <w:bCs w:val="0"/>
        </w:rPr>
        <w:t xml:space="preserve">I.  </w:t>
      </w:r>
      <w:r w:rsidR="0064746F">
        <w:rPr>
          <w:rFonts w:asciiTheme="minorHAnsi" w:hAnsiTheme="minorHAnsi"/>
          <w:b/>
          <w:bCs w:val="0"/>
        </w:rPr>
        <w:t>EXECUTIVE SUMMARY</w:t>
      </w:r>
      <w:r w:rsidR="00760E32" w:rsidRPr="00517955">
        <w:rPr>
          <w:rFonts w:asciiTheme="minorHAnsi" w:hAnsiTheme="minorHAnsi"/>
          <w:b/>
          <w:bCs w:val="0"/>
        </w:rPr>
        <w:t xml:space="preserve"> </w:t>
      </w:r>
    </w:p>
    <w:p w:rsidR="005C6168" w:rsidRDefault="005C6168" w:rsidP="00363EC5">
      <w:pPr>
        <w:pStyle w:val="BodyText"/>
        <w:rPr>
          <w:rFonts w:asciiTheme="minorHAnsi" w:hAnsiTheme="minorHAnsi"/>
        </w:rPr>
      </w:pPr>
    </w:p>
    <w:p w:rsidR="00540880" w:rsidRPr="006F34CC" w:rsidRDefault="00540880" w:rsidP="00540880">
      <w:pPr>
        <w:pStyle w:val="BodyText2"/>
        <w:jc w:val="both"/>
        <w:rPr>
          <w:rFonts w:asciiTheme="minorHAnsi" w:hAnsiTheme="minorHAnsi"/>
        </w:rPr>
      </w:pPr>
      <w:r w:rsidRPr="006F34CC">
        <w:rPr>
          <w:rFonts w:asciiTheme="minorHAnsi" w:hAnsiTheme="minorHAnsi"/>
        </w:rPr>
        <w:t xml:space="preserve">The </w:t>
      </w:r>
      <w:r w:rsidR="008E3E1D" w:rsidRPr="006F34CC">
        <w:rPr>
          <w:rFonts w:asciiTheme="minorHAnsi" w:hAnsiTheme="minorHAnsi"/>
        </w:rPr>
        <w:t>CPD</w:t>
      </w:r>
      <w:r w:rsidRPr="006F34CC">
        <w:rPr>
          <w:rFonts w:asciiTheme="minorHAnsi" w:hAnsiTheme="minorHAnsi"/>
        </w:rPr>
        <w:t xml:space="preserve"> and UNDAF 2014-2018 </w:t>
      </w:r>
      <w:r w:rsidR="005A1FD0" w:rsidRPr="006F34CC">
        <w:rPr>
          <w:rFonts w:asciiTheme="minorHAnsi" w:hAnsiTheme="minorHAnsi"/>
        </w:rPr>
        <w:t xml:space="preserve">Evaluations </w:t>
      </w:r>
      <w:r w:rsidRPr="006F34CC">
        <w:rPr>
          <w:rFonts w:asciiTheme="minorHAnsi" w:hAnsiTheme="minorHAnsi"/>
        </w:rPr>
        <w:t xml:space="preserve">revealed </w:t>
      </w:r>
      <w:r w:rsidR="005A1FD0" w:rsidRPr="006F34CC">
        <w:rPr>
          <w:rFonts w:asciiTheme="minorHAnsi" w:hAnsiTheme="minorHAnsi"/>
        </w:rPr>
        <w:t xml:space="preserve">UNDP’s </w:t>
      </w:r>
      <w:r w:rsidRPr="006F34CC">
        <w:rPr>
          <w:rFonts w:asciiTheme="minorHAnsi" w:hAnsiTheme="minorHAnsi"/>
        </w:rPr>
        <w:t xml:space="preserve">contribution </w:t>
      </w:r>
      <w:r w:rsidR="008E3E1D" w:rsidRPr="006F34CC">
        <w:rPr>
          <w:rFonts w:asciiTheme="minorHAnsi" w:hAnsiTheme="minorHAnsi"/>
        </w:rPr>
        <w:t xml:space="preserve">to </w:t>
      </w:r>
      <w:r w:rsidRPr="006F34CC">
        <w:rPr>
          <w:rFonts w:asciiTheme="minorHAnsi" w:hAnsiTheme="minorHAnsi"/>
        </w:rPr>
        <w:t>the country</w:t>
      </w:r>
      <w:r w:rsidR="005A1FD0" w:rsidRPr="006F34CC">
        <w:rPr>
          <w:rFonts w:asciiTheme="minorHAnsi" w:hAnsiTheme="minorHAnsi"/>
        </w:rPr>
        <w:t xml:space="preserve"> program</w:t>
      </w:r>
      <w:r w:rsidRPr="006F34CC">
        <w:rPr>
          <w:rFonts w:asciiTheme="minorHAnsi" w:hAnsiTheme="minorHAnsi"/>
        </w:rPr>
        <w:t xml:space="preserve"> performance in several </w:t>
      </w:r>
      <w:r w:rsidR="00A57002" w:rsidRPr="006F34CC">
        <w:rPr>
          <w:rFonts w:asciiTheme="minorHAnsi" w:hAnsiTheme="minorHAnsi"/>
        </w:rPr>
        <w:t>fields:</w:t>
      </w:r>
      <w:r w:rsidRPr="006F34CC">
        <w:rPr>
          <w:rFonts w:asciiTheme="minorHAnsi" w:hAnsiTheme="minorHAnsi"/>
        </w:rPr>
        <w:t xml:space="preserve"> (1) public financial management, (2) monitoring MDGs and promotion of SDGs, (3) strengthening of public</w:t>
      </w:r>
      <w:r w:rsidR="005A1FD0" w:rsidRPr="006F34CC">
        <w:rPr>
          <w:rFonts w:asciiTheme="minorHAnsi" w:hAnsiTheme="minorHAnsi"/>
        </w:rPr>
        <w:t xml:space="preserve"> administration</w:t>
      </w:r>
      <w:r w:rsidRPr="006F34CC">
        <w:rPr>
          <w:rFonts w:asciiTheme="minorHAnsi" w:hAnsiTheme="minorHAnsi"/>
        </w:rPr>
        <w:t xml:space="preserve">; (4) </w:t>
      </w:r>
      <w:r w:rsidRPr="006F34CC">
        <w:rPr>
          <w:rFonts w:asciiTheme="minorHAnsi" w:hAnsiTheme="minorHAnsi"/>
          <w:strike/>
        </w:rPr>
        <w:t>the</w:t>
      </w:r>
      <w:r w:rsidRPr="006F34CC">
        <w:rPr>
          <w:rFonts w:asciiTheme="minorHAnsi" w:hAnsiTheme="minorHAnsi"/>
        </w:rPr>
        <w:t xml:space="preserve"> promotion of inclusive growth through the contribution to job creation, (5) reinforcing of environment issues management and promotion of </w:t>
      </w:r>
      <w:r w:rsidR="00E64242" w:rsidRPr="006F34CC">
        <w:rPr>
          <w:rFonts w:asciiTheme="minorHAnsi" w:hAnsiTheme="minorHAnsi"/>
        </w:rPr>
        <w:t>mitigation</w:t>
      </w:r>
      <w:r w:rsidRPr="006F34CC">
        <w:rPr>
          <w:rFonts w:asciiTheme="minorHAnsi" w:hAnsiTheme="minorHAnsi"/>
        </w:rPr>
        <w:t xml:space="preserve"> and adaptation to climate changes.</w:t>
      </w:r>
    </w:p>
    <w:p w:rsidR="00540880" w:rsidRPr="006F34CC" w:rsidRDefault="00540880" w:rsidP="00540880">
      <w:pPr>
        <w:pStyle w:val="BodyText2"/>
        <w:jc w:val="both"/>
        <w:rPr>
          <w:rFonts w:asciiTheme="minorHAnsi" w:hAnsiTheme="minorHAnsi"/>
        </w:rPr>
      </w:pPr>
    </w:p>
    <w:p w:rsidR="005A2947" w:rsidRPr="006F34CC" w:rsidRDefault="008E3E1D" w:rsidP="00540880">
      <w:pPr>
        <w:pStyle w:val="BodyText2"/>
        <w:jc w:val="both"/>
        <w:rPr>
          <w:rFonts w:asciiTheme="minorHAnsi" w:hAnsiTheme="minorHAnsi"/>
        </w:rPr>
      </w:pPr>
      <w:r w:rsidRPr="006F34CC">
        <w:rPr>
          <w:rFonts w:asciiTheme="minorHAnsi" w:hAnsiTheme="minorHAnsi"/>
        </w:rPr>
        <w:t>In</w:t>
      </w:r>
      <w:r w:rsidR="00540880" w:rsidRPr="006F34CC">
        <w:rPr>
          <w:rFonts w:asciiTheme="minorHAnsi" w:hAnsiTheme="minorHAnsi"/>
        </w:rPr>
        <w:t xml:space="preserve"> economic governance,</w:t>
      </w:r>
      <w:r w:rsidR="00030890" w:rsidRPr="006F34CC">
        <w:rPr>
          <w:rFonts w:asciiTheme="minorHAnsi" w:hAnsiTheme="minorHAnsi"/>
        </w:rPr>
        <w:t xml:space="preserve"> t</w:t>
      </w:r>
      <w:r w:rsidR="005A2947" w:rsidRPr="006F34CC">
        <w:rPr>
          <w:rFonts w:asciiTheme="minorHAnsi" w:hAnsiTheme="minorHAnsi"/>
        </w:rPr>
        <w:t>he capacity of the public administration to conduct reforms, planning and evaluation of development policies has been strengthened through adoption of results-based budget reform</w:t>
      </w:r>
      <w:r w:rsidR="001C5270" w:rsidRPr="006F34CC">
        <w:rPr>
          <w:rFonts w:asciiTheme="minorHAnsi" w:hAnsiTheme="minorHAnsi"/>
        </w:rPr>
        <w:t>. P</w:t>
      </w:r>
      <w:r w:rsidR="00540880" w:rsidRPr="006F34CC">
        <w:rPr>
          <w:rFonts w:asciiTheme="minorHAnsi" w:hAnsiTheme="minorHAnsi"/>
        </w:rPr>
        <w:t xml:space="preserve">ublic financial management has been reinforced through enhancement of </w:t>
      </w:r>
      <w:r w:rsidRPr="006F34CC">
        <w:rPr>
          <w:rFonts w:asciiTheme="minorHAnsi" w:hAnsiTheme="minorHAnsi"/>
        </w:rPr>
        <w:t xml:space="preserve">WAEMU </w:t>
      </w:r>
      <w:r w:rsidR="00540880" w:rsidRPr="006F34CC">
        <w:rPr>
          <w:rFonts w:asciiTheme="minorHAnsi" w:hAnsiTheme="minorHAnsi"/>
        </w:rPr>
        <w:t xml:space="preserve">public finances reforms implementation support and Benin is among the </w:t>
      </w:r>
      <w:r w:rsidR="005A1FD0" w:rsidRPr="006F34CC">
        <w:rPr>
          <w:rFonts w:asciiTheme="minorHAnsi" w:hAnsiTheme="minorHAnsi"/>
        </w:rPr>
        <w:t xml:space="preserve">one of the </w:t>
      </w:r>
      <w:r w:rsidR="00540880" w:rsidRPr="006F34CC">
        <w:rPr>
          <w:rFonts w:asciiTheme="minorHAnsi" w:hAnsiTheme="minorHAnsi"/>
        </w:rPr>
        <w:t xml:space="preserve">champions among WAEMU countries. There is also an improvement in </w:t>
      </w:r>
      <w:r w:rsidR="00A57002" w:rsidRPr="006F34CC">
        <w:rPr>
          <w:rFonts w:asciiTheme="minorHAnsi" w:hAnsiTheme="minorHAnsi"/>
        </w:rPr>
        <w:t>monitoring MDGs</w:t>
      </w:r>
      <w:r w:rsidR="005A1FD0" w:rsidRPr="006F34CC">
        <w:rPr>
          <w:rFonts w:asciiTheme="minorHAnsi" w:hAnsiTheme="minorHAnsi"/>
        </w:rPr>
        <w:t xml:space="preserve"> implementation</w:t>
      </w:r>
      <w:r w:rsidR="00540880" w:rsidRPr="006F34CC">
        <w:rPr>
          <w:rFonts w:asciiTheme="minorHAnsi" w:hAnsiTheme="minorHAnsi"/>
        </w:rPr>
        <w:t xml:space="preserve"> through various reports</w:t>
      </w:r>
      <w:r w:rsidR="001C5270" w:rsidRPr="006F34CC">
        <w:rPr>
          <w:rFonts w:asciiTheme="minorHAnsi" w:hAnsiTheme="minorHAnsi"/>
        </w:rPr>
        <w:t>, planning and monitoring tools promot</w:t>
      </w:r>
      <w:r w:rsidR="005A1FD0" w:rsidRPr="006F34CC">
        <w:rPr>
          <w:rFonts w:asciiTheme="minorHAnsi" w:hAnsiTheme="minorHAnsi"/>
        </w:rPr>
        <w:t>ing</w:t>
      </w:r>
      <w:r w:rsidR="00540880" w:rsidRPr="006F34CC">
        <w:rPr>
          <w:rFonts w:asciiTheme="minorHAnsi" w:hAnsiTheme="minorHAnsi"/>
        </w:rPr>
        <w:t xml:space="preserve"> a </w:t>
      </w:r>
      <w:r w:rsidR="001C5270" w:rsidRPr="006F34CC">
        <w:rPr>
          <w:rFonts w:asciiTheme="minorHAnsi" w:hAnsiTheme="minorHAnsi"/>
        </w:rPr>
        <w:t xml:space="preserve">participatory </w:t>
      </w:r>
      <w:r w:rsidR="00540880" w:rsidRPr="006F34CC">
        <w:rPr>
          <w:rFonts w:asciiTheme="minorHAnsi" w:hAnsiTheme="minorHAnsi"/>
        </w:rPr>
        <w:t>disseminat</w:t>
      </w:r>
      <w:r w:rsidR="001C5270" w:rsidRPr="006F34CC">
        <w:rPr>
          <w:rFonts w:asciiTheme="minorHAnsi" w:hAnsiTheme="minorHAnsi"/>
        </w:rPr>
        <w:t xml:space="preserve">ion. </w:t>
      </w:r>
      <w:r w:rsidR="00540880" w:rsidRPr="006F34CC">
        <w:rPr>
          <w:rFonts w:asciiTheme="minorHAnsi" w:hAnsiTheme="minorHAnsi"/>
        </w:rPr>
        <w:t xml:space="preserve"> </w:t>
      </w:r>
      <w:r w:rsidR="00A57002" w:rsidRPr="006F34CC">
        <w:rPr>
          <w:rFonts w:asciiTheme="minorHAnsi" w:hAnsiTheme="minorHAnsi"/>
        </w:rPr>
        <w:t>A national plan</w:t>
      </w:r>
      <w:r w:rsidR="00540880" w:rsidRPr="006F34CC">
        <w:rPr>
          <w:rFonts w:asciiTheme="minorHAnsi" w:hAnsiTheme="minorHAnsi"/>
        </w:rPr>
        <w:t xml:space="preserve"> or PRSP </w:t>
      </w:r>
      <w:r w:rsidR="005A1FD0" w:rsidRPr="006F34CC">
        <w:rPr>
          <w:rFonts w:asciiTheme="minorHAnsi" w:hAnsiTheme="minorHAnsi"/>
        </w:rPr>
        <w:t xml:space="preserve">have been </w:t>
      </w:r>
      <w:r w:rsidR="00540880" w:rsidRPr="006F34CC">
        <w:rPr>
          <w:rFonts w:asciiTheme="minorHAnsi" w:hAnsiTheme="minorHAnsi"/>
        </w:rPr>
        <w:t xml:space="preserve">aligned </w:t>
      </w:r>
      <w:r w:rsidR="005A1FD0" w:rsidRPr="006F34CC">
        <w:rPr>
          <w:rFonts w:asciiTheme="minorHAnsi" w:hAnsiTheme="minorHAnsi"/>
        </w:rPr>
        <w:t xml:space="preserve">with the </w:t>
      </w:r>
      <w:r w:rsidR="00540880" w:rsidRPr="006F34CC">
        <w:rPr>
          <w:rFonts w:asciiTheme="minorHAnsi" w:hAnsiTheme="minorHAnsi"/>
        </w:rPr>
        <w:t>MDGs/SDGs</w:t>
      </w:r>
      <w:r w:rsidR="00670E10" w:rsidRPr="006F34CC">
        <w:rPr>
          <w:rFonts w:asciiTheme="minorHAnsi" w:hAnsiTheme="minorHAnsi"/>
        </w:rPr>
        <w:t xml:space="preserve"> during the period under review</w:t>
      </w:r>
      <w:r w:rsidR="00540880" w:rsidRPr="006F34CC">
        <w:rPr>
          <w:rFonts w:asciiTheme="minorHAnsi" w:hAnsiTheme="minorHAnsi"/>
        </w:rPr>
        <w:t xml:space="preserve">. </w:t>
      </w:r>
    </w:p>
    <w:p w:rsidR="005A1FD0" w:rsidRPr="006F34CC" w:rsidRDefault="005A1FD0" w:rsidP="00540880">
      <w:pPr>
        <w:pStyle w:val="BodyText2"/>
        <w:jc w:val="both"/>
        <w:rPr>
          <w:rFonts w:asciiTheme="minorHAnsi" w:hAnsiTheme="minorHAnsi"/>
        </w:rPr>
      </w:pPr>
    </w:p>
    <w:p w:rsidR="00A57002" w:rsidRPr="006F34CC" w:rsidRDefault="005A1FD0" w:rsidP="00540880">
      <w:pPr>
        <w:pStyle w:val="BodyText2"/>
        <w:jc w:val="both"/>
        <w:rPr>
          <w:rFonts w:asciiTheme="minorHAnsi" w:hAnsiTheme="minorHAnsi"/>
        </w:rPr>
      </w:pPr>
      <w:r w:rsidRPr="006F34CC">
        <w:rPr>
          <w:rFonts w:asciiTheme="minorHAnsi" w:hAnsiTheme="minorHAnsi"/>
        </w:rPr>
        <w:t>With regard to</w:t>
      </w:r>
      <w:r w:rsidR="009B4B72" w:rsidRPr="006F34CC">
        <w:rPr>
          <w:rFonts w:asciiTheme="minorHAnsi" w:hAnsiTheme="minorHAnsi"/>
        </w:rPr>
        <w:t xml:space="preserve"> administrative</w:t>
      </w:r>
      <w:r w:rsidR="00540880" w:rsidRPr="006F34CC">
        <w:rPr>
          <w:rFonts w:asciiTheme="minorHAnsi" w:hAnsiTheme="minorHAnsi"/>
        </w:rPr>
        <w:t xml:space="preserve"> governance UNDP promoted </w:t>
      </w:r>
      <w:r w:rsidR="00A57002" w:rsidRPr="006F34CC">
        <w:rPr>
          <w:rFonts w:asciiTheme="minorHAnsi" w:hAnsiTheme="minorHAnsi"/>
        </w:rPr>
        <w:t xml:space="preserve">the </w:t>
      </w:r>
      <w:r w:rsidR="00540880" w:rsidRPr="006F34CC">
        <w:rPr>
          <w:rFonts w:asciiTheme="minorHAnsi" w:hAnsiTheme="minorHAnsi"/>
        </w:rPr>
        <w:t xml:space="preserve">rationalization of the Administration </w:t>
      </w:r>
      <w:r w:rsidR="00A57002" w:rsidRPr="006F34CC">
        <w:rPr>
          <w:rFonts w:asciiTheme="minorHAnsi" w:hAnsiTheme="minorHAnsi"/>
        </w:rPr>
        <w:t xml:space="preserve">and </w:t>
      </w:r>
      <w:r w:rsidR="00540880" w:rsidRPr="006F34CC">
        <w:rPr>
          <w:rFonts w:asciiTheme="minorHAnsi" w:hAnsiTheme="minorHAnsi"/>
        </w:rPr>
        <w:t xml:space="preserve">strengthened </w:t>
      </w:r>
      <w:r w:rsidR="00A57002" w:rsidRPr="006F34CC">
        <w:rPr>
          <w:rFonts w:asciiTheme="minorHAnsi" w:hAnsiTheme="minorHAnsi"/>
        </w:rPr>
        <w:t xml:space="preserve">it </w:t>
      </w:r>
      <w:r w:rsidR="00540880" w:rsidRPr="006F34CC">
        <w:rPr>
          <w:rFonts w:asciiTheme="minorHAnsi" w:hAnsiTheme="minorHAnsi"/>
        </w:rPr>
        <w:t xml:space="preserve">by setting up </w:t>
      </w:r>
      <w:r w:rsidR="00A57002" w:rsidRPr="006F34CC">
        <w:rPr>
          <w:rFonts w:asciiTheme="minorHAnsi" w:hAnsiTheme="minorHAnsi"/>
        </w:rPr>
        <w:t>couple</w:t>
      </w:r>
      <w:r w:rsidR="00540880" w:rsidRPr="006F34CC">
        <w:rPr>
          <w:rFonts w:asciiTheme="minorHAnsi" w:hAnsiTheme="minorHAnsi"/>
        </w:rPr>
        <w:t xml:space="preserve"> of tools, such as</w:t>
      </w:r>
      <w:proofErr w:type="gramStart"/>
      <w:r w:rsidR="00540880" w:rsidRPr="006F34CC">
        <w:rPr>
          <w:rFonts w:asciiTheme="minorHAnsi" w:hAnsiTheme="minorHAnsi"/>
        </w:rPr>
        <w:t>: .</w:t>
      </w:r>
      <w:proofErr w:type="gramEnd"/>
      <w:r w:rsidR="00540880" w:rsidRPr="006F34CC">
        <w:rPr>
          <w:rFonts w:asciiTheme="minorHAnsi" w:hAnsiTheme="minorHAnsi"/>
        </w:rPr>
        <w:t xml:space="preserve"> manual of procedures, nomenclature of the bodies of the public service or the user guide of the Ministry in char</w:t>
      </w:r>
      <w:r w:rsidR="005A2947" w:rsidRPr="006F34CC">
        <w:rPr>
          <w:rFonts w:asciiTheme="minorHAnsi" w:hAnsiTheme="minorHAnsi"/>
        </w:rPr>
        <w:t xml:space="preserve">ge of Labor and Public Service, </w:t>
      </w:r>
      <w:r w:rsidR="00540880" w:rsidRPr="006F34CC">
        <w:rPr>
          <w:rFonts w:asciiTheme="minorHAnsi" w:hAnsiTheme="minorHAnsi"/>
        </w:rPr>
        <w:t xml:space="preserve">promotion of e-Governance in the Administration </w:t>
      </w:r>
    </w:p>
    <w:p w:rsidR="00540880" w:rsidRPr="006F34CC" w:rsidRDefault="00540880" w:rsidP="00540880">
      <w:pPr>
        <w:pStyle w:val="BodyText2"/>
        <w:jc w:val="both"/>
        <w:rPr>
          <w:rFonts w:asciiTheme="minorHAnsi" w:hAnsiTheme="minorHAnsi"/>
        </w:rPr>
      </w:pPr>
      <w:r w:rsidRPr="006F34CC">
        <w:rPr>
          <w:rFonts w:asciiTheme="minorHAnsi" w:hAnsiTheme="minorHAnsi"/>
        </w:rPr>
        <w:t xml:space="preserve"> In the field of democracy</w:t>
      </w:r>
      <w:r w:rsidR="00A57002" w:rsidRPr="006F34CC">
        <w:rPr>
          <w:rFonts w:asciiTheme="minorHAnsi" w:hAnsiTheme="minorHAnsi"/>
        </w:rPr>
        <w:t xml:space="preserve"> governance</w:t>
      </w:r>
      <w:r w:rsidRPr="006F34CC">
        <w:rPr>
          <w:rFonts w:asciiTheme="minorHAnsi" w:hAnsiTheme="minorHAnsi"/>
        </w:rPr>
        <w:t xml:space="preserve">, in addition to the capacity building of the electoral </w:t>
      </w:r>
      <w:r w:rsidR="00670E10" w:rsidRPr="006F34CC">
        <w:rPr>
          <w:rFonts w:asciiTheme="minorHAnsi" w:hAnsiTheme="minorHAnsi"/>
        </w:rPr>
        <w:t>stakeholders</w:t>
      </w:r>
      <w:r w:rsidRPr="006F34CC">
        <w:rPr>
          <w:rFonts w:asciiTheme="minorHAnsi" w:hAnsiTheme="minorHAnsi"/>
        </w:rPr>
        <w:t xml:space="preserve">, UNDP has promoted the capacity building of </w:t>
      </w:r>
      <w:r w:rsidR="00670E10" w:rsidRPr="006F34CC">
        <w:rPr>
          <w:rFonts w:asciiTheme="minorHAnsi" w:hAnsiTheme="minorHAnsi"/>
        </w:rPr>
        <w:t>the parliamentarians</w:t>
      </w:r>
      <w:r w:rsidR="00CE1850" w:rsidRPr="006F34CC">
        <w:rPr>
          <w:rFonts w:asciiTheme="minorHAnsi" w:hAnsiTheme="minorHAnsi"/>
        </w:rPr>
        <w:t>,</w:t>
      </w:r>
      <w:r w:rsidRPr="006F34CC">
        <w:rPr>
          <w:rFonts w:asciiTheme="minorHAnsi" w:hAnsiTheme="minorHAnsi"/>
        </w:rPr>
        <w:t xml:space="preserve"> the Strategic Plan of the National Assembly has </w:t>
      </w:r>
      <w:r w:rsidR="00A57002" w:rsidRPr="006F34CC">
        <w:rPr>
          <w:rFonts w:asciiTheme="minorHAnsi" w:hAnsiTheme="minorHAnsi"/>
        </w:rPr>
        <w:t xml:space="preserve">also </w:t>
      </w:r>
      <w:r w:rsidRPr="006F34CC">
        <w:rPr>
          <w:rFonts w:asciiTheme="minorHAnsi" w:hAnsiTheme="minorHAnsi"/>
        </w:rPr>
        <w:t xml:space="preserve">been set up. </w:t>
      </w:r>
      <w:r w:rsidR="00CE1850" w:rsidRPr="006F34CC">
        <w:rPr>
          <w:rFonts w:asciiTheme="minorHAnsi" w:hAnsiTheme="minorHAnsi"/>
        </w:rPr>
        <w:t xml:space="preserve"> UNDP </w:t>
      </w:r>
      <w:r w:rsidR="00A57002" w:rsidRPr="006F34CC">
        <w:rPr>
          <w:rFonts w:asciiTheme="minorHAnsi" w:hAnsiTheme="minorHAnsi"/>
        </w:rPr>
        <w:t xml:space="preserve">supported </w:t>
      </w:r>
      <w:r w:rsidR="00CE1850" w:rsidRPr="006F34CC">
        <w:rPr>
          <w:rFonts w:asciiTheme="minorHAnsi" w:hAnsiTheme="minorHAnsi"/>
        </w:rPr>
        <w:t xml:space="preserve">consolidation </w:t>
      </w:r>
      <w:r w:rsidRPr="006F34CC">
        <w:rPr>
          <w:rFonts w:asciiTheme="minorHAnsi" w:hAnsiTheme="minorHAnsi"/>
        </w:rPr>
        <w:t xml:space="preserve">of peace through the establishment of 77 Communal Peace Committees (PACs), and the elaboration of the National Dialogue Charter. </w:t>
      </w:r>
    </w:p>
    <w:p w:rsidR="00540880" w:rsidRPr="006F34CC" w:rsidRDefault="00540880" w:rsidP="00540880">
      <w:pPr>
        <w:pStyle w:val="BodyText2"/>
        <w:jc w:val="both"/>
        <w:rPr>
          <w:rFonts w:asciiTheme="minorHAnsi" w:hAnsiTheme="minorHAnsi"/>
        </w:rPr>
      </w:pPr>
    </w:p>
    <w:p w:rsidR="00540880" w:rsidRPr="006F34CC" w:rsidRDefault="00540880" w:rsidP="00540880">
      <w:pPr>
        <w:pStyle w:val="BodyText2"/>
        <w:jc w:val="both"/>
        <w:rPr>
          <w:rFonts w:asciiTheme="minorHAnsi" w:hAnsiTheme="minorHAnsi"/>
        </w:rPr>
      </w:pPr>
      <w:r w:rsidRPr="006F34CC">
        <w:rPr>
          <w:rFonts w:asciiTheme="minorHAnsi" w:hAnsiTheme="minorHAnsi"/>
        </w:rPr>
        <w:t>In the fight against poverty</w:t>
      </w:r>
      <w:r w:rsidR="00CE1850" w:rsidRPr="006F34CC">
        <w:rPr>
          <w:rFonts w:asciiTheme="minorHAnsi" w:hAnsiTheme="minorHAnsi"/>
        </w:rPr>
        <w:t xml:space="preserve"> and</w:t>
      </w:r>
      <w:r w:rsidR="00A57002" w:rsidRPr="006F34CC">
        <w:rPr>
          <w:rFonts w:asciiTheme="minorHAnsi" w:hAnsiTheme="minorHAnsi"/>
        </w:rPr>
        <w:t xml:space="preserve"> living conditions</w:t>
      </w:r>
      <w:r w:rsidR="00CE1850" w:rsidRPr="006F34CC">
        <w:rPr>
          <w:rFonts w:asciiTheme="minorHAnsi" w:hAnsiTheme="minorHAnsi"/>
        </w:rPr>
        <w:t xml:space="preserve"> improvement</w:t>
      </w:r>
      <w:r w:rsidRPr="006F34CC">
        <w:rPr>
          <w:rFonts w:asciiTheme="minorHAnsi" w:hAnsiTheme="minorHAnsi"/>
        </w:rPr>
        <w:t>, employment promotion</w:t>
      </w:r>
      <w:r w:rsidR="00A57002" w:rsidRPr="006F34CC">
        <w:rPr>
          <w:rFonts w:asciiTheme="minorHAnsi" w:hAnsiTheme="minorHAnsi"/>
        </w:rPr>
        <w:t>,</w:t>
      </w:r>
      <w:r w:rsidRPr="006F34CC">
        <w:rPr>
          <w:rFonts w:asciiTheme="minorHAnsi" w:hAnsiTheme="minorHAnsi"/>
        </w:rPr>
        <w:t xml:space="preserve"> entrepreneurship and sustainable development, UNDP supported the Government to set up </w:t>
      </w:r>
      <w:r w:rsidR="00CE1850" w:rsidRPr="006F34CC">
        <w:rPr>
          <w:rFonts w:asciiTheme="minorHAnsi" w:hAnsiTheme="minorHAnsi"/>
        </w:rPr>
        <w:t xml:space="preserve">business promotion center, and “pole of local socio-economic development” through </w:t>
      </w:r>
      <w:r w:rsidR="009B4B72" w:rsidRPr="006F34CC">
        <w:rPr>
          <w:rFonts w:asciiTheme="minorHAnsi" w:hAnsiTheme="minorHAnsi"/>
        </w:rPr>
        <w:t>Millennium</w:t>
      </w:r>
      <w:r w:rsidR="00CE1850" w:rsidRPr="006F34CC">
        <w:rPr>
          <w:rFonts w:asciiTheme="minorHAnsi" w:hAnsiTheme="minorHAnsi"/>
        </w:rPr>
        <w:t xml:space="preserve"> Villages</w:t>
      </w:r>
      <w:r w:rsidRPr="006F34CC">
        <w:rPr>
          <w:rFonts w:asciiTheme="minorHAnsi" w:hAnsiTheme="minorHAnsi"/>
        </w:rPr>
        <w:t>.</w:t>
      </w:r>
    </w:p>
    <w:p w:rsidR="00540880" w:rsidRPr="006F34CC" w:rsidRDefault="00540880" w:rsidP="00540880">
      <w:pPr>
        <w:pStyle w:val="BodyText2"/>
        <w:jc w:val="both"/>
        <w:rPr>
          <w:rFonts w:asciiTheme="minorHAnsi" w:hAnsiTheme="minorHAnsi"/>
        </w:rPr>
      </w:pPr>
    </w:p>
    <w:p w:rsidR="0037523B" w:rsidRPr="006F34CC" w:rsidRDefault="00540880" w:rsidP="00540880">
      <w:pPr>
        <w:pStyle w:val="BodyText2"/>
        <w:jc w:val="both"/>
        <w:rPr>
          <w:rFonts w:asciiTheme="minorHAnsi" w:hAnsiTheme="minorHAnsi"/>
        </w:rPr>
        <w:sectPr w:rsidR="0037523B" w:rsidRPr="006F34CC">
          <w:footerReference w:type="default" r:id="rId13"/>
          <w:endnotePr>
            <w:numFmt w:val="decimal"/>
          </w:endnotePr>
          <w:pgSz w:w="11907" w:h="16840" w:code="9"/>
          <w:pgMar w:top="1440" w:right="1440" w:bottom="1440" w:left="1440" w:header="720" w:footer="720" w:gutter="0"/>
          <w:cols w:space="720"/>
        </w:sectPr>
      </w:pPr>
      <w:r w:rsidRPr="006F34CC">
        <w:rPr>
          <w:rFonts w:asciiTheme="minorHAnsi" w:hAnsiTheme="minorHAnsi"/>
        </w:rPr>
        <w:t xml:space="preserve">Finally, there are important contributions in the field of environmental promotion and climate change adaptation strategies, </w:t>
      </w:r>
      <w:r w:rsidR="00A57002" w:rsidRPr="006F34CC">
        <w:rPr>
          <w:rFonts w:asciiTheme="minorHAnsi" w:hAnsiTheme="minorHAnsi"/>
        </w:rPr>
        <w:t>particularly in the following</w:t>
      </w:r>
      <w:r w:rsidRPr="006F34CC">
        <w:rPr>
          <w:rFonts w:asciiTheme="minorHAnsi" w:hAnsiTheme="minorHAnsi"/>
        </w:rPr>
        <w:t>: (1) strengthening environmental institutions</w:t>
      </w:r>
      <w:r w:rsidR="00670E10" w:rsidRPr="006F34CC">
        <w:rPr>
          <w:rFonts w:asciiTheme="minorHAnsi" w:hAnsiTheme="minorHAnsi"/>
        </w:rPr>
        <w:t xml:space="preserve"> and </w:t>
      </w:r>
      <w:r w:rsidR="00670E10" w:rsidRPr="006F34CC">
        <w:rPr>
          <w:rStyle w:val="shorttext"/>
          <w:lang w:val="en"/>
        </w:rPr>
        <w:t>improvement of environmental governance</w:t>
      </w:r>
      <w:r w:rsidRPr="006F34CC">
        <w:rPr>
          <w:rFonts w:asciiTheme="minorHAnsi" w:hAnsiTheme="minorHAnsi"/>
        </w:rPr>
        <w:t xml:space="preserve">, (2) mobilization of resources for </w:t>
      </w:r>
      <w:r w:rsidR="00966C72" w:rsidRPr="006F34CC">
        <w:rPr>
          <w:rFonts w:asciiTheme="minorHAnsi" w:hAnsiTheme="minorHAnsi"/>
        </w:rPr>
        <w:t>the implementation</w:t>
      </w:r>
      <w:r w:rsidRPr="006F34CC">
        <w:rPr>
          <w:rFonts w:asciiTheme="minorHAnsi" w:hAnsiTheme="minorHAnsi"/>
        </w:rPr>
        <w:t xml:space="preserve"> and support </w:t>
      </w:r>
      <w:r w:rsidR="00A57002" w:rsidRPr="006F34CC">
        <w:rPr>
          <w:rFonts w:asciiTheme="minorHAnsi" w:hAnsiTheme="minorHAnsi"/>
        </w:rPr>
        <w:t xml:space="preserve">to </w:t>
      </w:r>
      <w:r w:rsidRPr="006F34CC">
        <w:rPr>
          <w:rFonts w:asciiTheme="minorHAnsi" w:hAnsiTheme="minorHAnsi"/>
        </w:rPr>
        <w:t xml:space="preserve">climate change adaptation programs. </w:t>
      </w:r>
      <w:r w:rsidR="00966C72" w:rsidRPr="006F34CC">
        <w:rPr>
          <w:rFonts w:asciiTheme="minorHAnsi" w:hAnsiTheme="minorHAnsi"/>
        </w:rPr>
        <w:t>T</w:t>
      </w:r>
      <w:r w:rsidRPr="006F34CC">
        <w:rPr>
          <w:rFonts w:asciiTheme="minorHAnsi" w:hAnsiTheme="minorHAnsi"/>
        </w:rPr>
        <w:t xml:space="preserve">he CO </w:t>
      </w:r>
      <w:r w:rsidR="00A57002" w:rsidRPr="006F34CC">
        <w:rPr>
          <w:rFonts w:asciiTheme="minorHAnsi" w:hAnsiTheme="minorHAnsi"/>
        </w:rPr>
        <w:t xml:space="preserve">also </w:t>
      </w:r>
      <w:r w:rsidRPr="006F34CC">
        <w:rPr>
          <w:rFonts w:asciiTheme="minorHAnsi" w:hAnsiTheme="minorHAnsi"/>
        </w:rPr>
        <w:t>supported the Ministry of Environment to complete the formulation of the INDC</w:t>
      </w:r>
      <w:r w:rsidR="00966C72" w:rsidRPr="006F34CC">
        <w:rPr>
          <w:rFonts w:asciiTheme="minorHAnsi" w:hAnsiTheme="minorHAnsi"/>
        </w:rPr>
        <w:t>, led high level and successful advocacy to sign and promulgate the Paris Agreement</w:t>
      </w:r>
      <w:r w:rsidR="00CE1850" w:rsidRPr="006F34CC">
        <w:rPr>
          <w:rFonts w:asciiTheme="minorHAnsi" w:hAnsiTheme="minorHAnsi"/>
        </w:rPr>
        <w:t>.</w:t>
      </w:r>
      <w:r w:rsidRPr="006F34CC">
        <w:rPr>
          <w:rFonts w:asciiTheme="minorHAnsi" w:hAnsiTheme="minorHAnsi"/>
        </w:rPr>
        <w:t xml:space="preserve"> </w:t>
      </w:r>
      <w:r w:rsidR="00CE1850" w:rsidRPr="006F34CC">
        <w:rPr>
          <w:rFonts w:asciiTheme="minorHAnsi" w:hAnsiTheme="minorHAnsi"/>
        </w:rPr>
        <w:t>M</w:t>
      </w:r>
      <w:r w:rsidRPr="006F34CC">
        <w:rPr>
          <w:rFonts w:asciiTheme="minorHAnsi" w:hAnsiTheme="minorHAnsi"/>
        </w:rPr>
        <w:t xml:space="preserve">ore than 84% of municipalities have been strengthened in terms of natural resource management or early warning </w:t>
      </w:r>
      <w:r w:rsidR="00A57002" w:rsidRPr="006F34CC">
        <w:rPr>
          <w:rFonts w:asciiTheme="minorHAnsi" w:hAnsiTheme="minorHAnsi"/>
        </w:rPr>
        <w:t xml:space="preserve">mechanisms </w:t>
      </w:r>
      <w:r w:rsidRPr="006F34CC">
        <w:rPr>
          <w:rFonts w:asciiTheme="minorHAnsi" w:hAnsiTheme="minorHAnsi"/>
        </w:rPr>
        <w:t xml:space="preserve">and 65% </w:t>
      </w:r>
      <w:r w:rsidR="00A57002" w:rsidRPr="006F34CC">
        <w:rPr>
          <w:rFonts w:asciiTheme="minorHAnsi" w:hAnsiTheme="minorHAnsi"/>
        </w:rPr>
        <w:t xml:space="preserve">of them </w:t>
      </w:r>
      <w:r w:rsidRPr="006F34CC">
        <w:rPr>
          <w:rFonts w:asciiTheme="minorHAnsi" w:hAnsiTheme="minorHAnsi"/>
        </w:rPr>
        <w:t xml:space="preserve">have </w:t>
      </w:r>
      <w:proofErr w:type="spellStart"/>
      <w:r w:rsidRPr="006F34CC">
        <w:rPr>
          <w:rFonts w:asciiTheme="minorHAnsi" w:hAnsiTheme="minorHAnsi"/>
        </w:rPr>
        <w:t>agro</w:t>
      </w:r>
      <w:proofErr w:type="spellEnd"/>
      <w:r w:rsidRPr="006F34CC">
        <w:rPr>
          <w:rFonts w:asciiTheme="minorHAnsi" w:hAnsiTheme="minorHAnsi"/>
        </w:rPr>
        <w:t>-climatic and hydr</w:t>
      </w:r>
      <w:r w:rsidR="00CE1850" w:rsidRPr="006F34CC">
        <w:rPr>
          <w:rFonts w:asciiTheme="minorHAnsi" w:hAnsiTheme="minorHAnsi"/>
        </w:rPr>
        <w:t>ological measurement equipment and thousands</w:t>
      </w:r>
      <w:r w:rsidRPr="006F34CC">
        <w:rPr>
          <w:rFonts w:asciiTheme="minorHAnsi" w:hAnsiTheme="minorHAnsi"/>
        </w:rPr>
        <w:t xml:space="preserve"> of rural people (farmers, pastoralists, fishermen) trained in the use of technical itineraries </w:t>
      </w:r>
      <w:r w:rsidR="00670E10" w:rsidRPr="006F34CC">
        <w:rPr>
          <w:rFonts w:asciiTheme="minorHAnsi" w:hAnsiTheme="minorHAnsi"/>
        </w:rPr>
        <w:t xml:space="preserve">to adapt </w:t>
      </w:r>
      <w:r w:rsidRPr="006F34CC">
        <w:rPr>
          <w:rFonts w:asciiTheme="minorHAnsi" w:hAnsiTheme="minorHAnsi"/>
        </w:rPr>
        <w:t xml:space="preserve">to climate </w:t>
      </w:r>
      <w:r w:rsidR="00A57002" w:rsidRPr="006F34CC">
        <w:rPr>
          <w:rFonts w:asciiTheme="minorHAnsi" w:hAnsiTheme="minorHAnsi"/>
        </w:rPr>
        <w:t>change and</w:t>
      </w:r>
      <w:r w:rsidRPr="006F34CC">
        <w:rPr>
          <w:rFonts w:asciiTheme="minorHAnsi" w:hAnsiTheme="minorHAnsi"/>
        </w:rPr>
        <w:t xml:space="preserve"> their </w:t>
      </w:r>
      <w:r w:rsidR="00CE1850" w:rsidRPr="006F34CC">
        <w:rPr>
          <w:rFonts w:asciiTheme="minorHAnsi" w:hAnsiTheme="minorHAnsi"/>
        </w:rPr>
        <w:t>revenues</w:t>
      </w:r>
      <w:r w:rsidRPr="006F34CC">
        <w:rPr>
          <w:rFonts w:asciiTheme="minorHAnsi" w:hAnsiTheme="minorHAnsi"/>
        </w:rPr>
        <w:t xml:space="preserve"> increased</w:t>
      </w:r>
      <w:r w:rsidR="00DB31C8" w:rsidRPr="006F34CC">
        <w:rPr>
          <w:rFonts w:asciiTheme="minorHAnsi" w:hAnsiTheme="minorHAnsi"/>
        </w:rPr>
        <w:t>.</w:t>
      </w:r>
    </w:p>
    <w:p w:rsidR="00975566" w:rsidRPr="00517955" w:rsidRDefault="006900FE" w:rsidP="008440D9">
      <w:pPr>
        <w:pStyle w:val="Heading3"/>
        <w:jc w:val="left"/>
        <w:rPr>
          <w:rFonts w:asciiTheme="minorHAnsi" w:hAnsiTheme="minorHAnsi"/>
          <w:b/>
        </w:rPr>
      </w:pPr>
      <w:r>
        <w:rPr>
          <w:rFonts w:asciiTheme="minorHAnsi" w:hAnsiTheme="minorHAnsi"/>
          <w:b/>
        </w:rPr>
        <w:lastRenderedPageBreak/>
        <w:t>II</w:t>
      </w:r>
      <w:r w:rsidR="0081403B" w:rsidRPr="00517955">
        <w:rPr>
          <w:rFonts w:asciiTheme="minorHAnsi" w:hAnsiTheme="minorHAnsi"/>
          <w:b/>
        </w:rPr>
        <w:t xml:space="preserve">: </w:t>
      </w:r>
      <w:r w:rsidR="000C09B4" w:rsidRPr="00517955">
        <w:rPr>
          <w:rFonts w:asciiTheme="minorHAnsi" w:hAnsiTheme="minorHAnsi"/>
          <w:b/>
        </w:rPr>
        <w:t xml:space="preserve">Country </w:t>
      </w:r>
      <w:proofErr w:type="spellStart"/>
      <w:r w:rsidR="000C09B4" w:rsidRPr="00517955">
        <w:rPr>
          <w:rFonts w:asciiTheme="minorHAnsi" w:hAnsiTheme="minorHAnsi"/>
          <w:b/>
        </w:rPr>
        <w:t>Programme</w:t>
      </w:r>
      <w:proofErr w:type="spellEnd"/>
      <w:r w:rsidR="000C09B4" w:rsidRPr="00517955">
        <w:rPr>
          <w:rFonts w:asciiTheme="minorHAnsi" w:hAnsiTheme="minorHAnsi"/>
          <w:b/>
        </w:rPr>
        <w:t xml:space="preserve"> Performance </w:t>
      </w:r>
      <w:r w:rsidR="00975566" w:rsidRPr="00517955">
        <w:rPr>
          <w:rFonts w:asciiTheme="minorHAnsi" w:hAnsiTheme="minorHAnsi"/>
          <w:b/>
        </w:rPr>
        <w:t>Summary</w:t>
      </w:r>
    </w:p>
    <w:p w:rsidR="00DC7354" w:rsidRDefault="00DC7354" w:rsidP="00975566">
      <w:pPr>
        <w:pStyle w:val="BodyText2"/>
        <w:jc w:val="center"/>
        <w:rPr>
          <w:rFonts w:ascii="Times New Roman" w:hAnsi="Times New Roman"/>
          <w:b/>
          <w:sz w:val="24"/>
        </w:rPr>
      </w:pPr>
    </w:p>
    <w:tbl>
      <w:tblPr>
        <w:tblW w:w="140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0"/>
        <w:gridCol w:w="90"/>
        <w:gridCol w:w="1440"/>
        <w:gridCol w:w="3184"/>
        <w:gridCol w:w="6266"/>
      </w:tblGrid>
      <w:tr w:rsidR="00CB647D" w:rsidRPr="00DC7354" w:rsidTr="004C4CF9">
        <w:tc>
          <w:tcPr>
            <w:tcW w:w="3150" w:type="dxa"/>
            <w:gridSpan w:val="2"/>
            <w:tcBorders>
              <w:right w:val="nil"/>
            </w:tcBorders>
            <w:shd w:val="clear" w:color="auto" w:fill="FFC000"/>
          </w:tcPr>
          <w:p w:rsidR="00CB647D" w:rsidRPr="00A85E34" w:rsidRDefault="00CB647D">
            <w:pPr>
              <w:pStyle w:val="BodyText2"/>
              <w:rPr>
                <w:rFonts w:asciiTheme="minorHAnsi" w:hAnsiTheme="minorHAnsi"/>
                <w:b/>
                <w:sz w:val="24"/>
              </w:rPr>
            </w:pPr>
            <w:r w:rsidRPr="00A85E34">
              <w:rPr>
                <w:rFonts w:asciiTheme="minorHAnsi" w:hAnsiTheme="minorHAnsi"/>
                <w:b/>
              </w:rPr>
              <w:t>Country information</w:t>
            </w:r>
          </w:p>
        </w:tc>
        <w:tc>
          <w:tcPr>
            <w:tcW w:w="10890" w:type="dxa"/>
            <w:gridSpan w:val="3"/>
            <w:tcBorders>
              <w:left w:val="nil"/>
            </w:tcBorders>
            <w:shd w:val="clear" w:color="auto" w:fill="FFC000"/>
          </w:tcPr>
          <w:p w:rsidR="00CB647D" w:rsidRPr="00A85E34" w:rsidRDefault="00CB647D">
            <w:pPr>
              <w:pStyle w:val="BodyText2"/>
              <w:rPr>
                <w:rFonts w:asciiTheme="minorHAnsi" w:hAnsiTheme="minorHAnsi"/>
                <w:b/>
                <w:sz w:val="24"/>
              </w:rPr>
            </w:pPr>
          </w:p>
        </w:tc>
      </w:tr>
      <w:tr w:rsidR="009B76A1" w:rsidRPr="00DC7354" w:rsidTr="004C4CF9">
        <w:tc>
          <w:tcPr>
            <w:tcW w:w="14040" w:type="dxa"/>
            <w:gridSpan w:val="5"/>
          </w:tcPr>
          <w:p w:rsidR="009B76A1" w:rsidRPr="00DC7354" w:rsidRDefault="009B76A1">
            <w:pPr>
              <w:pStyle w:val="BodyText2"/>
              <w:rPr>
                <w:rFonts w:asciiTheme="minorHAnsi" w:hAnsiTheme="minorHAnsi"/>
                <w:b/>
                <w:sz w:val="24"/>
              </w:rPr>
            </w:pPr>
            <w:r w:rsidRPr="00230A0E">
              <w:rPr>
                <w:rFonts w:asciiTheme="minorHAnsi" w:hAnsiTheme="minorHAnsi"/>
                <w:b/>
              </w:rPr>
              <w:t>Country name:</w:t>
            </w:r>
            <w:r w:rsidR="00F476FE">
              <w:rPr>
                <w:rFonts w:asciiTheme="minorHAnsi" w:hAnsiTheme="minorHAnsi"/>
                <w:b/>
              </w:rPr>
              <w:t xml:space="preserve"> </w:t>
            </w:r>
            <w:r w:rsidR="00107207">
              <w:rPr>
                <w:rFonts w:asciiTheme="minorHAnsi" w:hAnsiTheme="minorHAnsi"/>
                <w:b/>
              </w:rPr>
              <w:t>Benin</w:t>
            </w:r>
          </w:p>
        </w:tc>
      </w:tr>
      <w:tr w:rsidR="009B76A1" w:rsidRPr="00843006" w:rsidTr="004C4CF9">
        <w:tc>
          <w:tcPr>
            <w:tcW w:w="14040" w:type="dxa"/>
            <w:gridSpan w:val="5"/>
          </w:tcPr>
          <w:p w:rsidR="009B76A1" w:rsidRPr="00843006" w:rsidRDefault="009B76A1">
            <w:pPr>
              <w:pStyle w:val="BodyText2"/>
              <w:rPr>
                <w:rFonts w:asciiTheme="minorHAnsi" w:hAnsiTheme="minorHAnsi"/>
                <w:b/>
              </w:rPr>
            </w:pPr>
            <w:r w:rsidRPr="00843006">
              <w:rPr>
                <w:rFonts w:asciiTheme="minorHAnsi" w:hAnsiTheme="minorHAnsi"/>
                <w:b/>
              </w:rPr>
              <w:t xml:space="preserve">Current country </w:t>
            </w:r>
            <w:proofErr w:type="spellStart"/>
            <w:r w:rsidRPr="00843006">
              <w:rPr>
                <w:rFonts w:asciiTheme="minorHAnsi" w:hAnsiTheme="minorHAnsi"/>
                <w:b/>
              </w:rPr>
              <w:t>program</w:t>
            </w:r>
            <w:r>
              <w:rPr>
                <w:rFonts w:asciiTheme="minorHAnsi" w:hAnsiTheme="minorHAnsi"/>
                <w:b/>
              </w:rPr>
              <w:t>me</w:t>
            </w:r>
            <w:proofErr w:type="spellEnd"/>
            <w:r w:rsidRPr="00843006">
              <w:rPr>
                <w:rFonts w:asciiTheme="minorHAnsi" w:hAnsiTheme="minorHAnsi"/>
                <w:b/>
              </w:rPr>
              <w:t xml:space="preserve"> period:</w:t>
            </w:r>
            <w:r w:rsidR="00F476FE">
              <w:rPr>
                <w:rFonts w:asciiTheme="minorHAnsi" w:hAnsiTheme="minorHAnsi"/>
                <w:b/>
              </w:rPr>
              <w:t xml:space="preserve"> 2014 - 201</w:t>
            </w:r>
            <w:r w:rsidR="00107207">
              <w:rPr>
                <w:rFonts w:asciiTheme="minorHAnsi" w:hAnsiTheme="minorHAnsi"/>
                <w:b/>
              </w:rPr>
              <w:t>8</w:t>
            </w:r>
          </w:p>
        </w:tc>
      </w:tr>
      <w:tr w:rsidR="003B037A" w:rsidRPr="00DC7354" w:rsidTr="00F93487">
        <w:tc>
          <w:tcPr>
            <w:tcW w:w="3150" w:type="dxa"/>
            <w:gridSpan w:val="2"/>
          </w:tcPr>
          <w:p w:rsidR="003B037A" w:rsidRPr="00DC7354" w:rsidRDefault="003B037A">
            <w:pPr>
              <w:pStyle w:val="BodyText2"/>
              <w:rPr>
                <w:rFonts w:asciiTheme="minorHAnsi" w:hAnsiTheme="minorHAnsi"/>
                <w:b/>
                <w:sz w:val="24"/>
              </w:rPr>
            </w:pPr>
            <w:r w:rsidRPr="00DC7354">
              <w:rPr>
                <w:rFonts w:asciiTheme="minorHAnsi" w:hAnsiTheme="minorHAnsi"/>
                <w:b/>
                <w:sz w:val="24"/>
              </w:rPr>
              <w:t>Outcome</w:t>
            </w:r>
            <w:r w:rsidR="00700521">
              <w:rPr>
                <w:rFonts w:asciiTheme="minorHAnsi" w:hAnsiTheme="minorHAnsi"/>
                <w:b/>
                <w:sz w:val="24"/>
              </w:rPr>
              <w:t>s</w:t>
            </w:r>
          </w:p>
        </w:tc>
        <w:tc>
          <w:tcPr>
            <w:tcW w:w="1440" w:type="dxa"/>
            <w:shd w:val="clear" w:color="auto" w:fill="auto"/>
          </w:tcPr>
          <w:p w:rsidR="003B037A" w:rsidRPr="005F6261" w:rsidRDefault="003B037A">
            <w:pPr>
              <w:pStyle w:val="BodyText2"/>
              <w:rPr>
                <w:rFonts w:asciiTheme="minorHAnsi" w:hAnsiTheme="minorHAnsi"/>
                <w:b/>
                <w:sz w:val="22"/>
              </w:rPr>
            </w:pPr>
            <w:r w:rsidRPr="005F6261">
              <w:rPr>
                <w:rFonts w:asciiTheme="minorHAnsi" w:hAnsiTheme="minorHAnsi"/>
                <w:b/>
                <w:sz w:val="22"/>
              </w:rPr>
              <w:t>Total Expenditure</w:t>
            </w:r>
          </w:p>
        </w:tc>
        <w:tc>
          <w:tcPr>
            <w:tcW w:w="3184" w:type="dxa"/>
            <w:tcBorders>
              <w:left w:val="single" w:sz="4" w:space="0" w:color="auto"/>
            </w:tcBorders>
          </w:tcPr>
          <w:p w:rsidR="003B037A" w:rsidRPr="005F6261" w:rsidRDefault="003B037A">
            <w:pPr>
              <w:pStyle w:val="BodyText2"/>
              <w:rPr>
                <w:rFonts w:asciiTheme="minorHAnsi" w:hAnsiTheme="minorHAnsi"/>
                <w:b/>
                <w:sz w:val="22"/>
              </w:rPr>
            </w:pPr>
            <w:r w:rsidRPr="005F6261">
              <w:rPr>
                <w:rFonts w:asciiTheme="minorHAnsi" w:hAnsiTheme="minorHAnsi"/>
                <w:b/>
                <w:sz w:val="22"/>
              </w:rPr>
              <w:t>Key Indicators of outcome (1-4 per outcome)</w:t>
            </w:r>
          </w:p>
        </w:tc>
        <w:tc>
          <w:tcPr>
            <w:tcW w:w="6266" w:type="dxa"/>
          </w:tcPr>
          <w:p w:rsidR="003B037A" w:rsidRPr="005F6261" w:rsidRDefault="003B037A">
            <w:pPr>
              <w:pStyle w:val="BodyText2"/>
              <w:rPr>
                <w:rFonts w:asciiTheme="minorHAnsi" w:hAnsiTheme="minorHAnsi"/>
                <w:b/>
                <w:sz w:val="22"/>
              </w:rPr>
            </w:pPr>
            <w:r w:rsidRPr="005F6261">
              <w:rPr>
                <w:rFonts w:asciiTheme="minorHAnsi" w:hAnsiTheme="minorHAnsi"/>
                <w:b/>
                <w:sz w:val="22"/>
              </w:rPr>
              <w:t>Progress made against key indicators</w:t>
            </w:r>
          </w:p>
        </w:tc>
      </w:tr>
      <w:tr w:rsidR="000823AC" w:rsidRPr="00614AE2" w:rsidTr="00F93487">
        <w:tc>
          <w:tcPr>
            <w:tcW w:w="3150" w:type="dxa"/>
            <w:gridSpan w:val="2"/>
            <w:tcBorders>
              <w:bottom w:val="single" w:sz="4" w:space="0" w:color="auto"/>
            </w:tcBorders>
            <w:shd w:val="clear" w:color="auto" w:fill="95B3D7" w:themeFill="accent1" w:themeFillTint="99"/>
          </w:tcPr>
          <w:p w:rsidR="006545EE" w:rsidRPr="006545EE" w:rsidRDefault="006545EE" w:rsidP="006545EE">
            <w:pPr>
              <w:pStyle w:val="BodyText2"/>
              <w:rPr>
                <w:rFonts w:asciiTheme="minorHAnsi" w:hAnsiTheme="minorHAnsi"/>
                <w:b/>
              </w:rPr>
            </w:pPr>
          </w:p>
          <w:p w:rsidR="006545EE" w:rsidRDefault="006545EE" w:rsidP="006545EE">
            <w:pPr>
              <w:pStyle w:val="BodyText2"/>
              <w:rPr>
                <w:rFonts w:asciiTheme="minorHAnsi" w:hAnsiTheme="minorHAnsi"/>
                <w:b/>
              </w:rPr>
            </w:pPr>
            <w:r>
              <w:rPr>
                <w:rFonts w:asciiTheme="minorHAnsi" w:hAnsiTheme="minorHAnsi"/>
                <w:b/>
              </w:rPr>
              <w:t xml:space="preserve">Component 1: Support to </w:t>
            </w:r>
          </w:p>
          <w:p w:rsidR="003B037A" w:rsidRDefault="006545EE" w:rsidP="006545EE">
            <w:pPr>
              <w:pStyle w:val="BodyText2"/>
              <w:rPr>
                <w:rFonts w:asciiTheme="minorHAnsi" w:hAnsiTheme="minorHAnsi"/>
                <w:i/>
              </w:rPr>
            </w:pPr>
            <w:r w:rsidRPr="006545EE">
              <w:rPr>
                <w:rFonts w:asciiTheme="minorHAnsi" w:hAnsiTheme="minorHAnsi"/>
                <w:b/>
              </w:rPr>
              <w:t>Inclusive growth, employment, food security and social protection</w:t>
            </w:r>
            <w:r w:rsidR="00BD2655" w:rsidRPr="00BD2655">
              <w:rPr>
                <w:rFonts w:asciiTheme="minorHAnsi" w:hAnsiTheme="minorHAnsi"/>
                <w:b/>
              </w:rPr>
              <w:t xml:space="preserve">: </w:t>
            </w:r>
            <w:r w:rsidRPr="006545EE">
              <w:rPr>
                <w:rFonts w:asciiTheme="minorHAnsi" w:hAnsiTheme="minorHAnsi"/>
                <w:i/>
              </w:rPr>
              <w:t>By 2018, rural and peri-urban populations, especially young people and women in intervention communes, increase their income and improve their food security</w:t>
            </w:r>
            <w:r w:rsidR="00BD2655" w:rsidRPr="00BD2655">
              <w:rPr>
                <w:rFonts w:asciiTheme="minorHAnsi" w:hAnsiTheme="minorHAnsi"/>
                <w:i/>
              </w:rPr>
              <w:t>.</w:t>
            </w:r>
          </w:p>
          <w:p w:rsidR="00500186" w:rsidRDefault="00500186" w:rsidP="00BD2655">
            <w:pPr>
              <w:pStyle w:val="BodyText2"/>
              <w:rPr>
                <w:rFonts w:asciiTheme="minorHAnsi" w:hAnsiTheme="minorHAnsi"/>
                <w:i/>
              </w:rPr>
            </w:pPr>
          </w:p>
          <w:p w:rsidR="00500186" w:rsidRPr="0037609E" w:rsidRDefault="00500186" w:rsidP="00500186">
            <w:pPr>
              <w:widowControl/>
              <w:rPr>
                <w:rFonts w:ascii="Arial" w:hAnsi="Arial" w:cs="Arial"/>
                <w:b/>
                <w:bCs/>
                <w:color w:val="0072BC"/>
                <w:sz w:val="20"/>
                <w:u w:val="single"/>
                <w:lang w:eastAsia="fr-FR"/>
              </w:rPr>
            </w:pPr>
          </w:p>
          <w:p w:rsidR="00500186" w:rsidRPr="0037609E" w:rsidRDefault="00500186" w:rsidP="00500186">
            <w:pPr>
              <w:widowControl/>
              <w:rPr>
                <w:rFonts w:ascii="Arial" w:hAnsi="Arial" w:cs="Arial"/>
                <w:b/>
                <w:bCs/>
                <w:color w:val="0072BC"/>
                <w:sz w:val="20"/>
                <w:u w:val="single"/>
                <w:lang w:eastAsia="fr-FR"/>
              </w:rPr>
            </w:pPr>
          </w:p>
          <w:p w:rsidR="00500186" w:rsidRPr="0037609E" w:rsidRDefault="00500186" w:rsidP="00500186">
            <w:pPr>
              <w:widowControl/>
              <w:rPr>
                <w:rFonts w:ascii="Arial" w:hAnsi="Arial" w:cs="Arial"/>
                <w:b/>
                <w:bCs/>
                <w:color w:val="0072BC"/>
                <w:sz w:val="20"/>
                <w:u w:val="single"/>
                <w:lang w:eastAsia="fr-FR"/>
              </w:rPr>
            </w:pPr>
          </w:p>
          <w:p w:rsidR="00500186" w:rsidRPr="0037609E" w:rsidRDefault="00500186" w:rsidP="00500186">
            <w:pPr>
              <w:widowControl/>
              <w:rPr>
                <w:rFonts w:ascii="Arial" w:hAnsi="Arial" w:cs="Arial"/>
                <w:b/>
                <w:bCs/>
                <w:color w:val="0072BC"/>
                <w:sz w:val="20"/>
                <w:u w:val="single"/>
                <w:lang w:eastAsia="fr-FR"/>
              </w:rPr>
            </w:pPr>
          </w:p>
          <w:p w:rsidR="00500186" w:rsidRPr="0037609E" w:rsidRDefault="00500186" w:rsidP="00500186">
            <w:pPr>
              <w:widowControl/>
              <w:rPr>
                <w:rFonts w:ascii="Arial" w:hAnsi="Arial" w:cs="Arial"/>
                <w:b/>
                <w:bCs/>
                <w:color w:val="0072BC"/>
                <w:sz w:val="20"/>
                <w:u w:val="single"/>
                <w:lang w:eastAsia="fr-FR"/>
              </w:rPr>
            </w:pPr>
          </w:p>
          <w:p w:rsidR="00500186" w:rsidRPr="0037609E" w:rsidRDefault="00500186" w:rsidP="00500186">
            <w:pPr>
              <w:widowControl/>
              <w:rPr>
                <w:rFonts w:ascii="Arial" w:hAnsi="Arial" w:cs="Arial"/>
                <w:b/>
                <w:bCs/>
                <w:color w:val="0072BC"/>
                <w:sz w:val="20"/>
                <w:u w:val="single"/>
                <w:lang w:eastAsia="fr-FR"/>
              </w:rPr>
            </w:pPr>
          </w:p>
          <w:p w:rsidR="00500186" w:rsidRPr="0037609E" w:rsidRDefault="00500186" w:rsidP="00500186">
            <w:pPr>
              <w:widowControl/>
              <w:rPr>
                <w:rFonts w:ascii="Arial" w:hAnsi="Arial" w:cs="Arial"/>
                <w:b/>
                <w:bCs/>
                <w:color w:val="0072BC"/>
                <w:sz w:val="20"/>
                <w:u w:val="single"/>
                <w:lang w:eastAsia="fr-FR"/>
              </w:rPr>
            </w:pPr>
          </w:p>
          <w:p w:rsidR="00500186" w:rsidRPr="0037609E" w:rsidRDefault="00500186" w:rsidP="00500186">
            <w:pPr>
              <w:widowControl/>
              <w:rPr>
                <w:rFonts w:ascii="Arial" w:hAnsi="Arial" w:cs="Arial"/>
                <w:b/>
                <w:bCs/>
                <w:color w:val="0072BC"/>
                <w:sz w:val="20"/>
                <w:u w:val="single"/>
                <w:lang w:eastAsia="fr-FR"/>
              </w:rPr>
            </w:pPr>
          </w:p>
          <w:p w:rsidR="00500186" w:rsidRPr="0037609E" w:rsidRDefault="00500186" w:rsidP="00500186">
            <w:pPr>
              <w:widowControl/>
              <w:rPr>
                <w:rFonts w:ascii="Arial" w:hAnsi="Arial" w:cs="Arial"/>
                <w:b/>
                <w:bCs/>
                <w:color w:val="0072BC"/>
                <w:sz w:val="20"/>
                <w:u w:val="single"/>
                <w:lang w:eastAsia="fr-FR"/>
              </w:rPr>
            </w:pPr>
          </w:p>
          <w:p w:rsidR="00500186" w:rsidRPr="0037609E" w:rsidRDefault="00500186" w:rsidP="00500186">
            <w:pPr>
              <w:widowControl/>
              <w:rPr>
                <w:rFonts w:ascii="Arial" w:hAnsi="Arial" w:cs="Arial"/>
                <w:b/>
                <w:bCs/>
                <w:color w:val="0072BC"/>
                <w:sz w:val="20"/>
                <w:u w:val="single"/>
                <w:lang w:eastAsia="fr-FR"/>
              </w:rPr>
            </w:pPr>
          </w:p>
          <w:p w:rsidR="00500186" w:rsidRPr="0037609E" w:rsidRDefault="00500186" w:rsidP="00500186">
            <w:pPr>
              <w:widowControl/>
              <w:rPr>
                <w:rFonts w:ascii="Arial" w:hAnsi="Arial" w:cs="Arial"/>
                <w:b/>
                <w:bCs/>
                <w:color w:val="0072BC"/>
                <w:sz w:val="20"/>
                <w:u w:val="single"/>
                <w:lang w:eastAsia="fr-FR"/>
              </w:rPr>
            </w:pPr>
          </w:p>
          <w:p w:rsidR="00500186" w:rsidRPr="0037609E" w:rsidRDefault="00500186" w:rsidP="00500186">
            <w:pPr>
              <w:widowControl/>
              <w:rPr>
                <w:rFonts w:ascii="Arial" w:hAnsi="Arial" w:cs="Arial"/>
                <w:b/>
                <w:bCs/>
                <w:color w:val="0072BC"/>
                <w:sz w:val="20"/>
                <w:u w:val="single"/>
                <w:lang w:eastAsia="fr-FR"/>
              </w:rPr>
            </w:pPr>
          </w:p>
          <w:p w:rsidR="00500186" w:rsidRPr="0037609E" w:rsidRDefault="00500186" w:rsidP="00500186">
            <w:pPr>
              <w:widowControl/>
              <w:rPr>
                <w:rFonts w:ascii="Arial" w:hAnsi="Arial" w:cs="Arial"/>
                <w:b/>
                <w:bCs/>
                <w:color w:val="0072BC"/>
                <w:sz w:val="20"/>
                <w:u w:val="single"/>
                <w:lang w:eastAsia="fr-FR"/>
              </w:rPr>
            </w:pPr>
          </w:p>
          <w:p w:rsidR="00500186" w:rsidRPr="00E64242" w:rsidRDefault="00500186" w:rsidP="006E61CA">
            <w:pPr>
              <w:widowControl/>
              <w:rPr>
                <w:rFonts w:asciiTheme="minorHAnsi" w:hAnsiTheme="minorHAnsi"/>
                <w:b/>
              </w:rPr>
            </w:pPr>
          </w:p>
        </w:tc>
        <w:tc>
          <w:tcPr>
            <w:tcW w:w="1440" w:type="dxa"/>
            <w:tcBorders>
              <w:bottom w:val="single" w:sz="4" w:space="0" w:color="auto"/>
            </w:tcBorders>
            <w:shd w:val="clear" w:color="auto" w:fill="auto"/>
          </w:tcPr>
          <w:p w:rsidR="003B037A" w:rsidRPr="00DC7354" w:rsidRDefault="003B037A">
            <w:pPr>
              <w:pStyle w:val="BodyText2"/>
              <w:rPr>
                <w:rFonts w:asciiTheme="minorHAnsi" w:hAnsiTheme="minorHAnsi"/>
              </w:rPr>
            </w:pPr>
            <w:r w:rsidRPr="00DC7354">
              <w:rPr>
                <w:rFonts w:asciiTheme="minorHAnsi" w:hAnsiTheme="minorHAnsi"/>
              </w:rPr>
              <w:t>$</w:t>
            </w:r>
            <w:r w:rsidR="006545EE">
              <w:rPr>
                <w:rFonts w:asciiTheme="minorHAnsi" w:hAnsiTheme="minorHAnsi"/>
              </w:rPr>
              <w:t>15,235</w:t>
            </w:r>
            <w:r w:rsidR="00F777F6" w:rsidRPr="00F777F6">
              <w:rPr>
                <w:rFonts w:asciiTheme="minorHAnsi" w:hAnsiTheme="minorHAnsi"/>
              </w:rPr>
              <w:t>,</w:t>
            </w:r>
            <w:r w:rsidR="006545EE">
              <w:rPr>
                <w:rFonts w:asciiTheme="minorHAnsi" w:hAnsiTheme="minorHAnsi"/>
              </w:rPr>
              <w:t>050</w:t>
            </w:r>
          </w:p>
        </w:tc>
        <w:tc>
          <w:tcPr>
            <w:tcW w:w="3184" w:type="dxa"/>
            <w:tcBorders>
              <w:left w:val="single" w:sz="4" w:space="0" w:color="auto"/>
              <w:bottom w:val="single" w:sz="4" w:space="0" w:color="auto"/>
            </w:tcBorders>
          </w:tcPr>
          <w:p w:rsidR="00103201" w:rsidRDefault="006545EE" w:rsidP="006545EE">
            <w:pPr>
              <w:pStyle w:val="BodyText2"/>
              <w:numPr>
                <w:ilvl w:val="0"/>
                <w:numId w:val="13"/>
              </w:numPr>
              <w:rPr>
                <w:rFonts w:asciiTheme="minorHAnsi" w:hAnsiTheme="minorHAnsi"/>
                <w:i/>
              </w:rPr>
            </w:pPr>
            <w:r w:rsidRPr="006545EE">
              <w:rPr>
                <w:rFonts w:asciiTheme="minorHAnsi" w:hAnsiTheme="minorHAnsi"/>
                <w:i/>
              </w:rPr>
              <w:t xml:space="preserve">Poverty index </w:t>
            </w:r>
          </w:p>
          <w:p w:rsidR="00F777F6" w:rsidRDefault="00F777F6" w:rsidP="00103201">
            <w:pPr>
              <w:pStyle w:val="BodyText2"/>
              <w:rPr>
                <w:rFonts w:asciiTheme="minorHAnsi" w:hAnsiTheme="minorHAnsi"/>
                <w:i/>
              </w:rPr>
            </w:pPr>
          </w:p>
          <w:p w:rsidR="00F777F6" w:rsidRDefault="00F777F6" w:rsidP="00103201">
            <w:pPr>
              <w:pStyle w:val="BodyText2"/>
              <w:rPr>
                <w:rFonts w:asciiTheme="minorHAnsi" w:hAnsiTheme="minorHAnsi"/>
                <w:i/>
              </w:rPr>
            </w:pPr>
          </w:p>
          <w:p w:rsidR="00EF6D96" w:rsidRDefault="00EF6D96" w:rsidP="00103201">
            <w:pPr>
              <w:pStyle w:val="BodyText2"/>
              <w:rPr>
                <w:rFonts w:asciiTheme="minorHAnsi" w:hAnsiTheme="minorHAnsi"/>
                <w:i/>
              </w:rPr>
            </w:pPr>
          </w:p>
          <w:p w:rsidR="00EF6D96" w:rsidRDefault="00EF6D96" w:rsidP="00103201">
            <w:pPr>
              <w:pStyle w:val="BodyText2"/>
              <w:rPr>
                <w:rFonts w:asciiTheme="minorHAnsi" w:hAnsiTheme="minorHAnsi"/>
                <w:i/>
              </w:rPr>
            </w:pPr>
          </w:p>
          <w:p w:rsidR="00614AE2" w:rsidRDefault="00614AE2" w:rsidP="00103201">
            <w:pPr>
              <w:pStyle w:val="BodyText2"/>
              <w:rPr>
                <w:rFonts w:asciiTheme="minorHAnsi" w:hAnsiTheme="minorHAnsi"/>
                <w:i/>
              </w:rPr>
            </w:pPr>
          </w:p>
          <w:p w:rsidR="006927C1" w:rsidRDefault="006927C1" w:rsidP="00103201">
            <w:pPr>
              <w:pStyle w:val="BodyText2"/>
              <w:rPr>
                <w:rFonts w:asciiTheme="minorHAnsi" w:hAnsiTheme="minorHAnsi"/>
                <w:i/>
              </w:rPr>
            </w:pPr>
          </w:p>
          <w:p w:rsidR="00F777F6" w:rsidRDefault="00F777F6" w:rsidP="00103201">
            <w:pPr>
              <w:pStyle w:val="BodyText2"/>
              <w:rPr>
                <w:rFonts w:asciiTheme="minorHAnsi" w:hAnsiTheme="minorHAnsi"/>
                <w:i/>
              </w:rPr>
            </w:pPr>
          </w:p>
          <w:p w:rsidR="00F777F6" w:rsidRDefault="00614AE2" w:rsidP="00614AE2">
            <w:pPr>
              <w:pStyle w:val="BodyText2"/>
              <w:numPr>
                <w:ilvl w:val="0"/>
                <w:numId w:val="13"/>
              </w:numPr>
              <w:rPr>
                <w:rFonts w:asciiTheme="minorHAnsi" w:hAnsiTheme="minorHAnsi"/>
                <w:i/>
              </w:rPr>
            </w:pPr>
            <w:r w:rsidRPr="00614AE2">
              <w:rPr>
                <w:rFonts w:asciiTheme="minorHAnsi" w:hAnsiTheme="minorHAnsi"/>
                <w:i/>
              </w:rPr>
              <w:t xml:space="preserve">Average expenditure per capita </w:t>
            </w:r>
          </w:p>
          <w:p w:rsidR="00F777F6" w:rsidRDefault="00F777F6" w:rsidP="00F777F6">
            <w:pPr>
              <w:pStyle w:val="BodyText2"/>
              <w:rPr>
                <w:rFonts w:asciiTheme="minorHAnsi" w:hAnsiTheme="minorHAnsi"/>
                <w:i/>
              </w:rPr>
            </w:pPr>
          </w:p>
          <w:p w:rsidR="00F777F6" w:rsidRDefault="00F777F6" w:rsidP="00F777F6">
            <w:pPr>
              <w:pStyle w:val="BodyText2"/>
              <w:rPr>
                <w:rFonts w:asciiTheme="minorHAnsi" w:hAnsiTheme="minorHAnsi"/>
                <w:i/>
              </w:rPr>
            </w:pPr>
          </w:p>
          <w:p w:rsidR="00F777F6" w:rsidRDefault="00F777F6" w:rsidP="00F777F6">
            <w:pPr>
              <w:pStyle w:val="BodyText2"/>
              <w:rPr>
                <w:rFonts w:asciiTheme="minorHAnsi" w:hAnsiTheme="minorHAnsi"/>
                <w:i/>
              </w:rPr>
            </w:pPr>
          </w:p>
          <w:p w:rsidR="00614AE2" w:rsidRDefault="00614AE2" w:rsidP="00F777F6">
            <w:pPr>
              <w:pStyle w:val="BodyText2"/>
              <w:rPr>
                <w:rFonts w:asciiTheme="minorHAnsi" w:hAnsiTheme="minorHAnsi"/>
                <w:i/>
              </w:rPr>
            </w:pPr>
          </w:p>
          <w:p w:rsidR="00F777F6" w:rsidRDefault="00F777F6" w:rsidP="00F777F6">
            <w:pPr>
              <w:pStyle w:val="BodyText2"/>
              <w:rPr>
                <w:rFonts w:asciiTheme="minorHAnsi" w:hAnsiTheme="minorHAnsi"/>
                <w:i/>
              </w:rPr>
            </w:pPr>
          </w:p>
          <w:p w:rsidR="00F777F6" w:rsidRPr="00181A66" w:rsidRDefault="00F777F6" w:rsidP="00F777F6">
            <w:pPr>
              <w:pStyle w:val="BodyText2"/>
              <w:rPr>
                <w:rFonts w:asciiTheme="minorHAnsi" w:hAnsiTheme="minorHAnsi"/>
                <w:i/>
              </w:rPr>
            </w:pPr>
          </w:p>
          <w:p w:rsidR="00500186" w:rsidRDefault="00614AE2" w:rsidP="00614AE2">
            <w:pPr>
              <w:pStyle w:val="BodyText2"/>
              <w:numPr>
                <w:ilvl w:val="0"/>
                <w:numId w:val="13"/>
              </w:numPr>
              <w:rPr>
                <w:rFonts w:asciiTheme="minorHAnsi" w:hAnsiTheme="minorHAnsi"/>
                <w:i/>
              </w:rPr>
            </w:pPr>
            <w:r w:rsidRPr="00614AE2">
              <w:rPr>
                <w:rFonts w:asciiTheme="minorHAnsi" w:hAnsiTheme="minorHAnsi"/>
                <w:i/>
              </w:rPr>
              <w:t xml:space="preserve">Prevalence of food insecurity </w:t>
            </w:r>
          </w:p>
          <w:p w:rsidR="00500186" w:rsidRDefault="00500186" w:rsidP="00500186">
            <w:pPr>
              <w:pStyle w:val="BodyText2"/>
              <w:rPr>
                <w:rFonts w:asciiTheme="minorHAnsi" w:hAnsiTheme="minorHAnsi"/>
                <w:i/>
              </w:rPr>
            </w:pPr>
          </w:p>
          <w:p w:rsidR="00500186" w:rsidRDefault="00500186" w:rsidP="00500186">
            <w:pPr>
              <w:pStyle w:val="BodyText2"/>
              <w:rPr>
                <w:rFonts w:asciiTheme="minorHAnsi" w:hAnsiTheme="minorHAnsi"/>
                <w:i/>
              </w:rPr>
            </w:pPr>
          </w:p>
          <w:p w:rsidR="00500186" w:rsidRDefault="00500186" w:rsidP="00500186">
            <w:pPr>
              <w:pStyle w:val="BodyText2"/>
              <w:rPr>
                <w:rFonts w:asciiTheme="minorHAnsi" w:hAnsiTheme="minorHAnsi"/>
                <w:i/>
              </w:rPr>
            </w:pPr>
          </w:p>
          <w:p w:rsidR="00500186" w:rsidRPr="00500186" w:rsidRDefault="00500186" w:rsidP="006E61CA">
            <w:pPr>
              <w:pStyle w:val="BodyText2"/>
              <w:rPr>
                <w:rFonts w:asciiTheme="minorHAnsi" w:hAnsiTheme="minorHAnsi"/>
                <w:i/>
                <w:lang w:val="fr-FR"/>
              </w:rPr>
            </w:pPr>
          </w:p>
        </w:tc>
        <w:tc>
          <w:tcPr>
            <w:tcW w:w="6266" w:type="dxa"/>
            <w:tcBorders>
              <w:bottom w:val="single" w:sz="4" w:space="0" w:color="auto"/>
            </w:tcBorders>
            <w:shd w:val="clear" w:color="auto" w:fill="auto"/>
          </w:tcPr>
          <w:p w:rsidR="006545EE" w:rsidRPr="006545EE" w:rsidRDefault="006545EE" w:rsidP="00614AE2">
            <w:pPr>
              <w:pStyle w:val="BodyText2"/>
              <w:numPr>
                <w:ilvl w:val="0"/>
                <w:numId w:val="14"/>
              </w:numPr>
              <w:jc w:val="both"/>
              <w:rPr>
                <w:rFonts w:asciiTheme="minorHAnsi" w:hAnsiTheme="minorHAnsi"/>
                <w:i/>
                <w:lang w:val="en-GB"/>
              </w:rPr>
            </w:pPr>
            <w:r>
              <w:rPr>
                <w:rFonts w:asciiTheme="minorHAnsi" w:hAnsiTheme="minorHAnsi"/>
                <w:i/>
                <w:lang w:val="en-GB"/>
              </w:rPr>
              <w:t xml:space="preserve">Monetary </w:t>
            </w:r>
            <w:r w:rsidRPr="006545EE">
              <w:rPr>
                <w:rFonts w:asciiTheme="minorHAnsi" w:hAnsiTheme="minorHAnsi"/>
                <w:i/>
                <w:lang w:val="en-GB"/>
              </w:rPr>
              <w:t xml:space="preserve">Poverty </w:t>
            </w:r>
            <w:r>
              <w:rPr>
                <w:rFonts w:asciiTheme="minorHAnsi" w:hAnsiTheme="minorHAnsi"/>
                <w:i/>
                <w:lang w:val="en-GB"/>
              </w:rPr>
              <w:t xml:space="preserve">have </w:t>
            </w:r>
            <w:r w:rsidRPr="006545EE">
              <w:rPr>
                <w:rFonts w:asciiTheme="minorHAnsi" w:hAnsiTheme="minorHAnsi"/>
                <w:i/>
                <w:lang w:val="en-GB"/>
              </w:rPr>
              <w:t>increased</w:t>
            </w:r>
            <w:r>
              <w:rPr>
                <w:rFonts w:asciiTheme="minorHAnsi" w:hAnsiTheme="minorHAnsi"/>
                <w:i/>
                <w:lang w:val="en-GB"/>
              </w:rPr>
              <w:t xml:space="preserve"> </w:t>
            </w:r>
            <w:r w:rsidRPr="006545EE">
              <w:rPr>
                <w:rFonts w:asciiTheme="minorHAnsi" w:hAnsiTheme="minorHAnsi"/>
                <w:i/>
                <w:lang w:val="en-GB"/>
              </w:rPr>
              <w:t xml:space="preserve">but it would have increased from 36.2% in 2011 to 40.1% in 2015. </w:t>
            </w:r>
            <w:r w:rsidR="006927C1">
              <w:rPr>
                <w:rFonts w:asciiTheme="minorHAnsi" w:hAnsiTheme="minorHAnsi"/>
                <w:i/>
                <w:lang w:val="en-GB"/>
              </w:rPr>
              <w:t xml:space="preserve">Growth was not inclusive. </w:t>
            </w:r>
            <w:r w:rsidRPr="006545EE">
              <w:rPr>
                <w:rFonts w:asciiTheme="minorHAnsi" w:hAnsiTheme="minorHAnsi"/>
                <w:i/>
                <w:lang w:val="en-GB"/>
              </w:rPr>
              <w:t>Poverty is up 4.4% in cities and 3.9% in rural areas.</w:t>
            </w:r>
            <w:r>
              <w:rPr>
                <w:rFonts w:asciiTheme="minorHAnsi" w:hAnsiTheme="minorHAnsi"/>
                <w:i/>
                <w:lang w:val="en-GB"/>
              </w:rPr>
              <w:t xml:space="preserve"> </w:t>
            </w:r>
            <w:r w:rsidR="002C2064">
              <w:rPr>
                <w:rFonts w:asciiTheme="minorHAnsi" w:hAnsiTheme="minorHAnsi"/>
                <w:i/>
                <w:lang w:val="en-GB"/>
              </w:rPr>
              <w:t xml:space="preserve">In rural area, </w:t>
            </w:r>
            <w:r w:rsidR="00614AE2" w:rsidRPr="00614AE2">
              <w:rPr>
                <w:rFonts w:asciiTheme="minorHAnsi" w:hAnsiTheme="minorHAnsi"/>
                <w:i/>
                <w:lang w:val="en-GB"/>
              </w:rPr>
              <w:t>UNDP helped the Government through the</w:t>
            </w:r>
            <w:r w:rsidR="002C2064">
              <w:rPr>
                <w:rFonts w:asciiTheme="minorHAnsi" w:hAnsiTheme="minorHAnsi"/>
                <w:i/>
                <w:lang w:val="en-GB"/>
              </w:rPr>
              <w:t xml:space="preserve"> </w:t>
            </w:r>
            <w:proofErr w:type="spellStart"/>
            <w:r w:rsidR="002C2064">
              <w:rPr>
                <w:rFonts w:asciiTheme="minorHAnsi" w:hAnsiTheme="minorHAnsi"/>
                <w:i/>
                <w:lang w:val="en-GB"/>
              </w:rPr>
              <w:t>Millenium</w:t>
            </w:r>
            <w:proofErr w:type="spellEnd"/>
            <w:r w:rsidR="002C2064">
              <w:rPr>
                <w:rFonts w:asciiTheme="minorHAnsi" w:hAnsiTheme="minorHAnsi"/>
                <w:i/>
                <w:lang w:val="en-GB"/>
              </w:rPr>
              <w:t xml:space="preserve"> Village</w:t>
            </w:r>
            <w:r w:rsidR="007A4F15">
              <w:rPr>
                <w:rFonts w:asciiTheme="minorHAnsi" w:hAnsiTheme="minorHAnsi"/>
                <w:i/>
                <w:lang w:val="en-GB"/>
              </w:rPr>
              <w:t xml:space="preserve"> Pr</w:t>
            </w:r>
            <w:r w:rsidR="00614AE2">
              <w:rPr>
                <w:rFonts w:asciiTheme="minorHAnsi" w:hAnsiTheme="minorHAnsi"/>
                <w:i/>
                <w:lang w:val="en-GB"/>
              </w:rPr>
              <w:t xml:space="preserve">oject to install </w:t>
            </w:r>
            <w:r w:rsidR="006927C1">
              <w:rPr>
                <w:rFonts w:asciiTheme="minorHAnsi" w:hAnsiTheme="minorHAnsi"/>
                <w:i/>
                <w:lang w:val="en-GB"/>
              </w:rPr>
              <w:t xml:space="preserve">socio-economic </w:t>
            </w:r>
            <w:r w:rsidR="00614AE2" w:rsidRPr="00614AE2">
              <w:rPr>
                <w:rFonts w:asciiTheme="minorHAnsi" w:hAnsiTheme="minorHAnsi"/>
                <w:i/>
                <w:lang w:val="en-GB"/>
              </w:rPr>
              <w:t>infrastructure</w:t>
            </w:r>
            <w:r w:rsidR="00614AE2">
              <w:rPr>
                <w:rFonts w:asciiTheme="minorHAnsi" w:hAnsiTheme="minorHAnsi"/>
                <w:i/>
                <w:lang w:val="en-GB"/>
              </w:rPr>
              <w:t xml:space="preserve"> in selected villages</w:t>
            </w:r>
            <w:r w:rsidR="00614AE2" w:rsidRPr="00614AE2">
              <w:rPr>
                <w:rFonts w:asciiTheme="minorHAnsi" w:hAnsiTheme="minorHAnsi"/>
                <w:i/>
                <w:lang w:val="en-GB"/>
              </w:rPr>
              <w:t xml:space="preserve"> to reduce poverty and</w:t>
            </w:r>
            <w:r w:rsidR="00614AE2">
              <w:rPr>
                <w:rFonts w:asciiTheme="minorHAnsi" w:hAnsiTheme="minorHAnsi"/>
                <w:i/>
                <w:lang w:val="en-GB"/>
              </w:rPr>
              <w:t xml:space="preserve"> concerned populations</w:t>
            </w:r>
            <w:r w:rsidR="00614AE2" w:rsidRPr="00614AE2">
              <w:rPr>
                <w:rFonts w:asciiTheme="minorHAnsi" w:hAnsiTheme="minorHAnsi"/>
                <w:i/>
                <w:lang w:val="en-GB"/>
              </w:rPr>
              <w:t xml:space="preserve"> improve</w:t>
            </w:r>
            <w:r w:rsidR="00614AE2">
              <w:rPr>
                <w:rFonts w:asciiTheme="minorHAnsi" w:hAnsiTheme="minorHAnsi"/>
                <w:i/>
                <w:lang w:val="en-GB"/>
              </w:rPr>
              <w:t>d</w:t>
            </w:r>
            <w:r w:rsidR="00614AE2" w:rsidRPr="00614AE2">
              <w:rPr>
                <w:rFonts w:asciiTheme="minorHAnsi" w:hAnsiTheme="minorHAnsi"/>
                <w:i/>
                <w:lang w:val="en-GB"/>
              </w:rPr>
              <w:t xml:space="preserve"> their social well-being</w:t>
            </w:r>
            <w:r w:rsidR="007A4F15">
              <w:rPr>
                <w:rFonts w:asciiTheme="minorHAnsi" w:hAnsiTheme="minorHAnsi"/>
                <w:i/>
                <w:lang w:val="en-GB"/>
              </w:rPr>
              <w:t xml:space="preserve"> and through employment promotion projects </w:t>
            </w:r>
            <w:r w:rsidR="006927C1">
              <w:rPr>
                <w:rFonts w:asciiTheme="minorHAnsi" w:hAnsiTheme="minorHAnsi"/>
                <w:i/>
                <w:lang w:val="en-GB"/>
              </w:rPr>
              <w:t>towards women and youth</w:t>
            </w:r>
            <w:r w:rsidR="00EF6D96">
              <w:rPr>
                <w:rFonts w:asciiTheme="minorHAnsi" w:hAnsiTheme="minorHAnsi"/>
                <w:i/>
                <w:lang w:val="en-GB"/>
              </w:rPr>
              <w:t>.</w:t>
            </w:r>
          </w:p>
          <w:p w:rsidR="00DB31C8" w:rsidRPr="00597D45" w:rsidRDefault="006545EE" w:rsidP="004C4CF9">
            <w:pPr>
              <w:pStyle w:val="BodyText2"/>
              <w:ind w:left="360"/>
              <w:jc w:val="both"/>
              <w:rPr>
                <w:rFonts w:asciiTheme="minorHAnsi" w:hAnsiTheme="minorHAnsi"/>
                <w:i/>
                <w:lang w:val="en-GB"/>
              </w:rPr>
            </w:pPr>
            <w:r w:rsidRPr="006545EE">
              <w:rPr>
                <w:rFonts w:asciiTheme="minorHAnsi" w:hAnsiTheme="minorHAnsi"/>
                <w:i/>
                <w:lang w:val="en-GB"/>
              </w:rPr>
              <w:t xml:space="preserve"> </w:t>
            </w:r>
          </w:p>
          <w:p w:rsidR="003B037A" w:rsidRPr="00F777F6" w:rsidRDefault="00614AE2" w:rsidP="00614AE2">
            <w:pPr>
              <w:pStyle w:val="BodyText2"/>
              <w:numPr>
                <w:ilvl w:val="0"/>
                <w:numId w:val="14"/>
              </w:numPr>
              <w:jc w:val="both"/>
              <w:rPr>
                <w:rFonts w:asciiTheme="minorHAnsi" w:hAnsiTheme="minorHAnsi"/>
                <w:i/>
                <w:lang w:val="en-GB"/>
              </w:rPr>
            </w:pPr>
            <w:r w:rsidRPr="00614AE2">
              <w:rPr>
                <w:rFonts w:asciiTheme="minorHAnsi" w:hAnsiTheme="minorHAnsi"/>
                <w:i/>
              </w:rPr>
              <w:t>Average expenditure per capita decreased: 2</w:t>
            </w:r>
            <w:r>
              <w:rPr>
                <w:rFonts w:asciiTheme="minorHAnsi" w:hAnsiTheme="minorHAnsi"/>
                <w:i/>
              </w:rPr>
              <w:t xml:space="preserve">011 (from 306675 to 238343 </w:t>
            </w:r>
            <w:proofErr w:type="spellStart"/>
            <w:r>
              <w:rPr>
                <w:rFonts w:asciiTheme="minorHAnsi" w:hAnsiTheme="minorHAnsi"/>
                <w:i/>
              </w:rPr>
              <w:t>fcfa</w:t>
            </w:r>
            <w:proofErr w:type="spellEnd"/>
            <w:r w:rsidR="00F777F6" w:rsidRPr="00F777F6">
              <w:rPr>
                <w:rFonts w:asciiTheme="minorHAnsi" w:hAnsiTheme="minorHAnsi"/>
                <w:i/>
              </w:rPr>
              <w:t xml:space="preserve">. However, </w:t>
            </w:r>
            <w:r w:rsidRPr="00614AE2">
              <w:rPr>
                <w:rFonts w:asciiTheme="minorHAnsi" w:hAnsiTheme="minorHAnsi"/>
                <w:i/>
              </w:rPr>
              <w:t>UNDP has supported rural communes where population have got better access to basic services (education, water, sanitation) and access to economic opportunities with growth in their revenue</w:t>
            </w:r>
            <w:r w:rsidR="00F777F6">
              <w:rPr>
                <w:rFonts w:asciiTheme="minorHAnsi" w:hAnsiTheme="minorHAnsi"/>
                <w:i/>
              </w:rPr>
              <w:t>.</w:t>
            </w:r>
          </w:p>
          <w:p w:rsidR="00F777F6" w:rsidRDefault="00F777F6" w:rsidP="004C4CF9">
            <w:pPr>
              <w:pStyle w:val="BodyText2"/>
              <w:jc w:val="both"/>
              <w:rPr>
                <w:rFonts w:asciiTheme="minorHAnsi" w:hAnsiTheme="minorHAnsi"/>
                <w:i/>
                <w:lang w:val="en-GB"/>
              </w:rPr>
            </w:pPr>
          </w:p>
          <w:p w:rsidR="00614AE2" w:rsidRPr="00F777F6" w:rsidRDefault="00614AE2" w:rsidP="004C4CF9">
            <w:pPr>
              <w:pStyle w:val="BodyText2"/>
              <w:jc w:val="both"/>
              <w:rPr>
                <w:rFonts w:asciiTheme="minorHAnsi" w:hAnsiTheme="minorHAnsi"/>
                <w:i/>
                <w:lang w:val="en-GB"/>
              </w:rPr>
            </w:pPr>
          </w:p>
          <w:p w:rsidR="00F777F6" w:rsidRDefault="00631C1C" w:rsidP="00631C1C">
            <w:pPr>
              <w:pStyle w:val="BodyText2"/>
              <w:numPr>
                <w:ilvl w:val="0"/>
                <w:numId w:val="14"/>
              </w:numPr>
              <w:jc w:val="both"/>
              <w:rPr>
                <w:rFonts w:asciiTheme="minorHAnsi" w:hAnsiTheme="minorHAnsi"/>
                <w:i/>
                <w:lang w:val="en-GB"/>
              </w:rPr>
            </w:pPr>
            <w:r w:rsidRPr="00631C1C">
              <w:rPr>
                <w:rFonts w:asciiTheme="minorHAnsi" w:hAnsiTheme="minorHAnsi"/>
                <w:i/>
                <w:lang w:val="en-GB"/>
              </w:rPr>
              <w:t>The overall prevalence of food insecurity in Benin increased from 22.5% in 2014 to 9.6% in 2017</w:t>
            </w:r>
            <w:r>
              <w:rPr>
                <w:rFonts w:asciiTheme="minorHAnsi" w:hAnsiTheme="minorHAnsi"/>
                <w:i/>
                <w:lang w:val="en-GB"/>
              </w:rPr>
              <w:t>.</w:t>
            </w:r>
            <w:r w:rsidR="00614AE2">
              <w:rPr>
                <w:rFonts w:asciiTheme="minorHAnsi" w:hAnsiTheme="minorHAnsi"/>
                <w:i/>
                <w:lang w:val="en-GB"/>
              </w:rPr>
              <w:t xml:space="preserve"> UNDP has supported increase in productivity in several rural areas. 11 cooperatives have been put in place.</w:t>
            </w:r>
            <w:r w:rsidR="00115E80">
              <w:rPr>
                <w:rFonts w:asciiTheme="minorHAnsi" w:hAnsiTheme="minorHAnsi"/>
                <w:i/>
                <w:lang w:val="en-GB"/>
              </w:rPr>
              <w:t xml:space="preserve"> </w:t>
            </w:r>
            <w:r w:rsidR="00115E80" w:rsidRPr="00115E80">
              <w:rPr>
                <w:rFonts w:asciiTheme="minorHAnsi" w:hAnsiTheme="minorHAnsi"/>
                <w:i/>
                <w:lang w:val="en-GB"/>
              </w:rPr>
              <w:t>UNDP has contributed to</w:t>
            </w:r>
            <w:r w:rsidR="00115E80">
              <w:rPr>
                <w:rFonts w:asciiTheme="minorHAnsi" w:hAnsiTheme="minorHAnsi"/>
                <w:i/>
                <w:lang w:val="en-GB"/>
              </w:rPr>
              <w:t xml:space="preserve"> food production through</w:t>
            </w:r>
            <w:r w:rsidR="00115E80" w:rsidRPr="00115E80">
              <w:rPr>
                <w:rFonts w:asciiTheme="minorHAnsi" w:hAnsiTheme="minorHAnsi"/>
                <w:i/>
                <w:lang w:val="en-GB"/>
              </w:rPr>
              <w:t xml:space="preserve"> the promotion of agricultural entrepreneurship through the dissemination of knowledge through the training, incubation and empowerment of young agricultural entrepreneurs in management. In fact, 447 new </w:t>
            </w:r>
            <w:proofErr w:type="spellStart"/>
            <w:r w:rsidR="00115E80" w:rsidRPr="00115E80">
              <w:rPr>
                <w:rFonts w:asciiTheme="minorHAnsi" w:hAnsiTheme="minorHAnsi"/>
                <w:i/>
                <w:lang w:val="en-GB"/>
              </w:rPr>
              <w:t>agro</w:t>
            </w:r>
            <w:proofErr w:type="spellEnd"/>
            <w:r w:rsidR="00115E80" w:rsidRPr="00115E80">
              <w:rPr>
                <w:rFonts w:asciiTheme="minorHAnsi" w:hAnsiTheme="minorHAnsi"/>
                <w:i/>
                <w:lang w:val="en-GB"/>
              </w:rPr>
              <w:t>-food micro-enterprises were created</w:t>
            </w:r>
            <w:r w:rsidR="00115E80">
              <w:rPr>
                <w:rFonts w:asciiTheme="minorHAnsi" w:hAnsiTheme="minorHAnsi"/>
                <w:i/>
                <w:lang w:val="en-GB"/>
              </w:rPr>
              <w:t>.</w:t>
            </w:r>
          </w:p>
          <w:p w:rsidR="00500186" w:rsidRDefault="00500186" w:rsidP="00500186">
            <w:pPr>
              <w:pStyle w:val="ListParagraph"/>
              <w:rPr>
                <w:rFonts w:asciiTheme="minorHAnsi" w:hAnsiTheme="minorHAnsi"/>
                <w:i/>
              </w:rPr>
            </w:pPr>
          </w:p>
          <w:p w:rsidR="003B037A" w:rsidRPr="00614AE2" w:rsidRDefault="003B037A" w:rsidP="006E61CA">
            <w:pPr>
              <w:pStyle w:val="ListParagraph"/>
              <w:rPr>
                <w:rFonts w:asciiTheme="minorHAnsi" w:hAnsiTheme="minorHAnsi"/>
                <w:i/>
              </w:rPr>
            </w:pPr>
          </w:p>
        </w:tc>
      </w:tr>
      <w:tr w:rsidR="00530FDE" w:rsidRPr="00DC7354" w:rsidTr="004C4CF9">
        <w:tc>
          <w:tcPr>
            <w:tcW w:w="14040" w:type="dxa"/>
            <w:gridSpan w:val="5"/>
          </w:tcPr>
          <w:p w:rsidR="00843006" w:rsidRPr="00DB31C8" w:rsidRDefault="00837C4B" w:rsidP="00EE1D60">
            <w:pPr>
              <w:pStyle w:val="BodyText2"/>
              <w:rPr>
                <w:rFonts w:asciiTheme="minorHAnsi" w:hAnsiTheme="minorHAnsi"/>
                <w:b/>
              </w:rPr>
            </w:pPr>
            <w:r w:rsidRPr="00837C4B">
              <w:rPr>
                <w:rFonts w:asciiTheme="minorHAnsi" w:hAnsiTheme="minorHAnsi"/>
                <w:b/>
              </w:rPr>
              <w:t>UNDP Contribution:</w:t>
            </w:r>
          </w:p>
          <w:p w:rsidR="00B00E5C" w:rsidRPr="00845340" w:rsidRDefault="00B00E5C" w:rsidP="00EE1D60">
            <w:pPr>
              <w:pStyle w:val="BodyText2"/>
              <w:rPr>
                <w:rFonts w:asciiTheme="minorHAnsi" w:hAnsiTheme="minorHAnsi"/>
              </w:rPr>
            </w:pPr>
            <w:r w:rsidRPr="00B00E5C">
              <w:rPr>
                <w:rFonts w:asciiTheme="minorHAnsi" w:hAnsiTheme="minorHAnsi"/>
                <w:u w:val="single"/>
              </w:rPr>
              <w:t>CP Outputs</w:t>
            </w:r>
            <w:r w:rsidR="00845340">
              <w:rPr>
                <w:rFonts w:asciiTheme="minorHAnsi" w:hAnsiTheme="minorHAnsi"/>
              </w:rPr>
              <w:t>:</w:t>
            </w:r>
          </w:p>
          <w:p w:rsidR="00B00E5C" w:rsidRDefault="00842737" w:rsidP="002F0C46">
            <w:pPr>
              <w:pStyle w:val="BodyText2"/>
              <w:rPr>
                <w:rFonts w:asciiTheme="minorHAnsi" w:hAnsiTheme="minorHAnsi"/>
                <w:i/>
              </w:rPr>
            </w:pPr>
            <w:r w:rsidRPr="009B76A1">
              <w:rPr>
                <w:rFonts w:asciiTheme="minorHAnsi" w:hAnsiTheme="minorHAnsi"/>
                <w:i/>
              </w:rPr>
              <w:t xml:space="preserve">The UNDP CP identified </w:t>
            </w:r>
            <w:r w:rsidR="00DC60CC">
              <w:rPr>
                <w:rFonts w:asciiTheme="minorHAnsi" w:hAnsiTheme="minorHAnsi"/>
                <w:i/>
              </w:rPr>
              <w:t xml:space="preserve">the </w:t>
            </w:r>
            <w:r w:rsidRPr="009B76A1">
              <w:rPr>
                <w:rFonts w:asciiTheme="minorHAnsi" w:hAnsiTheme="minorHAnsi"/>
                <w:i/>
              </w:rPr>
              <w:t>three major outputs</w:t>
            </w:r>
            <w:r w:rsidR="00DC60CC">
              <w:rPr>
                <w:rFonts w:asciiTheme="minorHAnsi" w:hAnsiTheme="minorHAnsi"/>
                <w:i/>
              </w:rPr>
              <w:t xml:space="preserve"> described below</w:t>
            </w:r>
            <w:r w:rsidRPr="009B76A1">
              <w:rPr>
                <w:rFonts w:asciiTheme="minorHAnsi" w:hAnsiTheme="minorHAnsi"/>
                <w:i/>
              </w:rPr>
              <w:t xml:space="preserve"> to support the Govern</w:t>
            </w:r>
            <w:r w:rsidR="00DC60CC">
              <w:rPr>
                <w:rFonts w:asciiTheme="minorHAnsi" w:hAnsiTheme="minorHAnsi"/>
                <w:i/>
              </w:rPr>
              <w:t>ment in achieving this outcome.</w:t>
            </w:r>
          </w:p>
          <w:p w:rsidR="00DC60CC" w:rsidRPr="009B76A1" w:rsidRDefault="00DC60CC" w:rsidP="002F0C46">
            <w:pPr>
              <w:pStyle w:val="BodyText2"/>
              <w:rPr>
                <w:rFonts w:asciiTheme="minorHAnsi" w:hAnsiTheme="minorHAnsi"/>
                <w:i/>
              </w:rPr>
            </w:pPr>
          </w:p>
          <w:p w:rsidR="00B00E5C" w:rsidRPr="00845340" w:rsidRDefault="00B00E5C" w:rsidP="00EE1D60">
            <w:pPr>
              <w:pStyle w:val="BodyText2"/>
              <w:rPr>
                <w:rFonts w:asciiTheme="minorHAnsi" w:hAnsiTheme="minorHAnsi"/>
              </w:rPr>
            </w:pPr>
            <w:r w:rsidRPr="00B00E5C">
              <w:rPr>
                <w:rFonts w:asciiTheme="minorHAnsi" w:hAnsiTheme="minorHAnsi"/>
                <w:u w:val="single"/>
              </w:rPr>
              <w:t>Progress and Achievements</w:t>
            </w:r>
            <w:r w:rsidR="00845340">
              <w:rPr>
                <w:rFonts w:asciiTheme="minorHAnsi" w:hAnsiTheme="minorHAnsi"/>
              </w:rPr>
              <w:t>:</w:t>
            </w:r>
          </w:p>
          <w:p w:rsidR="004864AA" w:rsidRPr="004864AA" w:rsidRDefault="004864AA" w:rsidP="004864AA">
            <w:pPr>
              <w:pStyle w:val="BodyText2"/>
              <w:ind w:left="720"/>
              <w:jc w:val="both"/>
              <w:rPr>
                <w:rFonts w:asciiTheme="minorHAnsi" w:hAnsiTheme="minorHAnsi"/>
                <w:i/>
              </w:rPr>
            </w:pPr>
          </w:p>
          <w:p w:rsidR="004864AA" w:rsidRDefault="004864AA" w:rsidP="004864AA">
            <w:pPr>
              <w:pStyle w:val="BodyText2"/>
              <w:numPr>
                <w:ilvl w:val="0"/>
                <w:numId w:val="21"/>
              </w:numPr>
              <w:jc w:val="both"/>
              <w:rPr>
                <w:rFonts w:asciiTheme="minorHAnsi" w:hAnsiTheme="minorHAnsi"/>
                <w:i/>
              </w:rPr>
            </w:pPr>
            <w:r w:rsidRPr="00C91136">
              <w:rPr>
                <w:rFonts w:asciiTheme="minorHAnsi" w:hAnsiTheme="minorHAnsi"/>
                <w:b/>
                <w:i/>
              </w:rPr>
              <w:t>Young people and women have more capacities, skills and facilities for self-employment and agricultural entrepreneurship, implementation of micro, small and medium enterprises in rural and peri-urban areas</w:t>
            </w:r>
            <w:r w:rsidRPr="004864AA">
              <w:rPr>
                <w:rFonts w:asciiTheme="minorHAnsi" w:hAnsiTheme="minorHAnsi"/>
                <w:i/>
              </w:rPr>
              <w:t>.</w:t>
            </w:r>
          </w:p>
          <w:p w:rsidR="008F40ED" w:rsidRDefault="002F4AF3" w:rsidP="002F4AF3">
            <w:pPr>
              <w:pStyle w:val="BodyText2"/>
              <w:ind w:left="720"/>
              <w:jc w:val="both"/>
              <w:rPr>
                <w:rFonts w:asciiTheme="minorHAnsi" w:hAnsiTheme="minorHAnsi"/>
                <w:i/>
              </w:rPr>
            </w:pPr>
            <w:r w:rsidRPr="002F4AF3">
              <w:rPr>
                <w:rFonts w:asciiTheme="minorHAnsi" w:hAnsiTheme="minorHAnsi"/>
                <w:i/>
              </w:rPr>
              <w:t>There has been an increase in the number of people (women, youths and other vulnerable persons) benefitting from capacity building in agricultural entrepreneurship, in modern and ecologic production technics in agriculture and capacities in breeding and processing have been strengthened (1200 young people trained, 200 women, 300 trained in storage). Jobs in the agricultural sector are created with financial support and material given to th</w:t>
            </w:r>
            <w:r>
              <w:rPr>
                <w:rFonts w:asciiTheme="minorHAnsi" w:hAnsiTheme="minorHAnsi"/>
                <w:i/>
              </w:rPr>
              <w:t>e young trained (1100), Women (</w:t>
            </w:r>
            <w:r w:rsidRPr="002F4AF3">
              <w:rPr>
                <w:rFonts w:asciiTheme="minorHAnsi" w:hAnsiTheme="minorHAnsi"/>
                <w:i/>
              </w:rPr>
              <w:t>210).</w:t>
            </w:r>
            <w:r>
              <w:rPr>
                <w:rFonts w:asciiTheme="minorHAnsi" w:hAnsiTheme="minorHAnsi"/>
                <w:i/>
              </w:rPr>
              <w:t xml:space="preserve"> </w:t>
            </w:r>
            <w:r w:rsidR="008F40ED" w:rsidRPr="008F40ED">
              <w:rPr>
                <w:rFonts w:asciiTheme="minorHAnsi" w:hAnsiTheme="minorHAnsi"/>
                <w:i/>
              </w:rPr>
              <w:t>UNDP has contributed to the promotion of agricultural entrepreneurship through the dissemination of knowledge through the training, incubation and empowerment of young agricultural entrepreneurs in management. It has contributed to the transformation of the economy by creating a favorable environment, supporting structures responsible for promoting employment and financing SMEs / SMIs through equipment and implementation. nine (09) number of functional BPC that constitute innovative resource centers to strengthen the operational fabric for the promotion of entrepreneurship. There is thus an increase in the number of young graduates creating agricultural businesses thanks to an effective system of support for young people to create jobs. It creates a change of mindset of young graduates on agricultural. Thus, young people and women have more capacity, skills and facilities for self-employment and especially agricultural entrepreneurship.</w:t>
            </w:r>
          </w:p>
          <w:p w:rsidR="002F4AF3" w:rsidRPr="002F4AF3" w:rsidRDefault="00631C1C" w:rsidP="002F4AF3">
            <w:pPr>
              <w:pStyle w:val="BodyText2"/>
              <w:ind w:left="720"/>
              <w:jc w:val="both"/>
              <w:rPr>
                <w:rFonts w:asciiTheme="minorHAnsi" w:hAnsiTheme="minorHAnsi"/>
                <w:i/>
              </w:rPr>
            </w:pPr>
            <w:r w:rsidRPr="00631C1C">
              <w:rPr>
                <w:rFonts w:asciiTheme="minorHAnsi" w:hAnsiTheme="minorHAnsi"/>
                <w:i/>
              </w:rPr>
              <w:t xml:space="preserve">UNDP has strengthened capacity and supported the development of facilities for 795 young people and 135 rural and peri-urban women aged 15 and over, </w:t>
            </w:r>
            <w:r w:rsidR="00C91136">
              <w:rPr>
                <w:rFonts w:asciiTheme="minorHAnsi" w:hAnsiTheme="minorHAnsi"/>
                <w:i/>
              </w:rPr>
              <w:t>and facilitate their</w:t>
            </w:r>
            <w:r w:rsidRPr="00631C1C">
              <w:rPr>
                <w:rFonts w:asciiTheme="minorHAnsi" w:hAnsiTheme="minorHAnsi"/>
                <w:i/>
              </w:rPr>
              <w:t xml:space="preserve"> </w:t>
            </w:r>
            <w:r w:rsidR="002F4AF3" w:rsidRPr="00631C1C">
              <w:rPr>
                <w:rFonts w:asciiTheme="minorHAnsi" w:hAnsiTheme="minorHAnsi"/>
                <w:i/>
              </w:rPr>
              <w:t>engage</w:t>
            </w:r>
            <w:r w:rsidR="002F4AF3">
              <w:rPr>
                <w:rFonts w:asciiTheme="minorHAnsi" w:hAnsiTheme="minorHAnsi"/>
                <w:i/>
              </w:rPr>
              <w:t xml:space="preserve">ment </w:t>
            </w:r>
            <w:r w:rsidR="002F4AF3" w:rsidRPr="00631C1C">
              <w:rPr>
                <w:rFonts w:asciiTheme="minorHAnsi" w:hAnsiTheme="minorHAnsi"/>
                <w:i/>
              </w:rPr>
              <w:t>in</w:t>
            </w:r>
            <w:r w:rsidRPr="00631C1C">
              <w:rPr>
                <w:rFonts w:asciiTheme="minorHAnsi" w:hAnsiTheme="minorHAnsi"/>
                <w:i/>
              </w:rPr>
              <w:t xml:space="preserve"> self-employment especially in agricultura</w:t>
            </w:r>
            <w:r w:rsidR="002F4AF3">
              <w:rPr>
                <w:rFonts w:asciiTheme="minorHAnsi" w:hAnsiTheme="minorHAnsi"/>
                <w:i/>
              </w:rPr>
              <w:t xml:space="preserve">l entrepreneurship. </w:t>
            </w:r>
            <w:r w:rsidRPr="00631C1C">
              <w:rPr>
                <w:rFonts w:asciiTheme="minorHAnsi" w:hAnsiTheme="minorHAnsi"/>
                <w:i/>
              </w:rPr>
              <w:t xml:space="preserve"> </w:t>
            </w:r>
            <w:r w:rsidR="002F4AF3" w:rsidRPr="002F4AF3">
              <w:rPr>
                <w:rFonts w:asciiTheme="minorHAnsi" w:hAnsiTheme="minorHAnsi"/>
                <w:i/>
              </w:rPr>
              <w:t xml:space="preserve">For socio-economic transformation in rural areas, about 500 new direct jobs were created, contributing to the increase of household income and promoting.  In fact, 447 new agribusiness micro-enterprises were created by young people aged 15 and over bringing to 916 the total number of young people who created a new company. There are almost 500 new direct jobs already created in the sector of agricultural entrepreneurship of which 30% in favor of women. UNDP has also contributed to a profound change in attitudes about young graduates' perceptions of agricultural entrepreneurship. </w:t>
            </w:r>
          </w:p>
          <w:p w:rsidR="002F4AF3" w:rsidRDefault="002F4AF3" w:rsidP="002F4AF3">
            <w:pPr>
              <w:pStyle w:val="BodyText2"/>
              <w:ind w:left="720"/>
              <w:jc w:val="both"/>
              <w:rPr>
                <w:rFonts w:asciiTheme="minorHAnsi" w:hAnsiTheme="minorHAnsi"/>
                <w:i/>
              </w:rPr>
            </w:pPr>
            <w:r w:rsidRPr="002F4AF3">
              <w:rPr>
                <w:rFonts w:asciiTheme="minorHAnsi" w:hAnsiTheme="minorHAnsi"/>
                <w:i/>
              </w:rPr>
              <w:t xml:space="preserve">in 2014, the PPEA project signed formal synergy agreements with other projects such as the FNPEEJ and PAIAVO in order to build on the results achieved by the UNDP and strengthen the achievements in terms of job creation for 2000 young people and increase their income in the </w:t>
            </w:r>
            <w:proofErr w:type="spellStart"/>
            <w:r w:rsidRPr="002F4AF3">
              <w:rPr>
                <w:rFonts w:asciiTheme="minorHAnsi" w:hAnsiTheme="minorHAnsi"/>
                <w:i/>
              </w:rPr>
              <w:t>Ouémé</w:t>
            </w:r>
            <w:proofErr w:type="spellEnd"/>
            <w:r w:rsidRPr="002F4AF3">
              <w:rPr>
                <w:rFonts w:asciiTheme="minorHAnsi" w:hAnsiTheme="minorHAnsi"/>
                <w:i/>
              </w:rPr>
              <w:t xml:space="preserve"> Valley. </w:t>
            </w:r>
          </w:p>
          <w:p w:rsidR="005C7635" w:rsidRDefault="002F4AF3" w:rsidP="002F4AF3">
            <w:pPr>
              <w:pStyle w:val="BodyText2"/>
              <w:ind w:left="720"/>
              <w:jc w:val="both"/>
              <w:rPr>
                <w:rFonts w:asciiTheme="minorHAnsi" w:hAnsiTheme="minorHAnsi"/>
                <w:i/>
              </w:rPr>
            </w:pPr>
            <w:r w:rsidRPr="002F4AF3">
              <w:rPr>
                <w:rFonts w:asciiTheme="minorHAnsi" w:hAnsiTheme="minorHAnsi"/>
                <w:i/>
              </w:rPr>
              <w:t>With the support of UNDP, the Government has prepared a Joint Employment Project document covering all sectors of the economy and ensuring inclusive development and targeting food security.</w:t>
            </w:r>
          </w:p>
          <w:p w:rsidR="004C4CF9" w:rsidRDefault="004C4CF9" w:rsidP="004C4CF9">
            <w:pPr>
              <w:pStyle w:val="BodyText2"/>
              <w:ind w:left="720"/>
              <w:jc w:val="both"/>
              <w:rPr>
                <w:rFonts w:asciiTheme="minorHAnsi" w:hAnsiTheme="minorHAnsi"/>
                <w:i/>
              </w:rPr>
            </w:pPr>
          </w:p>
          <w:p w:rsidR="005C7635" w:rsidRPr="00AF04CB" w:rsidRDefault="005C7635" w:rsidP="004C4CF9">
            <w:pPr>
              <w:pStyle w:val="BodyText2"/>
              <w:ind w:left="720"/>
              <w:jc w:val="both"/>
              <w:rPr>
                <w:rFonts w:asciiTheme="minorHAnsi" w:hAnsiTheme="minorHAnsi"/>
                <w:i/>
              </w:rPr>
            </w:pPr>
          </w:p>
          <w:p w:rsidR="004637E8" w:rsidRDefault="004637E8" w:rsidP="004637E8">
            <w:pPr>
              <w:pStyle w:val="BodyText2"/>
              <w:numPr>
                <w:ilvl w:val="0"/>
                <w:numId w:val="21"/>
              </w:numPr>
              <w:jc w:val="both"/>
              <w:rPr>
                <w:rFonts w:asciiTheme="minorHAnsi" w:hAnsiTheme="minorHAnsi"/>
                <w:i/>
              </w:rPr>
            </w:pPr>
            <w:r w:rsidRPr="00FE3A75">
              <w:rPr>
                <w:rFonts w:asciiTheme="minorHAnsi" w:hAnsiTheme="minorHAnsi"/>
                <w:b/>
                <w:i/>
              </w:rPr>
              <w:t>Government, local communities and CSOs have the capacity to create an enabling environment for the emergence and development of micro and small and medium enterprises and job creation</w:t>
            </w:r>
            <w:r w:rsidR="00F2269C">
              <w:rPr>
                <w:rFonts w:asciiTheme="minorHAnsi" w:hAnsiTheme="minorHAnsi"/>
                <w:i/>
              </w:rPr>
              <w:t>.</w:t>
            </w:r>
          </w:p>
          <w:p w:rsidR="002F4AF3" w:rsidRDefault="002F4AF3" w:rsidP="00151052">
            <w:pPr>
              <w:pStyle w:val="BodyText2"/>
              <w:ind w:left="720"/>
              <w:jc w:val="both"/>
              <w:rPr>
                <w:rFonts w:asciiTheme="minorHAnsi" w:hAnsiTheme="minorHAnsi"/>
                <w:i/>
              </w:rPr>
            </w:pPr>
            <w:r w:rsidRPr="002F4AF3">
              <w:rPr>
                <w:rFonts w:asciiTheme="minorHAnsi" w:hAnsiTheme="minorHAnsi"/>
                <w:i/>
              </w:rPr>
              <w:t xml:space="preserve">6745 young entrepreneurs benefited from the capacity building through the Business Promotion Centers which also enabled 497 promoters to access the markets. Emergence of model companies that double their workforce as well as their turnover. </w:t>
            </w:r>
            <w:r>
              <w:rPr>
                <w:rFonts w:asciiTheme="minorHAnsi" w:hAnsiTheme="minorHAnsi"/>
                <w:i/>
              </w:rPr>
              <w:t>Indeed, a</w:t>
            </w:r>
            <w:r w:rsidR="00151052" w:rsidRPr="00151052">
              <w:rPr>
                <w:rFonts w:asciiTheme="minorHAnsi" w:hAnsiTheme="minorHAnsi"/>
                <w:i/>
              </w:rPr>
              <w:t xml:space="preserve"> pioneer in the promotion of youth employment since 2008, UNDP, through its actions based on national employment policy, has contributed significantly to the transformation of the </w:t>
            </w:r>
            <w:r w:rsidR="00DC0BBD">
              <w:rPr>
                <w:rFonts w:asciiTheme="minorHAnsi" w:hAnsiTheme="minorHAnsi"/>
                <w:i/>
              </w:rPr>
              <w:t>employment</w:t>
            </w:r>
            <w:r w:rsidR="00151052" w:rsidRPr="00151052">
              <w:rPr>
                <w:rFonts w:asciiTheme="minorHAnsi" w:hAnsiTheme="minorHAnsi"/>
                <w:i/>
              </w:rPr>
              <w:t xml:space="preserve"> ecosystem </w:t>
            </w:r>
            <w:r w:rsidR="0075043E">
              <w:rPr>
                <w:rFonts w:asciiTheme="minorHAnsi" w:hAnsiTheme="minorHAnsi"/>
                <w:i/>
              </w:rPr>
              <w:t xml:space="preserve">and policies </w:t>
            </w:r>
            <w:r w:rsidR="00151052" w:rsidRPr="00151052">
              <w:rPr>
                <w:rFonts w:asciiTheme="minorHAnsi" w:hAnsiTheme="minorHAnsi"/>
                <w:i/>
              </w:rPr>
              <w:t>for the benefit of young people and women. It has given a new strategic dimension to agricultural entrepreneurship geared towards youth and women with a heightened awareness of other donors and the government. It has also contributed to the transformation of the economy by creating a favorable environment, supporting structures responsible for promoting employment and financing SMEs / SMIs through the creation of 3 new Business Promotion Center</w:t>
            </w:r>
            <w:r w:rsidR="00151052">
              <w:rPr>
                <w:rFonts w:asciiTheme="minorHAnsi" w:hAnsiTheme="minorHAnsi"/>
                <w:i/>
              </w:rPr>
              <w:t>.</w:t>
            </w:r>
            <w:r w:rsidR="00DC0BBD">
              <w:t xml:space="preserve"> </w:t>
            </w:r>
            <w:r w:rsidR="00DC0BBD" w:rsidRPr="00DC0BBD">
              <w:rPr>
                <w:rFonts w:asciiTheme="minorHAnsi" w:hAnsiTheme="minorHAnsi"/>
                <w:i/>
              </w:rPr>
              <w:t xml:space="preserve">UNDP has made a significant contribution to the change in the organizational structure of the employment promotion agency by expanding the operational network to support young people in </w:t>
            </w:r>
            <w:r w:rsidR="00DC0BBD" w:rsidRPr="00DC0BBD">
              <w:rPr>
                <w:rFonts w:asciiTheme="minorHAnsi" w:hAnsiTheme="minorHAnsi"/>
                <w:i/>
              </w:rPr>
              <w:lastRenderedPageBreak/>
              <w:t xml:space="preserve">entrepreneurship. UNDP intervention has created a catalytic effect that has drained </w:t>
            </w:r>
            <w:proofErr w:type="gramStart"/>
            <w:r w:rsidR="00DC0BBD" w:rsidRPr="00DC0BBD">
              <w:rPr>
                <w:rFonts w:asciiTheme="minorHAnsi" w:hAnsiTheme="minorHAnsi"/>
                <w:i/>
              </w:rPr>
              <w:t>others</w:t>
            </w:r>
            <w:proofErr w:type="gramEnd"/>
            <w:r w:rsidR="00DC0BBD">
              <w:rPr>
                <w:rFonts w:asciiTheme="minorHAnsi" w:hAnsiTheme="minorHAnsi"/>
                <w:i/>
              </w:rPr>
              <w:t xml:space="preserve"> stakeholders.</w:t>
            </w:r>
            <w:r w:rsidR="00DC0BBD">
              <w:t xml:space="preserve"> </w:t>
            </w:r>
            <w:r w:rsidR="00DC0BBD" w:rsidRPr="00DC0BBD">
              <w:rPr>
                <w:rFonts w:asciiTheme="minorHAnsi" w:hAnsiTheme="minorHAnsi"/>
                <w:i/>
              </w:rPr>
              <w:t>UNDP support has helped to facilitate women's participation in the economic sectors previously reserved for men.</w:t>
            </w:r>
            <w:r w:rsidR="00151052">
              <w:rPr>
                <w:rFonts w:asciiTheme="minorHAnsi" w:hAnsiTheme="minorHAnsi"/>
                <w:i/>
              </w:rPr>
              <w:t xml:space="preserve"> </w:t>
            </w:r>
            <w:r w:rsidR="00DC0BBD">
              <w:rPr>
                <w:rFonts w:asciiTheme="minorHAnsi" w:hAnsiTheme="minorHAnsi"/>
                <w:i/>
              </w:rPr>
              <w:t xml:space="preserve"> </w:t>
            </w:r>
            <w:r w:rsidRPr="002F4AF3">
              <w:rPr>
                <w:rFonts w:asciiTheme="minorHAnsi" w:hAnsiTheme="minorHAnsi"/>
                <w:i/>
              </w:rPr>
              <w:t>Through the Business Development Center, UNDP has facilitated the creation of 1,900 young people in the secondary and tertiary sectors, bringing the total number of young people to 4243, thereby increasing their income. Through the Business Development Center, UNDP facilitated the creation of 2434 youth jobs in the secondary and tertiary sectors, thereby increasing their income. To this must be added the formalization to the OHADA standards of 19 agricultural cooperatives thus providing stable jobs to its 382 members.</w:t>
            </w:r>
          </w:p>
          <w:p w:rsidR="0008289B" w:rsidRPr="0008289B" w:rsidRDefault="0008289B" w:rsidP="0008289B">
            <w:pPr>
              <w:pStyle w:val="BodyText2"/>
              <w:ind w:left="720"/>
              <w:jc w:val="both"/>
              <w:rPr>
                <w:rFonts w:asciiTheme="minorHAnsi" w:hAnsiTheme="minorHAnsi"/>
                <w:i/>
              </w:rPr>
            </w:pPr>
            <w:r w:rsidRPr="0008289B">
              <w:rPr>
                <w:rFonts w:asciiTheme="minorHAnsi" w:hAnsiTheme="minorHAnsi"/>
                <w:i/>
              </w:rPr>
              <w:t>The identified target groups are young people, women through the structures of job creation and entrepreneurship promotion. UNDP interventions strengthened the National Agency for the Promotion of Employment through the creation and operationalization of 9 Business Promotion Centers who have expertise in developing business plans for young people entrepreneurs and their support in seeking funding. UNDP also helped the government build the capacity of young people between the ages of 15 and 35 to make them real entrepreneurs.</w:t>
            </w:r>
            <w:r w:rsidR="00FE3A75">
              <w:t xml:space="preserve"> </w:t>
            </w:r>
            <w:r w:rsidR="00FE3A75" w:rsidRPr="00FE3A75">
              <w:rPr>
                <w:rFonts w:asciiTheme="minorHAnsi" w:hAnsiTheme="minorHAnsi"/>
                <w:i/>
              </w:rPr>
              <w:t>In terms of support and support to the facility, 445 women are beneficiaries on 1780 young people, a rate of about 25%.</w:t>
            </w:r>
          </w:p>
          <w:p w:rsidR="00E160D3" w:rsidRDefault="0008289B" w:rsidP="0008289B">
            <w:pPr>
              <w:pStyle w:val="BodyText2"/>
              <w:ind w:left="720"/>
              <w:jc w:val="both"/>
              <w:rPr>
                <w:rFonts w:asciiTheme="minorHAnsi" w:hAnsiTheme="minorHAnsi"/>
                <w:i/>
              </w:rPr>
            </w:pPr>
            <w:r w:rsidRPr="0008289B">
              <w:rPr>
                <w:rFonts w:asciiTheme="minorHAnsi" w:hAnsiTheme="minorHAnsi"/>
                <w:i/>
              </w:rPr>
              <w:t>UNDP supported the government in establishing a framework for consultation between structures responsible for promoting entrepreneurship and state structures to facilitate access to financing for young entrepreneurs. This framework is already functional.</w:t>
            </w:r>
            <w:r>
              <w:t xml:space="preserve"> </w:t>
            </w:r>
            <w:r w:rsidRPr="0008289B">
              <w:rPr>
                <w:rFonts w:asciiTheme="minorHAnsi" w:hAnsiTheme="minorHAnsi"/>
                <w:i/>
              </w:rPr>
              <w:t xml:space="preserve">In the context of local development, women's empowerment strategies are put in place to promote the effective participation of women in the decision-making process through local school and infrastructure management committees. Production sites have been developed for the benefit of women's groups in the locality of </w:t>
            </w:r>
            <w:proofErr w:type="spellStart"/>
            <w:r w:rsidRPr="0008289B">
              <w:rPr>
                <w:rFonts w:asciiTheme="minorHAnsi" w:hAnsiTheme="minorHAnsi"/>
                <w:i/>
              </w:rPr>
              <w:t>Founougo</w:t>
            </w:r>
            <w:proofErr w:type="spellEnd"/>
            <w:r w:rsidRPr="0008289B">
              <w:rPr>
                <w:rFonts w:asciiTheme="minorHAnsi" w:hAnsiTheme="minorHAnsi"/>
                <w:i/>
              </w:rPr>
              <w:t xml:space="preserve">. </w:t>
            </w:r>
          </w:p>
          <w:p w:rsidR="0008289B" w:rsidRPr="00E160D3" w:rsidRDefault="0008289B" w:rsidP="00E160D3">
            <w:pPr>
              <w:pStyle w:val="BodyText2"/>
              <w:ind w:left="720"/>
              <w:jc w:val="both"/>
              <w:rPr>
                <w:rFonts w:asciiTheme="minorHAnsi" w:hAnsiTheme="minorHAnsi"/>
                <w:i/>
              </w:rPr>
            </w:pPr>
          </w:p>
          <w:p w:rsidR="00EC4D8C" w:rsidRPr="00FE3A75" w:rsidRDefault="001E39D4" w:rsidP="001E39D4">
            <w:pPr>
              <w:pStyle w:val="BodyText2"/>
              <w:numPr>
                <w:ilvl w:val="0"/>
                <w:numId w:val="21"/>
              </w:numPr>
              <w:jc w:val="both"/>
              <w:rPr>
                <w:rFonts w:asciiTheme="minorHAnsi" w:hAnsiTheme="minorHAnsi"/>
                <w:b/>
                <w:i/>
              </w:rPr>
            </w:pPr>
            <w:r w:rsidRPr="00FE3A75">
              <w:rPr>
                <w:rFonts w:asciiTheme="minorHAnsi" w:hAnsiTheme="minorHAnsi"/>
                <w:b/>
                <w:i/>
              </w:rPr>
              <w:t>Grassroots communities, poor people and vulnerable groups have increased capacities (social safety nets, income transfer, appropriate technologies and technologies) to ensure their food security and access to markets</w:t>
            </w:r>
            <w:r w:rsidR="00166254" w:rsidRPr="00FE3A75">
              <w:rPr>
                <w:rFonts w:asciiTheme="minorHAnsi" w:hAnsiTheme="minorHAnsi"/>
                <w:b/>
                <w:i/>
              </w:rPr>
              <w:t>.</w:t>
            </w:r>
          </w:p>
          <w:p w:rsidR="00E160D3" w:rsidRPr="00E160D3" w:rsidRDefault="00166254" w:rsidP="00E160D3">
            <w:pPr>
              <w:pStyle w:val="BodyText2"/>
              <w:ind w:left="720"/>
              <w:jc w:val="both"/>
              <w:rPr>
                <w:rFonts w:asciiTheme="minorHAnsi" w:hAnsiTheme="minorHAnsi"/>
                <w:i/>
              </w:rPr>
            </w:pPr>
            <w:r w:rsidRPr="00166254">
              <w:rPr>
                <w:rFonts w:asciiTheme="minorHAnsi" w:hAnsiTheme="minorHAnsi"/>
                <w:i/>
              </w:rPr>
              <w:t>UNDP has helped the Government through the Millennium Village Project (PVM) to set up village infrastructure to reduce poverty and improve the social well-be</w:t>
            </w:r>
            <w:r>
              <w:rPr>
                <w:rFonts w:asciiTheme="minorHAnsi" w:hAnsiTheme="minorHAnsi"/>
                <w:i/>
              </w:rPr>
              <w:t>ing of vulnerable populations</w:t>
            </w:r>
            <w:r w:rsidR="003E28FF">
              <w:rPr>
                <w:rFonts w:asciiTheme="minorHAnsi" w:hAnsiTheme="minorHAnsi"/>
                <w:i/>
              </w:rPr>
              <w:t xml:space="preserve"> and their aptitudes and productivity (c</w:t>
            </w:r>
            <w:r>
              <w:rPr>
                <w:rFonts w:asciiTheme="minorHAnsi" w:hAnsiTheme="minorHAnsi"/>
                <w:i/>
              </w:rPr>
              <w:t xml:space="preserve">onstruction of 3 </w:t>
            </w:r>
            <w:r w:rsidRPr="00166254">
              <w:rPr>
                <w:rFonts w:asciiTheme="minorHAnsi" w:hAnsiTheme="minorHAnsi"/>
                <w:i/>
              </w:rPr>
              <w:t>Storage infrastructures</w:t>
            </w:r>
            <w:r>
              <w:rPr>
                <w:rFonts w:asciiTheme="minorHAnsi" w:hAnsiTheme="minorHAnsi"/>
                <w:i/>
              </w:rPr>
              <w:t xml:space="preserve"> where there was any</w:t>
            </w:r>
            <w:r w:rsidRPr="00166254">
              <w:rPr>
                <w:rFonts w:asciiTheme="minorHAnsi" w:hAnsiTheme="minorHAnsi"/>
                <w:i/>
              </w:rPr>
              <w:t xml:space="preserve">, </w:t>
            </w:r>
            <w:r>
              <w:rPr>
                <w:rFonts w:asciiTheme="minorHAnsi" w:hAnsiTheme="minorHAnsi"/>
                <w:i/>
              </w:rPr>
              <w:t xml:space="preserve">production </w:t>
            </w:r>
            <w:r w:rsidRPr="00166254">
              <w:rPr>
                <w:rFonts w:asciiTheme="minorHAnsi" w:hAnsiTheme="minorHAnsi"/>
                <w:i/>
              </w:rPr>
              <w:t>equipment, 56 classrooms, school latrines</w:t>
            </w:r>
            <w:r w:rsidR="003E28FF">
              <w:rPr>
                <w:rFonts w:asciiTheme="minorHAnsi" w:hAnsiTheme="minorHAnsi"/>
                <w:i/>
              </w:rPr>
              <w:t>)</w:t>
            </w:r>
            <w:r>
              <w:rPr>
                <w:rFonts w:asciiTheme="minorHAnsi" w:hAnsiTheme="minorHAnsi"/>
                <w:i/>
              </w:rPr>
              <w:t xml:space="preserve">. 11 </w:t>
            </w:r>
            <w:r w:rsidRPr="00166254">
              <w:rPr>
                <w:rFonts w:asciiTheme="minorHAnsi" w:hAnsiTheme="minorHAnsi"/>
                <w:i/>
              </w:rPr>
              <w:t xml:space="preserve">cooperatives </w:t>
            </w:r>
            <w:proofErr w:type="gramStart"/>
            <w:r w:rsidR="003E28FF">
              <w:rPr>
                <w:rFonts w:asciiTheme="minorHAnsi" w:hAnsiTheme="minorHAnsi"/>
                <w:i/>
              </w:rPr>
              <w:t>was</w:t>
            </w:r>
            <w:proofErr w:type="gramEnd"/>
            <w:r w:rsidR="003E28FF">
              <w:rPr>
                <w:rFonts w:asciiTheme="minorHAnsi" w:hAnsiTheme="minorHAnsi"/>
                <w:i/>
              </w:rPr>
              <w:t xml:space="preserve"> set up </w:t>
            </w:r>
            <w:r w:rsidRPr="00166254">
              <w:rPr>
                <w:rFonts w:asciiTheme="minorHAnsi" w:hAnsiTheme="minorHAnsi"/>
                <w:i/>
              </w:rPr>
              <w:t>with a workforce of 608 households</w:t>
            </w:r>
            <w:r>
              <w:rPr>
                <w:rFonts w:asciiTheme="minorHAnsi" w:hAnsiTheme="minorHAnsi"/>
                <w:i/>
              </w:rPr>
              <w:t xml:space="preserve"> by 2013</w:t>
            </w:r>
            <w:r w:rsidR="00F2269C">
              <w:rPr>
                <w:rFonts w:asciiTheme="minorHAnsi" w:hAnsiTheme="minorHAnsi"/>
                <w:i/>
              </w:rPr>
              <w:t xml:space="preserve">. </w:t>
            </w:r>
            <w:r w:rsidR="00F2269C" w:rsidRPr="00F2269C">
              <w:rPr>
                <w:rFonts w:asciiTheme="minorHAnsi" w:hAnsiTheme="minorHAnsi"/>
                <w:i/>
              </w:rPr>
              <w:t>445 women out of 1,780 beneficiaries (25%) benefited from capacity building and support for income-generating activities. Women's empowerment strategies have been conducted to promote the effective participation of women in the decision-making process through local school and infrastructure management committees. Other income-generating activities have been specifically identified for women's groups.</w:t>
            </w:r>
            <w:r w:rsidR="00E160D3">
              <w:t xml:space="preserve"> </w:t>
            </w:r>
            <w:r w:rsidR="00E160D3" w:rsidRPr="00E160D3">
              <w:rPr>
                <w:rFonts w:asciiTheme="minorHAnsi" w:hAnsiTheme="minorHAnsi"/>
                <w:i/>
              </w:rPr>
              <w:t xml:space="preserve">To this, it should be added that 918 co-operators (including 360 women) have improved their skills in the field of soil fertility management while adopting cultivation techniques favorable to the protection of the environment (soil restoration techniques through the use of </w:t>
            </w:r>
            <w:proofErr w:type="spellStart"/>
            <w:r w:rsidR="00E160D3" w:rsidRPr="00E160D3">
              <w:rPr>
                <w:rFonts w:asciiTheme="minorHAnsi" w:hAnsiTheme="minorHAnsi"/>
                <w:i/>
              </w:rPr>
              <w:t>Mucuna</w:t>
            </w:r>
            <w:proofErr w:type="spellEnd"/>
            <w:r w:rsidR="00E160D3" w:rsidRPr="00E160D3">
              <w:rPr>
                <w:rFonts w:asciiTheme="minorHAnsi" w:hAnsiTheme="minorHAnsi"/>
                <w:i/>
              </w:rPr>
              <w:t xml:space="preserve"> and Soybean production). This has contributed to an increase of nearly 30% of their production, therefore of their income, and has made it possible to ensure the food secu</w:t>
            </w:r>
            <w:r w:rsidR="00E160D3">
              <w:rPr>
                <w:rFonts w:asciiTheme="minorHAnsi" w:hAnsiTheme="minorHAnsi"/>
                <w:i/>
              </w:rPr>
              <w:t>rity of these households</w:t>
            </w:r>
            <w:r w:rsidR="00E160D3" w:rsidRPr="00E160D3">
              <w:rPr>
                <w:rFonts w:asciiTheme="minorHAnsi" w:hAnsiTheme="minorHAnsi"/>
                <w:i/>
              </w:rPr>
              <w:t>.</w:t>
            </w:r>
          </w:p>
          <w:p w:rsidR="00F2269C" w:rsidRDefault="003E28FF" w:rsidP="00E160D3">
            <w:pPr>
              <w:pStyle w:val="BodyText2"/>
              <w:ind w:left="720"/>
              <w:jc w:val="both"/>
              <w:rPr>
                <w:rFonts w:asciiTheme="minorHAnsi" w:hAnsiTheme="minorHAnsi"/>
                <w:i/>
              </w:rPr>
            </w:pPr>
            <w:r>
              <w:rPr>
                <w:rFonts w:asciiTheme="minorHAnsi" w:hAnsiTheme="minorHAnsi"/>
                <w:i/>
              </w:rPr>
              <w:t xml:space="preserve">The </w:t>
            </w:r>
            <w:r w:rsidR="00E160D3" w:rsidRPr="00E160D3">
              <w:rPr>
                <w:rFonts w:asciiTheme="minorHAnsi" w:hAnsiTheme="minorHAnsi"/>
                <w:i/>
              </w:rPr>
              <w:t>yield of agricultural production from 3 villages (totaling a population of nearly 17,000 inhabitants in 2015) has been improved by 109% thus contributing to improving the security of 5448 people and increase the incomes of 918 households. The success obtained motivated the Government to extend this project at the municipal level.</w:t>
            </w:r>
            <w:r w:rsidR="00F2269C" w:rsidRPr="00F2269C">
              <w:rPr>
                <w:rFonts w:asciiTheme="minorHAnsi" w:hAnsiTheme="minorHAnsi"/>
                <w:i/>
              </w:rPr>
              <w:t xml:space="preserve"> </w:t>
            </w:r>
            <w:r w:rsidR="00E160D3">
              <w:rPr>
                <w:rFonts w:asciiTheme="minorHAnsi" w:hAnsiTheme="minorHAnsi"/>
                <w:i/>
              </w:rPr>
              <w:t>T</w:t>
            </w:r>
            <w:r w:rsidR="00F2269C" w:rsidRPr="00F2269C">
              <w:rPr>
                <w:rFonts w:asciiTheme="minorHAnsi" w:hAnsiTheme="minorHAnsi"/>
                <w:i/>
              </w:rPr>
              <w:t>he food security of more than 6,000 people has increased by 109%. 999 poor and vulnerable households benefited from support for the establishment of Income Generating Activities (IGAs) allowing them to diversify and increase their sources of income</w:t>
            </w:r>
            <w:r w:rsidR="00FE3A75">
              <w:rPr>
                <w:rFonts w:asciiTheme="minorHAnsi" w:hAnsiTheme="minorHAnsi"/>
                <w:i/>
              </w:rPr>
              <w:t xml:space="preserve">. </w:t>
            </w:r>
            <w:r w:rsidR="00FE3A75" w:rsidRPr="00FE3A75">
              <w:rPr>
                <w:rFonts w:asciiTheme="minorHAnsi" w:hAnsiTheme="minorHAnsi"/>
                <w:i/>
              </w:rPr>
              <w:t>A new agribusiness project is thus being developed. 6586 young entrepreneurs are trained and assisted in business creation, 9932 have been trained and supported with regards to market access and financing search, 300 have been supported to have their business plans funded</w:t>
            </w:r>
          </w:p>
          <w:p w:rsidR="0008289B" w:rsidRPr="00EC4D8C" w:rsidRDefault="0008289B" w:rsidP="0008289B">
            <w:pPr>
              <w:pStyle w:val="BodyText2"/>
              <w:ind w:left="720"/>
              <w:jc w:val="both"/>
              <w:rPr>
                <w:rFonts w:asciiTheme="minorHAnsi" w:hAnsiTheme="minorHAnsi"/>
                <w:i/>
              </w:rPr>
            </w:pPr>
            <w:r w:rsidRPr="0008289B">
              <w:rPr>
                <w:rFonts w:asciiTheme="minorHAnsi" w:hAnsiTheme="minorHAnsi"/>
                <w:i/>
              </w:rPr>
              <w:t>Women in the intervention areas were trained and equipped. For example, the PPEA Project trained and installed 135 women. Of these, 60 created their own farms and 75 benefited from credit agreements with Microfinance Institutions. Other Income Generating Activities (such as rabbit breeding) have specifically identified for women's groups</w:t>
            </w:r>
          </w:p>
          <w:p w:rsidR="00700521" w:rsidRPr="00DC7354" w:rsidRDefault="00700521" w:rsidP="003E28FF">
            <w:pPr>
              <w:pStyle w:val="BodyText2"/>
              <w:ind w:left="720"/>
              <w:jc w:val="both"/>
              <w:rPr>
                <w:rFonts w:asciiTheme="minorHAnsi" w:hAnsiTheme="minorHAnsi"/>
              </w:rPr>
            </w:pPr>
          </w:p>
        </w:tc>
      </w:tr>
      <w:tr w:rsidR="003B037A" w:rsidRPr="00DC7354" w:rsidTr="00F93487">
        <w:tc>
          <w:tcPr>
            <w:tcW w:w="3060" w:type="dxa"/>
            <w:shd w:val="clear" w:color="auto" w:fill="95B3D7" w:themeFill="accent1" w:themeFillTint="99"/>
          </w:tcPr>
          <w:p w:rsidR="005C1046" w:rsidRPr="001F20D0" w:rsidRDefault="005C1046" w:rsidP="004C4CF9">
            <w:pPr>
              <w:pStyle w:val="BodyText2"/>
              <w:jc w:val="both"/>
              <w:rPr>
                <w:rFonts w:asciiTheme="minorHAnsi" w:hAnsiTheme="minorHAnsi"/>
                <w:b/>
                <w:lang w:val="fr-FR"/>
              </w:rPr>
            </w:pPr>
            <w:r w:rsidRPr="001F20D0">
              <w:rPr>
                <w:rFonts w:asciiTheme="minorHAnsi" w:hAnsiTheme="minorHAnsi"/>
                <w:b/>
                <w:lang w:val="fr-FR"/>
              </w:rPr>
              <w:lastRenderedPageBreak/>
              <w:t xml:space="preserve">Component 2. </w:t>
            </w:r>
          </w:p>
          <w:p w:rsidR="005C1046" w:rsidRPr="001F20D0" w:rsidRDefault="005C1046" w:rsidP="005C1046">
            <w:pPr>
              <w:pStyle w:val="BodyText2"/>
              <w:jc w:val="both"/>
              <w:rPr>
                <w:rFonts w:asciiTheme="minorHAnsi" w:hAnsiTheme="minorHAnsi"/>
                <w:i/>
                <w:lang w:val="fr-FR"/>
              </w:rPr>
            </w:pPr>
            <w:r w:rsidRPr="001F20D0">
              <w:rPr>
                <w:rFonts w:asciiTheme="minorHAnsi" w:hAnsiTheme="minorHAnsi"/>
                <w:b/>
                <w:lang w:val="fr-FR"/>
              </w:rPr>
              <w:t xml:space="preserve">Gouvernance, participation et </w:t>
            </w:r>
            <w:proofErr w:type="gramStart"/>
            <w:r w:rsidRPr="001F20D0">
              <w:rPr>
                <w:rFonts w:asciiTheme="minorHAnsi" w:hAnsiTheme="minorHAnsi"/>
                <w:b/>
                <w:lang w:val="fr-FR"/>
              </w:rPr>
              <w:t>décentralisation</w:t>
            </w:r>
            <w:r w:rsidR="00BD2655" w:rsidRPr="001F20D0">
              <w:rPr>
                <w:rFonts w:asciiTheme="minorHAnsi" w:hAnsiTheme="minorHAnsi"/>
                <w:b/>
                <w:lang w:val="fr-FR"/>
              </w:rPr>
              <w:t>:</w:t>
            </w:r>
            <w:proofErr w:type="gramEnd"/>
            <w:r w:rsidR="00BD2655" w:rsidRPr="001F20D0">
              <w:rPr>
                <w:rFonts w:asciiTheme="minorHAnsi" w:hAnsiTheme="minorHAnsi"/>
                <w:b/>
                <w:lang w:val="fr-FR"/>
              </w:rPr>
              <w:t xml:space="preserve"> </w:t>
            </w:r>
          </w:p>
          <w:p w:rsidR="003B037A" w:rsidRPr="00525078" w:rsidRDefault="005C1046" w:rsidP="005C1046">
            <w:pPr>
              <w:pStyle w:val="BodyText2"/>
              <w:jc w:val="both"/>
              <w:rPr>
                <w:rFonts w:asciiTheme="minorHAnsi" w:hAnsiTheme="minorHAnsi"/>
                <w:i/>
              </w:rPr>
            </w:pPr>
            <w:r w:rsidRPr="005C1046">
              <w:rPr>
                <w:rFonts w:asciiTheme="minorHAnsi" w:hAnsiTheme="minorHAnsi"/>
                <w:i/>
              </w:rPr>
              <w:t>By the end of 2018, national and local institutions are increasingly applying best practices and principles of inclusive, transparent and accountable governance.</w:t>
            </w:r>
          </w:p>
        </w:tc>
        <w:tc>
          <w:tcPr>
            <w:tcW w:w="1530" w:type="dxa"/>
            <w:gridSpan w:val="2"/>
            <w:shd w:val="clear" w:color="auto" w:fill="auto"/>
          </w:tcPr>
          <w:p w:rsidR="003B037A" w:rsidRPr="00DC7354" w:rsidRDefault="003B037A">
            <w:pPr>
              <w:pStyle w:val="BodyText2"/>
              <w:rPr>
                <w:rFonts w:asciiTheme="minorHAnsi" w:hAnsiTheme="minorHAnsi"/>
              </w:rPr>
            </w:pPr>
            <w:r w:rsidRPr="00DC7354">
              <w:rPr>
                <w:rFonts w:asciiTheme="minorHAnsi" w:hAnsiTheme="minorHAnsi"/>
              </w:rPr>
              <w:t>$</w:t>
            </w:r>
            <w:r w:rsidR="005C1046">
              <w:rPr>
                <w:rFonts w:asciiTheme="minorHAnsi" w:hAnsiTheme="minorHAnsi"/>
              </w:rPr>
              <w:t>11,726</w:t>
            </w:r>
            <w:r w:rsidR="00F777F6" w:rsidRPr="00F777F6">
              <w:rPr>
                <w:rFonts w:asciiTheme="minorHAnsi" w:hAnsiTheme="minorHAnsi"/>
              </w:rPr>
              <w:t>,</w:t>
            </w:r>
            <w:r w:rsidR="005C1046">
              <w:rPr>
                <w:rFonts w:asciiTheme="minorHAnsi" w:hAnsiTheme="minorHAnsi"/>
              </w:rPr>
              <w:t>939</w:t>
            </w:r>
          </w:p>
        </w:tc>
        <w:tc>
          <w:tcPr>
            <w:tcW w:w="3184" w:type="dxa"/>
            <w:tcBorders>
              <w:left w:val="single" w:sz="4" w:space="0" w:color="auto"/>
            </w:tcBorders>
          </w:tcPr>
          <w:p w:rsidR="003B037A" w:rsidRPr="00920DBC" w:rsidRDefault="005C1046" w:rsidP="004C4CF9">
            <w:pPr>
              <w:pStyle w:val="BodyText2"/>
              <w:numPr>
                <w:ilvl w:val="0"/>
                <w:numId w:val="15"/>
              </w:numPr>
              <w:jc w:val="both"/>
              <w:rPr>
                <w:rFonts w:asciiTheme="minorHAnsi" w:hAnsiTheme="minorHAnsi"/>
                <w:i/>
              </w:rPr>
            </w:pPr>
            <w:r>
              <w:rPr>
                <w:rFonts w:asciiTheme="minorHAnsi" w:hAnsiTheme="minorHAnsi"/>
                <w:i/>
              </w:rPr>
              <w:t>Rate of implementation of Budget financed on national revenue</w:t>
            </w:r>
          </w:p>
          <w:p w:rsidR="00E17443" w:rsidRDefault="00E17443" w:rsidP="004C4CF9">
            <w:pPr>
              <w:pStyle w:val="BodyText2"/>
              <w:ind w:left="360"/>
              <w:jc w:val="both"/>
              <w:rPr>
                <w:rFonts w:asciiTheme="minorHAnsi" w:hAnsiTheme="minorHAnsi"/>
                <w:i/>
              </w:rPr>
            </w:pPr>
          </w:p>
          <w:p w:rsidR="00DC6B2C" w:rsidRPr="00E17443" w:rsidRDefault="00DC6B2C" w:rsidP="004C4CF9">
            <w:pPr>
              <w:pStyle w:val="BodyText2"/>
              <w:ind w:left="360"/>
              <w:jc w:val="both"/>
              <w:rPr>
                <w:rFonts w:asciiTheme="minorHAnsi" w:hAnsiTheme="minorHAnsi"/>
                <w:i/>
              </w:rPr>
            </w:pPr>
          </w:p>
          <w:p w:rsidR="003B037A" w:rsidRPr="00B55B85" w:rsidRDefault="005C1046" w:rsidP="004C4CF9">
            <w:pPr>
              <w:pStyle w:val="BodyText2"/>
              <w:numPr>
                <w:ilvl w:val="0"/>
                <w:numId w:val="15"/>
              </w:numPr>
              <w:jc w:val="both"/>
              <w:rPr>
                <w:rFonts w:asciiTheme="minorHAnsi" w:hAnsiTheme="minorHAnsi"/>
                <w:i/>
              </w:rPr>
            </w:pPr>
            <w:r>
              <w:rPr>
                <w:rFonts w:asciiTheme="minorHAnsi" w:hAnsiTheme="minorHAnsi"/>
                <w:i/>
                <w:lang w:val="en-GB"/>
              </w:rPr>
              <w:t>Rate of implementation of investment budget in target Communes</w:t>
            </w:r>
          </w:p>
          <w:p w:rsidR="00B55B85" w:rsidRDefault="00B55B85" w:rsidP="004C4CF9">
            <w:pPr>
              <w:pStyle w:val="BodyText2"/>
              <w:jc w:val="both"/>
              <w:rPr>
                <w:rFonts w:asciiTheme="minorHAnsi" w:hAnsiTheme="minorHAnsi"/>
                <w:i/>
                <w:lang w:val="en-GB"/>
              </w:rPr>
            </w:pPr>
          </w:p>
          <w:p w:rsidR="00B55B85" w:rsidRDefault="00B55B85" w:rsidP="004C4CF9">
            <w:pPr>
              <w:pStyle w:val="BodyText2"/>
              <w:jc w:val="both"/>
              <w:rPr>
                <w:rFonts w:asciiTheme="minorHAnsi" w:hAnsiTheme="minorHAnsi"/>
                <w:i/>
                <w:lang w:val="en-GB"/>
              </w:rPr>
            </w:pPr>
          </w:p>
          <w:p w:rsidR="00B55B85" w:rsidRPr="00B55B85" w:rsidRDefault="00B55B85" w:rsidP="004C4CF9">
            <w:pPr>
              <w:pStyle w:val="BodyText2"/>
              <w:jc w:val="both"/>
              <w:rPr>
                <w:rFonts w:asciiTheme="minorHAnsi" w:hAnsiTheme="minorHAnsi"/>
                <w:i/>
              </w:rPr>
            </w:pPr>
          </w:p>
          <w:p w:rsidR="00B55B85" w:rsidRPr="00C33A75" w:rsidRDefault="00C33A75" w:rsidP="00C33A75">
            <w:pPr>
              <w:pStyle w:val="BodyText2"/>
              <w:numPr>
                <w:ilvl w:val="0"/>
                <w:numId w:val="15"/>
              </w:numPr>
              <w:jc w:val="both"/>
              <w:rPr>
                <w:rFonts w:asciiTheme="minorHAnsi" w:hAnsiTheme="minorHAnsi"/>
                <w:i/>
              </w:rPr>
            </w:pPr>
            <w:r w:rsidRPr="00C33A75">
              <w:rPr>
                <w:rFonts w:asciiTheme="minorHAnsi" w:hAnsiTheme="minorHAnsi"/>
                <w:i/>
                <w:lang w:val="en-GB"/>
              </w:rPr>
              <w:t xml:space="preserve">Number of </w:t>
            </w:r>
            <w:r>
              <w:rPr>
                <w:rFonts w:asciiTheme="minorHAnsi" w:hAnsiTheme="minorHAnsi"/>
                <w:i/>
                <w:lang w:val="en-GB"/>
              </w:rPr>
              <w:t>Budget Acts</w:t>
            </w:r>
            <w:r w:rsidRPr="00C33A75">
              <w:rPr>
                <w:rFonts w:asciiTheme="minorHAnsi" w:hAnsiTheme="minorHAnsi"/>
                <w:i/>
                <w:lang w:val="en-GB"/>
              </w:rPr>
              <w:t xml:space="preserve"> passed during a legislature</w:t>
            </w:r>
          </w:p>
          <w:p w:rsidR="00C33A75" w:rsidRDefault="00C33A75" w:rsidP="00C33A75">
            <w:pPr>
              <w:pStyle w:val="BodyText2"/>
              <w:ind w:left="360"/>
              <w:jc w:val="both"/>
              <w:rPr>
                <w:rFonts w:asciiTheme="minorHAnsi" w:hAnsiTheme="minorHAnsi"/>
                <w:i/>
              </w:rPr>
            </w:pPr>
          </w:p>
          <w:p w:rsidR="00C33A75" w:rsidRPr="00C33A75" w:rsidRDefault="00C33A75" w:rsidP="00C33A75">
            <w:pPr>
              <w:pStyle w:val="BodyText2"/>
              <w:ind w:left="360"/>
              <w:jc w:val="both"/>
              <w:rPr>
                <w:rFonts w:asciiTheme="minorHAnsi" w:hAnsiTheme="minorHAnsi"/>
                <w:i/>
              </w:rPr>
            </w:pPr>
          </w:p>
          <w:p w:rsidR="00C33A75" w:rsidRPr="00920DBC" w:rsidRDefault="00C33A75" w:rsidP="00C33A75">
            <w:pPr>
              <w:pStyle w:val="BodyText2"/>
              <w:numPr>
                <w:ilvl w:val="0"/>
                <w:numId w:val="15"/>
              </w:numPr>
              <w:jc w:val="both"/>
              <w:rPr>
                <w:rFonts w:asciiTheme="minorHAnsi" w:hAnsiTheme="minorHAnsi"/>
                <w:i/>
              </w:rPr>
            </w:pPr>
            <w:r>
              <w:rPr>
                <w:rFonts w:asciiTheme="minorHAnsi" w:hAnsiTheme="minorHAnsi"/>
                <w:i/>
              </w:rPr>
              <w:t>Number of Communes producing their Social Dashboard each year</w:t>
            </w:r>
          </w:p>
        </w:tc>
        <w:tc>
          <w:tcPr>
            <w:tcW w:w="6266" w:type="dxa"/>
            <w:shd w:val="clear" w:color="auto" w:fill="auto"/>
          </w:tcPr>
          <w:p w:rsidR="00C33A75" w:rsidRDefault="00DF1862" w:rsidP="00DF1862">
            <w:pPr>
              <w:pStyle w:val="BodyText2"/>
              <w:numPr>
                <w:ilvl w:val="0"/>
                <w:numId w:val="16"/>
              </w:numPr>
              <w:jc w:val="both"/>
              <w:rPr>
                <w:rFonts w:asciiTheme="minorHAnsi" w:hAnsiTheme="minorHAnsi"/>
                <w:i/>
              </w:rPr>
            </w:pPr>
            <w:r>
              <w:rPr>
                <w:rFonts w:asciiTheme="minorHAnsi" w:hAnsiTheme="minorHAnsi"/>
                <w:i/>
              </w:rPr>
              <w:t xml:space="preserve">Investment Budget financed on own resources </w:t>
            </w:r>
            <w:proofErr w:type="gramStart"/>
            <w:r>
              <w:rPr>
                <w:rFonts w:asciiTheme="minorHAnsi" w:hAnsiTheme="minorHAnsi"/>
                <w:i/>
              </w:rPr>
              <w:t xml:space="preserve">rate </w:t>
            </w:r>
            <w:r w:rsidRPr="00DF1862">
              <w:rPr>
                <w:rFonts w:asciiTheme="minorHAnsi" w:hAnsiTheme="minorHAnsi"/>
                <w:i/>
              </w:rPr>
              <w:t xml:space="preserve"> increased</w:t>
            </w:r>
            <w:proofErr w:type="gramEnd"/>
            <w:r w:rsidRPr="00DF1862">
              <w:rPr>
                <w:rFonts w:asciiTheme="minorHAnsi" w:hAnsiTheme="minorHAnsi"/>
                <w:i/>
              </w:rPr>
              <w:t xml:space="preserve"> from 59% in 2014 to 75.93% in 2016</w:t>
            </w:r>
            <w:r w:rsidR="00C33A75">
              <w:rPr>
                <w:rFonts w:asciiTheme="minorHAnsi" w:hAnsiTheme="minorHAnsi"/>
                <w:i/>
              </w:rPr>
              <w:t>.</w:t>
            </w:r>
          </w:p>
          <w:p w:rsidR="00C33A75" w:rsidRDefault="00C33A75" w:rsidP="00C33A75">
            <w:pPr>
              <w:pStyle w:val="BodyText2"/>
              <w:ind w:left="360"/>
              <w:jc w:val="both"/>
              <w:rPr>
                <w:rFonts w:asciiTheme="minorHAnsi" w:hAnsiTheme="minorHAnsi"/>
                <w:i/>
              </w:rPr>
            </w:pPr>
          </w:p>
          <w:p w:rsidR="00C33A75" w:rsidRDefault="00C33A75" w:rsidP="00C33A75">
            <w:pPr>
              <w:pStyle w:val="BodyText2"/>
              <w:ind w:left="360"/>
              <w:jc w:val="both"/>
              <w:rPr>
                <w:rFonts w:asciiTheme="minorHAnsi" w:hAnsiTheme="minorHAnsi"/>
                <w:i/>
              </w:rPr>
            </w:pPr>
          </w:p>
          <w:p w:rsidR="00546DF6" w:rsidRDefault="00546DF6" w:rsidP="00C33A75">
            <w:pPr>
              <w:pStyle w:val="BodyText2"/>
              <w:ind w:left="360"/>
              <w:jc w:val="both"/>
              <w:rPr>
                <w:rFonts w:asciiTheme="minorHAnsi" w:hAnsiTheme="minorHAnsi"/>
                <w:i/>
              </w:rPr>
            </w:pPr>
          </w:p>
          <w:p w:rsidR="00C33A75" w:rsidRDefault="007C5A24" w:rsidP="00C33A75">
            <w:pPr>
              <w:pStyle w:val="BodyText2"/>
              <w:numPr>
                <w:ilvl w:val="0"/>
                <w:numId w:val="16"/>
              </w:numPr>
              <w:jc w:val="both"/>
              <w:rPr>
                <w:rFonts w:asciiTheme="minorHAnsi" w:hAnsiTheme="minorHAnsi"/>
                <w:i/>
              </w:rPr>
            </w:pPr>
            <w:r>
              <w:rPr>
                <w:rFonts w:asciiTheme="minorHAnsi" w:hAnsiTheme="minorHAnsi"/>
                <w:i/>
              </w:rPr>
              <w:t>The rate</w:t>
            </w:r>
            <w:r w:rsidR="00C33A75">
              <w:rPr>
                <w:rFonts w:asciiTheme="minorHAnsi" w:hAnsiTheme="minorHAnsi"/>
                <w:i/>
              </w:rPr>
              <w:t xml:space="preserve"> of investment budgets </w:t>
            </w:r>
            <w:proofErr w:type="gramStart"/>
            <w:r w:rsidR="00C33A75">
              <w:rPr>
                <w:rFonts w:asciiTheme="minorHAnsi" w:hAnsiTheme="minorHAnsi"/>
                <w:i/>
              </w:rPr>
              <w:t>have</w:t>
            </w:r>
            <w:proofErr w:type="gramEnd"/>
            <w:r w:rsidR="00C33A75">
              <w:rPr>
                <w:rFonts w:asciiTheme="minorHAnsi" w:hAnsiTheme="minorHAnsi"/>
                <w:i/>
              </w:rPr>
              <w:t xml:space="preserve"> increased from 59 to 65% in the selected Communes. </w:t>
            </w:r>
          </w:p>
          <w:p w:rsidR="00B95D24" w:rsidRDefault="00B95D24" w:rsidP="00C33A75">
            <w:pPr>
              <w:pStyle w:val="BodyText2"/>
              <w:ind w:left="360"/>
              <w:jc w:val="both"/>
              <w:rPr>
                <w:rFonts w:asciiTheme="minorHAnsi" w:hAnsiTheme="minorHAnsi"/>
                <w:i/>
              </w:rPr>
            </w:pPr>
          </w:p>
          <w:p w:rsidR="00B95D24" w:rsidRDefault="00B95D24" w:rsidP="004C4CF9">
            <w:pPr>
              <w:pStyle w:val="ListParagraph"/>
              <w:jc w:val="both"/>
              <w:rPr>
                <w:rFonts w:asciiTheme="minorHAnsi" w:hAnsiTheme="minorHAnsi"/>
                <w:i/>
              </w:rPr>
            </w:pPr>
          </w:p>
          <w:p w:rsidR="00546DF6" w:rsidRDefault="00546DF6" w:rsidP="004C4CF9">
            <w:pPr>
              <w:pStyle w:val="ListParagraph"/>
              <w:jc w:val="both"/>
              <w:rPr>
                <w:rFonts w:asciiTheme="minorHAnsi" w:hAnsiTheme="minorHAnsi"/>
                <w:i/>
              </w:rPr>
            </w:pPr>
          </w:p>
          <w:p w:rsidR="005C256C" w:rsidRDefault="005C256C" w:rsidP="004C4CF9">
            <w:pPr>
              <w:pStyle w:val="ListParagraph"/>
              <w:jc w:val="both"/>
              <w:rPr>
                <w:rFonts w:asciiTheme="minorHAnsi" w:hAnsiTheme="minorHAnsi"/>
                <w:i/>
              </w:rPr>
            </w:pPr>
          </w:p>
          <w:p w:rsidR="00C33A75" w:rsidRDefault="00C33A75" w:rsidP="00C33A75">
            <w:pPr>
              <w:pStyle w:val="BodyText2"/>
              <w:numPr>
                <w:ilvl w:val="0"/>
                <w:numId w:val="16"/>
              </w:numPr>
              <w:jc w:val="both"/>
              <w:rPr>
                <w:rFonts w:asciiTheme="minorHAnsi" w:hAnsiTheme="minorHAnsi"/>
                <w:i/>
              </w:rPr>
            </w:pPr>
            <w:r w:rsidRPr="00C33A75">
              <w:rPr>
                <w:rFonts w:asciiTheme="minorHAnsi" w:hAnsiTheme="minorHAnsi"/>
                <w:i/>
              </w:rPr>
              <w:t>Number of Budget Acts passed during legislature 6 in 2014, 12 in 2017</w:t>
            </w:r>
          </w:p>
          <w:p w:rsidR="00C33A75" w:rsidRDefault="00C33A75" w:rsidP="00C33A75">
            <w:pPr>
              <w:pStyle w:val="BodyText2"/>
              <w:ind w:left="360"/>
              <w:jc w:val="both"/>
              <w:rPr>
                <w:rFonts w:asciiTheme="minorHAnsi" w:hAnsiTheme="minorHAnsi"/>
                <w:i/>
              </w:rPr>
            </w:pPr>
          </w:p>
          <w:p w:rsidR="00546DF6" w:rsidRDefault="00546DF6" w:rsidP="00C33A75">
            <w:pPr>
              <w:pStyle w:val="BodyText2"/>
              <w:ind w:left="360"/>
              <w:jc w:val="both"/>
              <w:rPr>
                <w:rFonts w:asciiTheme="minorHAnsi" w:hAnsiTheme="minorHAnsi"/>
                <w:i/>
              </w:rPr>
            </w:pPr>
          </w:p>
          <w:p w:rsidR="00C33A75" w:rsidRDefault="00C33A75" w:rsidP="00C33A75">
            <w:pPr>
              <w:pStyle w:val="BodyText2"/>
              <w:ind w:left="360"/>
              <w:jc w:val="both"/>
              <w:rPr>
                <w:rFonts w:asciiTheme="minorHAnsi" w:hAnsiTheme="minorHAnsi"/>
                <w:i/>
              </w:rPr>
            </w:pPr>
          </w:p>
          <w:p w:rsidR="00AF320A" w:rsidRPr="00AF320A" w:rsidRDefault="00B95D24" w:rsidP="00C33A75">
            <w:pPr>
              <w:pStyle w:val="BodyText2"/>
              <w:numPr>
                <w:ilvl w:val="0"/>
                <w:numId w:val="16"/>
              </w:numPr>
              <w:jc w:val="both"/>
              <w:rPr>
                <w:rFonts w:asciiTheme="minorHAnsi" w:hAnsiTheme="minorHAnsi"/>
                <w:i/>
              </w:rPr>
            </w:pPr>
            <w:r>
              <w:rPr>
                <w:rFonts w:asciiTheme="minorHAnsi" w:hAnsiTheme="minorHAnsi"/>
                <w:i/>
              </w:rPr>
              <w:t xml:space="preserve"> </w:t>
            </w:r>
            <w:r w:rsidR="00C33A75" w:rsidRPr="00C33A75">
              <w:rPr>
                <w:rFonts w:asciiTheme="minorHAnsi" w:hAnsiTheme="minorHAnsi"/>
                <w:i/>
              </w:rPr>
              <w:t>Number of communes producing the Social Dashboard every year from 0% in 2014 to 100% in 2016</w:t>
            </w:r>
          </w:p>
          <w:p w:rsidR="00B55B85" w:rsidRPr="00920DBC" w:rsidRDefault="00B55B85" w:rsidP="00AF320A">
            <w:pPr>
              <w:pStyle w:val="BodyText2"/>
              <w:ind w:left="360"/>
              <w:rPr>
                <w:rFonts w:asciiTheme="minorHAnsi" w:hAnsiTheme="minorHAnsi"/>
                <w:i/>
              </w:rPr>
            </w:pPr>
          </w:p>
          <w:p w:rsidR="003B037A" w:rsidRPr="00920DBC" w:rsidRDefault="003B037A" w:rsidP="00B55B85">
            <w:pPr>
              <w:pStyle w:val="BodyText2"/>
              <w:ind w:left="360"/>
              <w:rPr>
                <w:rFonts w:asciiTheme="minorHAnsi" w:hAnsiTheme="minorHAnsi"/>
                <w:i/>
              </w:rPr>
            </w:pPr>
          </w:p>
        </w:tc>
      </w:tr>
      <w:tr w:rsidR="00700521" w:rsidRPr="00DC7354" w:rsidTr="004C4CF9">
        <w:tc>
          <w:tcPr>
            <w:tcW w:w="14040" w:type="dxa"/>
            <w:gridSpan w:val="5"/>
          </w:tcPr>
          <w:p w:rsidR="008B06DD" w:rsidRPr="002B5DAF" w:rsidRDefault="00700521" w:rsidP="00366AD1">
            <w:pPr>
              <w:pStyle w:val="BodyText2"/>
              <w:rPr>
                <w:rFonts w:asciiTheme="minorHAnsi" w:hAnsiTheme="minorHAnsi"/>
                <w:b/>
              </w:rPr>
            </w:pPr>
            <w:r w:rsidRPr="00837C4B">
              <w:rPr>
                <w:rFonts w:asciiTheme="minorHAnsi" w:hAnsiTheme="minorHAnsi"/>
                <w:b/>
              </w:rPr>
              <w:t>UNDP Contribution:</w:t>
            </w:r>
          </w:p>
          <w:p w:rsidR="007C5A24" w:rsidRPr="001A4946" w:rsidRDefault="008B06DD" w:rsidP="007C5A24">
            <w:pPr>
              <w:pStyle w:val="BodyText2"/>
              <w:jc w:val="both"/>
              <w:rPr>
                <w:rFonts w:asciiTheme="minorHAnsi" w:hAnsiTheme="minorHAnsi"/>
                <w:i/>
              </w:rPr>
            </w:pPr>
            <w:r w:rsidRPr="00B00E5C">
              <w:rPr>
                <w:rFonts w:asciiTheme="minorHAnsi" w:hAnsiTheme="minorHAnsi"/>
                <w:u w:val="single"/>
              </w:rPr>
              <w:t>CP Outputs</w:t>
            </w:r>
            <w:r w:rsidR="00845340">
              <w:rPr>
                <w:rFonts w:asciiTheme="minorHAnsi" w:hAnsiTheme="minorHAnsi"/>
              </w:rPr>
              <w:t>:</w:t>
            </w:r>
            <w:r w:rsidR="001A4946">
              <w:rPr>
                <w:rFonts w:asciiTheme="minorHAnsi" w:hAnsiTheme="minorHAnsi"/>
              </w:rPr>
              <w:t xml:space="preserve"> </w:t>
            </w:r>
            <w:r w:rsidR="007C5A24">
              <w:rPr>
                <w:rFonts w:asciiTheme="minorHAnsi" w:hAnsiTheme="minorHAnsi"/>
                <w:i/>
              </w:rPr>
              <w:t xml:space="preserve">The UNDP CP identified five </w:t>
            </w:r>
            <w:r w:rsidR="007C5A24" w:rsidRPr="009B76A1">
              <w:rPr>
                <w:rFonts w:asciiTheme="minorHAnsi" w:hAnsiTheme="minorHAnsi"/>
                <w:i/>
              </w:rPr>
              <w:t>major</w:t>
            </w:r>
            <w:r w:rsidR="001A4946" w:rsidRPr="001A4946">
              <w:rPr>
                <w:rFonts w:asciiTheme="minorHAnsi" w:hAnsiTheme="minorHAnsi"/>
                <w:i/>
              </w:rPr>
              <w:t xml:space="preserve"> outputs </w:t>
            </w:r>
            <w:r w:rsidR="00D36944">
              <w:rPr>
                <w:rFonts w:asciiTheme="minorHAnsi" w:hAnsiTheme="minorHAnsi"/>
                <w:i/>
              </w:rPr>
              <w:t xml:space="preserve">described below, </w:t>
            </w:r>
            <w:r w:rsidR="001A4946" w:rsidRPr="001A4946">
              <w:rPr>
                <w:rFonts w:asciiTheme="minorHAnsi" w:hAnsiTheme="minorHAnsi"/>
                <w:i/>
              </w:rPr>
              <w:t>to support the Government in achieving this outcome</w:t>
            </w:r>
          </w:p>
          <w:p w:rsidR="001A4946" w:rsidRPr="001A4946" w:rsidRDefault="001A4946" w:rsidP="004C4CF9">
            <w:pPr>
              <w:pStyle w:val="BodyText2"/>
              <w:jc w:val="both"/>
              <w:rPr>
                <w:rFonts w:asciiTheme="minorHAnsi" w:hAnsiTheme="minorHAnsi"/>
                <w:i/>
              </w:rPr>
            </w:pPr>
          </w:p>
          <w:p w:rsidR="00700521" w:rsidRDefault="008B06DD" w:rsidP="00D9192E">
            <w:pPr>
              <w:pStyle w:val="BodyText2"/>
              <w:rPr>
                <w:rFonts w:asciiTheme="minorHAnsi" w:hAnsiTheme="minorHAnsi"/>
              </w:rPr>
            </w:pPr>
            <w:r w:rsidRPr="00B00E5C">
              <w:rPr>
                <w:rFonts w:asciiTheme="minorHAnsi" w:hAnsiTheme="minorHAnsi"/>
                <w:u w:val="single"/>
              </w:rPr>
              <w:t>Progress and Achievements</w:t>
            </w:r>
            <w:r w:rsidR="00845340">
              <w:rPr>
                <w:rFonts w:asciiTheme="minorHAnsi" w:hAnsiTheme="minorHAnsi"/>
              </w:rPr>
              <w:t>:</w:t>
            </w:r>
          </w:p>
          <w:p w:rsidR="007C5A24" w:rsidRPr="00D36944" w:rsidRDefault="007C5A24" w:rsidP="007C5A24">
            <w:pPr>
              <w:pStyle w:val="BodyText2"/>
              <w:numPr>
                <w:ilvl w:val="0"/>
                <w:numId w:val="24"/>
              </w:numPr>
              <w:jc w:val="both"/>
              <w:rPr>
                <w:rFonts w:asciiTheme="minorHAnsi" w:hAnsiTheme="minorHAnsi"/>
                <w:b/>
                <w:i/>
              </w:rPr>
            </w:pPr>
            <w:r w:rsidRPr="00D36944">
              <w:rPr>
                <w:rFonts w:asciiTheme="minorHAnsi" w:hAnsiTheme="minorHAnsi"/>
                <w:b/>
                <w:i/>
              </w:rPr>
              <w:t>The government and communes of interventions have increased capacities to carry out administrative, economic and institutional reforms and to implement development policies and programs.</w:t>
            </w:r>
          </w:p>
          <w:p w:rsidR="007C5A24" w:rsidRDefault="00A861D4" w:rsidP="007C5A24">
            <w:pPr>
              <w:pStyle w:val="BodyText2"/>
              <w:ind w:left="720"/>
              <w:jc w:val="both"/>
              <w:rPr>
                <w:rFonts w:asciiTheme="minorHAnsi" w:hAnsiTheme="minorHAnsi"/>
                <w:i/>
              </w:rPr>
            </w:pPr>
            <w:r w:rsidRPr="00CA4CD2">
              <w:rPr>
                <w:rFonts w:asciiTheme="minorHAnsi" w:hAnsiTheme="minorHAnsi"/>
                <w:i/>
              </w:rPr>
              <w:t>UNDP contributed to Public Administration reform through support to the development of the Integrated Management Framework for Administrative and Institutional Reforms, the design of a database for and providing reliable information to the public with a view to improving the quality of service and the quality of life of the populations, the capacity building of the Secretaries General of the Ministries and focal points of the Sectorial Steering Cells; (iv) the simplification of the procedure for issuing the pension book and the management processes for careers and pensions</w:t>
            </w:r>
            <w:r>
              <w:rPr>
                <w:rFonts w:asciiTheme="minorHAnsi" w:hAnsiTheme="minorHAnsi"/>
                <w:i/>
              </w:rPr>
              <w:t>. With the other partners such as UNICEF, UNDP support the</w:t>
            </w:r>
            <w:r w:rsidR="007C5A24" w:rsidRPr="007C5A24">
              <w:rPr>
                <w:rFonts w:asciiTheme="minorHAnsi" w:hAnsiTheme="minorHAnsi"/>
                <w:i/>
              </w:rPr>
              <w:t xml:space="preserve"> municipalities with</w:t>
            </w:r>
            <w:r>
              <w:rPr>
                <w:rFonts w:asciiTheme="minorHAnsi" w:hAnsiTheme="minorHAnsi"/>
                <w:i/>
              </w:rPr>
              <w:t xml:space="preserve"> a gender-disaggregated database.</w:t>
            </w:r>
          </w:p>
          <w:p w:rsidR="002D32B9" w:rsidRDefault="002D32B9" w:rsidP="007C5A24">
            <w:pPr>
              <w:pStyle w:val="BodyText2"/>
              <w:ind w:left="720"/>
              <w:jc w:val="both"/>
              <w:rPr>
                <w:rFonts w:asciiTheme="minorHAnsi" w:hAnsiTheme="minorHAnsi"/>
                <w:i/>
              </w:rPr>
            </w:pPr>
            <w:r w:rsidRPr="002D32B9">
              <w:rPr>
                <w:rFonts w:asciiTheme="minorHAnsi" w:hAnsiTheme="minorHAnsi"/>
                <w:i/>
              </w:rPr>
              <w:t>UNDP supported the government's development of an electronic platform for managing government client requests and an electronic mail management system (http://testplateformebj.org/sygec/#/login). UNDP has supported the computerization of the public service recruitment process and the development of the human resources management strategy, which has helped to address 82 per cent of career and pension acts</w:t>
            </w:r>
            <w:r w:rsidR="002D0D41">
              <w:rPr>
                <w:rFonts w:asciiTheme="minorHAnsi" w:hAnsiTheme="minorHAnsi"/>
                <w:i/>
              </w:rPr>
              <w:t xml:space="preserve">. </w:t>
            </w:r>
          </w:p>
          <w:p w:rsidR="002D0D41" w:rsidRDefault="00D36944" w:rsidP="00CA4CD2">
            <w:pPr>
              <w:pStyle w:val="BodyText2"/>
              <w:ind w:left="720"/>
              <w:jc w:val="both"/>
              <w:rPr>
                <w:rFonts w:asciiTheme="minorHAnsi" w:hAnsiTheme="minorHAnsi"/>
                <w:i/>
              </w:rPr>
            </w:pPr>
            <w:r>
              <w:rPr>
                <w:rFonts w:asciiTheme="minorHAnsi" w:hAnsiTheme="minorHAnsi"/>
                <w:i/>
              </w:rPr>
              <w:t>T</w:t>
            </w:r>
            <w:r w:rsidR="002D0D41" w:rsidRPr="002D0D41">
              <w:rPr>
                <w:rFonts w:asciiTheme="minorHAnsi" w:hAnsiTheme="minorHAnsi"/>
                <w:i/>
              </w:rPr>
              <w:t xml:space="preserve">hanks to the support of the UNDP, a call center and SMS SENDER, installed, allowed to examine 50,445 files of the citizens users of the Public Administration, formerly piled up, not treated and stored in the drawers of about twenty State structures; 69% of registered requests were satisfied compared to 29.37% in 2014; which makes a growth rate of about 40%. This reflects a greater awareness by the Administration's agents and the handling of users' concerns (Public Service </w:t>
            </w:r>
            <w:r w:rsidR="002D0D41" w:rsidRPr="002D0D41">
              <w:rPr>
                <w:rFonts w:asciiTheme="minorHAnsi" w:hAnsiTheme="minorHAnsi"/>
                <w:i/>
              </w:rPr>
              <w:lastRenderedPageBreak/>
              <w:t xml:space="preserve">Month Report, 2015). Also, the Ministry of Labor, Civil Service, Administrative and Institutional Reform currently has a Manual of procedures for the management of recruitment competitions for State agents, which can now facilitate the organization of competition following clear guiding principles of transparency, trust and social equity. Unlike past years, the user has access to public services through the adoption of a user guide </w:t>
            </w:r>
            <w:r w:rsidR="00A861D4">
              <w:rPr>
                <w:rFonts w:asciiTheme="minorHAnsi" w:hAnsiTheme="minorHAnsi"/>
                <w:i/>
              </w:rPr>
              <w:t>in the course of popularization</w:t>
            </w:r>
            <w:r w:rsidR="002D0D41" w:rsidRPr="002D0D41">
              <w:rPr>
                <w:rFonts w:asciiTheme="minorHAnsi" w:hAnsiTheme="minorHAnsi"/>
                <w:i/>
              </w:rPr>
              <w:t>. At the parliamentary level, we note a performance in the voting of the settlement laws in 2015. There was the vote</w:t>
            </w:r>
            <w:r w:rsidR="00A861D4">
              <w:rPr>
                <w:rFonts w:asciiTheme="minorHAnsi" w:hAnsiTheme="minorHAnsi"/>
                <w:i/>
              </w:rPr>
              <w:t xml:space="preserve"> of five (05) law Acts</w:t>
            </w:r>
            <w:r w:rsidR="002D0D41" w:rsidRPr="002D0D41">
              <w:rPr>
                <w:rFonts w:asciiTheme="minorHAnsi" w:hAnsiTheme="minorHAnsi"/>
                <w:i/>
              </w:rPr>
              <w:t xml:space="preserve"> against two (02) expected in 2015, bringing to eleven (11) the number of law </w:t>
            </w:r>
            <w:r w:rsidR="00A861D4">
              <w:rPr>
                <w:rFonts w:asciiTheme="minorHAnsi" w:hAnsiTheme="minorHAnsi"/>
                <w:i/>
              </w:rPr>
              <w:t>Acts</w:t>
            </w:r>
            <w:bookmarkStart w:id="0" w:name="_GoBack"/>
            <w:bookmarkEnd w:id="0"/>
            <w:r w:rsidR="002D0D41" w:rsidRPr="002D0D41">
              <w:rPr>
                <w:rFonts w:asciiTheme="minorHAnsi" w:hAnsiTheme="minorHAnsi"/>
                <w:i/>
              </w:rPr>
              <w:t xml:space="preserve"> passed by Parliament. This was made possible by UNDP-supported capacity-building actions of new MPs and parliamentary officers from the 7th legislature</w:t>
            </w:r>
            <w:r w:rsidR="00A861D4">
              <w:rPr>
                <w:rFonts w:asciiTheme="minorHAnsi" w:hAnsiTheme="minorHAnsi"/>
                <w:i/>
              </w:rPr>
              <w:t>.</w:t>
            </w:r>
          </w:p>
          <w:p w:rsidR="001A4946" w:rsidRPr="007C5A24" w:rsidRDefault="000C1D36" w:rsidP="007C5A24">
            <w:pPr>
              <w:pStyle w:val="BodyText2"/>
              <w:ind w:left="720"/>
              <w:jc w:val="both"/>
              <w:rPr>
                <w:rFonts w:asciiTheme="minorHAnsi" w:hAnsiTheme="minorHAnsi"/>
                <w:i/>
                <w:color w:val="00B050"/>
              </w:rPr>
            </w:pPr>
            <w:r w:rsidRPr="007C5A24">
              <w:rPr>
                <w:rFonts w:asciiTheme="minorHAnsi" w:hAnsiTheme="minorHAnsi"/>
                <w:i/>
                <w:color w:val="00B050"/>
                <w:lang w:val="en-GB"/>
              </w:rPr>
              <w:t>.</w:t>
            </w:r>
          </w:p>
          <w:p w:rsidR="004C4CF9" w:rsidRPr="007C5A24" w:rsidRDefault="004C4CF9" w:rsidP="004C4CF9">
            <w:pPr>
              <w:pStyle w:val="BodyText2"/>
              <w:ind w:left="720"/>
              <w:jc w:val="both"/>
              <w:rPr>
                <w:rFonts w:asciiTheme="minorHAnsi" w:hAnsiTheme="minorHAnsi"/>
                <w:i/>
                <w:color w:val="00B050"/>
              </w:rPr>
            </w:pPr>
          </w:p>
          <w:p w:rsidR="007C5A24" w:rsidRDefault="007C5A24" w:rsidP="007C5A24">
            <w:pPr>
              <w:pStyle w:val="BodyText2"/>
              <w:numPr>
                <w:ilvl w:val="0"/>
                <w:numId w:val="24"/>
              </w:numPr>
              <w:jc w:val="both"/>
              <w:rPr>
                <w:rFonts w:asciiTheme="minorHAnsi" w:hAnsiTheme="minorHAnsi"/>
                <w:i/>
              </w:rPr>
            </w:pPr>
            <w:r w:rsidRPr="00A861D4">
              <w:rPr>
                <w:rFonts w:asciiTheme="minorHAnsi" w:hAnsiTheme="minorHAnsi"/>
                <w:b/>
                <w:i/>
              </w:rPr>
              <w:t>National, local and sectoral processes and capacities for planning, programming, budgeting, monitoring and evaluation, and macroeconomic management are strengthened</w:t>
            </w:r>
            <w:r w:rsidRPr="007C5A24">
              <w:rPr>
                <w:rFonts w:asciiTheme="minorHAnsi" w:hAnsiTheme="minorHAnsi"/>
                <w:i/>
              </w:rPr>
              <w:t>.</w:t>
            </w:r>
          </w:p>
          <w:p w:rsidR="007C5A24" w:rsidRDefault="00A861D4" w:rsidP="007C5A24">
            <w:pPr>
              <w:pStyle w:val="BodyText2"/>
              <w:ind w:left="720"/>
              <w:jc w:val="both"/>
              <w:rPr>
                <w:rFonts w:asciiTheme="minorHAnsi" w:hAnsiTheme="minorHAnsi"/>
                <w:i/>
              </w:rPr>
            </w:pPr>
            <w:r w:rsidRPr="0085505E">
              <w:rPr>
                <w:rFonts w:asciiTheme="minorHAnsi" w:hAnsiTheme="minorHAnsi"/>
                <w:i/>
              </w:rPr>
              <w:t>Thanks to UNDP support, the methods of planning, programming, budgeting, monitoring and evaluation of policies have had a positive effect on management. social sector projects / programs. Indeed, the</w:t>
            </w:r>
            <w:r>
              <w:rPr>
                <w:rFonts w:asciiTheme="minorHAnsi" w:hAnsiTheme="minorHAnsi"/>
                <w:i/>
              </w:rPr>
              <w:t xml:space="preserve"> Budget </w:t>
            </w:r>
            <w:r w:rsidRPr="0085505E">
              <w:rPr>
                <w:rFonts w:asciiTheme="minorHAnsi" w:hAnsiTheme="minorHAnsi"/>
                <w:i/>
              </w:rPr>
              <w:t>capital expenditure execution rate for these sectors increased from 51.59% in 2015 to 75.93% in 2016, exceeding the target set for 2016. This result is supported by training in 2015 of the senior staff of 11 ministries targeted at the use of the operational tools of the program budget, including social and gender budgeting. 100% of DPP, DRFM, Technical Directors and M &amp; E department heads of targeted sectoral ministries are trained on social and gender sensitive budgeting</w:t>
            </w:r>
            <w:r>
              <w:rPr>
                <w:rFonts w:asciiTheme="minorHAnsi" w:hAnsiTheme="minorHAnsi"/>
                <w:i/>
              </w:rPr>
              <w:t xml:space="preserve">. </w:t>
            </w:r>
            <w:r w:rsidR="0085505E" w:rsidRPr="0085505E">
              <w:rPr>
                <w:rFonts w:asciiTheme="minorHAnsi" w:hAnsiTheme="minorHAnsi"/>
                <w:i/>
              </w:rPr>
              <w:t xml:space="preserve">Strategy of follow-up of the General Budget of the State Glossary of terms used in Public Finance Practical guide for reading and analysis of Program Budgets New harmonized framework of public finances in the WAEMU area: Directives, Guides for monitoring public investment projects by municipalities and by ministries and state institutions), there is a better understanding of laws, a good ability of MPs to review budget documents and to vote laws. </w:t>
            </w:r>
            <w:r>
              <w:rPr>
                <w:rFonts w:asciiTheme="minorHAnsi" w:hAnsiTheme="minorHAnsi"/>
                <w:i/>
              </w:rPr>
              <w:t>T</w:t>
            </w:r>
            <w:r w:rsidR="0085505E" w:rsidRPr="0085505E">
              <w:rPr>
                <w:rFonts w:asciiTheme="minorHAnsi" w:hAnsiTheme="minorHAnsi"/>
                <w:i/>
              </w:rPr>
              <w:t>he number of law</w:t>
            </w:r>
            <w:r>
              <w:rPr>
                <w:rFonts w:asciiTheme="minorHAnsi" w:hAnsiTheme="minorHAnsi"/>
                <w:i/>
              </w:rPr>
              <w:t xml:space="preserve"> Acts </w:t>
            </w:r>
            <w:r w:rsidR="0085505E" w:rsidRPr="0085505E">
              <w:rPr>
                <w:rFonts w:asciiTheme="minorHAnsi" w:hAnsiTheme="minorHAnsi"/>
                <w:i/>
              </w:rPr>
              <w:t xml:space="preserve">voted increased from 11 in 2015 to 12 in 2016. </w:t>
            </w:r>
            <w:r w:rsidR="007C5A24">
              <w:rPr>
                <w:rFonts w:asciiTheme="minorHAnsi" w:hAnsiTheme="minorHAnsi"/>
                <w:i/>
              </w:rPr>
              <w:t xml:space="preserve">All </w:t>
            </w:r>
            <w:r w:rsidR="007C5A24" w:rsidRPr="007C5A24">
              <w:rPr>
                <w:rFonts w:asciiTheme="minorHAnsi" w:hAnsiTheme="minorHAnsi"/>
                <w:i/>
              </w:rPr>
              <w:t>SCRP progress reports</w:t>
            </w:r>
            <w:r w:rsidR="007C5A24">
              <w:rPr>
                <w:rFonts w:asciiTheme="minorHAnsi" w:hAnsiTheme="minorHAnsi"/>
                <w:i/>
              </w:rPr>
              <w:t xml:space="preserve"> have been </w:t>
            </w:r>
            <w:r w:rsidR="00EB4F9C">
              <w:rPr>
                <w:rFonts w:asciiTheme="minorHAnsi" w:hAnsiTheme="minorHAnsi"/>
                <w:i/>
              </w:rPr>
              <w:t xml:space="preserve">developed, </w:t>
            </w:r>
            <w:r w:rsidR="00EB4F9C" w:rsidRPr="007C5A24">
              <w:rPr>
                <w:rFonts w:asciiTheme="minorHAnsi" w:hAnsiTheme="minorHAnsi"/>
                <w:i/>
              </w:rPr>
              <w:t>validated</w:t>
            </w:r>
            <w:r w:rsidR="007C5A24" w:rsidRPr="007C5A24">
              <w:rPr>
                <w:rFonts w:asciiTheme="minorHAnsi" w:hAnsiTheme="minorHAnsi"/>
                <w:i/>
              </w:rPr>
              <w:t>, disseminated. Sectoral strategies</w:t>
            </w:r>
            <w:r w:rsidR="007C5A24">
              <w:rPr>
                <w:rFonts w:asciiTheme="minorHAnsi" w:hAnsiTheme="minorHAnsi"/>
                <w:i/>
              </w:rPr>
              <w:t xml:space="preserve"> have been developed or updated. Budget </w:t>
            </w:r>
            <w:proofErr w:type="spellStart"/>
            <w:r>
              <w:rPr>
                <w:rFonts w:asciiTheme="minorHAnsi" w:hAnsiTheme="minorHAnsi"/>
                <w:i/>
              </w:rPr>
              <w:t>Programme</w:t>
            </w:r>
            <w:proofErr w:type="spellEnd"/>
            <w:r w:rsidR="007C5A24">
              <w:rPr>
                <w:rFonts w:asciiTheme="minorHAnsi" w:hAnsiTheme="minorHAnsi"/>
                <w:i/>
              </w:rPr>
              <w:t xml:space="preserve"> have been developed for all ministries as well as the Project Performance Plans. Budget Debates at Parliament are effective.</w:t>
            </w:r>
          </w:p>
          <w:p w:rsidR="00532CB3" w:rsidRDefault="00EB4F9C" w:rsidP="00532CB3">
            <w:pPr>
              <w:pStyle w:val="BodyText2"/>
              <w:ind w:left="720"/>
              <w:jc w:val="both"/>
              <w:rPr>
                <w:rFonts w:asciiTheme="minorHAnsi" w:hAnsiTheme="minorHAnsi"/>
                <w:i/>
              </w:rPr>
            </w:pPr>
            <w:r w:rsidRPr="00EB4F9C">
              <w:rPr>
                <w:rFonts w:asciiTheme="minorHAnsi" w:hAnsiTheme="minorHAnsi"/>
                <w:i/>
              </w:rPr>
              <w:t xml:space="preserve">UNDP provided early support and advice to the </w:t>
            </w:r>
            <w:r>
              <w:rPr>
                <w:rFonts w:asciiTheme="minorHAnsi" w:hAnsiTheme="minorHAnsi"/>
                <w:i/>
              </w:rPr>
              <w:t>national planning process</w:t>
            </w:r>
            <w:r w:rsidRPr="00EB4F9C">
              <w:rPr>
                <w:rFonts w:asciiTheme="minorHAnsi" w:hAnsiTheme="minorHAnsi"/>
                <w:i/>
              </w:rPr>
              <w:t xml:space="preserve">. </w:t>
            </w:r>
            <w:r w:rsidR="00532CB3" w:rsidRPr="00532CB3">
              <w:rPr>
                <w:rFonts w:asciiTheme="minorHAnsi" w:hAnsiTheme="minorHAnsi"/>
                <w:i/>
              </w:rPr>
              <w:t xml:space="preserve">With regard to the PRSP, UNDP evaluated its implementation, supported the progress report and the roadmap for development. The Forum dedicated human security and strengthened the resilience dimensions. The </w:t>
            </w:r>
            <w:proofErr w:type="spellStart"/>
            <w:proofErr w:type="gramStart"/>
            <w:r w:rsidR="00532CB3" w:rsidRPr="00532CB3">
              <w:rPr>
                <w:rFonts w:asciiTheme="minorHAnsi" w:hAnsiTheme="minorHAnsi"/>
                <w:i/>
              </w:rPr>
              <w:t>metarevue</w:t>
            </w:r>
            <w:proofErr w:type="spellEnd"/>
            <w:r w:rsidR="00532CB3" w:rsidRPr="00532CB3">
              <w:rPr>
                <w:rFonts w:asciiTheme="minorHAnsi" w:hAnsiTheme="minorHAnsi"/>
                <w:i/>
              </w:rPr>
              <w:t xml:space="preserve">  facilitates</w:t>
            </w:r>
            <w:proofErr w:type="gramEnd"/>
            <w:r w:rsidR="00532CB3" w:rsidRPr="00532CB3">
              <w:rPr>
                <w:rFonts w:asciiTheme="minorHAnsi" w:hAnsiTheme="minorHAnsi"/>
                <w:i/>
              </w:rPr>
              <w:t xml:space="preserve"> the work of stakeholders. The development of the human security monitoring report provides the base line]. The Ministry of Agriculture has appropriated the </w:t>
            </w:r>
            <w:r w:rsidR="00532CB3">
              <w:rPr>
                <w:rFonts w:asciiTheme="minorHAnsi" w:hAnsiTheme="minorHAnsi"/>
                <w:i/>
              </w:rPr>
              <w:t>NDHR</w:t>
            </w:r>
            <w:r w:rsidR="00532CB3" w:rsidRPr="00532CB3">
              <w:rPr>
                <w:rFonts w:asciiTheme="minorHAnsi" w:hAnsiTheme="minorHAnsi"/>
                <w:i/>
              </w:rPr>
              <w:t xml:space="preserve"> launched in June. The launch of the RADH was strongly mobilized [[release]] Participation in the Regional Gender</w:t>
            </w:r>
            <w:r w:rsidR="00532CB3">
              <w:rPr>
                <w:rFonts w:asciiTheme="minorHAnsi" w:hAnsiTheme="minorHAnsi"/>
                <w:i/>
              </w:rPr>
              <w:t xml:space="preserve">. </w:t>
            </w:r>
            <w:r w:rsidR="00532CB3" w:rsidRPr="00532CB3">
              <w:rPr>
                <w:rFonts w:asciiTheme="minorHAnsi" w:hAnsiTheme="minorHAnsi"/>
                <w:i/>
              </w:rPr>
              <w:t>With the support of UNDP, some executives of the Ministry and the General Secretariat of the Presidency of the Republic were able to strengthen their capacities in the field of electronic governance through a study and exchange of experiences in Rwanda.</w:t>
            </w:r>
            <w:r w:rsidR="00532CB3">
              <w:rPr>
                <w:rFonts w:asciiTheme="minorHAnsi" w:hAnsiTheme="minorHAnsi"/>
                <w:i/>
              </w:rPr>
              <w:t xml:space="preserve"> </w:t>
            </w:r>
            <w:r w:rsidR="00532CB3" w:rsidRPr="00532CB3">
              <w:rPr>
                <w:rFonts w:asciiTheme="minorHAnsi" w:hAnsiTheme="minorHAnsi"/>
                <w:i/>
              </w:rPr>
              <w:t>UNDP support has trained 25 national executives of the Directorate of Economy on the stochastic equilibrium model and the forecasting and business analysis model.</w:t>
            </w:r>
          </w:p>
          <w:p w:rsidR="00490D0A" w:rsidRDefault="00490D0A" w:rsidP="002D32B9">
            <w:pPr>
              <w:pStyle w:val="BodyText2"/>
              <w:ind w:left="720"/>
              <w:jc w:val="both"/>
              <w:rPr>
                <w:rFonts w:asciiTheme="minorHAnsi" w:hAnsiTheme="minorHAnsi"/>
                <w:i/>
              </w:rPr>
            </w:pPr>
            <w:r w:rsidRPr="00490D0A">
              <w:rPr>
                <w:rFonts w:asciiTheme="minorHAnsi" w:hAnsiTheme="minorHAnsi"/>
                <w:i/>
              </w:rPr>
              <w:t xml:space="preserve">UNDP technical and financial support enabled Benin to prepare the National MDG Assessment Report for the period 2000-2015. With this in mind, UNDP provided technical support for conducting the household living conditions survey in 2015, which made available the micro data required for analysis. Our mobilization of resources from partners (EU, Belgium, UNICEF, GIZ) and our close monitoring of the National Institute of Statistics and Economic Analysis (INSAE), allowed the realization of the said </w:t>
            </w:r>
            <w:proofErr w:type="spellStart"/>
            <w:r w:rsidRPr="00490D0A">
              <w:rPr>
                <w:rFonts w:asciiTheme="minorHAnsi" w:hAnsiTheme="minorHAnsi"/>
                <w:i/>
              </w:rPr>
              <w:t>EMICoV</w:t>
            </w:r>
            <w:proofErr w:type="spellEnd"/>
            <w:r w:rsidRPr="00490D0A">
              <w:rPr>
                <w:rFonts w:asciiTheme="minorHAnsi" w:hAnsiTheme="minorHAnsi"/>
                <w:i/>
              </w:rPr>
              <w:t xml:space="preserve"> survey (Integrated Modular Survey on the living conditions of households in Benin). </w:t>
            </w:r>
          </w:p>
          <w:p w:rsidR="00A861D4" w:rsidRDefault="00490D0A" w:rsidP="00490D0A">
            <w:pPr>
              <w:pStyle w:val="BodyText2"/>
              <w:ind w:left="720"/>
              <w:jc w:val="both"/>
              <w:rPr>
                <w:rFonts w:asciiTheme="minorHAnsi" w:hAnsiTheme="minorHAnsi"/>
                <w:i/>
              </w:rPr>
            </w:pPr>
            <w:r w:rsidRPr="00490D0A">
              <w:rPr>
                <w:rFonts w:asciiTheme="minorHAnsi" w:hAnsiTheme="minorHAnsi"/>
                <w:i/>
              </w:rPr>
              <w:t xml:space="preserve">As part of its ownership of the SDGs, UNDP has funded the participation of national experts in regional forums as a prelude to the adoption of the SDGs. </w:t>
            </w:r>
            <w:r w:rsidR="00A861D4" w:rsidRPr="00A861D4">
              <w:rPr>
                <w:rFonts w:asciiTheme="minorHAnsi" w:hAnsiTheme="minorHAnsi"/>
                <w:i/>
              </w:rPr>
              <w:t xml:space="preserve">UNDP's advocacy and strategic advisory support enabled the adoption of the 2030 Agenda in Benin in 2017. Indeed, UNDP accompanied the government and civil society to the High level political forum with the preparation of the contribution. national volunteer. In addition, Benin has achieved prioritization of the SDGs and domestication of SDG targets and indicators]. The level of debate and knowledge of human development have been strengthened with the launch of the 2016 HDR, </w:t>
            </w:r>
            <w:r w:rsidR="00A861D4" w:rsidRPr="00A861D4">
              <w:rPr>
                <w:rFonts w:asciiTheme="minorHAnsi" w:hAnsiTheme="minorHAnsi"/>
                <w:i/>
              </w:rPr>
              <w:lastRenderedPageBreak/>
              <w:t>the publication of the Human Security Report as well as the launch of the process of elaboration of the National Development Plan and its Operational Plan (PC2D) based on the SDGs by the government.</w:t>
            </w:r>
          </w:p>
          <w:p w:rsidR="00490D0A" w:rsidRPr="00490D0A" w:rsidRDefault="00490D0A" w:rsidP="00490D0A">
            <w:pPr>
              <w:pStyle w:val="BodyText2"/>
              <w:ind w:left="720"/>
              <w:jc w:val="both"/>
              <w:rPr>
                <w:rFonts w:asciiTheme="minorHAnsi" w:hAnsiTheme="minorHAnsi"/>
                <w:i/>
              </w:rPr>
            </w:pPr>
            <w:r w:rsidRPr="00490D0A">
              <w:rPr>
                <w:rFonts w:asciiTheme="minorHAnsi" w:hAnsiTheme="minorHAnsi"/>
                <w:i/>
              </w:rPr>
              <w:t>Thanks to UNDP advocacy, the SDGs were appropriated by national actors (government, civil society, private sector, development partners) through the o</w:t>
            </w:r>
            <w:r w:rsidR="00A861D4">
              <w:rPr>
                <w:rFonts w:asciiTheme="minorHAnsi" w:hAnsiTheme="minorHAnsi"/>
                <w:i/>
              </w:rPr>
              <w:t>rganization of two national workshops</w:t>
            </w:r>
            <w:r w:rsidRPr="00490D0A">
              <w:rPr>
                <w:rFonts w:asciiTheme="minorHAnsi" w:hAnsiTheme="minorHAnsi"/>
                <w:i/>
              </w:rPr>
              <w:t xml:space="preserve"> of popularization of the SDGs' content as well as the organization of the SDGs. debates on major themes such as the analysis of the fiscal space and the search for innovative sources of financing for development, resilience to climate change as well as durum development.</w:t>
            </w:r>
          </w:p>
          <w:p w:rsidR="00EB4F9C" w:rsidRDefault="00490D0A" w:rsidP="002D32B9">
            <w:pPr>
              <w:pStyle w:val="BodyText2"/>
              <w:ind w:left="720"/>
              <w:jc w:val="both"/>
              <w:rPr>
                <w:rFonts w:asciiTheme="minorHAnsi" w:hAnsiTheme="minorHAnsi"/>
                <w:i/>
              </w:rPr>
            </w:pPr>
            <w:r w:rsidRPr="00490D0A">
              <w:rPr>
                <w:rFonts w:asciiTheme="minorHAnsi" w:hAnsiTheme="minorHAnsi"/>
                <w:i/>
              </w:rPr>
              <w:t xml:space="preserve">through a UNDP brainstorming note on operationalizing the SDGs and the appropriate partnership between the government and the UNCT, the government has put in place an institutional framework for operationalizing the setting up of thematic working groups and the situational analysis work is being carried out. UNDP also fueled this debate on mainstreaming the SDGs by </w:t>
            </w:r>
            <w:r w:rsidR="00A861D4">
              <w:rPr>
                <w:rFonts w:asciiTheme="minorHAnsi" w:hAnsiTheme="minorHAnsi"/>
                <w:i/>
              </w:rPr>
              <w:t>supporting the report</w:t>
            </w:r>
            <w:r w:rsidRPr="00490D0A">
              <w:rPr>
                <w:rFonts w:asciiTheme="minorHAnsi" w:hAnsiTheme="minorHAnsi"/>
                <w:i/>
              </w:rPr>
              <w:t xml:space="preserve"> on prioritizing the SDGs.</w:t>
            </w:r>
            <w:r w:rsidR="00532CB3">
              <w:rPr>
                <w:rFonts w:asciiTheme="minorHAnsi" w:hAnsiTheme="minorHAnsi"/>
                <w:i/>
              </w:rPr>
              <w:t xml:space="preserve"> </w:t>
            </w:r>
            <w:r w:rsidR="00EB4F9C" w:rsidRPr="00EB4F9C">
              <w:rPr>
                <w:rFonts w:asciiTheme="minorHAnsi" w:hAnsiTheme="minorHAnsi"/>
                <w:i/>
              </w:rPr>
              <w:t xml:space="preserve">The office supported the process of </w:t>
            </w:r>
            <w:r w:rsidR="00532CB3" w:rsidRPr="00EB4F9C">
              <w:rPr>
                <w:rFonts w:asciiTheme="minorHAnsi" w:hAnsiTheme="minorHAnsi"/>
                <w:i/>
              </w:rPr>
              <w:t>contextualizing</w:t>
            </w:r>
            <w:r w:rsidR="00EB4F9C" w:rsidRPr="00EB4F9C">
              <w:rPr>
                <w:rFonts w:asciiTheme="minorHAnsi" w:hAnsiTheme="minorHAnsi"/>
                <w:i/>
              </w:rPr>
              <w:t xml:space="preserve"> the SDGs, promoting interactions between ministries and with INSAE. UNDP </w:t>
            </w:r>
            <w:r w:rsidR="00532CB3">
              <w:rPr>
                <w:rFonts w:asciiTheme="minorHAnsi" w:hAnsiTheme="minorHAnsi"/>
                <w:i/>
              </w:rPr>
              <w:t>supported several macroeconomic and poverty studies, including, on</w:t>
            </w:r>
            <w:r w:rsidR="00EB4F9C" w:rsidRPr="00EB4F9C">
              <w:rPr>
                <w:rFonts w:asciiTheme="minorHAnsi" w:hAnsiTheme="minorHAnsi"/>
                <w:i/>
              </w:rPr>
              <w:t xml:space="preserve"> inclusive growth levers resulted in innovative recommendations endorsed by stakeholders. UNDP is helping the Government to increase its resilience</w:t>
            </w:r>
            <w:r w:rsidR="00532CB3">
              <w:rPr>
                <w:rFonts w:asciiTheme="minorHAnsi" w:hAnsiTheme="minorHAnsi"/>
                <w:i/>
              </w:rPr>
              <w:t xml:space="preserve"> with regards to economic shocks emanated from its main partner Nigeria</w:t>
            </w:r>
            <w:r w:rsidR="00EB4F9C" w:rsidRPr="00EB4F9C">
              <w:rPr>
                <w:rFonts w:asciiTheme="minorHAnsi" w:hAnsiTheme="minorHAnsi"/>
                <w:i/>
              </w:rPr>
              <w:t xml:space="preserve">. </w:t>
            </w:r>
          </w:p>
          <w:p w:rsidR="00490D0A" w:rsidRDefault="00490D0A" w:rsidP="002D32B9">
            <w:pPr>
              <w:pStyle w:val="BodyText2"/>
              <w:ind w:left="720"/>
              <w:jc w:val="both"/>
              <w:rPr>
                <w:rFonts w:asciiTheme="minorHAnsi" w:hAnsiTheme="minorHAnsi"/>
                <w:i/>
              </w:rPr>
            </w:pPr>
          </w:p>
          <w:p w:rsidR="000A021A" w:rsidRPr="00532CB3" w:rsidRDefault="000A021A" w:rsidP="000A021A">
            <w:pPr>
              <w:pStyle w:val="BodyText2"/>
              <w:numPr>
                <w:ilvl w:val="0"/>
                <w:numId w:val="24"/>
              </w:numPr>
              <w:jc w:val="both"/>
              <w:rPr>
                <w:rFonts w:asciiTheme="minorHAnsi" w:hAnsiTheme="minorHAnsi"/>
                <w:b/>
                <w:i/>
              </w:rPr>
            </w:pPr>
            <w:r w:rsidRPr="00532CB3">
              <w:rPr>
                <w:rFonts w:asciiTheme="minorHAnsi" w:hAnsiTheme="minorHAnsi"/>
                <w:b/>
                <w:i/>
              </w:rPr>
              <w:t>The national assembly and other state institutions have the necessary capacities to better ensure their constitutional prerogatives.</w:t>
            </w:r>
          </w:p>
          <w:p w:rsidR="00935B27" w:rsidRPr="00935B27" w:rsidRDefault="0085505E" w:rsidP="00935B27">
            <w:pPr>
              <w:pStyle w:val="BodyText2"/>
              <w:ind w:left="720"/>
              <w:jc w:val="both"/>
              <w:rPr>
                <w:rFonts w:asciiTheme="minorHAnsi" w:hAnsiTheme="minorHAnsi"/>
                <w:i/>
              </w:rPr>
            </w:pPr>
            <w:r w:rsidRPr="0085505E">
              <w:rPr>
                <w:rFonts w:asciiTheme="minorHAnsi" w:hAnsiTheme="minorHAnsi"/>
                <w:i/>
              </w:rPr>
              <w:t>UNDP support to the National Assembly (AN) of Benin has contributed to a real improvement in the exercise of its constitutional prerogatives.</w:t>
            </w:r>
            <w:r w:rsidR="00FC5BB2">
              <w:t xml:space="preserve"> </w:t>
            </w:r>
          </w:p>
          <w:p w:rsidR="002D32B9" w:rsidRDefault="00935B27" w:rsidP="000A021A">
            <w:pPr>
              <w:pStyle w:val="BodyText2"/>
              <w:ind w:left="720"/>
              <w:jc w:val="both"/>
              <w:rPr>
                <w:rFonts w:asciiTheme="minorHAnsi" w:hAnsiTheme="minorHAnsi"/>
                <w:i/>
              </w:rPr>
            </w:pPr>
            <w:r w:rsidRPr="00935B27">
              <w:rPr>
                <w:rFonts w:asciiTheme="minorHAnsi" w:hAnsiTheme="minorHAnsi"/>
                <w:i/>
              </w:rPr>
              <w:t xml:space="preserve">The role played by UNDP has been very decisive in strengthening the capacity of the National Assembly to ensure its constitutional prerogatives. </w:t>
            </w:r>
            <w:r w:rsidR="00532CB3">
              <w:rPr>
                <w:rFonts w:asciiTheme="minorHAnsi" w:hAnsiTheme="minorHAnsi"/>
                <w:i/>
              </w:rPr>
              <w:t xml:space="preserve">Deputies </w:t>
            </w:r>
            <w:r w:rsidRPr="00935B27">
              <w:rPr>
                <w:rFonts w:asciiTheme="minorHAnsi" w:hAnsiTheme="minorHAnsi"/>
                <w:i/>
              </w:rPr>
              <w:t>now have a better understanding and responsiveness on draft laws. During 2015, 5 new settlement laws were easily passed against 2 planned laws, bringing to 11 the number of laws passed during the 2014-2018 cooperation cycle</w:t>
            </w:r>
            <w:r w:rsidR="00532CB3">
              <w:rPr>
                <w:rFonts w:asciiTheme="minorHAnsi" w:hAnsiTheme="minorHAnsi"/>
                <w:i/>
              </w:rPr>
              <w:t xml:space="preserve">. </w:t>
            </w:r>
            <w:r w:rsidR="0085505E" w:rsidRPr="0085505E">
              <w:rPr>
                <w:rFonts w:asciiTheme="minorHAnsi" w:hAnsiTheme="minorHAnsi"/>
                <w:i/>
              </w:rPr>
              <w:t xml:space="preserve">Thanks to the capacity building of the deputies and the parliamentary cadres, for the appropriation and the use of the documents conceived and put at their disposal (Guide of follow-up of the recommendations made by the deputies to the Government; </w:t>
            </w:r>
            <w:r w:rsidR="000A021A" w:rsidRPr="000A021A">
              <w:rPr>
                <w:rFonts w:asciiTheme="minorHAnsi" w:hAnsiTheme="minorHAnsi"/>
                <w:i/>
              </w:rPr>
              <w:t xml:space="preserve">National Assembly </w:t>
            </w:r>
            <w:r w:rsidR="00532CB3" w:rsidRPr="00532CB3">
              <w:rPr>
                <w:rFonts w:asciiTheme="minorHAnsi" w:hAnsiTheme="minorHAnsi"/>
                <w:i/>
              </w:rPr>
              <w:t>has a Strategic Plan (PS) for its modernization, the mobilization of Partners for its funding through UNDP.</w:t>
            </w:r>
            <w:r w:rsidR="000A021A" w:rsidRPr="000A021A">
              <w:rPr>
                <w:rFonts w:asciiTheme="minorHAnsi" w:hAnsiTheme="minorHAnsi"/>
                <w:i/>
              </w:rPr>
              <w:t xml:space="preserve">, 4 organizational audits of institutions of the republics for a goal of seven </w:t>
            </w:r>
            <w:proofErr w:type="spellStart"/>
            <w:r w:rsidR="000A021A" w:rsidRPr="000A021A">
              <w:rPr>
                <w:rFonts w:asciiTheme="minorHAnsi" w:hAnsiTheme="minorHAnsi"/>
                <w:i/>
              </w:rPr>
              <w:t>ot</w:t>
            </w:r>
            <w:proofErr w:type="spellEnd"/>
            <w:r w:rsidR="000A021A" w:rsidRPr="000A021A">
              <w:rPr>
                <w:rFonts w:asciiTheme="minorHAnsi" w:hAnsiTheme="minorHAnsi"/>
                <w:i/>
              </w:rPr>
              <w:t xml:space="preserve"> achieved.</w:t>
            </w:r>
            <w:r w:rsidR="00532CB3">
              <w:rPr>
                <w:rFonts w:asciiTheme="minorHAnsi" w:hAnsiTheme="minorHAnsi"/>
                <w:i/>
              </w:rPr>
              <w:t xml:space="preserve"> </w:t>
            </w:r>
            <w:r w:rsidR="002D32B9" w:rsidRPr="002D32B9">
              <w:rPr>
                <w:rFonts w:asciiTheme="minorHAnsi" w:hAnsiTheme="minorHAnsi"/>
                <w:i/>
              </w:rPr>
              <w:t>UNDP support to the Beninese Parliament has reduced the communication deficit vis-à-vis the populations with the establishment and modernization of the Radio Hemicycle which impacts about 5 341 121 inhabitants</w:t>
            </w:r>
            <w:r w:rsidR="00532CB3">
              <w:rPr>
                <w:rFonts w:asciiTheme="minorHAnsi" w:hAnsiTheme="minorHAnsi"/>
                <w:i/>
              </w:rPr>
              <w:t>.</w:t>
            </w:r>
          </w:p>
          <w:p w:rsidR="009F4EB3" w:rsidRDefault="00E1172D" w:rsidP="000A021A">
            <w:pPr>
              <w:pStyle w:val="BodyText2"/>
              <w:ind w:left="720"/>
              <w:jc w:val="both"/>
              <w:rPr>
                <w:rFonts w:asciiTheme="minorHAnsi" w:hAnsiTheme="minorHAnsi"/>
                <w:i/>
              </w:rPr>
            </w:pPr>
            <w:r w:rsidRPr="00E1172D">
              <w:rPr>
                <w:rFonts w:asciiTheme="minorHAnsi" w:hAnsiTheme="minorHAnsi"/>
                <w:i/>
              </w:rPr>
              <w:t xml:space="preserve">The 2016 Presidential election has been successful, effective and transparent thanks to the support given to the National Independent Electoral Commission (CENA) and the Civil Society Organizations (CSOs). The CENA was able to dispose, as soon as possible, electoral equipment, sensitive material, several plans (logistics, communication, supply, training). </w:t>
            </w:r>
          </w:p>
          <w:p w:rsidR="004C4CF9" w:rsidRPr="00625D4D" w:rsidRDefault="004C4CF9" w:rsidP="004C4CF9">
            <w:pPr>
              <w:pStyle w:val="BodyText2"/>
              <w:ind w:left="720"/>
              <w:jc w:val="both"/>
              <w:rPr>
                <w:rFonts w:asciiTheme="minorHAnsi" w:hAnsiTheme="minorHAnsi"/>
                <w:i/>
              </w:rPr>
            </w:pPr>
          </w:p>
          <w:p w:rsidR="000A021A" w:rsidRPr="00532CB3" w:rsidRDefault="000A021A" w:rsidP="00FC5BB2">
            <w:pPr>
              <w:pStyle w:val="BodyText2"/>
              <w:numPr>
                <w:ilvl w:val="0"/>
                <w:numId w:val="24"/>
              </w:numPr>
              <w:jc w:val="both"/>
              <w:rPr>
                <w:rFonts w:asciiTheme="minorHAnsi" w:hAnsiTheme="minorHAnsi"/>
                <w:b/>
                <w:i/>
              </w:rPr>
            </w:pPr>
            <w:r w:rsidRPr="00532CB3">
              <w:rPr>
                <w:rFonts w:asciiTheme="minorHAnsi" w:hAnsiTheme="minorHAnsi"/>
                <w:b/>
                <w:i/>
              </w:rPr>
              <w:t>Institutions, CSOs and the media have more capacity to participate in the inclusive development process and to better conduct electoral processes.</w:t>
            </w:r>
          </w:p>
          <w:p w:rsidR="00E239E9" w:rsidRPr="00935B27" w:rsidRDefault="00E239E9" w:rsidP="00E239E9">
            <w:pPr>
              <w:pStyle w:val="BodyText2"/>
              <w:ind w:left="720"/>
              <w:jc w:val="both"/>
              <w:rPr>
                <w:rFonts w:asciiTheme="minorHAnsi" w:hAnsiTheme="minorHAnsi"/>
                <w:i/>
              </w:rPr>
            </w:pPr>
            <w:r w:rsidRPr="00FC5BB2">
              <w:rPr>
                <w:rFonts w:asciiTheme="minorHAnsi" w:hAnsiTheme="minorHAnsi"/>
                <w:i/>
              </w:rPr>
              <w:t>With regards to the legislative and communal</w:t>
            </w:r>
            <w:r>
              <w:rPr>
                <w:rFonts w:asciiTheme="minorHAnsi" w:hAnsiTheme="minorHAnsi"/>
                <w:i/>
              </w:rPr>
              <w:t xml:space="preserve"> and </w:t>
            </w:r>
            <w:r w:rsidRPr="00FC5BB2">
              <w:rPr>
                <w:rFonts w:asciiTheme="minorHAnsi" w:hAnsiTheme="minorHAnsi"/>
                <w:i/>
              </w:rPr>
              <w:t>elections,</w:t>
            </w:r>
            <w:r>
              <w:rPr>
                <w:rFonts w:asciiTheme="minorHAnsi" w:hAnsiTheme="minorHAnsi"/>
                <w:i/>
              </w:rPr>
              <w:t xml:space="preserve"> </w:t>
            </w:r>
            <w:proofErr w:type="gramStart"/>
            <w:r>
              <w:rPr>
                <w:rFonts w:asciiTheme="minorHAnsi" w:hAnsiTheme="minorHAnsi"/>
                <w:i/>
              </w:rPr>
              <w:t>presidential,</w:t>
            </w:r>
            <w:r w:rsidRPr="00FC5BB2">
              <w:rPr>
                <w:rFonts w:asciiTheme="minorHAnsi" w:hAnsiTheme="minorHAnsi"/>
                <w:i/>
              </w:rPr>
              <w:t xml:space="preserve">  respectively</w:t>
            </w:r>
            <w:proofErr w:type="gramEnd"/>
            <w:r w:rsidRPr="00FC5BB2">
              <w:rPr>
                <w:rFonts w:asciiTheme="minorHAnsi" w:hAnsiTheme="minorHAnsi"/>
                <w:i/>
              </w:rPr>
              <w:t xml:space="preserve"> held in April and June 201</w:t>
            </w:r>
            <w:r>
              <w:rPr>
                <w:rFonts w:asciiTheme="minorHAnsi" w:hAnsiTheme="minorHAnsi"/>
                <w:i/>
              </w:rPr>
              <w:t xml:space="preserve"> and 2016</w:t>
            </w:r>
            <w:r w:rsidRPr="00FC5BB2">
              <w:rPr>
                <w:rFonts w:asciiTheme="minorHAnsi" w:hAnsiTheme="minorHAnsi"/>
                <w:i/>
              </w:rPr>
              <w:t xml:space="preserve">5, were held within the deadlines set by the Constitution, thanks to the very important support provided by UNDP to the bodies in charge of organizing these elections. </w:t>
            </w:r>
            <w:r w:rsidRPr="0085505E">
              <w:rPr>
                <w:rFonts w:asciiTheme="minorHAnsi" w:hAnsiTheme="minorHAnsi"/>
                <w:i/>
              </w:rPr>
              <w:t xml:space="preserve"> </w:t>
            </w:r>
          </w:p>
          <w:p w:rsidR="000E03BE" w:rsidRPr="000E03BE" w:rsidRDefault="000E03BE" w:rsidP="000E03BE">
            <w:pPr>
              <w:pStyle w:val="BodyText2"/>
              <w:ind w:left="720"/>
              <w:jc w:val="both"/>
              <w:rPr>
                <w:rFonts w:asciiTheme="minorHAnsi" w:hAnsiTheme="minorHAnsi"/>
                <w:i/>
              </w:rPr>
            </w:pPr>
            <w:r w:rsidRPr="000E03BE">
              <w:rPr>
                <w:rFonts w:asciiTheme="minorHAnsi" w:hAnsiTheme="minorHAnsi"/>
                <w:i/>
              </w:rPr>
              <w:t xml:space="preserve">The various UNDP support in the electoral process in 2015 enabled the various social sectors to strengthen their capacities. Women in this case have acquired technical, managerial and leadership skills to better participate in decision-making processes. The representation rate of women increased slightly (8.43% in 2015 in the National Assembly compared to 7.23% in 2014, women elected mayors rose to 2.59% in 2015 against 1, 29% in 2014). UNDP interventions contributed to the improvement of women's representation at the level of leadership and political dialogue. This was possible thanks to the support given to the Civil Society Organization (CSO) for the animation of the Election Watch focused on women and youth. Indeed, through the actions "SITUATION ROOM ELECTORALE", about 1600 women were sensitized in several big cities of Benin on topics related to corruption during the electoral period and the behaviors proscribed by the electoral code. This has allowed women to demand clear political commitments from political leaders as to the proper positioning of women on their application lists. Also, at least 30% of the 200 observers deployed in the polling stations are women. The function of observers formerly reserved for men was adequately ensured by </w:t>
            </w:r>
            <w:r w:rsidRPr="000E03BE">
              <w:rPr>
                <w:rFonts w:asciiTheme="minorHAnsi" w:hAnsiTheme="minorHAnsi"/>
                <w:i/>
              </w:rPr>
              <w:lastRenderedPageBreak/>
              <w:t>women with the use of ICTs during the legislative and communal elections of 2015. This is a first in Benin to help have transparent and peaceful elections, since the advent of democracy.</w:t>
            </w:r>
          </w:p>
          <w:p w:rsidR="009F4EB3" w:rsidRDefault="009F4EB3" w:rsidP="009F4EB3">
            <w:pPr>
              <w:pStyle w:val="BodyText2"/>
              <w:ind w:left="720"/>
              <w:jc w:val="both"/>
              <w:rPr>
                <w:rFonts w:asciiTheme="minorHAnsi" w:hAnsiTheme="minorHAnsi"/>
                <w:i/>
              </w:rPr>
            </w:pPr>
            <w:r>
              <w:rPr>
                <w:rFonts w:asciiTheme="minorHAnsi" w:hAnsiTheme="minorHAnsi"/>
                <w:i/>
              </w:rPr>
              <w:t>I</w:t>
            </w:r>
            <w:r w:rsidRPr="009F4EB3">
              <w:rPr>
                <w:rFonts w:asciiTheme="minorHAnsi" w:hAnsiTheme="minorHAnsi"/>
                <w:i/>
              </w:rPr>
              <w:t>n the context of the 2016 presidential election in Benin, UNDP support enabled the acquisition of sensitive election materials for the benefit of CENA through the United Nations Procurement Center in Copenhagen. indelible ink (28,000 bottles) and sealed seals for the ballot boxes (390,000); the provision of expertise in the areas of electoral planning, logistics, training and the setting up of the website. UNDP support to CENA enabled the timely and peaceful organization of the presidential election and its organization in 2016 in Benin. The CENA was able to dispose, as soon as possible, electoral equipment and sensitive material, several plans (logistics, communication, supply, training) clear and precise, unlike previous presidential elections.</w:t>
            </w:r>
          </w:p>
          <w:p w:rsidR="00FC5BB2" w:rsidRDefault="00FC5BB2" w:rsidP="00FC5BB2">
            <w:pPr>
              <w:pStyle w:val="BodyText2"/>
              <w:ind w:left="720"/>
              <w:jc w:val="both"/>
              <w:rPr>
                <w:rFonts w:asciiTheme="minorHAnsi" w:hAnsiTheme="minorHAnsi"/>
                <w:i/>
              </w:rPr>
            </w:pPr>
            <w:r w:rsidRPr="009F4EB3">
              <w:rPr>
                <w:rFonts w:asciiTheme="minorHAnsi" w:hAnsiTheme="minorHAnsi"/>
                <w:i/>
              </w:rPr>
              <w:t>To strengthen women's participation in an inclusive and peaceful 2016 presidential election. In Benin, UNDP-initiated BRIDGE Modular Training has strengthened seven (07) women's networks (with more than 3,500 women across the country) to improve women's participation in the process in 2016. They have been strengthened to break down barriers to women's participation or representation in the electoral process as leaders of political parties, observers or journalists; to develop strategies to increase the representation and participation of women in Benin's political arenas; to ensure the maintenance of security and conflict management during the election period</w:t>
            </w:r>
            <w:r w:rsidR="00E239E9">
              <w:rPr>
                <w:rFonts w:asciiTheme="minorHAnsi" w:hAnsiTheme="minorHAnsi"/>
                <w:i/>
              </w:rPr>
              <w:t xml:space="preserve">. </w:t>
            </w:r>
            <w:r w:rsidR="00E239E9" w:rsidRPr="00E239E9">
              <w:rPr>
                <w:rFonts w:asciiTheme="minorHAnsi" w:hAnsiTheme="minorHAnsi"/>
                <w:i/>
              </w:rPr>
              <w:t>Women and young people have been sensitized and sensitized on the new Electoral Code and on the role of women in the face of corruption during elections.</w:t>
            </w:r>
          </w:p>
          <w:p w:rsidR="00E239E9" w:rsidRDefault="00E239E9" w:rsidP="00E239E9">
            <w:pPr>
              <w:pStyle w:val="BodyText2"/>
              <w:ind w:left="720"/>
              <w:jc w:val="both"/>
              <w:rPr>
                <w:rFonts w:asciiTheme="minorHAnsi" w:hAnsiTheme="minorHAnsi"/>
                <w:i/>
              </w:rPr>
            </w:pPr>
            <w:r w:rsidRPr="00237434">
              <w:rPr>
                <w:rFonts w:asciiTheme="minorHAnsi" w:hAnsiTheme="minorHAnsi"/>
                <w:i/>
              </w:rPr>
              <w:t xml:space="preserve">At the municipal level, the number of women rose from 1465 to nearly 3,000. In the elected assemblies (Parliament and municipal councils), female representation improved significantly, </w:t>
            </w:r>
            <w:proofErr w:type="spellStart"/>
            <w:r w:rsidRPr="00237434">
              <w:rPr>
                <w:rFonts w:asciiTheme="minorHAnsi" w:hAnsiTheme="minorHAnsi"/>
                <w:i/>
              </w:rPr>
              <w:t>ie</w:t>
            </w:r>
            <w:proofErr w:type="spellEnd"/>
            <w:r w:rsidRPr="00237434">
              <w:rPr>
                <w:rFonts w:asciiTheme="minorHAnsi" w:hAnsiTheme="minorHAnsi"/>
                <w:i/>
              </w:rPr>
              <w:t xml:space="preserve"> 4.80% in 2015 in the municipal councils against </w:t>
            </w:r>
            <w:proofErr w:type="gramStart"/>
            <w:r w:rsidRPr="00237434">
              <w:rPr>
                <w:rFonts w:asciiTheme="minorHAnsi" w:hAnsiTheme="minorHAnsi"/>
                <w:i/>
              </w:rPr>
              <w:t>4 ,</w:t>
            </w:r>
            <w:proofErr w:type="gramEnd"/>
            <w:r w:rsidRPr="00237434">
              <w:rPr>
                <w:rFonts w:asciiTheme="minorHAnsi" w:hAnsiTheme="minorHAnsi"/>
                <w:i/>
              </w:rPr>
              <w:t xml:space="preserve"> 49% in 2014 and 8.43% in 2015 in the National Assembly compared </w:t>
            </w:r>
            <w:proofErr w:type="spellStart"/>
            <w:r w:rsidRPr="00237434">
              <w:rPr>
                <w:rFonts w:asciiTheme="minorHAnsi" w:hAnsiTheme="minorHAnsi"/>
                <w:i/>
              </w:rPr>
              <w:t>to</w:t>
            </w:r>
            <w:r w:rsidRPr="00CA4CD2">
              <w:rPr>
                <w:rFonts w:asciiTheme="minorHAnsi" w:hAnsiTheme="minorHAnsi"/>
                <w:i/>
              </w:rPr>
              <w:t>'s</w:t>
            </w:r>
            <w:proofErr w:type="spellEnd"/>
            <w:r w:rsidRPr="00CA4CD2">
              <w:rPr>
                <w:rFonts w:asciiTheme="minorHAnsi" w:hAnsiTheme="minorHAnsi"/>
                <w:i/>
              </w:rPr>
              <w:t xml:space="preserve"> networks have been strengthened for their participation in conflict management and peacekeeping in Benin. The Benin Section of the Working Group "Women, Peace and Security" is created and functional, with a work plan already in 2018. 110 women from the Media and Trade Unions have been trained on Resolution 1325 and following. Advocacy was made to the Chief of Staff of the Armed Forces for strong involvement of women in peacekeeping operations</w:t>
            </w:r>
            <w:r>
              <w:rPr>
                <w:rFonts w:asciiTheme="minorHAnsi" w:hAnsiTheme="minorHAnsi"/>
                <w:i/>
              </w:rPr>
              <w:t xml:space="preserve"> </w:t>
            </w:r>
            <w:r w:rsidRPr="00490D0A">
              <w:rPr>
                <w:rFonts w:asciiTheme="minorHAnsi" w:hAnsiTheme="minorHAnsi"/>
                <w:i/>
              </w:rPr>
              <w:t>Actions for a participatory democracy including women have enabled some twenty women's networks to be active in electoral observation. The function of observers formerly reserved for men has been adequately ensured by women with the use of ICTs. Strengthening their capacity to monitor and manage election-related conflicts enabled them to be active in the process of peacekeeping during elections in accordance with resolutions 1325 and 1820. Political parties were sensitized for an understanding and the application of strategies that can promote gender equality and the participation of women activists in elections. As a result, 1,600 women were sensitized in three cities across the country on corruption during an election period. This allowed women to demand clear political commitments from political leaders as to the proper positioning of women on their lists of candidates</w:t>
            </w:r>
            <w:r>
              <w:rPr>
                <w:rFonts w:asciiTheme="minorHAnsi" w:hAnsiTheme="minorHAnsi"/>
                <w:i/>
              </w:rPr>
              <w:t xml:space="preserve"> </w:t>
            </w:r>
            <w:proofErr w:type="gramStart"/>
            <w:r w:rsidRPr="00490D0A">
              <w:rPr>
                <w:rFonts w:asciiTheme="minorHAnsi" w:hAnsiTheme="minorHAnsi"/>
                <w:i/>
              </w:rPr>
              <w:t>In</w:t>
            </w:r>
            <w:proofErr w:type="gramEnd"/>
            <w:r w:rsidRPr="00490D0A">
              <w:rPr>
                <w:rFonts w:asciiTheme="minorHAnsi" w:hAnsiTheme="minorHAnsi"/>
                <w:i/>
              </w:rPr>
              <w:t xml:space="preserve"> 2015, the elections saw an improvement in the participation of women as candidates in the various elections. In the communes, for example, the number of women increased from 1465 to nearly 3,000. Thus, the percentage of women's representation in elected assemblies (Parliament and municipal councils) improved significantly, </w:t>
            </w:r>
            <w:proofErr w:type="spellStart"/>
            <w:r w:rsidRPr="00490D0A">
              <w:rPr>
                <w:rFonts w:asciiTheme="minorHAnsi" w:hAnsiTheme="minorHAnsi"/>
                <w:i/>
              </w:rPr>
              <w:t>ie</w:t>
            </w:r>
            <w:proofErr w:type="spellEnd"/>
            <w:r w:rsidRPr="00490D0A">
              <w:rPr>
                <w:rFonts w:asciiTheme="minorHAnsi" w:hAnsiTheme="minorHAnsi"/>
                <w:i/>
              </w:rPr>
              <w:t xml:space="preserve"> 4.80 % in 2015 in municipal councils compared to 4.49% in 2014 and 8.43% in 2015 in the National Assembly compared to 7.23% in 2014. The percentage of women mayors elected increased from 1.29% in 2014 to 2.59% in 2015. If this result could be achieved, it is thanks to the support provided by UNDP to the bodies in charge of the preparation and the management of the elections and to the Org</w:t>
            </w:r>
            <w:r>
              <w:rPr>
                <w:rFonts w:asciiTheme="minorHAnsi" w:hAnsiTheme="minorHAnsi"/>
                <w:i/>
              </w:rPr>
              <w:t>anizations of the Civil Society</w:t>
            </w:r>
            <w:r w:rsidRPr="00490D0A">
              <w:rPr>
                <w:rFonts w:asciiTheme="minorHAnsi" w:hAnsiTheme="minorHAnsi"/>
                <w:i/>
              </w:rPr>
              <w:t>].</w:t>
            </w:r>
          </w:p>
          <w:p w:rsidR="00E239E9" w:rsidRDefault="00E239E9" w:rsidP="00E239E9">
            <w:pPr>
              <w:pStyle w:val="BodyText2"/>
              <w:ind w:left="720"/>
              <w:jc w:val="both"/>
              <w:rPr>
                <w:rFonts w:asciiTheme="minorHAnsi" w:hAnsiTheme="minorHAnsi"/>
                <w:i/>
              </w:rPr>
            </w:pPr>
          </w:p>
          <w:p w:rsidR="00FC5BB2" w:rsidRDefault="00E239E9" w:rsidP="000A021A">
            <w:pPr>
              <w:pStyle w:val="BodyText2"/>
              <w:ind w:left="720"/>
              <w:jc w:val="both"/>
            </w:pPr>
            <w:r>
              <w:rPr>
                <w:rFonts w:asciiTheme="minorHAnsi" w:hAnsiTheme="minorHAnsi"/>
                <w:i/>
              </w:rPr>
              <w:t xml:space="preserve">The </w:t>
            </w:r>
            <w:r w:rsidR="000A021A" w:rsidRPr="000A021A">
              <w:rPr>
                <w:rFonts w:asciiTheme="minorHAnsi" w:hAnsiTheme="minorHAnsi"/>
                <w:i/>
              </w:rPr>
              <w:t>CSO targets</w:t>
            </w:r>
            <w:r>
              <w:rPr>
                <w:rFonts w:asciiTheme="minorHAnsi" w:hAnsiTheme="minorHAnsi"/>
                <w:i/>
              </w:rPr>
              <w:t xml:space="preserve"> are</w:t>
            </w:r>
            <w:r w:rsidR="000A021A" w:rsidRPr="000A021A">
              <w:rPr>
                <w:rFonts w:asciiTheme="minorHAnsi" w:hAnsiTheme="minorHAnsi"/>
                <w:i/>
              </w:rPr>
              <w:t xml:space="preserve"> trained on the themes of development, women networks strengthened for the improvement in the representatives, proximity radio stations supported for peace actions (77 peace committees have been set up) and sensitization on the violence based on the kind</w:t>
            </w:r>
            <w:r w:rsidR="00CA4CD2">
              <w:rPr>
                <w:rFonts w:asciiTheme="minorHAnsi" w:hAnsiTheme="minorHAnsi"/>
                <w:i/>
              </w:rPr>
              <w:t>.</w:t>
            </w:r>
            <w:r w:rsidR="00490D0A">
              <w:t xml:space="preserve"> </w:t>
            </w:r>
          </w:p>
          <w:p w:rsidR="00237434" w:rsidRDefault="00237434" w:rsidP="000A021A">
            <w:pPr>
              <w:pStyle w:val="BodyText2"/>
              <w:ind w:left="720"/>
              <w:jc w:val="both"/>
              <w:rPr>
                <w:rFonts w:asciiTheme="minorHAnsi" w:hAnsiTheme="minorHAnsi"/>
                <w:i/>
              </w:rPr>
            </w:pPr>
          </w:p>
          <w:p w:rsidR="000A021A" w:rsidRDefault="000A021A" w:rsidP="000A021A">
            <w:pPr>
              <w:pStyle w:val="BodyText2"/>
              <w:ind w:left="720"/>
              <w:jc w:val="both"/>
              <w:rPr>
                <w:rFonts w:asciiTheme="minorHAnsi" w:hAnsiTheme="minorHAnsi"/>
                <w:i/>
              </w:rPr>
            </w:pPr>
          </w:p>
          <w:p w:rsidR="000A021A" w:rsidRPr="00FC5BB2" w:rsidRDefault="0062135D" w:rsidP="0062135D">
            <w:pPr>
              <w:pStyle w:val="BodyText2"/>
              <w:numPr>
                <w:ilvl w:val="0"/>
                <w:numId w:val="24"/>
              </w:numPr>
              <w:jc w:val="both"/>
              <w:rPr>
                <w:rFonts w:asciiTheme="minorHAnsi" w:hAnsiTheme="minorHAnsi"/>
                <w:b/>
                <w:i/>
              </w:rPr>
            </w:pPr>
            <w:r w:rsidRPr="00FC5BB2">
              <w:rPr>
                <w:rFonts w:asciiTheme="minorHAnsi" w:hAnsiTheme="minorHAnsi"/>
                <w:b/>
                <w:i/>
              </w:rPr>
              <w:t>Key actors of justice at the national and local levels are able to implement appropriate procedures and mechanisms to facilitate access to justice for vulnerable populations</w:t>
            </w:r>
          </w:p>
          <w:p w:rsidR="00E239E9" w:rsidRPr="00490D0A" w:rsidRDefault="00E239E9" w:rsidP="00E239E9">
            <w:pPr>
              <w:pStyle w:val="BodyText2"/>
              <w:ind w:left="720"/>
              <w:jc w:val="both"/>
              <w:rPr>
                <w:rFonts w:asciiTheme="minorHAnsi" w:hAnsiTheme="minorHAnsi"/>
                <w:i/>
              </w:rPr>
            </w:pPr>
            <w:r w:rsidRPr="0085505E">
              <w:rPr>
                <w:rFonts w:asciiTheme="minorHAnsi" w:hAnsiTheme="minorHAnsi"/>
                <w:i/>
              </w:rPr>
              <w:lastRenderedPageBreak/>
              <w:t>UNDP support to the Government and CSOs has contributed to strengthening democratic governance and the promotion of human rights. This enabled: (</w:t>
            </w:r>
            <w:proofErr w:type="spellStart"/>
            <w:r w:rsidRPr="0085505E">
              <w:rPr>
                <w:rFonts w:asciiTheme="minorHAnsi" w:hAnsiTheme="minorHAnsi"/>
                <w:i/>
              </w:rPr>
              <w:t>i</w:t>
            </w:r>
            <w:proofErr w:type="spellEnd"/>
            <w:r w:rsidRPr="0085505E">
              <w:rPr>
                <w:rFonts w:asciiTheme="minorHAnsi" w:hAnsiTheme="minorHAnsi"/>
                <w:i/>
              </w:rPr>
              <w:t>) capacity building of the Women, Peace and Security Network for better control of the legal instruments ratified by the country (Resolution 1325 and following and the SDGs); (ii) Ministry in charge of the Affairs to have a national plan of the Resolution 1325 and to evaluate the national plan of fight against the violence (VBG)</w:t>
            </w:r>
            <w:r>
              <w:rPr>
                <w:rFonts w:asciiTheme="minorHAnsi" w:hAnsiTheme="minorHAnsi"/>
                <w:i/>
              </w:rPr>
              <w:t xml:space="preserve">. </w:t>
            </w:r>
            <w:r w:rsidRPr="00490D0A">
              <w:rPr>
                <w:rFonts w:asciiTheme="minorHAnsi" w:hAnsiTheme="minorHAnsi"/>
                <w:i/>
              </w:rPr>
              <w:t>In 2015, GBV action was effectively reinforced through the implementation of the planned actions in the Joint Program "Elimination of Gender Based Violence and Promotion of Human Rights" signed in 20</w:t>
            </w:r>
            <w:r>
              <w:rPr>
                <w:rFonts w:asciiTheme="minorHAnsi" w:hAnsiTheme="minorHAnsi"/>
                <w:i/>
              </w:rPr>
              <w:t xml:space="preserve">14 with the Government of Benin and an </w:t>
            </w:r>
            <w:r w:rsidRPr="00490D0A">
              <w:rPr>
                <w:rFonts w:asciiTheme="minorHAnsi" w:hAnsiTheme="minorHAnsi"/>
                <w:i/>
              </w:rPr>
              <w:t>Establishment of an innovative mechanism to combat gender-based violence (GBV) and promote women's rights</w:t>
            </w:r>
            <w:r>
              <w:rPr>
                <w:rFonts w:asciiTheme="minorHAnsi" w:hAnsiTheme="minorHAnsi"/>
                <w:i/>
              </w:rPr>
              <w:t xml:space="preserve">. Resources </w:t>
            </w:r>
            <w:proofErr w:type="spellStart"/>
            <w:r>
              <w:rPr>
                <w:rFonts w:asciiTheme="minorHAnsi" w:hAnsiTheme="minorHAnsi"/>
                <w:i/>
              </w:rPr>
              <w:t>mobilized</w:t>
            </w:r>
            <w:r w:rsidRPr="00490D0A">
              <w:rPr>
                <w:rFonts w:asciiTheme="minorHAnsi" w:hAnsiTheme="minorHAnsi"/>
                <w:i/>
              </w:rPr>
              <w:t>from</w:t>
            </w:r>
            <w:proofErr w:type="spellEnd"/>
            <w:r w:rsidRPr="00490D0A">
              <w:rPr>
                <w:rFonts w:asciiTheme="minorHAnsi" w:hAnsiTheme="minorHAnsi"/>
                <w:i/>
              </w:rPr>
              <w:t xml:space="preserve"> the RBA, through the INNOVATION initiative, made it possible to build an electronic platform for denouncing cases of GBV and to train 544 GBV-fighting actors (social assistants, NGO </w:t>
            </w:r>
            <w:proofErr w:type="gramStart"/>
            <w:r w:rsidRPr="00490D0A">
              <w:rPr>
                <w:rFonts w:asciiTheme="minorHAnsi" w:hAnsiTheme="minorHAnsi"/>
                <w:i/>
              </w:rPr>
              <w:t>members ,</w:t>
            </w:r>
            <w:proofErr w:type="gramEnd"/>
            <w:r w:rsidRPr="00490D0A">
              <w:rPr>
                <w:rFonts w:asciiTheme="minorHAnsi" w:hAnsiTheme="minorHAnsi"/>
                <w:i/>
              </w:rPr>
              <w:t xml:space="preserve"> Police Officers (Police and Gendarmerie), media animators and professionals and local elected representatives). This project has made it possible to restore the confidence of the populations, in particular the women and to file their complaints in complete safety with assurance of care of quality.</w:t>
            </w:r>
            <w:r>
              <w:rPr>
                <w:rFonts w:asciiTheme="minorHAnsi" w:hAnsiTheme="minorHAnsi"/>
                <w:i/>
              </w:rPr>
              <w:t xml:space="preserve"> </w:t>
            </w:r>
            <w:r w:rsidRPr="00935B27">
              <w:rPr>
                <w:rFonts w:asciiTheme="minorHAnsi" w:hAnsiTheme="minorHAnsi"/>
                <w:i/>
              </w:rPr>
              <w:t>Also with the support of UNDP, another electronic platform for reporting cases of gender-based violence has been tested by the Beninese government to improve the quality of care for victims.</w:t>
            </w:r>
            <w:r>
              <w:rPr>
                <w:rFonts w:asciiTheme="minorHAnsi" w:hAnsiTheme="minorHAnsi"/>
                <w:i/>
              </w:rPr>
              <w:t xml:space="preserve"> </w:t>
            </w:r>
            <w:r w:rsidRPr="00490D0A">
              <w:rPr>
                <w:rFonts w:asciiTheme="minorHAnsi" w:hAnsiTheme="minorHAnsi"/>
                <w:i/>
              </w:rPr>
              <w:t>Gender Mainstreaming</w:t>
            </w:r>
            <w:r>
              <w:rPr>
                <w:rFonts w:asciiTheme="minorHAnsi" w:hAnsiTheme="minorHAnsi"/>
                <w:i/>
              </w:rPr>
              <w:t xml:space="preserve"> has been</w:t>
            </w:r>
            <w:r w:rsidRPr="00490D0A">
              <w:rPr>
                <w:rFonts w:asciiTheme="minorHAnsi" w:hAnsiTheme="minorHAnsi"/>
                <w:i/>
              </w:rPr>
              <w:t xml:space="preserve"> promot</w:t>
            </w:r>
            <w:r>
              <w:rPr>
                <w:rFonts w:asciiTheme="minorHAnsi" w:hAnsiTheme="minorHAnsi"/>
                <w:i/>
              </w:rPr>
              <w:t>ed</w:t>
            </w:r>
            <w:r w:rsidRPr="00490D0A">
              <w:rPr>
                <w:rFonts w:asciiTheme="minorHAnsi" w:hAnsiTheme="minorHAnsi"/>
                <w:i/>
              </w:rPr>
              <w:t xml:space="preserve"> in the planning, programming, budgeting and monitoring / evaluation chain</w:t>
            </w:r>
          </w:p>
          <w:p w:rsidR="00E239E9" w:rsidRPr="00490D0A" w:rsidRDefault="00E239E9" w:rsidP="00E239E9">
            <w:pPr>
              <w:pStyle w:val="BodyText2"/>
              <w:ind w:left="720"/>
              <w:jc w:val="both"/>
              <w:rPr>
                <w:rFonts w:asciiTheme="minorHAnsi" w:hAnsiTheme="minorHAnsi"/>
                <w:i/>
              </w:rPr>
            </w:pPr>
          </w:p>
          <w:p w:rsidR="002D32B9" w:rsidRDefault="00E239E9" w:rsidP="00E239E9">
            <w:pPr>
              <w:pStyle w:val="BodyText2"/>
              <w:ind w:left="720"/>
              <w:jc w:val="both"/>
              <w:rPr>
                <w:rFonts w:asciiTheme="minorHAnsi" w:hAnsiTheme="minorHAnsi"/>
                <w:i/>
              </w:rPr>
            </w:pPr>
            <w:r>
              <w:rPr>
                <w:rFonts w:asciiTheme="minorHAnsi" w:hAnsiTheme="minorHAnsi"/>
                <w:i/>
              </w:rPr>
              <w:t>T</w:t>
            </w:r>
            <w:r w:rsidR="009F4EB3" w:rsidRPr="009F4EB3">
              <w:rPr>
                <w:rFonts w:asciiTheme="minorHAnsi" w:hAnsiTheme="minorHAnsi"/>
                <w:i/>
              </w:rPr>
              <w:t>he capacities of the actors were strengthened (22 representatives of NGOs on the mechanisms of protection of human rights, 42 NGO actors equipped to ensure citizen control, fight against corruption and the regularity of public markets).</w:t>
            </w:r>
            <w:r>
              <w:rPr>
                <w:rFonts w:asciiTheme="minorHAnsi" w:hAnsiTheme="minorHAnsi"/>
                <w:i/>
              </w:rPr>
              <w:t xml:space="preserve"> In addition, </w:t>
            </w:r>
            <w:r w:rsidR="002D32B9" w:rsidRPr="002D32B9">
              <w:rPr>
                <w:rFonts w:asciiTheme="minorHAnsi" w:hAnsiTheme="minorHAnsi"/>
                <w:i/>
              </w:rPr>
              <w:t>207 inmates including 46 women in the civil prison of Cotonou saw their capacities reinforced</w:t>
            </w:r>
            <w:r w:rsidR="009F4EB3">
              <w:rPr>
                <w:rFonts w:asciiTheme="minorHAnsi" w:hAnsiTheme="minorHAnsi"/>
                <w:i/>
              </w:rPr>
              <w:t>.</w:t>
            </w:r>
          </w:p>
          <w:p w:rsidR="00490D0A" w:rsidRPr="00490D0A" w:rsidRDefault="00490D0A" w:rsidP="00E239E9">
            <w:pPr>
              <w:pStyle w:val="BodyText2"/>
              <w:jc w:val="both"/>
              <w:rPr>
                <w:rFonts w:asciiTheme="minorHAnsi" w:hAnsiTheme="minorHAnsi"/>
                <w:i/>
              </w:rPr>
            </w:pPr>
            <w:r w:rsidRPr="00490D0A">
              <w:rPr>
                <w:rFonts w:asciiTheme="minorHAnsi" w:hAnsiTheme="minorHAnsi"/>
                <w:i/>
              </w:rPr>
              <w:t>.</w:t>
            </w:r>
          </w:p>
          <w:p w:rsidR="00316649" w:rsidRPr="00F20CFE" w:rsidRDefault="00316649" w:rsidP="000A021A">
            <w:pPr>
              <w:pStyle w:val="BodyText2"/>
              <w:ind w:left="720"/>
              <w:jc w:val="both"/>
              <w:rPr>
                <w:rFonts w:asciiTheme="minorHAnsi" w:hAnsiTheme="minorHAnsi"/>
                <w:i/>
              </w:rPr>
            </w:pPr>
          </w:p>
        </w:tc>
      </w:tr>
      <w:tr w:rsidR="00F91CC5" w:rsidRPr="00F01FDE" w:rsidTr="00F93487">
        <w:tc>
          <w:tcPr>
            <w:tcW w:w="3060" w:type="dxa"/>
            <w:shd w:val="clear" w:color="auto" w:fill="95B3D7" w:themeFill="accent1" w:themeFillTint="99"/>
          </w:tcPr>
          <w:p w:rsidR="00F91CC5" w:rsidRPr="00F91CC5" w:rsidRDefault="00D9192E" w:rsidP="004C4CF9">
            <w:pPr>
              <w:pStyle w:val="BodyText2"/>
              <w:jc w:val="both"/>
              <w:rPr>
                <w:rFonts w:ascii="Calibri" w:hAnsi="Calibri"/>
                <w:i/>
              </w:rPr>
            </w:pPr>
            <w:r>
              <w:lastRenderedPageBreak/>
              <w:br w:type="page"/>
            </w:r>
            <w:r w:rsidR="00EE2A06">
              <w:rPr>
                <w:rFonts w:ascii="Calibri" w:hAnsi="Calibri"/>
                <w:b/>
                <w:i/>
              </w:rPr>
              <w:t xml:space="preserve">Component </w:t>
            </w:r>
            <w:proofErr w:type="gramStart"/>
            <w:r w:rsidR="00EE2A06">
              <w:rPr>
                <w:rFonts w:ascii="Calibri" w:hAnsi="Calibri"/>
                <w:b/>
                <w:i/>
              </w:rPr>
              <w:t>3.</w:t>
            </w:r>
            <w:r w:rsidR="00F91CC5" w:rsidRPr="00F91CC5">
              <w:rPr>
                <w:rFonts w:ascii="Calibri" w:hAnsi="Calibri"/>
                <w:b/>
                <w:i/>
              </w:rPr>
              <w:t>.</w:t>
            </w:r>
            <w:proofErr w:type="gramEnd"/>
            <w:r w:rsidR="00F91CC5" w:rsidRPr="00F91CC5">
              <w:rPr>
                <w:rFonts w:ascii="Calibri" w:hAnsi="Calibri"/>
                <w:i/>
              </w:rPr>
              <w:t xml:space="preserve"> </w:t>
            </w:r>
            <w:r w:rsidR="00EE2A06" w:rsidRPr="00EE2A06">
              <w:rPr>
                <w:rFonts w:ascii="Calibri" w:hAnsi="Calibri"/>
                <w:b/>
                <w:i/>
              </w:rPr>
              <w:t>Environmental management, climate change and disasters</w:t>
            </w:r>
          </w:p>
          <w:p w:rsidR="00F91CC5" w:rsidRPr="00F91CC5" w:rsidRDefault="00EE2A06" w:rsidP="004C4CF9">
            <w:pPr>
              <w:pStyle w:val="BodyText2"/>
              <w:jc w:val="both"/>
              <w:rPr>
                <w:rFonts w:ascii="Calibri" w:hAnsi="Calibri"/>
                <w:b/>
                <w:i/>
              </w:rPr>
            </w:pPr>
            <w:r w:rsidRPr="00EE2A06">
              <w:rPr>
                <w:rFonts w:ascii="Calibri" w:hAnsi="Calibri"/>
                <w:i/>
              </w:rPr>
              <w:t>By the end of 2018, the institutions and populations of the intervention communes will better manage the environment, the natural and energy resources, the living environment and the consequences of the changes.</w:t>
            </w:r>
          </w:p>
        </w:tc>
        <w:tc>
          <w:tcPr>
            <w:tcW w:w="1530" w:type="dxa"/>
            <w:gridSpan w:val="2"/>
            <w:shd w:val="clear" w:color="auto" w:fill="auto"/>
          </w:tcPr>
          <w:p w:rsidR="00F91CC5" w:rsidRPr="00F91CC5" w:rsidRDefault="00EE2A06" w:rsidP="00F91CC5">
            <w:pPr>
              <w:pStyle w:val="BodyText2"/>
              <w:rPr>
                <w:rFonts w:ascii="Calibri" w:hAnsi="Calibri"/>
                <w:i/>
              </w:rPr>
            </w:pPr>
            <w:r>
              <w:rPr>
                <w:rFonts w:ascii="Calibri" w:hAnsi="Calibri"/>
                <w:i/>
              </w:rPr>
              <w:t>$ 18,204</w:t>
            </w:r>
            <w:r w:rsidR="00F91CC5" w:rsidRPr="00F91CC5">
              <w:rPr>
                <w:rFonts w:ascii="Calibri" w:hAnsi="Calibri"/>
                <w:i/>
              </w:rPr>
              <w:t>,</w:t>
            </w:r>
            <w:r>
              <w:rPr>
                <w:rFonts w:ascii="Calibri" w:hAnsi="Calibri"/>
                <w:i/>
              </w:rPr>
              <w:t>902</w:t>
            </w:r>
          </w:p>
        </w:tc>
        <w:tc>
          <w:tcPr>
            <w:tcW w:w="3184" w:type="dxa"/>
            <w:tcBorders>
              <w:left w:val="single" w:sz="4" w:space="0" w:color="auto"/>
            </w:tcBorders>
          </w:tcPr>
          <w:p w:rsidR="00A0594D" w:rsidRPr="00592207" w:rsidRDefault="00592207" w:rsidP="00592207">
            <w:pPr>
              <w:pStyle w:val="BodyText2"/>
              <w:numPr>
                <w:ilvl w:val="0"/>
                <w:numId w:val="19"/>
              </w:numPr>
              <w:rPr>
                <w:rFonts w:ascii="Calibri" w:hAnsi="Calibri"/>
                <w:i/>
              </w:rPr>
            </w:pPr>
            <w:r>
              <w:rPr>
                <w:rFonts w:asciiTheme="minorHAnsi" w:hAnsiTheme="minorHAnsi"/>
                <w:i/>
              </w:rPr>
              <w:t xml:space="preserve">Rate </w:t>
            </w:r>
            <w:r w:rsidRPr="00592207">
              <w:rPr>
                <w:rFonts w:asciiTheme="minorHAnsi" w:hAnsiTheme="minorHAnsi"/>
                <w:i/>
              </w:rPr>
              <w:t xml:space="preserve">of physical execution of the National Contingency Plan </w:t>
            </w:r>
          </w:p>
          <w:p w:rsidR="00592207" w:rsidRPr="00E17443" w:rsidRDefault="00592207" w:rsidP="00592207">
            <w:pPr>
              <w:pStyle w:val="BodyText2"/>
              <w:tabs>
                <w:tab w:val="left" w:pos="2630"/>
              </w:tabs>
              <w:ind w:left="360"/>
              <w:rPr>
                <w:rFonts w:ascii="Calibri" w:hAnsi="Calibri"/>
                <w:i/>
              </w:rPr>
            </w:pPr>
            <w:r>
              <w:rPr>
                <w:rFonts w:ascii="Calibri" w:hAnsi="Calibri"/>
                <w:i/>
              </w:rPr>
              <w:tab/>
            </w:r>
          </w:p>
          <w:p w:rsidR="00592207" w:rsidRPr="00592207" w:rsidRDefault="00592207" w:rsidP="00592207">
            <w:pPr>
              <w:pStyle w:val="BodyText2"/>
              <w:ind w:left="360"/>
              <w:rPr>
                <w:rFonts w:ascii="Calibri" w:hAnsi="Calibri"/>
                <w:i/>
              </w:rPr>
            </w:pPr>
          </w:p>
          <w:p w:rsidR="00A0594D" w:rsidRDefault="00A0594D" w:rsidP="00592207">
            <w:pPr>
              <w:pStyle w:val="ListParagraph"/>
              <w:numPr>
                <w:ilvl w:val="0"/>
                <w:numId w:val="19"/>
              </w:numPr>
              <w:rPr>
                <w:rFonts w:ascii="Calibri" w:hAnsi="Calibri"/>
                <w:i/>
                <w:sz w:val="20"/>
                <w:szCs w:val="20"/>
              </w:rPr>
            </w:pPr>
          </w:p>
          <w:p w:rsidR="00592207" w:rsidRPr="00592207" w:rsidRDefault="00592207" w:rsidP="00592207">
            <w:pPr>
              <w:pStyle w:val="ListParagraph"/>
              <w:rPr>
                <w:rFonts w:ascii="Calibri" w:hAnsi="Calibri"/>
                <w:i/>
                <w:sz w:val="20"/>
                <w:szCs w:val="20"/>
              </w:rPr>
            </w:pPr>
          </w:p>
          <w:p w:rsidR="00592207" w:rsidRDefault="00592207" w:rsidP="00592207">
            <w:pPr>
              <w:pStyle w:val="ListParagraph"/>
              <w:numPr>
                <w:ilvl w:val="0"/>
                <w:numId w:val="19"/>
              </w:numPr>
              <w:rPr>
                <w:rFonts w:ascii="Calibri" w:hAnsi="Calibri"/>
                <w:i/>
                <w:sz w:val="20"/>
                <w:szCs w:val="20"/>
              </w:rPr>
            </w:pPr>
            <w:r>
              <w:rPr>
                <w:rFonts w:ascii="Calibri" w:hAnsi="Calibri"/>
                <w:i/>
                <w:sz w:val="20"/>
                <w:szCs w:val="20"/>
              </w:rPr>
              <w:t>Rate of reforestation</w:t>
            </w:r>
          </w:p>
          <w:p w:rsidR="00592207" w:rsidRPr="00592207" w:rsidRDefault="00592207" w:rsidP="00592207">
            <w:pPr>
              <w:pStyle w:val="ListParagraph"/>
              <w:rPr>
                <w:rFonts w:ascii="Calibri" w:hAnsi="Calibri"/>
                <w:i/>
                <w:sz w:val="20"/>
                <w:szCs w:val="20"/>
              </w:rPr>
            </w:pPr>
          </w:p>
          <w:p w:rsidR="00A0594D" w:rsidRPr="00592207" w:rsidRDefault="00592207" w:rsidP="00FC5BB2">
            <w:pPr>
              <w:pStyle w:val="ListParagraph"/>
              <w:numPr>
                <w:ilvl w:val="0"/>
                <w:numId w:val="19"/>
              </w:numPr>
              <w:rPr>
                <w:rFonts w:ascii="Calibri" w:hAnsi="Calibri"/>
                <w:i/>
                <w:sz w:val="20"/>
                <w:szCs w:val="20"/>
              </w:rPr>
            </w:pPr>
            <w:r w:rsidRPr="00592207">
              <w:rPr>
                <w:rFonts w:ascii="Calibri" w:hAnsi="Calibri"/>
                <w:i/>
                <w:sz w:val="20"/>
                <w:szCs w:val="20"/>
              </w:rPr>
              <w:t>Proportion of farmers, pastoralists and fishermen who have adopted technical itineraries adapted to climate change,</w:t>
            </w:r>
          </w:p>
          <w:p w:rsidR="00E17443" w:rsidRPr="00E17443" w:rsidRDefault="00E17443" w:rsidP="00A0594D">
            <w:pPr>
              <w:pStyle w:val="ListParagraph"/>
              <w:rPr>
                <w:rFonts w:ascii="Calibri" w:hAnsi="Calibri"/>
                <w:i/>
                <w:sz w:val="20"/>
                <w:szCs w:val="20"/>
              </w:rPr>
            </w:pPr>
          </w:p>
          <w:p w:rsidR="00A0594D" w:rsidRPr="00F91CC5" w:rsidRDefault="00592207" w:rsidP="00592207">
            <w:pPr>
              <w:pStyle w:val="BodyText2"/>
              <w:numPr>
                <w:ilvl w:val="0"/>
                <w:numId w:val="19"/>
              </w:numPr>
              <w:rPr>
                <w:rFonts w:ascii="Calibri" w:hAnsi="Calibri"/>
                <w:i/>
              </w:rPr>
            </w:pPr>
            <w:proofErr w:type="gramStart"/>
            <w:r>
              <w:rPr>
                <w:rFonts w:ascii="Calibri" w:hAnsi="Calibri"/>
                <w:i/>
              </w:rPr>
              <w:t xml:space="preserve">Rate </w:t>
            </w:r>
            <w:r w:rsidRPr="00592207">
              <w:rPr>
                <w:rFonts w:ascii="Calibri" w:hAnsi="Calibri"/>
                <w:i/>
              </w:rPr>
              <w:t xml:space="preserve"> of</w:t>
            </w:r>
            <w:proofErr w:type="gramEnd"/>
            <w:r w:rsidRPr="00592207">
              <w:rPr>
                <w:rFonts w:ascii="Calibri" w:hAnsi="Calibri"/>
                <w:i/>
              </w:rPr>
              <w:t xml:space="preserve"> crop loss due to climatic hazards</w:t>
            </w:r>
          </w:p>
        </w:tc>
        <w:tc>
          <w:tcPr>
            <w:tcW w:w="6266" w:type="dxa"/>
            <w:shd w:val="clear" w:color="auto" w:fill="auto"/>
          </w:tcPr>
          <w:p w:rsidR="006801A9" w:rsidRDefault="00A613C2" w:rsidP="00A613C2">
            <w:pPr>
              <w:pStyle w:val="BodyText2"/>
              <w:numPr>
                <w:ilvl w:val="0"/>
                <w:numId w:val="20"/>
              </w:numPr>
              <w:jc w:val="both"/>
              <w:rPr>
                <w:rFonts w:asciiTheme="minorHAnsi" w:hAnsiTheme="minorHAnsi"/>
                <w:i/>
              </w:rPr>
            </w:pPr>
            <w:r w:rsidRPr="00A613C2">
              <w:rPr>
                <w:rFonts w:asciiTheme="minorHAnsi" w:hAnsiTheme="minorHAnsi"/>
                <w:i/>
              </w:rPr>
              <w:t>Physical implementation rate of the Contingency Plan increased from 24% in 2014 to 39% in 2016</w:t>
            </w:r>
          </w:p>
          <w:p w:rsidR="006801A9" w:rsidRDefault="006801A9" w:rsidP="006801A9">
            <w:pPr>
              <w:pStyle w:val="BodyText2"/>
              <w:ind w:left="360"/>
              <w:jc w:val="both"/>
              <w:rPr>
                <w:rFonts w:asciiTheme="minorHAnsi" w:hAnsiTheme="minorHAnsi"/>
                <w:i/>
              </w:rPr>
            </w:pPr>
          </w:p>
          <w:p w:rsidR="006801A9" w:rsidRDefault="006801A9" w:rsidP="006801A9">
            <w:pPr>
              <w:pStyle w:val="BodyText2"/>
              <w:ind w:left="360"/>
              <w:jc w:val="both"/>
              <w:rPr>
                <w:rFonts w:asciiTheme="minorHAnsi" w:hAnsiTheme="minorHAnsi"/>
                <w:i/>
              </w:rPr>
            </w:pPr>
          </w:p>
          <w:p w:rsidR="006801A9" w:rsidRDefault="006801A9" w:rsidP="006801A9">
            <w:pPr>
              <w:pStyle w:val="BodyText2"/>
              <w:jc w:val="both"/>
              <w:rPr>
                <w:rFonts w:asciiTheme="minorHAnsi" w:hAnsiTheme="minorHAnsi"/>
                <w:i/>
              </w:rPr>
            </w:pPr>
          </w:p>
          <w:p w:rsidR="006801A9" w:rsidRDefault="006801A9" w:rsidP="006801A9">
            <w:pPr>
              <w:pStyle w:val="BodyText2"/>
              <w:jc w:val="both"/>
              <w:rPr>
                <w:rFonts w:asciiTheme="minorHAnsi" w:hAnsiTheme="minorHAnsi"/>
                <w:i/>
              </w:rPr>
            </w:pPr>
          </w:p>
          <w:p w:rsidR="00A0594D" w:rsidRPr="00E17443" w:rsidRDefault="00A0594D" w:rsidP="004C4CF9">
            <w:pPr>
              <w:pStyle w:val="ListParagraph"/>
              <w:jc w:val="both"/>
              <w:rPr>
                <w:rFonts w:ascii="Calibri" w:hAnsi="Calibri"/>
                <w:i/>
                <w:sz w:val="20"/>
                <w:szCs w:val="20"/>
              </w:rPr>
            </w:pPr>
          </w:p>
          <w:p w:rsidR="006801A9" w:rsidRDefault="006801A9" w:rsidP="006801A9">
            <w:pPr>
              <w:pStyle w:val="BodyText2"/>
              <w:numPr>
                <w:ilvl w:val="0"/>
                <w:numId w:val="20"/>
              </w:numPr>
              <w:jc w:val="both"/>
              <w:rPr>
                <w:rFonts w:ascii="Calibri" w:hAnsi="Calibri"/>
                <w:i/>
              </w:rPr>
            </w:pPr>
            <w:r w:rsidRPr="006801A9">
              <w:rPr>
                <w:rFonts w:ascii="Calibri" w:hAnsi="Calibri"/>
                <w:i/>
              </w:rPr>
              <w:t>The afforestation rate has increased</w:t>
            </w:r>
            <w:r w:rsidR="0035754A" w:rsidRPr="00606B2E">
              <w:rPr>
                <w:rFonts w:asciiTheme="minorHAnsi" w:hAnsiTheme="minorHAnsi"/>
                <w:i/>
              </w:rPr>
              <w:t xml:space="preserve"> </w:t>
            </w:r>
            <w:r w:rsidR="0035754A">
              <w:rPr>
                <w:rFonts w:asciiTheme="minorHAnsi" w:hAnsiTheme="minorHAnsi"/>
                <w:i/>
              </w:rPr>
              <w:t>(</w:t>
            </w:r>
            <w:r w:rsidR="0035754A" w:rsidRPr="00606B2E">
              <w:rPr>
                <w:rFonts w:asciiTheme="minorHAnsi" w:hAnsiTheme="minorHAnsi"/>
                <w:i/>
              </w:rPr>
              <w:t>1811 ha reforested bringing to 36.01% of the national space is reforested and restored</w:t>
            </w:r>
            <w:r w:rsidR="0035754A">
              <w:rPr>
                <w:rFonts w:asciiTheme="minorHAnsi" w:hAnsiTheme="minorHAnsi"/>
                <w:i/>
              </w:rPr>
              <w:t>)</w:t>
            </w:r>
          </w:p>
          <w:p w:rsidR="006801A9" w:rsidRDefault="006801A9" w:rsidP="006801A9">
            <w:pPr>
              <w:pStyle w:val="ListParagraph"/>
              <w:rPr>
                <w:rFonts w:ascii="Calibri" w:hAnsi="Calibri"/>
                <w:i/>
              </w:rPr>
            </w:pPr>
          </w:p>
          <w:p w:rsidR="00F91CC5" w:rsidRDefault="006801A9" w:rsidP="006801A9">
            <w:pPr>
              <w:pStyle w:val="BodyText2"/>
              <w:numPr>
                <w:ilvl w:val="0"/>
                <w:numId w:val="20"/>
              </w:numPr>
              <w:jc w:val="both"/>
              <w:rPr>
                <w:rFonts w:ascii="Calibri" w:hAnsi="Calibri"/>
                <w:i/>
              </w:rPr>
            </w:pPr>
            <w:r w:rsidRPr="006801A9">
              <w:rPr>
                <w:rFonts w:ascii="Calibri" w:hAnsi="Calibri"/>
                <w:i/>
              </w:rPr>
              <w:t>Proportion of farmers with</w:t>
            </w:r>
            <w:r>
              <w:rPr>
                <w:rFonts w:ascii="Calibri" w:hAnsi="Calibri"/>
                <w:i/>
              </w:rPr>
              <w:t xml:space="preserve"> climate change-adapted routes </w:t>
            </w:r>
            <w:r w:rsidRPr="006801A9">
              <w:rPr>
                <w:rFonts w:ascii="Calibri" w:hAnsi="Calibri"/>
                <w:i/>
                <w:highlight w:val="yellow"/>
              </w:rPr>
              <w:t>17%)</w:t>
            </w:r>
          </w:p>
          <w:p w:rsidR="006801A9" w:rsidRDefault="006801A9" w:rsidP="006801A9">
            <w:pPr>
              <w:pStyle w:val="ListParagraph"/>
              <w:rPr>
                <w:rFonts w:ascii="Calibri" w:hAnsi="Calibri"/>
                <w:i/>
              </w:rPr>
            </w:pPr>
          </w:p>
          <w:p w:rsidR="006801A9" w:rsidRDefault="006801A9" w:rsidP="006801A9">
            <w:pPr>
              <w:pStyle w:val="ListParagraph"/>
              <w:rPr>
                <w:rFonts w:ascii="Calibri" w:hAnsi="Calibri"/>
                <w:i/>
              </w:rPr>
            </w:pPr>
          </w:p>
          <w:p w:rsidR="006801A9" w:rsidRPr="00A0594D" w:rsidRDefault="006801A9" w:rsidP="006801A9">
            <w:pPr>
              <w:pStyle w:val="BodyText2"/>
              <w:numPr>
                <w:ilvl w:val="0"/>
                <w:numId w:val="20"/>
              </w:numPr>
              <w:jc w:val="both"/>
              <w:rPr>
                <w:rFonts w:ascii="Calibri" w:hAnsi="Calibri"/>
                <w:i/>
              </w:rPr>
            </w:pPr>
            <w:r w:rsidRPr="006801A9">
              <w:rPr>
                <w:rFonts w:ascii="Calibri" w:hAnsi="Calibri"/>
                <w:i/>
              </w:rPr>
              <w:t xml:space="preserve">Crop loss rate linked to climate hazards: </w:t>
            </w:r>
            <w:r w:rsidRPr="006801A9">
              <w:rPr>
                <w:rFonts w:ascii="Calibri" w:hAnsi="Calibri"/>
                <w:i/>
                <w:highlight w:val="yellow"/>
              </w:rPr>
              <w:t>remains at 45%</w:t>
            </w:r>
          </w:p>
        </w:tc>
      </w:tr>
      <w:tr w:rsidR="00DC4D86" w:rsidRPr="00DC7354" w:rsidTr="004C4CF9">
        <w:tc>
          <w:tcPr>
            <w:tcW w:w="14040" w:type="dxa"/>
            <w:gridSpan w:val="5"/>
          </w:tcPr>
          <w:p w:rsidR="00DC4D86" w:rsidRDefault="00DC4D86" w:rsidP="00845340">
            <w:pPr>
              <w:pStyle w:val="BodyText2"/>
              <w:rPr>
                <w:rFonts w:asciiTheme="minorHAnsi" w:hAnsiTheme="minorHAnsi"/>
                <w:b/>
              </w:rPr>
            </w:pPr>
            <w:r w:rsidRPr="00837C4B">
              <w:rPr>
                <w:rFonts w:asciiTheme="minorHAnsi" w:hAnsiTheme="minorHAnsi"/>
                <w:b/>
              </w:rPr>
              <w:t>UNDP Contribution:</w:t>
            </w:r>
          </w:p>
          <w:p w:rsidR="00D9192E" w:rsidRPr="00D9192E" w:rsidRDefault="00D9192E" w:rsidP="00845340">
            <w:pPr>
              <w:pStyle w:val="BodyText2"/>
              <w:rPr>
                <w:rFonts w:asciiTheme="minorHAnsi" w:hAnsiTheme="minorHAnsi"/>
                <w:b/>
              </w:rPr>
            </w:pPr>
          </w:p>
          <w:p w:rsidR="008B06DD" w:rsidRPr="00B00E5C" w:rsidRDefault="008B06DD" w:rsidP="004C4CF9">
            <w:pPr>
              <w:pStyle w:val="BodyText2"/>
              <w:jc w:val="both"/>
              <w:rPr>
                <w:rFonts w:asciiTheme="minorHAnsi" w:hAnsiTheme="minorHAnsi"/>
                <w:u w:val="single"/>
              </w:rPr>
            </w:pPr>
            <w:r w:rsidRPr="00B00E5C">
              <w:rPr>
                <w:rFonts w:asciiTheme="minorHAnsi" w:hAnsiTheme="minorHAnsi"/>
                <w:u w:val="single"/>
              </w:rPr>
              <w:t>CP Outputs</w:t>
            </w:r>
            <w:r w:rsidR="00A661F9">
              <w:rPr>
                <w:rFonts w:asciiTheme="minorHAnsi" w:hAnsiTheme="minorHAnsi"/>
              </w:rPr>
              <w:t xml:space="preserve">: </w:t>
            </w:r>
            <w:r w:rsidR="00A661F9">
              <w:rPr>
                <w:rFonts w:asciiTheme="minorHAnsi" w:hAnsiTheme="minorHAnsi"/>
                <w:i/>
              </w:rPr>
              <w:t>The UNDP CP identified three</w:t>
            </w:r>
            <w:r w:rsidR="00A661F9" w:rsidRPr="009B76A1">
              <w:rPr>
                <w:rFonts w:asciiTheme="minorHAnsi" w:hAnsiTheme="minorHAnsi"/>
                <w:i/>
              </w:rPr>
              <w:t xml:space="preserve"> majo</w:t>
            </w:r>
            <w:r w:rsidR="00A661F9" w:rsidRPr="001A4946">
              <w:rPr>
                <w:rFonts w:asciiTheme="minorHAnsi" w:hAnsiTheme="minorHAnsi"/>
                <w:i/>
              </w:rPr>
              <w:t>r outputs to support the Government in achieving this outcome:</w:t>
            </w:r>
          </w:p>
          <w:p w:rsidR="00A661F9" w:rsidRPr="00A661F9" w:rsidRDefault="00A661F9" w:rsidP="004C4CF9">
            <w:pPr>
              <w:pStyle w:val="BodyText2"/>
              <w:jc w:val="both"/>
              <w:rPr>
                <w:rFonts w:asciiTheme="minorHAnsi" w:hAnsiTheme="minorHAnsi"/>
              </w:rPr>
            </w:pPr>
          </w:p>
          <w:p w:rsidR="00DC4D86" w:rsidRPr="00A661F9" w:rsidRDefault="008B06DD" w:rsidP="004C4CF9">
            <w:pPr>
              <w:pStyle w:val="BodyText2"/>
              <w:jc w:val="both"/>
              <w:rPr>
                <w:rFonts w:asciiTheme="minorHAnsi" w:hAnsiTheme="minorHAnsi"/>
                <w:i/>
                <w:u w:val="single"/>
              </w:rPr>
            </w:pPr>
            <w:r w:rsidRPr="00B00E5C">
              <w:rPr>
                <w:rFonts w:asciiTheme="minorHAnsi" w:hAnsiTheme="minorHAnsi"/>
                <w:u w:val="single"/>
              </w:rPr>
              <w:t>Progress and Achievements</w:t>
            </w:r>
            <w:r w:rsidR="00A661F9">
              <w:rPr>
                <w:rFonts w:asciiTheme="minorHAnsi" w:hAnsiTheme="minorHAnsi"/>
                <w:u w:val="single"/>
              </w:rPr>
              <w:t>:</w:t>
            </w:r>
          </w:p>
          <w:p w:rsidR="00751358" w:rsidRPr="00D4771F" w:rsidRDefault="00751358" w:rsidP="00751358">
            <w:pPr>
              <w:pStyle w:val="BodyText2"/>
              <w:numPr>
                <w:ilvl w:val="0"/>
                <w:numId w:val="27"/>
              </w:numPr>
              <w:jc w:val="both"/>
              <w:rPr>
                <w:rFonts w:asciiTheme="minorHAnsi" w:hAnsiTheme="minorHAnsi"/>
                <w:b/>
                <w:i/>
              </w:rPr>
            </w:pPr>
            <w:r w:rsidRPr="00D4771F">
              <w:rPr>
                <w:rFonts w:asciiTheme="minorHAnsi" w:hAnsiTheme="minorHAnsi"/>
                <w:b/>
                <w:i/>
              </w:rPr>
              <w:t>Institutions and populations are equipped to better manage natural resources, energy and the living environment</w:t>
            </w:r>
            <w:r w:rsidR="006B075D" w:rsidRPr="00D4771F">
              <w:rPr>
                <w:rFonts w:asciiTheme="minorHAnsi" w:hAnsiTheme="minorHAnsi"/>
                <w:b/>
                <w:i/>
              </w:rPr>
              <w:t xml:space="preserve">. </w:t>
            </w:r>
          </w:p>
          <w:p w:rsidR="009B1044" w:rsidRDefault="00606B2E" w:rsidP="006B075D">
            <w:pPr>
              <w:pStyle w:val="BodyText2"/>
              <w:ind w:left="720"/>
              <w:jc w:val="both"/>
              <w:rPr>
                <w:rFonts w:asciiTheme="minorHAnsi" w:hAnsiTheme="minorHAnsi"/>
                <w:i/>
              </w:rPr>
            </w:pPr>
            <w:r w:rsidRPr="00606B2E">
              <w:rPr>
                <w:rFonts w:asciiTheme="minorHAnsi" w:hAnsiTheme="minorHAnsi"/>
                <w:i/>
              </w:rPr>
              <w:t xml:space="preserve">UNDP support has enabled the Government to develop </w:t>
            </w:r>
            <w:r w:rsidR="009B1044">
              <w:rPr>
                <w:rFonts w:asciiTheme="minorHAnsi" w:hAnsiTheme="minorHAnsi"/>
                <w:i/>
              </w:rPr>
              <w:t>more than</w:t>
            </w:r>
            <w:r w:rsidRPr="00606B2E">
              <w:rPr>
                <w:rFonts w:asciiTheme="minorHAnsi" w:hAnsiTheme="minorHAnsi"/>
                <w:i/>
              </w:rPr>
              <w:t xml:space="preserve"> 100 management tools (policy, strategy, action plan, management document by sub-sector) against 30 originally </w:t>
            </w:r>
            <w:r w:rsidR="00966C72" w:rsidRPr="00606B2E">
              <w:rPr>
                <w:rFonts w:asciiTheme="minorHAnsi" w:hAnsiTheme="minorHAnsi"/>
                <w:i/>
              </w:rPr>
              <w:t>planned.</w:t>
            </w:r>
            <w:r w:rsidRPr="00606B2E">
              <w:rPr>
                <w:rFonts w:asciiTheme="minorHAnsi" w:hAnsiTheme="minorHAnsi"/>
                <w:i/>
              </w:rPr>
              <w:t xml:space="preserve"> These include, among others, the Benin's Planned and Determined National Contribution (INDC), the low-carbon and climate-resilient development strategy document, of Benin's contribution to the CoP 21 negotiations. </w:t>
            </w:r>
          </w:p>
          <w:p w:rsidR="00C82F5B" w:rsidRDefault="00C82F5B" w:rsidP="006B075D">
            <w:pPr>
              <w:pStyle w:val="BodyText2"/>
              <w:ind w:left="720"/>
              <w:jc w:val="both"/>
              <w:rPr>
                <w:rFonts w:asciiTheme="minorHAnsi" w:hAnsiTheme="minorHAnsi"/>
                <w:i/>
              </w:rPr>
            </w:pPr>
          </w:p>
          <w:p w:rsidR="009B1044" w:rsidRDefault="009B1044" w:rsidP="009B1044">
            <w:pPr>
              <w:pStyle w:val="BodyText2"/>
              <w:ind w:left="720"/>
              <w:jc w:val="both"/>
              <w:rPr>
                <w:rFonts w:asciiTheme="minorHAnsi" w:hAnsiTheme="minorHAnsi"/>
                <w:i/>
              </w:rPr>
            </w:pPr>
            <w:r>
              <w:rPr>
                <w:rFonts w:asciiTheme="minorHAnsi" w:hAnsiTheme="minorHAnsi"/>
                <w:i/>
              </w:rPr>
              <w:t>A</w:t>
            </w:r>
            <w:r w:rsidR="00606B2E" w:rsidRPr="00606B2E">
              <w:rPr>
                <w:rFonts w:asciiTheme="minorHAnsi" w:hAnsiTheme="minorHAnsi"/>
                <w:i/>
              </w:rPr>
              <w:t>t the end of 2015, 84% of municipalities are strengthened in the management of natural resources, energy and living environment, against 30% forecast as target at the end of the year, and 1811 ha reforested bringing to 36.01% of the national space is reforested and restored. These performances will help to improve the proportion of households disposing of garbage by the public, private and NGO sectors; the country's reforestation rate, and other indicators of the Effect for which data are not yet</w:t>
            </w:r>
            <w:r>
              <w:rPr>
                <w:rFonts w:asciiTheme="minorHAnsi" w:hAnsiTheme="minorHAnsi"/>
                <w:i/>
              </w:rPr>
              <w:t xml:space="preserve">. </w:t>
            </w:r>
            <w:r w:rsidRPr="00D066E2">
              <w:rPr>
                <w:rFonts w:asciiTheme="minorHAnsi" w:hAnsiTheme="minorHAnsi"/>
                <w:i/>
              </w:rPr>
              <w:t>Thus, the institutions and populations of the intervention communes of UNDP-supported projects, are gradually acquiring the capacities and will have the tools to ensure by the end of 2018, better management of the environment, natural resources and energy, of the living environment, the consequences of climate change, crises and natural disasters</w:t>
            </w:r>
          </w:p>
          <w:p w:rsidR="00EF38B7" w:rsidRDefault="00EF38B7" w:rsidP="00EF38B7">
            <w:pPr>
              <w:pStyle w:val="BodyText2"/>
              <w:ind w:left="720"/>
              <w:jc w:val="both"/>
              <w:rPr>
                <w:rFonts w:asciiTheme="minorHAnsi" w:hAnsiTheme="minorHAnsi"/>
                <w:i/>
                <w:lang w:val="en-GB"/>
              </w:rPr>
            </w:pPr>
          </w:p>
          <w:p w:rsidR="00EF38B7" w:rsidRDefault="00EF38B7" w:rsidP="00EF38B7">
            <w:pPr>
              <w:pStyle w:val="BodyText2"/>
              <w:ind w:left="720"/>
              <w:jc w:val="both"/>
              <w:rPr>
                <w:rFonts w:asciiTheme="minorHAnsi" w:hAnsiTheme="minorHAnsi"/>
                <w:i/>
                <w:lang w:val="en-GB"/>
              </w:rPr>
            </w:pPr>
            <w:r w:rsidRPr="00D066E2">
              <w:rPr>
                <w:rFonts w:asciiTheme="minorHAnsi" w:hAnsiTheme="minorHAnsi"/>
                <w:i/>
                <w:lang w:val="en-GB"/>
              </w:rPr>
              <w:t>The densification and modernization of the country's climate monitoring park is being carried out with the rehabilitation of 22 and the creation of 3 new hydrological stations; plus, 10 new meteorological stations and 10 other rehabilitated, and 02 new oceanographic stations were created and 3 rehabilitated. This device has a direct impact on climate change adaptation measures in the agricultural sector, water resources, renewable energies, health and coastal erosion. It will reduce the rate of climate-related crop losses at the Effect level, and significantly reduce poverty and food insecurity</w:t>
            </w:r>
          </w:p>
          <w:p w:rsidR="00D066E2" w:rsidRPr="005A1FD0" w:rsidRDefault="00D066E2" w:rsidP="00D066E2">
            <w:pPr>
              <w:pStyle w:val="BodyText2"/>
              <w:ind w:left="720"/>
              <w:jc w:val="both"/>
              <w:rPr>
                <w:rFonts w:asciiTheme="minorHAnsi" w:hAnsiTheme="minorHAnsi"/>
                <w:i/>
                <w:lang w:val="en-GB"/>
              </w:rPr>
            </w:pPr>
          </w:p>
          <w:p w:rsidR="00D066E2" w:rsidRDefault="00D066E2" w:rsidP="00D066E2">
            <w:pPr>
              <w:pStyle w:val="BodyText2"/>
              <w:ind w:left="720"/>
              <w:jc w:val="both"/>
              <w:rPr>
                <w:rFonts w:asciiTheme="minorHAnsi" w:hAnsiTheme="minorHAnsi"/>
                <w:i/>
              </w:rPr>
            </w:pPr>
            <w:r w:rsidRPr="00D066E2">
              <w:rPr>
                <w:rFonts w:asciiTheme="minorHAnsi" w:hAnsiTheme="minorHAnsi"/>
                <w:i/>
              </w:rPr>
              <w:t xml:space="preserve">The mapping of the national territory carried out </w:t>
            </w:r>
            <w:r w:rsidR="00B0478B">
              <w:rPr>
                <w:rFonts w:asciiTheme="minorHAnsi" w:hAnsiTheme="minorHAnsi"/>
                <w:i/>
              </w:rPr>
              <w:t xml:space="preserve">with </w:t>
            </w:r>
            <w:r w:rsidR="00B0478B" w:rsidRPr="00606B2E">
              <w:rPr>
                <w:rFonts w:asciiTheme="minorHAnsi" w:hAnsiTheme="minorHAnsi"/>
                <w:i/>
                <w:lang w:val="en-GB"/>
              </w:rPr>
              <w:t>aerial photos completed (100%) 15250 photos (UNDAF half-yearly review report) will facilitate development forecasts</w:t>
            </w:r>
            <w:r w:rsidR="00B0478B" w:rsidRPr="00D066E2">
              <w:rPr>
                <w:rFonts w:asciiTheme="minorHAnsi" w:hAnsiTheme="minorHAnsi"/>
                <w:i/>
              </w:rPr>
              <w:t xml:space="preserve"> </w:t>
            </w:r>
            <w:r w:rsidRPr="00D066E2">
              <w:rPr>
                <w:rFonts w:asciiTheme="minorHAnsi" w:hAnsiTheme="minorHAnsi"/>
                <w:i/>
              </w:rPr>
              <w:t xml:space="preserve">is an important transformational tool which leaves Benin random forecasts. The thematic maps will now be available to the main users and will enable the visualization and reliable planning of all sectors (agriculture, natural resources, water resources, </w:t>
            </w:r>
            <w:r w:rsidR="0035754A">
              <w:rPr>
                <w:rFonts w:asciiTheme="minorHAnsi" w:hAnsiTheme="minorHAnsi"/>
                <w:i/>
              </w:rPr>
              <w:t xml:space="preserve">infrastructures, </w:t>
            </w:r>
            <w:r w:rsidRPr="00D066E2">
              <w:rPr>
                <w:rFonts w:asciiTheme="minorHAnsi" w:hAnsiTheme="minorHAnsi"/>
                <w:i/>
              </w:rPr>
              <w:t>etc.).</w:t>
            </w:r>
          </w:p>
          <w:p w:rsidR="009B1044" w:rsidRDefault="009B1044" w:rsidP="009B1044">
            <w:pPr>
              <w:pStyle w:val="BodyText2"/>
              <w:ind w:left="720"/>
              <w:jc w:val="both"/>
              <w:rPr>
                <w:rFonts w:asciiTheme="minorHAnsi" w:hAnsiTheme="minorHAnsi"/>
                <w:i/>
              </w:rPr>
            </w:pPr>
            <w:r w:rsidRPr="00D066E2">
              <w:rPr>
                <w:rFonts w:asciiTheme="minorHAnsi" w:hAnsiTheme="minorHAnsi"/>
                <w:i/>
              </w:rPr>
              <w:t xml:space="preserve">The number of people managing the best natural resources, energy and living environment increased from 304 726 to 311 494 but the 2015 target of 404 449 is not reached. 65 municipalities and 124 institutions strengthened in the management of natural resources, energy and living environment against 21 and 35 planned, bringing to 68% the proportion of municipalities with </w:t>
            </w:r>
            <w:proofErr w:type="spellStart"/>
            <w:r w:rsidRPr="00D066E2">
              <w:rPr>
                <w:rFonts w:asciiTheme="minorHAnsi" w:hAnsiTheme="minorHAnsi"/>
                <w:i/>
              </w:rPr>
              <w:t>agro</w:t>
            </w:r>
            <w:proofErr w:type="spellEnd"/>
            <w:r w:rsidRPr="00D066E2">
              <w:rPr>
                <w:rFonts w:asciiTheme="minorHAnsi" w:hAnsiTheme="minorHAnsi"/>
                <w:i/>
              </w:rPr>
              <w:t xml:space="preserve">-climatic and hydrological measurement equipment and 37% the trained managers to give alerts. 49% of municipalities have contingency plans against 38% planned. 2,210 households adopted livelihoods resilient to climate change compared with 2000 planned. 162 ha reforested against 80 planned </w:t>
            </w:r>
            <w:proofErr w:type="gramStart"/>
            <w:r w:rsidRPr="00D066E2">
              <w:rPr>
                <w:rFonts w:asciiTheme="minorHAnsi" w:hAnsiTheme="minorHAnsi"/>
                <w:i/>
              </w:rPr>
              <w:t>bringing</w:t>
            </w:r>
            <w:proofErr w:type="gramEnd"/>
            <w:r w:rsidRPr="00D066E2">
              <w:rPr>
                <w:rFonts w:asciiTheme="minorHAnsi" w:hAnsiTheme="minorHAnsi"/>
                <w:i/>
              </w:rPr>
              <w:t xml:space="preserve"> to 36.1% the reforested national space against 40% planned. </w:t>
            </w:r>
          </w:p>
          <w:p w:rsidR="00C82F5B" w:rsidRDefault="00D066E2" w:rsidP="00D066E2">
            <w:pPr>
              <w:pStyle w:val="BodyText2"/>
              <w:ind w:left="720"/>
              <w:jc w:val="both"/>
              <w:rPr>
                <w:rFonts w:asciiTheme="minorHAnsi" w:hAnsiTheme="minorHAnsi"/>
                <w:i/>
              </w:rPr>
            </w:pPr>
            <w:r w:rsidRPr="005A1FD0">
              <w:rPr>
                <w:rFonts w:asciiTheme="minorHAnsi" w:hAnsiTheme="minorHAnsi"/>
                <w:i/>
                <w:strike/>
              </w:rPr>
              <w:t xml:space="preserve">The members of </w:t>
            </w:r>
            <w:r w:rsidR="009B1044" w:rsidRPr="005A1FD0">
              <w:rPr>
                <w:rFonts w:asciiTheme="minorHAnsi" w:hAnsiTheme="minorHAnsi"/>
                <w:i/>
                <w:strike/>
              </w:rPr>
              <w:t xml:space="preserve">Parks </w:t>
            </w:r>
            <w:r w:rsidR="0035754A" w:rsidRPr="005A1FD0">
              <w:rPr>
                <w:rFonts w:asciiTheme="minorHAnsi" w:hAnsiTheme="minorHAnsi"/>
                <w:i/>
                <w:strike/>
              </w:rPr>
              <w:t xml:space="preserve">management organizations </w:t>
            </w:r>
            <w:r w:rsidRPr="00D066E2">
              <w:rPr>
                <w:rFonts w:asciiTheme="minorHAnsi" w:hAnsiTheme="minorHAnsi"/>
                <w:i/>
              </w:rPr>
              <w:t xml:space="preserve">Community consultations resulted in the development of 4 Participatory Management and Flood Control Plans in the intervention communes of the </w:t>
            </w:r>
            <w:proofErr w:type="spellStart"/>
            <w:r w:rsidRPr="00D066E2">
              <w:rPr>
                <w:rFonts w:asciiTheme="minorHAnsi" w:hAnsiTheme="minorHAnsi"/>
                <w:i/>
              </w:rPr>
              <w:t>Galeries</w:t>
            </w:r>
            <w:proofErr w:type="spellEnd"/>
            <w:r w:rsidRPr="00D066E2">
              <w:rPr>
                <w:rFonts w:asciiTheme="minorHAnsi" w:hAnsiTheme="minorHAnsi"/>
                <w:i/>
              </w:rPr>
              <w:t xml:space="preserve"> Forests project. The study report on the green belt along the banks of the lower </w:t>
            </w:r>
            <w:proofErr w:type="spellStart"/>
            <w:r w:rsidRPr="00D066E2">
              <w:rPr>
                <w:rFonts w:asciiTheme="minorHAnsi" w:hAnsiTheme="minorHAnsi"/>
                <w:i/>
              </w:rPr>
              <w:t>Ouémé</w:t>
            </w:r>
            <w:proofErr w:type="spellEnd"/>
            <w:r w:rsidRPr="00D066E2">
              <w:rPr>
                <w:rFonts w:asciiTheme="minorHAnsi" w:hAnsiTheme="minorHAnsi"/>
                <w:i/>
              </w:rPr>
              <w:t xml:space="preserve"> valley has made it possible to set up the reforestation strategy that involves and empowers the intervening NGOs and the populations in the riparian localities. </w:t>
            </w:r>
          </w:p>
          <w:p w:rsidR="00C82F5B" w:rsidRDefault="00C82F5B" w:rsidP="00D066E2">
            <w:pPr>
              <w:pStyle w:val="BodyText2"/>
              <w:ind w:left="720"/>
              <w:jc w:val="both"/>
              <w:rPr>
                <w:rFonts w:asciiTheme="minorHAnsi" w:hAnsiTheme="minorHAnsi"/>
                <w:i/>
              </w:rPr>
            </w:pPr>
          </w:p>
          <w:p w:rsidR="00D066E2" w:rsidRDefault="00D066E2" w:rsidP="00D066E2">
            <w:pPr>
              <w:pStyle w:val="BodyText2"/>
              <w:ind w:left="720"/>
              <w:jc w:val="both"/>
              <w:rPr>
                <w:rFonts w:asciiTheme="minorHAnsi" w:hAnsiTheme="minorHAnsi"/>
                <w:i/>
              </w:rPr>
            </w:pPr>
            <w:r w:rsidRPr="00D066E2">
              <w:rPr>
                <w:rFonts w:asciiTheme="minorHAnsi" w:hAnsiTheme="minorHAnsi"/>
                <w:i/>
              </w:rPr>
              <w:t xml:space="preserve">The Small Grand Program (SGP) has funded 08 initiatives over the period 2014-2015 (OP5 Report Y2 MFP / GEF Benin) 78 women and 110 producers are trained on improved </w:t>
            </w:r>
            <w:r w:rsidR="00B0478B">
              <w:rPr>
                <w:rFonts w:asciiTheme="minorHAnsi" w:hAnsiTheme="minorHAnsi"/>
                <w:i/>
              </w:rPr>
              <w:t>cook</w:t>
            </w:r>
            <w:r w:rsidRPr="00D066E2">
              <w:rPr>
                <w:rFonts w:asciiTheme="minorHAnsi" w:hAnsiTheme="minorHAnsi"/>
                <w:i/>
              </w:rPr>
              <w:t xml:space="preserve">stoves </w:t>
            </w:r>
            <w:r w:rsidR="00B0478B">
              <w:rPr>
                <w:rFonts w:asciiTheme="minorHAnsi" w:hAnsiTheme="minorHAnsi"/>
                <w:i/>
              </w:rPr>
              <w:t xml:space="preserve">using </w:t>
            </w:r>
            <w:r w:rsidRPr="00D066E2">
              <w:rPr>
                <w:rFonts w:asciiTheme="minorHAnsi" w:hAnsiTheme="minorHAnsi"/>
                <w:i/>
              </w:rPr>
              <w:t xml:space="preserve">and fish farming. These producers will </w:t>
            </w:r>
            <w:r w:rsidR="00B0478B">
              <w:rPr>
                <w:rFonts w:asciiTheme="minorHAnsi" w:hAnsiTheme="minorHAnsi"/>
                <w:i/>
              </w:rPr>
              <w:t xml:space="preserve">be </w:t>
            </w:r>
            <w:r w:rsidRPr="00D066E2">
              <w:rPr>
                <w:rFonts w:asciiTheme="minorHAnsi" w:hAnsiTheme="minorHAnsi"/>
                <w:i/>
              </w:rPr>
              <w:t>accompan</w:t>
            </w:r>
            <w:r w:rsidR="00B0478B">
              <w:rPr>
                <w:rFonts w:asciiTheme="minorHAnsi" w:hAnsiTheme="minorHAnsi"/>
                <w:i/>
              </w:rPr>
              <w:t xml:space="preserve">ied </w:t>
            </w:r>
            <w:r w:rsidRPr="00D066E2">
              <w:rPr>
                <w:rFonts w:asciiTheme="minorHAnsi" w:hAnsiTheme="minorHAnsi"/>
                <w:i/>
              </w:rPr>
              <w:t>in the development of alternative activities</w:t>
            </w:r>
            <w:r w:rsidR="00B0478B">
              <w:rPr>
                <w:rFonts w:asciiTheme="minorHAnsi" w:hAnsiTheme="minorHAnsi"/>
                <w:i/>
              </w:rPr>
              <w:t>.</w:t>
            </w:r>
          </w:p>
          <w:p w:rsidR="00B0478B" w:rsidRDefault="00B0478B" w:rsidP="00D066E2">
            <w:pPr>
              <w:pStyle w:val="BodyText2"/>
              <w:ind w:left="720"/>
              <w:jc w:val="both"/>
              <w:rPr>
                <w:rFonts w:asciiTheme="minorHAnsi" w:hAnsiTheme="minorHAnsi"/>
                <w:i/>
              </w:rPr>
            </w:pPr>
          </w:p>
          <w:p w:rsidR="00D066E2" w:rsidRPr="00D066E2" w:rsidRDefault="00D066E2" w:rsidP="00D066E2">
            <w:pPr>
              <w:pStyle w:val="BodyText2"/>
              <w:ind w:left="720"/>
              <w:jc w:val="both"/>
              <w:rPr>
                <w:rFonts w:asciiTheme="minorHAnsi" w:hAnsiTheme="minorHAnsi"/>
                <w:i/>
              </w:rPr>
            </w:pPr>
            <w:r w:rsidRPr="00D066E2">
              <w:rPr>
                <w:rFonts w:asciiTheme="minorHAnsi" w:hAnsiTheme="minorHAnsi"/>
                <w:i/>
              </w:rPr>
              <w:t xml:space="preserve">The South-South approach was used for the sharing of experience and capacity building of the managers and agents of the administrations involved in the implementation of the interventions. More than 50 agents from CENAGREF and the parks directorates, IGN Benin, the Water Directorate, the National Directorate </w:t>
            </w:r>
            <w:r w:rsidRPr="00D066E2">
              <w:rPr>
                <w:rFonts w:asciiTheme="minorHAnsi" w:hAnsiTheme="minorHAnsi"/>
                <w:i/>
              </w:rPr>
              <w:lastRenderedPageBreak/>
              <w:t>of Meteorology, the National Agency for Civil Protection, ASECNA participated to different sub-regional exchanges and have appropriated tools for collecting, processing, managing and producing information and data for better analysis and decision-making. It has enabled national institutions to improve methods and have adequate tools for better management of natural resources in the living and decision-making environment.</w:t>
            </w:r>
          </w:p>
          <w:p w:rsidR="00D066E2" w:rsidRPr="00D066E2" w:rsidRDefault="00D066E2" w:rsidP="00D066E2">
            <w:pPr>
              <w:pStyle w:val="BodyText2"/>
              <w:ind w:left="720"/>
              <w:jc w:val="both"/>
              <w:rPr>
                <w:rFonts w:asciiTheme="minorHAnsi" w:hAnsiTheme="minorHAnsi"/>
                <w:i/>
              </w:rPr>
            </w:pPr>
          </w:p>
          <w:p w:rsidR="0077384D" w:rsidRPr="009B1044" w:rsidRDefault="0077384D" w:rsidP="0077384D">
            <w:pPr>
              <w:pStyle w:val="BodyText2"/>
              <w:numPr>
                <w:ilvl w:val="0"/>
                <w:numId w:val="27"/>
              </w:numPr>
              <w:jc w:val="both"/>
              <w:rPr>
                <w:rFonts w:asciiTheme="minorHAnsi" w:hAnsiTheme="minorHAnsi"/>
                <w:b/>
                <w:i/>
              </w:rPr>
            </w:pPr>
            <w:r w:rsidRPr="009B1044">
              <w:rPr>
                <w:rFonts w:asciiTheme="minorHAnsi" w:hAnsiTheme="minorHAnsi"/>
                <w:b/>
                <w:i/>
              </w:rPr>
              <w:t>National and local institutions as well as communities have increased capacities for the protection and sustainable management of ecosystems</w:t>
            </w:r>
            <w:r w:rsidR="00606B2E" w:rsidRPr="009B1044">
              <w:rPr>
                <w:rFonts w:asciiTheme="minorHAnsi" w:hAnsiTheme="minorHAnsi"/>
                <w:b/>
                <w:i/>
              </w:rPr>
              <w:t xml:space="preserve">. </w:t>
            </w:r>
          </w:p>
          <w:p w:rsidR="00606B2E" w:rsidRDefault="00486935" w:rsidP="00606B2E">
            <w:pPr>
              <w:pStyle w:val="BodyText2"/>
              <w:ind w:left="720"/>
              <w:jc w:val="both"/>
              <w:rPr>
                <w:rFonts w:asciiTheme="minorHAnsi" w:hAnsiTheme="minorHAnsi"/>
                <w:i/>
              </w:rPr>
            </w:pPr>
            <w:r>
              <w:rPr>
                <w:rFonts w:asciiTheme="minorHAnsi" w:hAnsiTheme="minorHAnsi"/>
                <w:i/>
              </w:rPr>
              <w:t>Various</w:t>
            </w:r>
            <w:r w:rsidR="00606B2E" w:rsidRPr="00606B2E">
              <w:rPr>
                <w:rFonts w:asciiTheme="minorHAnsi" w:hAnsiTheme="minorHAnsi"/>
                <w:i/>
              </w:rPr>
              <w:t xml:space="preserve"> support </w:t>
            </w:r>
            <w:r w:rsidR="00B0478B" w:rsidRPr="00606B2E">
              <w:rPr>
                <w:rFonts w:asciiTheme="minorHAnsi" w:hAnsiTheme="minorHAnsi"/>
                <w:i/>
              </w:rPr>
              <w:t>ha</w:t>
            </w:r>
            <w:r w:rsidR="00B0478B">
              <w:rPr>
                <w:rFonts w:asciiTheme="minorHAnsi" w:hAnsiTheme="minorHAnsi"/>
                <w:i/>
              </w:rPr>
              <w:t>s</w:t>
            </w:r>
            <w:r w:rsidR="00606B2E" w:rsidRPr="00606B2E">
              <w:rPr>
                <w:rFonts w:asciiTheme="minorHAnsi" w:hAnsiTheme="minorHAnsi"/>
                <w:i/>
              </w:rPr>
              <w:t xml:space="preserve"> allowed the availability of management tools, capacity building of institutions, communities and communities in access to climate information, management of natural and energy resources, living environment, as well as consequences of the changes, the ecological sustainability of wood energy and community forests and strengthen the resilience of populations.</w:t>
            </w:r>
          </w:p>
          <w:p w:rsidR="00EC088E" w:rsidRDefault="00EC088E" w:rsidP="00606B2E">
            <w:pPr>
              <w:pStyle w:val="BodyText2"/>
              <w:ind w:left="720"/>
              <w:jc w:val="both"/>
              <w:rPr>
                <w:rFonts w:asciiTheme="minorHAnsi" w:hAnsiTheme="minorHAnsi"/>
                <w:i/>
              </w:rPr>
            </w:pPr>
          </w:p>
          <w:p w:rsidR="00606B2E" w:rsidRDefault="0077384D" w:rsidP="00606B2E">
            <w:pPr>
              <w:pStyle w:val="BodyText2"/>
              <w:ind w:left="720"/>
              <w:jc w:val="both"/>
              <w:rPr>
                <w:rFonts w:asciiTheme="minorHAnsi" w:hAnsiTheme="minorHAnsi"/>
                <w:i/>
              </w:rPr>
            </w:pPr>
            <w:r w:rsidRPr="0077384D">
              <w:rPr>
                <w:rFonts w:asciiTheme="minorHAnsi" w:hAnsiTheme="minorHAnsi"/>
                <w:i/>
              </w:rPr>
              <w:t>Proportion of municipalities strengthened in the management of natural resources, energy and living environment rose from 15% to 84% in 2016</w:t>
            </w:r>
            <w:r w:rsidR="00486935">
              <w:rPr>
                <w:rFonts w:asciiTheme="minorHAnsi" w:hAnsiTheme="minorHAnsi"/>
                <w:i/>
              </w:rPr>
              <w:t xml:space="preserve">. </w:t>
            </w:r>
            <w:r w:rsidRPr="0077384D">
              <w:rPr>
                <w:rFonts w:asciiTheme="minorHAnsi" w:hAnsiTheme="minorHAnsi"/>
                <w:i/>
              </w:rPr>
              <w:t>Proportion of reforested national space increased from 35% to 36%</w:t>
            </w:r>
            <w:r w:rsidR="00606B2E">
              <w:t xml:space="preserve"> </w:t>
            </w:r>
            <w:r w:rsidR="00606B2E" w:rsidRPr="00606B2E">
              <w:rPr>
                <w:rFonts w:asciiTheme="minorHAnsi" w:hAnsiTheme="minorHAnsi"/>
                <w:i/>
              </w:rPr>
              <w:t>UNDP support in 2017 resulted in: reforestation of: 817.04 ha of estates, riverbanks, natural forests and galleries by local species, bringing the national space share to 37.1% reforested or restored compared to 36% in 2016</w:t>
            </w:r>
            <w:r w:rsidR="00606B2E">
              <w:rPr>
                <w:rFonts w:asciiTheme="minorHAnsi" w:hAnsiTheme="minorHAnsi"/>
                <w:i/>
              </w:rPr>
              <w:t xml:space="preserve">. </w:t>
            </w:r>
            <w:r w:rsidR="00606B2E" w:rsidRPr="00606B2E">
              <w:rPr>
                <w:rFonts w:asciiTheme="minorHAnsi" w:hAnsiTheme="minorHAnsi"/>
                <w:i/>
              </w:rPr>
              <w:t xml:space="preserve">00 km of riverbanks have been restored along the </w:t>
            </w:r>
            <w:proofErr w:type="spellStart"/>
            <w:r w:rsidR="00606B2E" w:rsidRPr="00606B2E">
              <w:rPr>
                <w:rFonts w:asciiTheme="minorHAnsi" w:hAnsiTheme="minorHAnsi"/>
                <w:i/>
              </w:rPr>
              <w:t>Ouémé</w:t>
            </w:r>
            <w:proofErr w:type="spellEnd"/>
            <w:r w:rsidR="00606B2E" w:rsidRPr="00606B2E">
              <w:rPr>
                <w:rFonts w:asciiTheme="minorHAnsi" w:hAnsiTheme="minorHAnsi"/>
                <w:i/>
              </w:rPr>
              <w:t xml:space="preserve"> River to promote </w:t>
            </w:r>
            <w:proofErr w:type="spellStart"/>
            <w:r w:rsidR="00606B2E" w:rsidRPr="00606B2E">
              <w:rPr>
                <w:rFonts w:asciiTheme="minorHAnsi" w:hAnsiTheme="minorHAnsi"/>
                <w:i/>
              </w:rPr>
              <w:t>agrosystems</w:t>
            </w:r>
            <w:proofErr w:type="spellEnd"/>
            <w:r w:rsidR="00606B2E" w:rsidRPr="00606B2E">
              <w:rPr>
                <w:rFonts w:asciiTheme="minorHAnsi" w:hAnsiTheme="minorHAnsi"/>
                <w:i/>
              </w:rPr>
              <w:t xml:space="preserve"> and preserve the fields, crops and riparian communities against floods in approximately 45 villages in the intervention commune</w:t>
            </w:r>
            <w:r w:rsidR="00E01067">
              <w:rPr>
                <w:rFonts w:asciiTheme="minorHAnsi" w:hAnsiTheme="minorHAnsi"/>
                <w:i/>
              </w:rPr>
              <w:t>.</w:t>
            </w:r>
            <w:r w:rsidR="00606B2E" w:rsidRPr="00606B2E">
              <w:rPr>
                <w:rFonts w:asciiTheme="minorHAnsi" w:hAnsiTheme="minorHAnsi"/>
                <w:i/>
              </w:rPr>
              <w:t xml:space="preserve"> 41 solar street lights, 5 </w:t>
            </w:r>
            <w:proofErr w:type="spellStart"/>
            <w:r w:rsidR="00606B2E" w:rsidRPr="00606B2E">
              <w:rPr>
                <w:rFonts w:asciiTheme="minorHAnsi" w:hAnsiTheme="minorHAnsi"/>
                <w:i/>
              </w:rPr>
              <w:t>minicentral</w:t>
            </w:r>
            <w:proofErr w:type="spellEnd"/>
            <w:r w:rsidR="00606B2E" w:rsidRPr="00606B2E">
              <w:rPr>
                <w:rFonts w:asciiTheme="minorHAnsi" w:hAnsiTheme="minorHAnsi"/>
                <w:i/>
              </w:rPr>
              <w:t xml:space="preserve">, 5 kiosks with solar freezers, commissioned to facilitate efficient access to energy sources of 7220 people including 655 women, with 1444 direct jobs and 26833 indirect including 11510 women. The </w:t>
            </w:r>
            <w:proofErr w:type="spellStart"/>
            <w:r w:rsidR="00606B2E" w:rsidRPr="00606B2E">
              <w:rPr>
                <w:rFonts w:asciiTheme="minorHAnsi" w:hAnsiTheme="minorHAnsi"/>
                <w:i/>
              </w:rPr>
              <w:t>agro</w:t>
            </w:r>
            <w:proofErr w:type="spellEnd"/>
            <w:r w:rsidR="00606B2E" w:rsidRPr="00606B2E">
              <w:rPr>
                <w:rFonts w:asciiTheme="minorHAnsi" w:hAnsiTheme="minorHAnsi"/>
                <w:i/>
              </w:rPr>
              <w:t>-climatic park is supported by the beneficiaries and the corresponding Digital Operating Procedure (MON) is operational</w:t>
            </w:r>
            <w:r w:rsidR="00EC088E">
              <w:rPr>
                <w:rFonts w:asciiTheme="minorHAnsi" w:hAnsiTheme="minorHAnsi"/>
                <w:i/>
              </w:rPr>
              <w:t>.</w:t>
            </w:r>
          </w:p>
          <w:p w:rsidR="00606B2E" w:rsidRDefault="00606B2E" w:rsidP="00606B2E">
            <w:pPr>
              <w:pStyle w:val="BodyText2"/>
              <w:ind w:left="720"/>
              <w:jc w:val="both"/>
              <w:rPr>
                <w:rFonts w:asciiTheme="minorHAnsi" w:hAnsiTheme="minorHAnsi"/>
                <w:i/>
              </w:rPr>
            </w:pPr>
          </w:p>
          <w:p w:rsidR="00606B2E" w:rsidRPr="005A1FD0" w:rsidRDefault="00606B2E" w:rsidP="00606B2E">
            <w:pPr>
              <w:pStyle w:val="BodyText2"/>
              <w:ind w:left="720"/>
              <w:jc w:val="both"/>
              <w:rPr>
                <w:rFonts w:asciiTheme="minorHAnsi" w:hAnsiTheme="minorHAnsi"/>
                <w:i/>
                <w:lang w:val="en-GB"/>
              </w:rPr>
            </w:pPr>
          </w:p>
          <w:p w:rsidR="00606B2E" w:rsidRPr="00606B2E" w:rsidRDefault="00606B2E" w:rsidP="00606B2E">
            <w:pPr>
              <w:pStyle w:val="BodyText2"/>
              <w:ind w:left="720"/>
              <w:jc w:val="both"/>
              <w:rPr>
                <w:rFonts w:asciiTheme="minorHAnsi" w:hAnsiTheme="minorHAnsi"/>
                <w:i/>
              </w:rPr>
            </w:pPr>
            <w:r w:rsidRPr="00606B2E">
              <w:rPr>
                <w:rFonts w:asciiTheme="minorHAnsi" w:hAnsiTheme="minorHAnsi"/>
                <w:i/>
              </w:rPr>
              <w:t xml:space="preserve">Technical support to government structures, including the National Committee on Climate Change (CNCC) on tools to access climate finance. For the development </w:t>
            </w:r>
            <w:r w:rsidR="00EC088E">
              <w:rPr>
                <w:rFonts w:asciiTheme="minorHAnsi" w:hAnsiTheme="minorHAnsi"/>
                <w:i/>
              </w:rPr>
              <w:t xml:space="preserve">and </w:t>
            </w:r>
            <w:r w:rsidRPr="00606B2E">
              <w:rPr>
                <w:rFonts w:asciiTheme="minorHAnsi" w:hAnsiTheme="minorHAnsi"/>
                <w:i/>
              </w:rPr>
              <w:t xml:space="preserve">scaling up actions on adaptation and mitigation in Benin 4 project ideas </w:t>
            </w:r>
            <w:r w:rsidR="00EC088E">
              <w:rPr>
                <w:rFonts w:asciiTheme="minorHAnsi" w:hAnsiTheme="minorHAnsi"/>
                <w:i/>
              </w:rPr>
              <w:t xml:space="preserve">are under designing to be submitted </w:t>
            </w:r>
            <w:proofErr w:type="gramStart"/>
            <w:r w:rsidR="00EC088E">
              <w:rPr>
                <w:rFonts w:asciiTheme="minorHAnsi" w:hAnsiTheme="minorHAnsi"/>
                <w:i/>
              </w:rPr>
              <w:t>to  the</w:t>
            </w:r>
            <w:proofErr w:type="gramEnd"/>
            <w:r w:rsidR="00EC088E">
              <w:rPr>
                <w:rFonts w:asciiTheme="minorHAnsi" w:hAnsiTheme="minorHAnsi"/>
                <w:i/>
              </w:rPr>
              <w:t xml:space="preserve"> </w:t>
            </w:r>
            <w:r w:rsidRPr="00606B2E">
              <w:rPr>
                <w:rFonts w:asciiTheme="minorHAnsi" w:hAnsiTheme="minorHAnsi"/>
                <w:i/>
              </w:rPr>
              <w:t xml:space="preserve">GCF and </w:t>
            </w:r>
            <w:r w:rsidR="00EC088E">
              <w:rPr>
                <w:rFonts w:asciiTheme="minorHAnsi" w:hAnsiTheme="minorHAnsi"/>
                <w:i/>
              </w:rPr>
              <w:t xml:space="preserve">2 to </w:t>
            </w:r>
            <w:r w:rsidRPr="00606B2E">
              <w:rPr>
                <w:rFonts w:asciiTheme="minorHAnsi" w:hAnsiTheme="minorHAnsi"/>
                <w:i/>
              </w:rPr>
              <w:t xml:space="preserve"> the GEF . It is about: Resilience Development from Tourism Agriculture and Fluvial Transport to Climate Change in the communes of </w:t>
            </w:r>
            <w:proofErr w:type="spellStart"/>
            <w:r w:rsidRPr="00606B2E">
              <w:rPr>
                <w:rFonts w:asciiTheme="minorHAnsi" w:hAnsiTheme="minorHAnsi"/>
                <w:i/>
              </w:rPr>
              <w:t>Malanville</w:t>
            </w:r>
            <w:proofErr w:type="spellEnd"/>
            <w:r w:rsidRPr="00606B2E">
              <w:rPr>
                <w:rFonts w:asciiTheme="minorHAnsi" w:hAnsiTheme="minorHAnsi"/>
                <w:i/>
              </w:rPr>
              <w:t xml:space="preserve"> and </w:t>
            </w:r>
            <w:proofErr w:type="spellStart"/>
            <w:r w:rsidRPr="00606B2E">
              <w:rPr>
                <w:rFonts w:asciiTheme="minorHAnsi" w:hAnsiTheme="minorHAnsi"/>
                <w:i/>
              </w:rPr>
              <w:t>Karimama</w:t>
            </w:r>
            <w:proofErr w:type="spellEnd"/>
            <w:r w:rsidRPr="00606B2E">
              <w:rPr>
                <w:rFonts w:asciiTheme="minorHAnsi" w:hAnsiTheme="minorHAnsi"/>
                <w:i/>
              </w:rPr>
              <w:t xml:space="preserve"> (GCF 80 million USD). The formulation of the </w:t>
            </w:r>
            <w:proofErr w:type="spellStart"/>
            <w:r w:rsidRPr="00606B2E">
              <w:rPr>
                <w:rFonts w:asciiTheme="minorHAnsi" w:hAnsiTheme="minorHAnsi"/>
                <w:i/>
              </w:rPr>
              <w:t>Prodoc</w:t>
            </w:r>
            <w:proofErr w:type="spellEnd"/>
            <w:r w:rsidRPr="00606B2E">
              <w:rPr>
                <w:rFonts w:asciiTheme="minorHAnsi" w:hAnsiTheme="minorHAnsi"/>
                <w:i/>
              </w:rPr>
              <w:t xml:space="preserve"> are in progress. Strengthening climate information and early warning system in Africa for climate resilient development and adaptation to climate change in Benin (Phase II: GCF 40 million USD). Elaboration of the national </w:t>
            </w:r>
            <w:r w:rsidR="00C82F5B">
              <w:rPr>
                <w:rFonts w:asciiTheme="minorHAnsi" w:hAnsiTheme="minorHAnsi"/>
                <w:i/>
              </w:rPr>
              <w:t>Adaptation P</w:t>
            </w:r>
            <w:r w:rsidRPr="00606B2E">
              <w:rPr>
                <w:rFonts w:asciiTheme="minorHAnsi" w:hAnsiTheme="minorHAnsi"/>
                <w:i/>
              </w:rPr>
              <w:t xml:space="preserve">lan to climate change in Benin the process of consultation of actors in progress (GCF </w:t>
            </w:r>
            <w:r w:rsidR="00C82F5B">
              <w:rPr>
                <w:rFonts w:asciiTheme="minorHAnsi" w:hAnsiTheme="minorHAnsi"/>
                <w:i/>
              </w:rPr>
              <w:t>1.5</w:t>
            </w:r>
            <w:r w:rsidRPr="00606B2E">
              <w:rPr>
                <w:rFonts w:asciiTheme="minorHAnsi" w:hAnsiTheme="minorHAnsi"/>
                <w:i/>
              </w:rPr>
              <w:t xml:space="preserve"> million USD</w:t>
            </w:r>
            <w:proofErr w:type="gramStart"/>
            <w:r w:rsidRPr="00606B2E">
              <w:rPr>
                <w:rFonts w:asciiTheme="minorHAnsi" w:hAnsiTheme="minorHAnsi"/>
                <w:i/>
              </w:rPr>
              <w:t>)..</w:t>
            </w:r>
            <w:proofErr w:type="gramEnd"/>
            <w:r w:rsidRPr="00606B2E">
              <w:rPr>
                <w:rFonts w:asciiTheme="minorHAnsi" w:hAnsiTheme="minorHAnsi"/>
                <w:i/>
              </w:rPr>
              <w:t xml:space="preserve"> Coastal protection and resilience of coastal populations facing the sea (US $ 10 million). Strengthening Resilience of Rural Livelihoods and Local Governance System for Climate and Risk in Benin (GEF $ </w:t>
            </w:r>
            <w:r w:rsidR="00C82F5B">
              <w:rPr>
                <w:rFonts w:asciiTheme="minorHAnsi" w:hAnsiTheme="minorHAnsi"/>
                <w:i/>
              </w:rPr>
              <w:t>4.550</w:t>
            </w:r>
            <w:r w:rsidRPr="00606B2E">
              <w:rPr>
                <w:rFonts w:asciiTheme="minorHAnsi" w:hAnsiTheme="minorHAnsi"/>
                <w:i/>
              </w:rPr>
              <w:t xml:space="preserve"> million</w:t>
            </w:r>
            <w:proofErr w:type="gramStart"/>
            <w:r w:rsidRPr="00606B2E">
              <w:rPr>
                <w:rFonts w:asciiTheme="minorHAnsi" w:hAnsiTheme="minorHAnsi"/>
                <w:i/>
              </w:rPr>
              <w:t>)</w:t>
            </w:r>
            <w:r w:rsidR="00C82F5B">
              <w:rPr>
                <w:rFonts w:asciiTheme="minorHAnsi" w:hAnsiTheme="minorHAnsi"/>
                <w:i/>
              </w:rPr>
              <w:t>.T</w:t>
            </w:r>
            <w:r w:rsidRPr="00606B2E">
              <w:rPr>
                <w:rFonts w:asciiTheme="minorHAnsi" w:hAnsiTheme="minorHAnsi"/>
                <w:i/>
              </w:rPr>
              <w:t>he</w:t>
            </w:r>
            <w:proofErr w:type="gramEnd"/>
            <w:r w:rsidRPr="00606B2E">
              <w:rPr>
                <w:rFonts w:asciiTheme="minorHAnsi" w:hAnsiTheme="minorHAnsi"/>
                <w:i/>
              </w:rPr>
              <w:t xml:space="preserve"> </w:t>
            </w:r>
            <w:proofErr w:type="spellStart"/>
            <w:r w:rsidRPr="00606B2E">
              <w:rPr>
                <w:rFonts w:asciiTheme="minorHAnsi" w:hAnsiTheme="minorHAnsi"/>
                <w:i/>
              </w:rPr>
              <w:t>Prodoc</w:t>
            </w:r>
            <w:proofErr w:type="spellEnd"/>
            <w:r w:rsidRPr="00606B2E">
              <w:rPr>
                <w:rFonts w:asciiTheme="minorHAnsi" w:hAnsiTheme="minorHAnsi"/>
                <w:i/>
              </w:rPr>
              <w:t xml:space="preserve"> </w:t>
            </w:r>
            <w:r w:rsidR="00C82F5B">
              <w:rPr>
                <w:rFonts w:asciiTheme="minorHAnsi" w:hAnsiTheme="minorHAnsi"/>
                <w:i/>
              </w:rPr>
              <w:t xml:space="preserve">are to be </w:t>
            </w:r>
            <w:r w:rsidRPr="00606B2E">
              <w:rPr>
                <w:rFonts w:asciiTheme="minorHAnsi" w:hAnsiTheme="minorHAnsi"/>
                <w:i/>
              </w:rPr>
              <w:t>finalized. Discussions are being held with donors for funding other ideas.</w:t>
            </w:r>
          </w:p>
          <w:p w:rsidR="00606B2E" w:rsidRPr="00606B2E" w:rsidRDefault="00606B2E" w:rsidP="00606B2E">
            <w:pPr>
              <w:pStyle w:val="BodyText2"/>
              <w:ind w:left="720"/>
              <w:jc w:val="both"/>
              <w:rPr>
                <w:rFonts w:asciiTheme="minorHAnsi" w:hAnsiTheme="minorHAnsi"/>
                <w:i/>
              </w:rPr>
            </w:pPr>
          </w:p>
          <w:p w:rsidR="00606B2E" w:rsidRDefault="00606B2E" w:rsidP="00606B2E">
            <w:pPr>
              <w:pStyle w:val="BodyText2"/>
              <w:ind w:left="720"/>
              <w:jc w:val="both"/>
              <w:rPr>
                <w:rFonts w:asciiTheme="minorHAnsi" w:hAnsiTheme="minorHAnsi"/>
                <w:i/>
              </w:rPr>
            </w:pPr>
            <w:r w:rsidRPr="00606B2E">
              <w:rPr>
                <w:rFonts w:asciiTheme="minorHAnsi" w:hAnsiTheme="minorHAnsi"/>
                <w:i/>
              </w:rPr>
              <w:t>Technical support to the National Fund for the Environment and Climate, to facilitate its accreditation to the green fund for climate. To facilitate the capacity building of national institutions specifically the National Fund for Environment and Climate (FNEC), Benin's preparation project for the Green Climate Fund has been developed and is being implemented under the financing of the Republic of Germany with co-financing and dual support from UNDP and UNEP</w:t>
            </w:r>
            <w:r w:rsidR="00C82F5B">
              <w:rPr>
                <w:rFonts w:asciiTheme="minorHAnsi" w:hAnsiTheme="minorHAnsi"/>
                <w:i/>
              </w:rPr>
              <w:t>.</w:t>
            </w:r>
          </w:p>
          <w:p w:rsidR="00606B2E" w:rsidRDefault="00606B2E" w:rsidP="0077384D">
            <w:pPr>
              <w:pStyle w:val="BodyText2"/>
              <w:ind w:left="720"/>
              <w:jc w:val="both"/>
              <w:rPr>
                <w:rFonts w:asciiTheme="minorHAnsi" w:hAnsiTheme="minorHAnsi"/>
                <w:i/>
              </w:rPr>
            </w:pPr>
          </w:p>
          <w:p w:rsidR="0077384D" w:rsidRPr="0077384D" w:rsidRDefault="0077384D" w:rsidP="0077384D">
            <w:pPr>
              <w:pStyle w:val="BodyText2"/>
              <w:ind w:left="720"/>
              <w:jc w:val="both"/>
              <w:rPr>
                <w:rFonts w:asciiTheme="minorHAnsi" w:hAnsiTheme="minorHAnsi"/>
                <w:i/>
                <w:lang w:val="en-GB"/>
              </w:rPr>
            </w:pPr>
          </w:p>
          <w:p w:rsidR="0077384D" w:rsidRPr="00E01067" w:rsidRDefault="0077384D" w:rsidP="0077384D">
            <w:pPr>
              <w:pStyle w:val="BodyText2"/>
              <w:numPr>
                <w:ilvl w:val="0"/>
                <w:numId w:val="27"/>
              </w:numPr>
              <w:jc w:val="both"/>
              <w:rPr>
                <w:rFonts w:asciiTheme="minorHAnsi" w:hAnsiTheme="minorHAnsi"/>
                <w:b/>
                <w:i/>
                <w:lang w:val="en-GB"/>
              </w:rPr>
            </w:pPr>
            <w:r w:rsidRPr="00E01067">
              <w:rPr>
                <w:rFonts w:asciiTheme="minorHAnsi" w:hAnsiTheme="minorHAnsi"/>
                <w:b/>
                <w:i/>
                <w:lang w:val="en-GB"/>
              </w:rPr>
              <w:t>Institutions and communities have more capacity to increase resilience to crises and climate change</w:t>
            </w:r>
            <w:r w:rsidR="00606B2E" w:rsidRPr="00E01067">
              <w:rPr>
                <w:rFonts w:asciiTheme="minorHAnsi" w:hAnsiTheme="minorHAnsi"/>
                <w:b/>
                <w:i/>
                <w:lang w:val="en-GB"/>
              </w:rPr>
              <w:t>.</w:t>
            </w:r>
          </w:p>
          <w:p w:rsidR="00606B2E" w:rsidRDefault="00E01067" w:rsidP="00606B2E">
            <w:pPr>
              <w:pStyle w:val="BodyText2"/>
              <w:ind w:left="720"/>
              <w:jc w:val="both"/>
              <w:rPr>
                <w:rFonts w:asciiTheme="minorHAnsi" w:hAnsiTheme="minorHAnsi"/>
                <w:i/>
                <w:lang w:val="en-GB"/>
              </w:rPr>
            </w:pPr>
            <w:r w:rsidRPr="00606B2E">
              <w:rPr>
                <w:rFonts w:asciiTheme="minorHAnsi" w:hAnsiTheme="minorHAnsi"/>
                <w:i/>
                <w:lang w:val="en-GB"/>
              </w:rPr>
              <w:t>According to the final evaluati</w:t>
            </w:r>
            <w:r>
              <w:rPr>
                <w:rFonts w:asciiTheme="minorHAnsi" w:hAnsiTheme="minorHAnsi"/>
                <w:i/>
                <w:lang w:val="en-GB"/>
              </w:rPr>
              <w:t>on report of the PANA project 1</w:t>
            </w:r>
            <w:r w:rsidRPr="00606B2E">
              <w:rPr>
                <w:rFonts w:asciiTheme="minorHAnsi" w:hAnsiTheme="minorHAnsi"/>
                <w:i/>
                <w:lang w:val="en-GB"/>
              </w:rPr>
              <w:t xml:space="preserve">], with the support of UNDP, 1948 farmers, 50 poultry farmers, 30 small ruminants and 112 fishermen, including 19.90% women from the nine villages most Vulnerable to the adverse effects of climate change have adopted new technologies and adaptive practices that are transferred to them during their training in the use of climate change-friendly technical pathways. They increase their resilience to climate change risks. </w:t>
            </w:r>
            <w:r w:rsidRPr="00606B2E">
              <w:rPr>
                <w:rFonts w:asciiTheme="minorHAnsi" w:hAnsiTheme="minorHAnsi"/>
                <w:i/>
                <w:lang w:val="en-GB"/>
              </w:rPr>
              <w:lastRenderedPageBreak/>
              <w:t>The country's climate monitoring and early warning capabilities are fundamentally strengthening, thus laying the groundwork for a real transformation of the national environment and climate change management system</w:t>
            </w:r>
            <w:r>
              <w:rPr>
                <w:rFonts w:asciiTheme="minorHAnsi" w:hAnsiTheme="minorHAnsi"/>
                <w:i/>
                <w:lang w:val="en-GB"/>
              </w:rPr>
              <w:t>.</w:t>
            </w:r>
          </w:p>
          <w:p w:rsidR="007732DB" w:rsidRDefault="007732DB" w:rsidP="00606B2E">
            <w:pPr>
              <w:pStyle w:val="BodyText2"/>
              <w:ind w:left="720"/>
              <w:jc w:val="both"/>
              <w:rPr>
                <w:rFonts w:asciiTheme="minorHAnsi" w:hAnsiTheme="minorHAnsi"/>
                <w:i/>
                <w:lang w:val="en-GB"/>
              </w:rPr>
            </w:pPr>
          </w:p>
          <w:p w:rsidR="00606B2E" w:rsidRPr="00606B2E" w:rsidRDefault="00606B2E" w:rsidP="00606B2E">
            <w:pPr>
              <w:pStyle w:val="BodyText2"/>
              <w:ind w:left="720"/>
              <w:jc w:val="both"/>
              <w:rPr>
                <w:rFonts w:asciiTheme="minorHAnsi" w:hAnsiTheme="minorHAnsi"/>
                <w:i/>
                <w:lang w:val="en-GB"/>
              </w:rPr>
            </w:pPr>
            <w:r w:rsidRPr="00606B2E">
              <w:rPr>
                <w:rFonts w:asciiTheme="minorHAnsi" w:hAnsiTheme="minorHAnsi"/>
                <w:i/>
                <w:lang w:val="en-GB"/>
              </w:rPr>
              <w:t xml:space="preserve">Proportion of municipalities with </w:t>
            </w:r>
            <w:proofErr w:type="spellStart"/>
            <w:r w:rsidRPr="00606B2E">
              <w:rPr>
                <w:rFonts w:asciiTheme="minorHAnsi" w:hAnsiTheme="minorHAnsi"/>
                <w:i/>
                <w:lang w:val="en-GB"/>
              </w:rPr>
              <w:t>agro</w:t>
            </w:r>
            <w:proofErr w:type="spellEnd"/>
            <w:r w:rsidRPr="00606B2E">
              <w:rPr>
                <w:rFonts w:asciiTheme="minorHAnsi" w:hAnsiTheme="minorHAnsi"/>
                <w:i/>
                <w:lang w:val="en-GB"/>
              </w:rPr>
              <w:t>-climatic and hydrological measurement equipment from 39% to 65%</w:t>
            </w:r>
            <w:r w:rsidR="00E01067">
              <w:rPr>
                <w:rFonts w:asciiTheme="minorHAnsi" w:hAnsiTheme="minorHAnsi"/>
                <w:i/>
                <w:lang w:val="en-GB"/>
              </w:rPr>
              <w:t xml:space="preserve">. </w:t>
            </w:r>
            <w:r w:rsidRPr="00606B2E">
              <w:rPr>
                <w:rFonts w:asciiTheme="minorHAnsi" w:hAnsiTheme="minorHAnsi"/>
                <w:i/>
                <w:lang w:val="en-GB"/>
              </w:rPr>
              <w:t>Proportion of agents with early warning capabilities prior to a climate crisis or 5% to 100% disasters</w:t>
            </w:r>
            <w:r w:rsidR="00E01067">
              <w:rPr>
                <w:rFonts w:asciiTheme="minorHAnsi" w:hAnsiTheme="minorHAnsi"/>
                <w:i/>
                <w:lang w:val="en-GB"/>
              </w:rPr>
              <w:t xml:space="preserve">. </w:t>
            </w:r>
            <w:r w:rsidRPr="00606B2E">
              <w:rPr>
                <w:rFonts w:asciiTheme="minorHAnsi" w:hAnsiTheme="minorHAnsi"/>
                <w:i/>
                <w:lang w:val="en-GB"/>
              </w:rPr>
              <w:t>Proportion of farmers, ranchers and fishermen trained in the use of climate change-friendly technical itineraries: 17% 100% target population in 2016</w:t>
            </w:r>
            <w:r w:rsidR="00E01067">
              <w:rPr>
                <w:rFonts w:asciiTheme="minorHAnsi" w:hAnsiTheme="minorHAnsi"/>
                <w:i/>
                <w:lang w:val="en-GB"/>
              </w:rPr>
              <w:t xml:space="preserve">. </w:t>
            </w:r>
            <w:r w:rsidRPr="00606B2E">
              <w:rPr>
                <w:rFonts w:asciiTheme="minorHAnsi" w:hAnsiTheme="minorHAnsi"/>
                <w:i/>
                <w:lang w:val="en-GB"/>
              </w:rPr>
              <w:t xml:space="preserve">65 municipalities (84%) strengthened in the management of natural resources, energy and living environment compared to 30% planned as 2016 target. 43ha of reforested bank to 79,26 ha are 31,700 linear </w:t>
            </w:r>
            <w:proofErr w:type="gramStart"/>
            <w:r w:rsidRPr="00606B2E">
              <w:rPr>
                <w:rFonts w:asciiTheme="minorHAnsi" w:hAnsiTheme="minorHAnsi"/>
                <w:i/>
                <w:lang w:val="en-GB"/>
              </w:rPr>
              <w:t>meters. .</w:t>
            </w:r>
            <w:r w:rsidR="00E01067">
              <w:rPr>
                <w:rFonts w:asciiTheme="minorHAnsi" w:hAnsiTheme="minorHAnsi"/>
                <w:i/>
                <w:lang w:val="en-GB"/>
              </w:rPr>
              <w:t>.</w:t>
            </w:r>
            <w:proofErr w:type="gramEnd"/>
            <w:r w:rsidR="00E01067">
              <w:rPr>
                <w:rFonts w:asciiTheme="minorHAnsi" w:hAnsiTheme="minorHAnsi"/>
                <w:i/>
                <w:lang w:val="en-GB"/>
              </w:rPr>
              <w:t xml:space="preserve"> </w:t>
            </w:r>
            <w:r w:rsidRPr="00606B2E">
              <w:rPr>
                <w:rFonts w:asciiTheme="minorHAnsi" w:hAnsiTheme="minorHAnsi"/>
                <w:i/>
                <w:lang w:val="en-GB"/>
              </w:rPr>
              <w:t>In 2016, 1948 farmers, 50 poultry farmers, 30 small ruminants and 112 fishermen, including 19.90% women from nine villages, adopted technologies and adaptive practices that were transferred to them during their training (Final Evaluation Report PANA1). 23 new management tools developed, 123 versus 30 originally planned</w:t>
            </w:r>
            <w:r w:rsidR="007732DB">
              <w:rPr>
                <w:rFonts w:asciiTheme="minorHAnsi" w:hAnsiTheme="minorHAnsi"/>
                <w:i/>
                <w:lang w:val="en-GB"/>
              </w:rPr>
              <w:t>.</w:t>
            </w:r>
          </w:p>
          <w:p w:rsidR="007732DB" w:rsidRDefault="007732DB" w:rsidP="00606B2E">
            <w:pPr>
              <w:pStyle w:val="BodyText2"/>
              <w:ind w:left="720"/>
              <w:jc w:val="both"/>
              <w:rPr>
                <w:rFonts w:asciiTheme="minorHAnsi" w:hAnsiTheme="minorHAnsi"/>
                <w:i/>
                <w:lang w:val="en-GB"/>
              </w:rPr>
            </w:pPr>
          </w:p>
          <w:p w:rsidR="00D066E2" w:rsidRPr="00D066E2" w:rsidRDefault="00D066E2" w:rsidP="00D066E2">
            <w:pPr>
              <w:pStyle w:val="BodyText2"/>
              <w:ind w:left="720"/>
              <w:jc w:val="both"/>
              <w:rPr>
                <w:rFonts w:asciiTheme="minorHAnsi" w:hAnsiTheme="minorHAnsi"/>
                <w:i/>
                <w:lang w:val="en-GB"/>
              </w:rPr>
            </w:pPr>
          </w:p>
          <w:p w:rsidR="00606B2E" w:rsidRPr="00606B2E" w:rsidRDefault="00606B2E" w:rsidP="00606B2E">
            <w:pPr>
              <w:pStyle w:val="BodyText2"/>
              <w:ind w:left="720"/>
              <w:jc w:val="both"/>
              <w:rPr>
                <w:rFonts w:asciiTheme="minorHAnsi" w:hAnsiTheme="minorHAnsi"/>
                <w:i/>
                <w:lang w:val="en-GB"/>
              </w:rPr>
            </w:pPr>
          </w:p>
          <w:p w:rsidR="00606B2E" w:rsidRPr="005A1FD0" w:rsidRDefault="00606B2E" w:rsidP="00606B2E">
            <w:pPr>
              <w:pStyle w:val="BodyText2"/>
              <w:ind w:left="720"/>
              <w:jc w:val="both"/>
              <w:rPr>
                <w:rFonts w:asciiTheme="minorHAnsi" w:hAnsiTheme="minorHAnsi"/>
                <w:i/>
                <w:strike/>
                <w:lang w:val="en-GB"/>
              </w:rPr>
            </w:pPr>
          </w:p>
          <w:p w:rsidR="00606B2E" w:rsidRDefault="00606B2E" w:rsidP="00606B2E">
            <w:pPr>
              <w:pStyle w:val="BodyText2"/>
              <w:ind w:left="720"/>
              <w:jc w:val="both"/>
              <w:rPr>
                <w:rFonts w:asciiTheme="minorHAnsi" w:hAnsiTheme="minorHAnsi"/>
                <w:i/>
                <w:lang w:val="en-GB"/>
              </w:rPr>
            </w:pPr>
          </w:p>
          <w:p w:rsidR="00606B2E" w:rsidRPr="00606B2E" w:rsidRDefault="00606B2E" w:rsidP="00606B2E">
            <w:pPr>
              <w:pStyle w:val="BodyText2"/>
              <w:ind w:left="720"/>
              <w:jc w:val="both"/>
              <w:rPr>
                <w:rFonts w:asciiTheme="minorHAnsi" w:hAnsiTheme="minorHAnsi"/>
                <w:i/>
                <w:lang w:val="en-GB"/>
              </w:rPr>
            </w:pPr>
            <w:r w:rsidRPr="00606B2E">
              <w:rPr>
                <w:rFonts w:asciiTheme="minorHAnsi" w:hAnsiTheme="minorHAnsi"/>
                <w:i/>
                <w:lang w:val="en-GB"/>
              </w:rPr>
              <w:t>The actions of the PANA1 projects and gallery forests have been geared towards strengthening the capacity of women to produce several speculations in the field of livestock and agriculture to enable them to adapt to the effects of climate change. To this end, more than 139 women producers in the PANA1 intervention areas (</w:t>
            </w:r>
            <w:proofErr w:type="spellStart"/>
            <w:r w:rsidRPr="00606B2E">
              <w:rPr>
                <w:rFonts w:asciiTheme="minorHAnsi" w:hAnsiTheme="minorHAnsi"/>
                <w:i/>
                <w:lang w:val="en-GB"/>
              </w:rPr>
              <w:t>Damè</w:t>
            </w:r>
            <w:proofErr w:type="spellEnd"/>
            <w:r w:rsidRPr="00606B2E">
              <w:rPr>
                <w:rFonts w:asciiTheme="minorHAnsi" w:hAnsiTheme="minorHAnsi"/>
                <w:i/>
                <w:lang w:val="en-GB"/>
              </w:rPr>
              <w:t xml:space="preserve">, </w:t>
            </w:r>
            <w:proofErr w:type="spellStart"/>
            <w:r w:rsidRPr="00606B2E">
              <w:rPr>
                <w:rFonts w:asciiTheme="minorHAnsi" w:hAnsiTheme="minorHAnsi"/>
                <w:i/>
                <w:lang w:val="en-GB"/>
              </w:rPr>
              <w:t>Bopa</w:t>
            </w:r>
            <w:proofErr w:type="spellEnd"/>
            <w:r w:rsidRPr="00606B2E">
              <w:rPr>
                <w:rFonts w:asciiTheme="minorHAnsi" w:hAnsiTheme="minorHAnsi"/>
                <w:i/>
                <w:lang w:val="en-GB"/>
              </w:rPr>
              <w:t xml:space="preserve">, </w:t>
            </w:r>
            <w:proofErr w:type="spellStart"/>
            <w:r w:rsidRPr="00606B2E">
              <w:rPr>
                <w:rFonts w:asciiTheme="minorHAnsi" w:hAnsiTheme="minorHAnsi"/>
                <w:i/>
                <w:lang w:val="en-GB"/>
              </w:rPr>
              <w:t>Sèhomi</w:t>
            </w:r>
            <w:proofErr w:type="spellEnd"/>
            <w:r w:rsidRPr="00606B2E">
              <w:rPr>
                <w:rFonts w:asciiTheme="minorHAnsi" w:hAnsiTheme="minorHAnsi"/>
                <w:i/>
                <w:lang w:val="en-GB"/>
              </w:rPr>
              <w:t xml:space="preserve">, </w:t>
            </w:r>
            <w:proofErr w:type="spellStart"/>
            <w:r w:rsidRPr="00606B2E">
              <w:rPr>
                <w:rFonts w:asciiTheme="minorHAnsi" w:hAnsiTheme="minorHAnsi"/>
                <w:i/>
                <w:lang w:val="en-GB"/>
              </w:rPr>
              <w:t>Lagbavé</w:t>
            </w:r>
            <w:proofErr w:type="spellEnd"/>
            <w:r w:rsidRPr="00606B2E">
              <w:rPr>
                <w:rFonts w:asciiTheme="minorHAnsi" w:hAnsiTheme="minorHAnsi"/>
                <w:i/>
                <w:lang w:val="en-GB"/>
              </w:rPr>
              <w:t xml:space="preserve"> </w:t>
            </w:r>
            <w:proofErr w:type="spellStart"/>
            <w:r w:rsidRPr="00606B2E">
              <w:rPr>
                <w:rFonts w:asciiTheme="minorHAnsi" w:hAnsiTheme="minorHAnsi"/>
                <w:i/>
                <w:lang w:val="en-GB"/>
              </w:rPr>
              <w:t>Ahomey-oumey</w:t>
            </w:r>
            <w:proofErr w:type="spellEnd"/>
            <w:r w:rsidRPr="00606B2E">
              <w:rPr>
                <w:rFonts w:asciiTheme="minorHAnsi" w:hAnsiTheme="minorHAnsi"/>
                <w:i/>
                <w:lang w:val="en-GB"/>
              </w:rPr>
              <w:t>) benefited from training courses on new short-cycle production technologies (rice, soybean, maize)</w:t>
            </w:r>
            <w:proofErr w:type="gramStart"/>
            <w:r w:rsidRPr="00606B2E">
              <w:rPr>
                <w:rFonts w:asciiTheme="minorHAnsi" w:hAnsiTheme="minorHAnsi"/>
                <w:i/>
                <w:lang w:val="en-GB"/>
              </w:rPr>
              <w:t>. ,</w:t>
            </w:r>
            <w:proofErr w:type="gramEnd"/>
            <w:r w:rsidRPr="00606B2E">
              <w:rPr>
                <w:rFonts w:asciiTheme="minorHAnsi" w:hAnsiTheme="minorHAnsi"/>
                <w:i/>
                <w:lang w:val="en-GB"/>
              </w:rPr>
              <w:t xml:space="preserve"> market garden products). Also about 3150 oil palm plants selected on 22ha were made available to 42 producers including 9 women [[E8]]. Women received training in poultry breeding techniques and received support from 100 breeding broods each. 22 women strengthened in fish farming in </w:t>
            </w:r>
            <w:proofErr w:type="spellStart"/>
            <w:r w:rsidRPr="00606B2E">
              <w:rPr>
                <w:rFonts w:asciiTheme="minorHAnsi" w:hAnsiTheme="minorHAnsi"/>
                <w:i/>
                <w:lang w:val="en-GB"/>
              </w:rPr>
              <w:t>Sô</w:t>
            </w:r>
            <w:proofErr w:type="spellEnd"/>
            <w:r w:rsidRPr="00606B2E">
              <w:rPr>
                <w:rFonts w:asciiTheme="minorHAnsi" w:hAnsiTheme="minorHAnsi"/>
                <w:i/>
                <w:lang w:val="en-GB"/>
              </w:rPr>
              <w:t xml:space="preserve">-Ava (lake village). This has helped strengthen their economic empowerment. 78 women from women's groups benefited from training in the manufacture of improved stoves in the communes of </w:t>
            </w:r>
            <w:proofErr w:type="spellStart"/>
            <w:r w:rsidRPr="00606B2E">
              <w:rPr>
                <w:rFonts w:asciiTheme="minorHAnsi" w:hAnsiTheme="minorHAnsi"/>
                <w:i/>
                <w:lang w:val="en-GB"/>
              </w:rPr>
              <w:t>Sèmè</w:t>
            </w:r>
            <w:proofErr w:type="spellEnd"/>
            <w:r w:rsidRPr="00606B2E">
              <w:rPr>
                <w:rFonts w:asciiTheme="minorHAnsi" w:hAnsiTheme="minorHAnsi"/>
                <w:i/>
                <w:lang w:val="en-GB"/>
              </w:rPr>
              <w:t xml:space="preserve"> </w:t>
            </w:r>
            <w:proofErr w:type="spellStart"/>
            <w:r w:rsidRPr="00606B2E">
              <w:rPr>
                <w:rFonts w:asciiTheme="minorHAnsi" w:hAnsiTheme="minorHAnsi"/>
                <w:i/>
                <w:lang w:val="en-GB"/>
              </w:rPr>
              <w:t>Kpodji</w:t>
            </w:r>
            <w:proofErr w:type="spellEnd"/>
            <w:r w:rsidRPr="00606B2E">
              <w:rPr>
                <w:rFonts w:asciiTheme="minorHAnsi" w:hAnsiTheme="minorHAnsi"/>
                <w:i/>
                <w:lang w:val="en-GB"/>
              </w:rPr>
              <w:t xml:space="preserve">, </w:t>
            </w:r>
            <w:proofErr w:type="spellStart"/>
            <w:r w:rsidRPr="00606B2E">
              <w:rPr>
                <w:rFonts w:asciiTheme="minorHAnsi" w:hAnsiTheme="minorHAnsi"/>
                <w:i/>
                <w:lang w:val="en-GB"/>
              </w:rPr>
              <w:t>Akpro</w:t>
            </w:r>
            <w:proofErr w:type="spellEnd"/>
            <w:r w:rsidRPr="00606B2E">
              <w:rPr>
                <w:rFonts w:asciiTheme="minorHAnsi" w:hAnsiTheme="minorHAnsi"/>
                <w:i/>
                <w:lang w:val="en-GB"/>
              </w:rPr>
              <w:t xml:space="preserve"> </w:t>
            </w:r>
            <w:proofErr w:type="spellStart"/>
            <w:r w:rsidRPr="00606B2E">
              <w:rPr>
                <w:rFonts w:asciiTheme="minorHAnsi" w:hAnsiTheme="minorHAnsi"/>
                <w:i/>
                <w:lang w:val="en-GB"/>
              </w:rPr>
              <w:t>Missérété</w:t>
            </w:r>
            <w:proofErr w:type="spellEnd"/>
            <w:r w:rsidRPr="00606B2E">
              <w:rPr>
                <w:rFonts w:asciiTheme="minorHAnsi" w:hAnsiTheme="minorHAnsi"/>
                <w:i/>
                <w:lang w:val="en-GB"/>
              </w:rPr>
              <w:t xml:space="preserve">, </w:t>
            </w:r>
            <w:proofErr w:type="spellStart"/>
            <w:r w:rsidRPr="00606B2E">
              <w:rPr>
                <w:rFonts w:asciiTheme="minorHAnsi" w:hAnsiTheme="minorHAnsi"/>
                <w:i/>
                <w:lang w:val="en-GB"/>
              </w:rPr>
              <w:t>Dangbo</w:t>
            </w:r>
            <w:proofErr w:type="spellEnd"/>
            <w:r w:rsidRPr="00606B2E">
              <w:rPr>
                <w:rFonts w:asciiTheme="minorHAnsi" w:hAnsiTheme="minorHAnsi"/>
                <w:i/>
                <w:lang w:val="en-GB"/>
              </w:rPr>
              <w:t xml:space="preserve"> and </w:t>
            </w:r>
            <w:proofErr w:type="spellStart"/>
            <w:r w:rsidRPr="00606B2E">
              <w:rPr>
                <w:rFonts w:asciiTheme="minorHAnsi" w:hAnsiTheme="minorHAnsi"/>
                <w:i/>
                <w:lang w:val="en-GB"/>
              </w:rPr>
              <w:t>Zogbodomey</w:t>
            </w:r>
            <w:proofErr w:type="spellEnd"/>
            <w:r w:rsidRPr="00606B2E">
              <w:rPr>
                <w:rFonts w:asciiTheme="minorHAnsi" w:hAnsiTheme="minorHAnsi"/>
                <w:i/>
                <w:lang w:val="en-GB"/>
              </w:rPr>
              <w:t xml:space="preserve">. 2786 women sensitized on the management of floods in 10 communes of low valley of </w:t>
            </w:r>
            <w:proofErr w:type="spellStart"/>
            <w:r w:rsidRPr="00606B2E">
              <w:rPr>
                <w:rFonts w:asciiTheme="minorHAnsi" w:hAnsiTheme="minorHAnsi"/>
                <w:i/>
                <w:lang w:val="en-GB"/>
              </w:rPr>
              <w:t>Ouémé</w:t>
            </w:r>
            <w:proofErr w:type="spellEnd"/>
            <w:r w:rsidRPr="00606B2E">
              <w:rPr>
                <w:rFonts w:asciiTheme="minorHAnsi" w:hAnsiTheme="minorHAnsi"/>
                <w:i/>
                <w:lang w:val="en-GB"/>
              </w:rPr>
              <w:t>.</w:t>
            </w:r>
          </w:p>
          <w:p w:rsidR="00606B2E" w:rsidRDefault="00606B2E" w:rsidP="00606B2E">
            <w:pPr>
              <w:pStyle w:val="BodyText2"/>
              <w:ind w:left="720"/>
              <w:jc w:val="both"/>
              <w:rPr>
                <w:rFonts w:asciiTheme="minorHAnsi" w:hAnsiTheme="minorHAnsi"/>
                <w:i/>
                <w:lang w:val="en-GB"/>
              </w:rPr>
            </w:pPr>
            <w:r w:rsidRPr="00606B2E">
              <w:rPr>
                <w:rFonts w:asciiTheme="minorHAnsi" w:hAnsiTheme="minorHAnsi"/>
                <w:i/>
                <w:lang w:val="en-GB"/>
              </w:rPr>
              <w:t>The continuation of all these activities reflects the participatory approach used by UNDP. Statement of [[E9]].</w:t>
            </w:r>
          </w:p>
          <w:p w:rsidR="00606B2E" w:rsidRDefault="00606B2E" w:rsidP="00606B2E">
            <w:pPr>
              <w:pStyle w:val="BodyText2"/>
              <w:ind w:left="720"/>
              <w:jc w:val="both"/>
              <w:rPr>
                <w:rFonts w:asciiTheme="minorHAnsi" w:hAnsiTheme="minorHAnsi"/>
                <w:i/>
                <w:lang w:val="en-GB"/>
              </w:rPr>
            </w:pPr>
          </w:p>
          <w:p w:rsidR="00D066E2" w:rsidRPr="00D066E2" w:rsidRDefault="00D066E2" w:rsidP="00D066E2">
            <w:pPr>
              <w:pStyle w:val="BodyText2"/>
              <w:ind w:left="720"/>
              <w:jc w:val="both"/>
              <w:rPr>
                <w:rFonts w:asciiTheme="minorHAnsi" w:hAnsiTheme="minorHAnsi"/>
                <w:i/>
                <w:lang w:val="en-GB"/>
              </w:rPr>
            </w:pPr>
            <w:r w:rsidRPr="00D066E2">
              <w:rPr>
                <w:rFonts w:asciiTheme="minorHAnsi" w:hAnsiTheme="minorHAnsi"/>
                <w:i/>
                <w:lang w:val="en-GB"/>
              </w:rPr>
              <w:t xml:space="preserve">The populations within the framework of the PANAI Communal Coordination Committee in each commune draws up their annual adaptation plan and the NAPA I through the UNDP assists them to implement them. Women's groups, men's groups and mixed groups benefit from the project's actions. The interventions are primarily in the </w:t>
            </w:r>
            <w:proofErr w:type="spellStart"/>
            <w:r w:rsidRPr="00D066E2">
              <w:rPr>
                <w:rFonts w:asciiTheme="minorHAnsi" w:hAnsiTheme="minorHAnsi"/>
                <w:i/>
                <w:lang w:val="en-GB"/>
              </w:rPr>
              <w:t>agro</w:t>
            </w:r>
            <w:proofErr w:type="spellEnd"/>
            <w:r w:rsidRPr="00D066E2">
              <w:rPr>
                <w:rFonts w:asciiTheme="minorHAnsi" w:hAnsiTheme="minorHAnsi"/>
                <w:i/>
                <w:lang w:val="en-GB"/>
              </w:rPr>
              <w:t xml:space="preserve">-ecological zones most vulnerable to climate change, plus the 13 communes of the </w:t>
            </w:r>
            <w:proofErr w:type="spellStart"/>
            <w:r w:rsidRPr="00D066E2">
              <w:rPr>
                <w:rFonts w:asciiTheme="minorHAnsi" w:hAnsiTheme="minorHAnsi"/>
                <w:i/>
                <w:lang w:val="en-GB"/>
              </w:rPr>
              <w:t>Ouémé</w:t>
            </w:r>
            <w:proofErr w:type="spellEnd"/>
            <w:r w:rsidRPr="00D066E2">
              <w:rPr>
                <w:rFonts w:asciiTheme="minorHAnsi" w:hAnsiTheme="minorHAnsi"/>
                <w:i/>
                <w:lang w:val="en-GB"/>
              </w:rPr>
              <w:t xml:space="preserve"> valley base and the zones of the animal parks of the country. The executives and agents of the national structures (administrations, communes, NGOs) are also trained, supported and involved in the interventions.</w:t>
            </w:r>
          </w:p>
          <w:p w:rsidR="00D066E2" w:rsidRPr="00D066E2" w:rsidRDefault="00D066E2" w:rsidP="00D066E2">
            <w:pPr>
              <w:pStyle w:val="BodyText2"/>
              <w:ind w:left="720"/>
              <w:jc w:val="both"/>
              <w:rPr>
                <w:rFonts w:asciiTheme="minorHAnsi" w:hAnsiTheme="minorHAnsi"/>
                <w:i/>
                <w:lang w:val="en-GB"/>
              </w:rPr>
            </w:pPr>
            <w:r w:rsidRPr="00D066E2">
              <w:rPr>
                <w:rFonts w:asciiTheme="minorHAnsi" w:hAnsiTheme="minorHAnsi"/>
                <w:i/>
                <w:lang w:val="en-GB"/>
              </w:rPr>
              <w:t>Integrating climate change into the general state budget is a change in Benin's fiscal policies [[E01]]. The appointment of focal points, who are state agents in place of the recruited coordinators who manage the projects under the real leadership of the national</w:t>
            </w:r>
            <w:r w:rsidR="00E01067">
              <w:rPr>
                <w:rFonts w:asciiTheme="minorHAnsi" w:hAnsiTheme="minorHAnsi"/>
                <w:i/>
                <w:lang w:val="en-GB"/>
              </w:rPr>
              <w:t xml:space="preserve">.  </w:t>
            </w:r>
            <w:r w:rsidRPr="00D066E2">
              <w:rPr>
                <w:rFonts w:asciiTheme="minorHAnsi" w:hAnsiTheme="minorHAnsi"/>
                <w:i/>
                <w:lang w:val="en-GB"/>
              </w:rPr>
              <w:t xml:space="preserve">At this level, actions are geared towards women's capacity building </w:t>
            </w:r>
            <w:proofErr w:type="gramStart"/>
            <w:r w:rsidRPr="00D066E2">
              <w:rPr>
                <w:rFonts w:asciiTheme="minorHAnsi" w:hAnsiTheme="minorHAnsi"/>
                <w:i/>
                <w:lang w:val="en-GB"/>
              </w:rPr>
              <w:t>for the production of</w:t>
            </w:r>
            <w:proofErr w:type="gramEnd"/>
            <w:r w:rsidRPr="00D066E2">
              <w:rPr>
                <w:rFonts w:asciiTheme="minorHAnsi" w:hAnsiTheme="minorHAnsi"/>
                <w:i/>
                <w:lang w:val="en-GB"/>
              </w:rPr>
              <w:t xml:space="preserve"> several crops in the livestock and agriculture sectors to enable them to adapt to the effects of climate change. To this end, more than 139 women producers in the PANA1 project intervention areas (</w:t>
            </w:r>
            <w:proofErr w:type="spellStart"/>
            <w:r w:rsidRPr="00D066E2">
              <w:rPr>
                <w:rFonts w:asciiTheme="minorHAnsi" w:hAnsiTheme="minorHAnsi"/>
                <w:i/>
                <w:lang w:val="en-GB"/>
              </w:rPr>
              <w:t>Damè</w:t>
            </w:r>
            <w:proofErr w:type="spellEnd"/>
            <w:r w:rsidRPr="00D066E2">
              <w:rPr>
                <w:rFonts w:asciiTheme="minorHAnsi" w:hAnsiTheme="minorHAnsi"/>
                <w:i/>
                <w:lang w:val="en-GB"/>
              </w:rPr>
              <w:t xml:space="preserve">, </w:t>
            </w:r>
            <w:proofErr w:type="spellStart"/>
            <w:r w:rsidRPr="00D066E2">
              <w:rPr>
                <w:rFonts w:asciiTheme="minorHAnsi" w:hAnsiTheme="minorHAnsi"/>
                <w:i/>
                <w:lang w:val="en-GB"/>
              </w:rPr>
              <w:t>Bopa</w:t>
            </w:r>
            <w:proofErr w:type="spellEnd"/>
            <w:r w:rsidRPr="00D066E2">
              <w:rPr>
                <w:rFonts w:asciiTheme="minorHAnsi" w:hAnsiTheme="minorHAnsi"/>
                <w:i/>
                <w:lang w:val="en-GB"/>
              </w:rPr>
              <w:t xml:space="preserve">, </w:t>
            </w:r>
            <w:proofErr w:type="spellStart"/>
            <w:r w:rsidRPr="00D066E2">
              <w:rPr>
                <w:rFonts w:asciiTheme="minorHAnsi" w:hAnsiTheme="minorHAnsi"/>
                <w:i/>
                <w:lang w:val="en-GB"/>
              </w:rPr>
              <w:t>Sèhomi</w:t>
            </w:r>
            <w:proofErr w:type="spellEnd"/>
            <w:r w:rsidRPr="00D066E2">
              <w:rPr>
                <w:rFonts w:asciiTheme="minorHAnsi" w:hAnsiTheme="minorHAnsi"/>
                <w:i/>
                <w:lang w:val="en-GB"/>
              </w:rPr>
              <w:t xml:space="preserve">, </w:t>
            </w:r>
            <w:proofErr w:type="spellStart"/>
            <w:r w:rsidRPr="00D066E2">
              <w:rPr>
                <w:rFonts w:asciiTheme="minorHAnsi" w:hAnsiTheme="minorHAnsi"/>
                <w:i/>
                <w:lang w:val="en-GB"/>
              </w:rPr>
              <w:t>Lagbavé</w:t>
            </w:r>
            <w:proofErr w:type="spellEnd"/>
            <w:r w:rsidRPr="00D066E2">
              <w:rPr>
                <w:rFonts w:asciiTheme="minorHAnsi" w:hAnsiTheme="minorHAnsi"/>
                <w:i/>
                <w:lang w:val="en-GB"/>
              </w:rPr>
              <w:t xml:space="preserve"> </w:t>
            </w:r>
            <w:proofErr w:type="spellStart"/>
            <w:r w:rsidRPr="00D066E2">
              <w:rPr>
                <w:rFonts w:asciiTheme="minorHAnsi" w:hAnsiTheme="minorHAnsi"/>
                <w:i/>
                <w:lang w:val="en-GB"/>
              </w:rPr>
              <w:t>Ahomey-oumey</w:t>
            </w:r>
            <w:proofErr w:type="spellEnd"/>
            <w:r w:rsidRPr="00D066E2">
              <w:rPr>
                <w:rFonts w:asciiTheme="minorHAnsi" w:hAnsiTheme="minorHAnsi"/>
                <w:i/>
                <w:lang w:val="en-GB"/>
              </w:rPr>
              <w:t>,) benefited from training courses on new short-cycle production technologies (rice, soybean, corn, vegetable products). Also, about 3,150 oil palm seedlings selected on 22 ha were made available to 42 producers including 9 women. [Final evaluation PANA1 page 34 -36].</w:t>
            </w:r>
            <w:r w:rsidR="00E01067">
              <w:rPr>
                <w:rFonts w:asciiTheme="minorHAnsi" w:hAnsiTheme="minorHAnsi"/>
                <w:i/>
                <w:lang w:val="en-GB"/>
              </w:rPr>
              <w:t xml:space="preserve"> </w:t>
            </w:r>
            <w:r w:rsidRPr="00D066E2">
              <w:rPr>
                <w:rFonts w:asciiTheme="minorHAnsi" w:hAnsiTheme="minorHAnsi"/>
                <w:i/>
                <w:lang w:val="en-GB"/>
              </w:rPr>
              <w:t xml:space="preserve">At the level of livestock, including poultry farming, women received training on the techniques of driving a poultry farm and obtained support each in 100 breeding cocks. In fish farming, for example, there were 22 women strengthened in </w:t>
            </w:r>
            <w:proofErr w:type="spellStart"/>
            <w:r w:rsidRPr="00D066E2">
              <w:rPr>
                <w:rFonts w:asciiTheme="minorHAnsi" w:hAnsiTheme="minorHAnsi"/>
                <w:i/>
                <w:lang w:val="en-GB"/>
              </w:rPr>
              <w:t>Sô</w:t>
            </w:r>
            <w:proofErr w:type="spellEnd"/>
            <w:r w:rsidRPr="00D066E2">
              <w:rPr>
                <w:rFonts w:asciiTheme="minorHAnsi" w:hAnsiTheme="minorHAnsi"/>
                <w:i/>
                <w:lang w:val="en-GB"/>
              </w:rPr>
              <w:t>-Ava (lacustrine village). This allows them to strengthen their economic empowerment</w:t>
            </w:r>
          </w:p>
          <w:p w:rsidR="00D066E2" w:rsidRDefault="00D066E2" w:rsidP="00D066E2">
            <w:pPr>
              <w:pStyle w:val="BodyText2"/>
              <w:ind w:left="720"/>
              <w:jc w:val="both"/>
              <w:rPr>
                <w:rFonts w:asciiTheme="minorHAnsi" w:hAnsiTheme="minorHAnsi"/>
                <w:i/>
                <w:lang w:val="en-GB"/>
              </w:rPr>
            </w:pPr>
            <w:proofErr w:type="gramStart"/>
            <w:r w:rsidRPr="00D066E2">
              <w:rPr>
                <w:rFonts w:asciiTheme="minorHAnsi" w:hAnsiTheme="minorHAnsi"/>
                <w:i/>
                <w:lang w:val="en-GB"/>
              </w:rPr>
              <w:lastRenderedPageBreak/>
              <w:t>In order to</w:t>
            </w:r>
            <w:proofErr w:type="gramEnd"/>
            <w:r w:rsidRPr="00D066E2">
              <w:rPr>
                <w:rFonts w:asciiTheme="minorHAnsi" w:hAnsiTheme="minorHAnsi"/>
                <w:i/>
                <w:lang w:val="en-GB"/>
              </w:rPr>
              <w:t xml:space="preserve"> enable women to contribute to the protection of natural resources, 78 women from women's groups have benefited from training in improved stove making techniques in </w:t>
            </w:r>
            <w:proofErr w:type="spellStart"/>
            <w:r w:rsidRPr="00D066E2">
              <w:rPr>
                <w:rFonts w:asciiTheme="minorHAnsi" w:hAnsiTheme="minorHAnsi"/>
                <w:i/>
                <w:lang w:val="en-GB"/>
              </w:rPr>
              <w:t>Sèmè-Kpodji</w:t>
            </w:r>
            <w:proofErr w:type="spellEnd"/>
            <w:r w:rsidRPr="00D066E2">
              <w:rPr>
                <w:rFonts w:asciiTheme="minorHAnsi" w:hAnsiTheme="minorHAnsi"/>
                <w:i/>
                <w:lang w:val="en-GB"/>
              </w:rPr>
              <w:t xml:space="preserve">, </w:t>
            </w:r>
            <w:proofErr w:type="spellStart"/>
            <w:r w:rsidRPr="00D066E2">
              <w:rPr>
                <w:rFonts w:asciiTheme="minorHAnsi" w:hAnsiTheme="minorHAnsi"/>
                <w:i/>
                <w:lang w:val="en-GB"/>
              </w:rPr>
              <w:t>Akpro-Missérété</w:t>
            </w:r>
            <w:proofErr w:type="spellEnd"/>
            <w:r w:rsidRPr="00D066E2">
              <w:rPr>
                <w:rFonts w:asciiTheme="minorHAnsi" w:hAnsiTheme="minorHAnsi"/>
                <w:i/>
                <w:lang w:val="en-GB"/>
              </w:rPr>
              <w:t xml:space="preserve">, </w:t>
            </w:r>
            <w:proofErr w:type="spellStart"/>
            <w:r w:rsidRPr="00D066E2">
              <w:rPr>
                <w:rFonts w:asciiTheme="minorHAnsi" w:hAnsiTheme="minorHAnsi"/>
                <w:i/>
                <w:lang w:val="en-GB"/>
              </w:rPr>
              <w:t>Dangbo</w:t>
            </w:r>
            <w:proofErr w:type="spellEnd"/>
            <w:r w:rsidRPr="00D066E2">
              <w:rPr>
                <w:rFonts w:asciiTheme="minorHAnsi" w:hAnsiTheme="minorHAnsi"/>
                <w:i/>
                <w:lang w:val="en-GB"/>
              </w:rPr>
              <w:t xml:space="preserve"> and </w:t>
            </w:r>
            <w:proofErr w:type="spellStart"/>
            <w:r w:rsidRPr="00D066E2">
              <w:rPr>
                <w:rFonts w:asciiTheme="minorHAnsi" w:hAnsiTheme="minorHAnsi"/>
                <w:i/>
                <w:lang w:val="en-GB"/>
              </w:rPr>
              <w:t>Zogbodomey</w:t>
            </w:r>
            <w:proofErr w:type="spellEnd"/>
            <w:r w:rsidRPr="00D066E2">
              <w:rPr>
                <w:rFonts w:asciiTheme="minorHAnsi" w:hAnsiTheme="minorHAnsi"/>
                <w:i/>
                <w:lang w:val="en-GB"/>
              </w:rPr>
              <w:t xml:space="preserve"> communes [Training report on improved stoves</w:t>
            </w:r>
          </w:p>
          <w:p w:rsidR="000A3305" w:rsidRPr="00A735E4" w:rsidRDefault="000A3305" w:rsidP="00E01067">
            <w:pPr>
              <w:pStyle w:val="BodyText2"/>
              <w:ind w:left="720"/>
              <w:jc w:val="both"/>
              <w:rPr>
                <w:rFonts w:asciiTheme="minorHAnsi" w:hAnsiTheme="minorHAnsi"/>
                <w:i/>
                <w:lang w:val="en-GB"/>
              </w:rPr>
            </w:pPr>
          </w:p>
        </w:tc>
      </w:tr>
      <w:tr w:rsidR="005F2E08" w:rsidRPr="00F01FDE" w:rsidTr="004C4CF9">
        <w:tc>
          <w:tcPr>
            <w:tcW w:w="14040" w:type="dxa"/>
            <w:gridSpan w:val="5"/>
          </w:tcPr>
          <w:p w:rsidR="005F2E08" w:rsidRPr="00845340" w:rsidRDefault="005F2E08" w:rsidP="008D4556">
            <w:pPr>
              <w:pStyle w:val="BodyText2"/>
              <w:jc w:val="center"/>
              <w:rPr>
                <w:rFonts w:asciiTheme="minorHAnsi" w:hAnsiTheme="minorHAnsi"/>
                <w:b/>
              </w:rPr>
            </w:pPr>
          </w:p>
        </w:tc>
      </w:tr>
      <w:tr w:rsidR="009E7526" w:rsidRPr="00F01FDE" w:rsidTr="004C4CF9">
        <w:tc>
          <w:tcPr>
            <w:tcW w:w="14040" w:type="dxa"/>
            <w:gridSpan w:val="5"/>
          </w:tcPr>
          <w:p w:rsidR="009E7526" w:rsidRPr="00845340" w:rsidRDefault="009E7526" w:rsidP="009E7526">
            <w:pPr>
              <w:rPr>
                <w:rFonts w:asciiTheme="minorHAnsi" w:hAnsiTheme="minorHAnsi"/>
                <w:sz w:val="20"/>
                <w:u w:val="single"/>
              </w:rPr>
            </w:pPr>
            <w:r w:rsidRPr="00845340">
              <w:rPr>
                <w:rFonts w:asciiTheme="minorHAnsi" w:hAnsiTheme="minorHAnsi"/>
                <w:sz w:val="20"/>
                <w:u w:val="single"/>
              </w:rPr>
              <w:t>Summary of evaluation</w:t>
            </w:r>
            <w:r w:rsidR="00674B1A">
              <w:rPr>
                <w:rFonts w:asciiTheme="minorHAnsi" w:hAnsiTheme="minorHAnsi"/>
                <w:sz w:val="20"/>
                <w:u w:val="single"/>
              </w:rPr>
              <w:t xml:space="preserve"> finding</w:t>
            </w:r>
            <w:r w:rsidRPr="00845340">
              <w:rPr>
                <w:rFonts w:asciiTheme="minorHAnsi" w:hAnsiTheme="minorHAnsi"/>
                <w:sz w:val="20"/>
                <w:u w:val="single"/>
              </w:rPr>
              <w:t>s (</w:t>
            </w:r>
            <w:r w:rsidR="008F0A97" w:rsidRPr="00845340">
              <w:rPr>
                <w:rFonts w:asciiTheme="minorHAnsi" w:hAnsiTheme="minorHAnsi"/>
                <w:sz w:val="20"/>
                <w:u w:val="single"/>
              </w:rPr>
              <w:t xml:space="preserve">e.g. from outcome and project evaluations, UNDAF </w:t>
            </w:r>
            <w:r w:rsidRPr="00845340">
              <w:rPr>
                <w:rFonts w:asciiTheme="minorHAnsi" w:hAnsiTheme="minorHAnsi"/>
                <w:sz w:val="20"/>
                <w:u w:val="single"/>
              </w:rPr>
              <w:t xml:space="preserve">reviews, </w:t>
            </w:r>
            <w:r w:rsidR="008F0A97" w:rsidRPr="00845340">
              <w:rPr>
                <w:rFonts w:asciiTheme="minorHAnsi" w:hAnsiTheme="minorHAnsi"/>
                <w:sz w:val="20"/>
                <w:u w:val="single"/>
              </w:rPr>
              <w:t xml:space="preserve">and other </w:t>
            </w:r>
            <w:r w:rsidRPr="00845340">
              <w:rPr>
                <w:rFonts w:asciiTheme="minorHAnsi" w:hAnsiTheme="minorHAnsi"/>
                <w:sz w:val="20"/>
                <w:u w:val="single"/>
              </w:rPr>
              <w:t>assessments)</w:t>
            </w:r>
          </w:p>
          <w:p w:rsidR="00674B1A" w:rsidRDefault="00674B1A" w:rsidP="009E7526">
            <w:pPr>
              <w:jc w:val="both"/>
              <w:rPr>
                <w:rFonts w:asciiTheme="minorHAnsi" w:hAnsiTheme="minorHAnsi"/>
                <w:sz w:val="20"/>
              </w:rPr>
            </w:pPr>
          </w:p>
          <w:p w:rsidR="009E7526" w:rsidRDefault="009E7526" w:rsidP="004C4CF9">
            <w:pPr>
              <w:jc w:val="both"/>
              <w:rPr>
                <w:rFonts w:asciiTheme="minorHAnsi" w:hAnsiTheme="minorHAnsi"/>
                <w:sz w:val="20"/>
              </w:rPr>
            </w:pPr>
            <w:r w:rsidRPr="00674B1A">
              <w:rPr>
                <w:rFonts w:asciiTheme="minorHAnsi" w:hAnsiTheme="minorHAnsi"/>
                <w:sz w:val="20"/>
                <w:u w:val="single"/>
              </w:rPr>
              <w:t>Key Achievements</w:t>
            </w:r>
            <w:r w:rsidR="005F6261" w:rsidRPr="00845340">
              <w:rPr>
                <w:rFonts w:asciiTheme="minorHAnsi" w:hAnsiTheme="minorHAnsi"/>
                <w:sz w:val="20"/>
              </w:rPr>
              <w:t>:</w:t>
            </w:r>
            <w:r w:rsidR="00733E6A">
              <w:rPr>
                <w:rFonts w:asciiTheme="minorHAnsi" w:hAnsiTheme="minorHAnsi"/>
                <w:sz w:val="20"/>
              </w:rPr>
              <w:t xml:space="preserve"> </w:t>
            </w:r>
          </w:p>
          <w:p w:rsidR="00733E6A" w:rsidRPr="00AB4D93" w:rsidRDefault="00492C65" w:rsidP="004C4CF9">
            <w:pPr>
              <w:jc w:val="both"/>
              <w:rPr>
                <w:rFonts w:asciiTheme="minorHAnsi" w:hAnsiTheme="minorHAnsi"/>
                <w:i/>
                <w:sz w:val="20"/>
              </w:rPr>
            </w:pPr>
            <w:r>
              <w:rPr>
                <w:rFonts w:asciiTheme="minorHAnsi" w:hAnsiTheme="minorHAnsi"/>
                <w:i/>
                <w:sz w:val="20"/>
              </w:rPr>
              <w:t xml:space="preserve">CPD outcomes evaluation </w:t>
            </w:r>
            <w:r w:rsidR="00733E6A" w:rsidRPr="00AB4D93">
              <w:rPr>
                <w:rFonts w:asciiTheme="minorHAnsi" w:hAnsiTheme="minorHAnsi"/>
                <w:i/>
                <w:sz w:val="20"/>
              </w:rPr>
              <w:t xml:space="preserve">under the Country </w:t>
            </w:r>
            <w:proofErr w:type="spellStart"/>
            <w:r w:rsidR="00733E6A" w:rsidRPr="00AB4D93">
              <w:rPr>
                <w:rFonts w:asciiTheme="minorHAnsi" w:hAnsiTheme="minorHAnsi"/>
                <w:i/>
                <w:sz w:val="20"/>
              </w:rPr>
              <w:t>Programme</w:t>
            </w:r>
            <w:proofErr w:type="spellEnd"/>
            <w:r w:rsidR="00733E6A" w:rsidRPr="00AB4D93">
              <w:rPr>
                <w:rFonts w:asciiTheme="minorHAnsi" w:hAnsiTheme="minorHAnsi"/>
                <w:i/>
                <w:sz w:val="20"/>
              </w:rPr>
              <w:t xml:space="preserve"> 2014 -201</w:t>
            </w:r>
            <w:r>
              <w:rPr>
                <w:rFonts w:asciiTheme="minorHAnsi" w:hAnsiTheme="minorHAnsi"/>
                <w:i/>
                <w:sz w:val="20"/>
              </w:rPr>
              <w:t>8</w:t>
            </w:r>
            <w:r w:rsidR="00733E6A" w:rsidRPr="00AB4D93">
              <w:rPr>
                <w:rFonts w:asciiTheme="minorHAnsi" w:hAnsiTheme="minorHAnsi"/>
                <w:i/>
                <w:sz w:val="20"/>
              </w:rPr>
              <w:t>,</w:t>
            </w:r>
            <w:r w:rsidR="00733E6A" w:rsidRPr="00AB4D93">
              <w:rPr>
                <w:rFonts w:asciiTheme="minorHAnsi" w:hAnsiTheme="minorHAnsi"/>
                <w:i/>
                <w:sz w:val="20"/>
                <w:vertAlign w:val="superscript"/>
              </w:rPr>
              <w:t xml:space="preserve"> </w:t>
            </w:r>
            <w:r w:rsidR="00733E6A" w:rsidRPr="00AB4D93">
              <w:rPr>
                <w:rFonts w:asciiTheme="minorHAnsi" w:hAnsiTheme="minorHAnsi"/>
                <w:i/>
                <w:sz w:val="20"/>
              </w:rPr>
              <w:t xml:space="preserve">noted that </w:t>
            </w:r>
            <w:r w:rsidR="00733E6A" w:rsidRPr="00AB4D93">
              <w:rPr>
                <w:rFonts w:asciiTheme="minorHAnsi" w:hAnsiTheme="minorHAnsi"/>
                <w:i/>
                <w:sz w:val="20"/>
                <w:lang w:val="en-GB"/>
              </w:rPr>
              <w:t>UNDP in partnership with the Government has made significant contributions to the advancement of national frameworks for</w:t>
            </w:r>
            <w:r w:rsidR="00010246">
              <w:rPr>
                <w:rFonts w:asciiTheme="minorHAnsi" w:hAnsiTheme="minorHAnsi"/>
                <w:i/>
                <w:sz w:val="20"/>
                <w:lang w:val="en-GB"/>
              </w:rPr>
              <w:t xml:space="preserve"> planning, budgeting, programming and evaluation, on MDG and SDG Agenda promotion, on </w:t>
            </w:r>
            <w:r>
              <w:rPr>
                <w:rFonts w:asciiTheme="minorHAnsi" w:hAnsiTheme="minorHAnsi"/>
                <w:i/>
                <w:sz w:val="20"/>
                <w:lang w:val="en-GB"/>
              </w:rPr>
              <w:t xml:space="preserve">administrative governance, </w:t>
            </w:r>
            <w:proofErr w:type="gramStart"/>
            <w:r>
              <w:rPr>
                <w:rFonts w:asciiTheme="minorHAnsi" w:hAnsiTheme="minorHAnsi"/>
                <w:i/>
                <w:sz w:val="20"/>
                <w:lang w:val="en-GB"/>
              </w:rPr>
              <w:t xml:space="preserve">on </w:t>
            </w:r>
            <w:r w:rsidR="00733E6A" w:rsidRPr="00AB4D93">
              <w:rPr>
                <w:rFonts w:asciiTheme="minorHAnsi" w:hAnsiTheme="minorHAnsi"/>
                <w:i/>
                <w:sz w:val="20"/>
                <w:lang w:val="en-GB"/>
              </w:rPr>
              <w:t xml:space="preserve"> environmental</w:t>
            </w:r>
            <w:proofErr w:type="gramEnd"/>
            <w:r w:rsidR="00733E6A" w:rsidRPr="00AB4D93">
              <w:rPr>
                <w:rFonts w:asciiTheme="minorHAnsi" w:hAnsiTheme="minorHAnsi"/>
                <w:i/>
                <w:sz w:val="20"/>
                <w:lang w:val="en-GB"/>
              </w:rPr>
              <w:t xml:space="preserve"> management, climate risk and disaster management,</w:t>
            </w:r>
            <w:r w:rsidR="00733E6A" w:rsidRPr="00AB4D93">
              <w:rPr>
                <w:rFonts w:asciiTheme="minorHAnsi" w:hAnsiTheme="minorHAnsi"/>
                <w:i/>
                <w:sz w:val="20"/>
              </w:rPr>
              <w:t xml:space="preserve"> elections, </w:t>
            </w:r>
            <w:r w:rsidR="00733E6A" w:rsidRPr="00AB4D93">
              <w:rPr>
                <w:rFonts w:asciiTheme="minorHAnsi" w:hAnsiTheme="minorHAnsi"/>
                <w:i/>
                <w:sz w:val="20"/>
                <w:lang w:val="en-GB"/>
              </w:rPr>
              <w:t xml:space="preserve">anti-corruption and the legislature. </w:t>
            </w:r>
            <w:r w:rsidR="00733E6A" w:rsidRPr="00AB4D93">
              <w:rPr>
                <w:rFonts w:asciiTheme="minorHAnsi" w:hAnsiTheme="minorHAnsi"/>
                <w:i/>
                <w:sz w:val="20"/>
              </w:rPr>
              <w:t xml:space="preserve">The evaluations recommended the need to focus </w:t>
            </w:r>
            <w:proofErr w:type="spellStart"/>
            <w:r w:rsidR="00733E6A" w:rsidRPr="00AB4D93">
              <w:rPr>
                <w:rFonts w:asciiTheme="minorHAnsi" w:hAnsiTheme="minorHAnsi"/>
                <w:i/>
                <w:sz w:val="20"/>
              </w:rPr>
              <w:t>programmes</w:t>
            </w:r>
            <w:proofErr w:type="spellEnd"/>
            <w:r w:rsidR="00733E6A" w:rsidRPr="00AB4D93">
              <w:rPr>
                <w:rFonts w:asciiTheme="minorHAnsi" w:hAnsiTheme="minorHAnsi"/>
                <w:i/>
                <w:sz w:val="20"/>
              </w:rPr>
              <w:t xml:space="preserve"> in targeted </w:t>
            </w:r>
            <w:r>
              <w:rPr>
                <w:rFonts w:asciiTheme="minorHAnsi" w:hAnsiTheme="minorHAnsi"/>
                <w:i/>
                <w:sz w:val="20"/>
              </w:rPr>
              <w:t xml:space="preserve">fields and/or </w:t>
            </w:r>
            <w:r w:rsidR="00733E6A" w:rsidRPr="00AB4D93">
              <w:rPr>
                <w:rFonts w:asciiTheme="minorHAnsi" w:hAnsiTheme="minorHAnsi"/>
                <w:i/>
                <w:sz w:val="20"/>
              </w:rPr>
              <w:t>geographical areas, increase</w:t>
            </w:r>
            <w:r>
              <w:rPr>
                <w:rFonts w:asciiTheme="minorHAnsi" w:hAnsiTheme="minorHAnsi"/>
                <w:i/>
                <w:sz w:val="20"/>
              </w:rPr>
              <w:t xml:space="preserve"> and diversify</w:t>
            </w:r>
            <w:r w:rsidR="00733E6A" w:rsidRPr="00AB4D93">
              <w:rPr>
                <w:rFonts w:asciiTheme="minorHAnsi" w:hAnsiTheme="minorHAnsi"/>
                <w:i/>
                <w:sz w:val="20"/>
              </w:rPr>
              <w:t xml:space="preserve"> resource mobilization to maintain and improve data availability and strengthen operational capacity of implementing partners</w:t>
            </w:r>
            <w:r>
              <w:rPr>
                <w:rFonts w:asciiTheme="minorHAnsi" w:hAnsiTheme="minorHAnsi"/>
                <w:i/>
                <w:sz w:val="20"/>
              </w:rPr>
              <w:t xml:space="preserve"> and improve exit project strategies.</w:t>
            </w:r>
          </w:p>
          <w:p w:rsidR="00733E6A" w:rsidRPr="00845340" w:rsidRDefault="00733E6A" w:rsidP="004C4CF9">
            <w:pPr>
              <w:jc w:val="both"/>
              <w:rPr>
                <w:rFonts w:asciiTheme="minorHAnsi" w:hAnsiTheme="minorHAnsi"/>
                <w:sz w:val="20"/>
              </w:rPr>
            </w:pPr>
          </w:p>
          <w:p w:rsidR="009E7526" w:rsidRPr="00AB4D93" w:rsidRDefault="009E7526" w:rsidP="004C4CF9">
            <w:pPr>
              <w:pStyle w:val="BodyText2"/>
              <w:jc w:val="both"/>
              <w:rPr>
                <w:rFonts w:asciiTheme="minorHAnsi" w:hAnsiTheme="minorHAnsi"/>
              </w:rPr>
            </w:pPr>
            <w:r w:rsidRPr="00AB4D93">
              <w:rPr>
                <w:rFonts w:asciiTheme="minorHAnsi" w:hAnsiTheme="minorHAnsi"/>
                <w:u w:val="single"/>
              </w:rPr>
              <w:t>Major Lessons Learnt</w:t>
            </w:r>
            <w:r w:rsidR="005F6261" w:rsidRPr="00AB4D93">
              <w:rPr>
                <w:rFonts w:asciiTheme="minorHAnsi" w:hAnsiTheme="minorHAnsi"/>
              </w:rPr>
              <w:t>:</w:t>
            </w:r>
          </w:p>
          <w:p w:rsidR="00BC735B" w:rsidRDefault="00B76707" w:rsidP="004C4CF9">
            <w:pPr>
              <w:pStyle w:val="BodyText2"/>
              <w:jc w:val="both"/>
              <w:rPr>
                <w:rFonts w:asciiTheme="minorHAnsi" w:hAnsiTheme="minorHAnsi"/>
                <w:i/>
              </w:rPr>
            </w:pPr>
            <w:r>
              <w:rPr>
                <w:rFonts w:asciiTheme="minorHAnsi" w:hAnsiTheme="minorHAnsi"/>
                <w:i/>
              </w:rPr>
              <w:t xml:space="preserve">The relevance of </w:t>
            </w:r>
            <w:proofErr w:type="spellStart"/>
            <w:r w:rsidR="00010246">
              <w:rPr>
                <w:rFonts w:asciiTheme="minorHAnsi" w:hAnsiTheme="minorHAnsi"/>
                <w:i/>
              </w:rPr>
              <w:t>UNDP</w:t>
            </w:r>
            <w:r>
              <w:rPr>
                <w:rFonts w:asciiTheme="minorHAnsi" w:hAnsiTheme="minorHAnsi"/>
                <w:i/>
              </w:rPr>
              <w:t>’s</w:t>
            </w:r>
            <w:r w:rsidRPr="00BC735B">
              <w:rPr>
                <w:rFonts w:asciiTheme="minorHAnsi" w:hAnsiTheme="minorHAnsi"/>
                <w:i/>
              </w:rPr>
              <w:t>support</w:t>
            </w:r>
            <w:proofErr w:type="spellEnd"/>
            <w:r>
              <w:rPr>
                <w:rFonts w:asciiTheme="minorHAnsi" w:hAnsiTheme="minorHAnsi"/>
                <w:i/>
              </w:rPr>
              <w:t xml:space="preserve"> to the development of Benin is</w:t>
            </w:r>
            <w:r w:rsidRPr="00BC735B">
              <w:rPr>
                <w:rFonts w:asciiTheme="minorHAnsi" w:hAnsiTheme="minorHAnsi"/>
                <w:i/>
              </w:rPr>
              <w:t xml:space="preserve"> </w:t>
            </w:r>
            <w:r w:rsidR="00BC735B" w:rsidRPr="00BC735B">
              <w:rPr>
                <w:rFonts w:asciiTheme="minorHAnsi" w:hAnsiTheme="minorHAnsi"/>
                <w:i/>
              </w:rPr>
              <w:t>recognize</w:t>
            </w:r>
            <w:r>
              <w:rPr>
                <w:rFonts w:asciiTheme="minorHAnsi" w:hAnsiTheme="minorHAnsi"/>
                <w:i/>
              </w:rPr>
              <w:t>d</w:t>
            </w:r>
            <w:r w:rsidR="00BC735B" w:rsidRPr="00BC735B">
              <w:rPr>
                <w:rFonts w:asciiTheme="minorHAnsi" w:hAnsiTheme="minorHAnsi"/>
                <w:i/>
              </w:rPr>
              <w:t xml:space="preserve"> by </w:t>
            </w:r>
            <w:r>
              <w:rPr>
                <w:rFonts w:asciiTheme="minorHAnsi" w:hAnsiTheme="minorHAnsi"/>
                <w:i/>
              </w:rPr>
              <w:t xml:space="preserve">the </w:t>
            </w:r>
            <w:r w:rsidR="00BC735B" w:rsidRPr="00BC735B">
              <w:rPr>
                <w:rFonts w:asciiTheme="minorHAnsi" w:hAnsiTheme="minorHAnsi"/>
                <w:i/>
              </w:rPr>
              <w:t>Government and respective Implementing Partners</w:t>
            </w:r>
            <w:r>
              <w:rPr>
                <w:rFonts w:asciiTheme="minorHAnsi" w:hAnsiTheme="minorHAnsi"/>
                <w:i/>
              </w:rPr>
              <w:t xml:space="preserve">. UNDP is </w:t>
            </w:r>
            <w:r w:rsidR="00EF38B7">
              <w:rPr>
                <w:rFonts w:asciiTheme="minorHAnsi" w:hAnsiTheme="minorHAnsi"/>
                <w:i/>
              </w:rPr>
              <w:t xml:space="preserve">regarded </w:t>
            </w:r>
            <w:r w:rsidR="00010246">
              <w:rPr>
                <w:rFonts w:asciiTheme="minorHAnsi" w:hAnsiTheme="minorHAnsi"/>
                <w:i/>
              </w:rPr>
              <w:t>as a credible</w:t>
            </w:r>
            <w:r>
              <w:rPr>
                <w:rFonts w:asciiTheme="minorHAnsi" w:hAnsiTheme="minorHAnsi"/>
                <w:i/>
              </w:rPr>
              <w:t xml:space="preserve">, effective </w:t>
            </w:r>
            <w:r w:rsidR="00010246">
              <w:rPr>
                <w:rFonts w:asciiTheme="minorHAnsi" w:hAnsiTheme="minorHAnsi"/>
                <w:i/>
              </w:rPr>
              <w:t xml:space="preserve">and </w:t>
            </w:r>
            <w:r>
              <w:rPr>
                <w:rFonts w:asciiTheme="minorHAnsi" w:hAnsiTheme="minorHAnsi"/>
                <w:i/>
              </w:rPr>
              <w:t xml:space="preserve">reliable development partner </w:t>
            </w:r>
            <w:r w:rsidR="00010246">
              <w:rPr>
                <w:rFonts w:asciiTheme="minorHAnsi" w:hAnsiTheme="minorHAnsi"/>
                <w:i/>
              </w:rPr>
              <w:t xml:space="preserve">supporting Benin development </w:t>
            </w:r>
            <w:r>
              <w:rPr>
                <w:rFonts w:asciiTheme="minorHAnsi" w:hAnsiTheme="minorHAnsi"/>
                <w:i/>
              </w:rPr>
              <w:t xml:space="preserve">in its </w:t>
            </w:r>
            <w:proofErr w:type="spellStart"/>
            <w:r w:rsidR="00010246">
              <w:rPr>
                <w:rFonts w:asciiTheme="minorHAnsi" w:hAnsiTheme="minorHAnsi"/>
                <w:i/>
              </w:rPr>
              <w:t>fightagainst</w:t>
            </w:r>
            <w:proofErr w:type="spellEnd"/>
            <w:r w:rsidR="00010246">
              <w:rPr>
                <w:rFonts w:asciiTheme="minorHAnsi" w:hAnsiTheme="minorHAnsi"/>
                <w:i/>
              </w:rPr>
              <w:t xml:space="preserve"> poverty and </w:t>
            </w:r>
            <w:r w:rsidR="00492C65">
              <w:rPr>
                <w:rFonts w:asciiTheme="minorHAnsi" w:hAnsiTheme="minorHAnsi"/>
                <w:i/>
              </w:rPr>
              <w:t>inequality.</w:t>
            </w:r>
            <w:r w:rsidR="00BC735B">
              <w:rPr>
                <w:rFonts w:asciiTheme="minorHAnsi" w:hAnsiTheme="minorHAnsi"/>
                <w:i/>
              </w:rPr>
              <w:t xml:space="preserve"> There were</w:t>
            </w:r>
            <w:r w:rsidR="00AB4D93" w:rsidRPr="00AB4D93">
              <w:rPr>
                <w:rFonts w:asciiTheme="minorHAnsi" w:hAnsiTheme="minorHAnsi"/>
                <w:i/>
              </w:rPr>
              <w:t xml:space="preserve"> both economic and social challenges that impacted on successful implementation of this country </w:t>
            </w:r>
            <w:proofErr w:type="spellStart"/>
            <w:r w:rsidR="00AB4D93" w:rsidRPr="00AB4D93">
              <w:rPr>
                <w:rFonts w:asciiTheme="minorHAnsi" w:hAnsiTheme="minorHAnsi"/>
                <w:i/>
              </w:rPr>
              <w:t>programme</w:t>
            </w:r>
            <w:proofErr w:type="spellEnd"/>
            <w:r w:rsidR="00AB4D93" w:rsidRPr="00AB4D93">
              <w:rPr>
                <w:rFonts w:asciiTheme="minorHAnsi" w:hAnsiTheme="minorHAnsi"/>
                <w:i/>
              </w:rPr>
              <w:t xml:space="preserve"> c</w:t>
            </w:r>
            <w:r w:rsidR="00010246">
              <w:rPr>
                <w:rFonts w:asciiTheme="minorHAnsi" w:hAnsiTheme="minorHAnsi"/>
                <w:i/>
              </w:rPr>
              <w:t>ycle. These include: (a) the 20</w:t>
            </w:r>
            <w:r w:rsidR="00492C65">
              <w:rPr>
                <w:rFonts w:asciiTheme="minorHAnsi" w:hAnsiTheme="minorHAnsi"/>
                <w:i/>
              </w:rPr>
              <w:t>1</w:t>
            </w:r>
            <w:r w:rsidR="00010246">
              <w:rPr>
                <w:rFonts w:asciiTheme="minorHAnsi" w:hAnsiTheme="minorHAnsi"/>
                <w:i/>
              </w:rPr>
              <w:t>4 to 2016</w:t>
            </w:r>
            <w:r w:rsidR="00AB4D93" w:rsidRPr="00AB4D93">
              <w:rPr>
                <w:rFonts w:asciiTheme="minorHAnsi" w:hAnsiTheme="minorHAnsi"/>
                <w:i/>
              </w:rPr>
              <w:t xml:space="preserve"> economic recession</w:t>
            </w:r>
            <w:r w:rsidR="00010246">
              <w:rPr>
                <w:rFonts w:asciiTheme="minorHAnsi" w:hAnsiTheme="minorHAnsi"/>
                <w:i/>
              </w:rPr>
              <w:t xml:space="preserve"> due to recession in Nigeria</w:t>
            </w:r>
            <w:r w:rsidR="00AB4D93" w:rsidRPr="00AB4D93">
              <w:rPr>
                <w:rFonts w:asciiTheme="minorHAnsi" w:hAnsiTheme="minorHAnsi"/>
                <w:i/>
              </w:rPr>
              <w:t xml:space="preserve">, (b) limited capacity of Government and national stakeholders to implement </w:t>
            </w:r>
            <w:proofErr w:type="spellStart"/>
            <w:r w:rsidR="00AB4D93" w:rsidRPr="00AB4D93">
              <w:rPr>
                <w:rFonts w:asciiTheme="minorHAnsi" w:hAnsiTheme="minorHAnsi"/>
                <w:i/>
              </w:rPr>
              <w:t>programme</w:t>
            </w:r>
            <w:proofErr w:type="spellEnd"/>
            <w:r w:rsidR="00AB4D93" w:rsidRPr="00AB4D93">
              <w:rPr>
                <w:rFonts w:asciiTheme="minorHAnsi" w:hAnsiTheme="minorHAnsi"/>
                <w:i/>
              </w:rPr>
              <w:t xml:space="preserve">, </w:t>
            </w:r>
            <w:r w:rsidR="00492C65">
              <w:rPr>
                <w:rFonts w:asciiTheme="minorHAnsi" w:hAnsiTheme="minorHAnsi"/>
                <w:i/>
              </w:rPr>
              <w:t xml:space="preserve">(c) </w:t>
            </w:r>
            <w:r w:rsidR="00EF38B7">
              <w:rPr>
                <w:rFonts w:asciiTheme="minorHAnsi" w:hAnsiTheme="minorHAnsi"/>
                <w:i/>
              </w:rPr>
              <w:t xml:space="preserve">unpredictable </w:t>
            </w:r>
            <w:r w:rsidR="00492C65">
              <w:rPr>
                <w:rFonts w:asciiTheme="minorHAnsi" w:hAnsiTheme="minorHAnsi"/>
                <w:i/>
              </w:rPr>
              <w:t>cost-sharing resources mobilization, (d) insufficient inclusive growth with regards to high demographic rates and, (e</w:t>
            </w:r>
            <w:r w:rsidR="00AB4D93" w:rsidRPr="00AB4D93">
              <w:rPr>
                <w:rFonts w:asciiTheme="minorHAnsi" w:hAnsiTheme="minorHAnsi"/>
                <w:i/>
              </w:rPr>
              <w:t xml:space="preserve">) challenges faced by </w:t>
            </w:r>
            <w:r w:rsidR="00492C65">
              <w:rPr>
                <w:rFonts w:asciiTheme="minorHAnsi" w:hAnsiTheme="minorHAnsi"/>
                <w:i/>
              </w:rPr>
              <w:t>each</w:t>
            </w:r>
            <w:r w:rsidR="00AB4D93" w:rsidRPr="00AB4D93">
              <w:rPr>
                <w:rFonts w:asciiTheme="minorHAnsi" w:hAnsiTheme="minorHAnsi"/>
                <w:i/>
              </w:rPr>
              <w:t xml:space="preserve"> new administ</w:t>
            </w:r>
            <w:r w:rsidR="00492C65">
              <w:rPr>
                <w:rFonts w:asciiTheme="minorHAnsi" w:hAnsiTheme="minorHAnsi"/>
                <w:i/>
              </w:rPr>
              <w:t xml:space="preserve">ration that took over after the </w:t>
            </w:r>
            <w:r w:rsidR="007732DB">
              <w:rPr>
                <w:rFonts w:asciiTheme="minorHAnsi" w:hAnsiTheme="minorHAnsi"/>
                <w:i/>
              </w:rPr>
              <w:t xml:space="preserve">different </w:t>
            </w:r>
            <w:r w:rsidR="007732DB" w:rsidRPr="00AB4D93">
              <w:rPr>
                <w:rFonts w:asciiTheme="minorHAnsi" w:hAnsiTheme="minorHAnsi"/>
                <w:i/>
              </w:rPr>
              <w:t>elections</w:t>
            </w:r>
            <w:r w:rsidR="00BC735B">
              <w:rPr>
                <w:rFonts w:asciiTheme="minorHAnsi" w:hAnsiTheme="minorHAnsi"/>
                <w:i/>
              </w:rPr>
              <w:t xml:space="preserve"> resulting </w:t>
            </w:r>
            <w:r w:rsidR="00C91715">
              <w:rPr>
                <w:rFonts w:asciiTheme="minorHAnsi" w:hAnsiTheme="minorHAnsi"/>
                <w:i/>
              </w:rPr>
              <w:t xml:space="preserve">in </w:t>
            </w:r>
            <w:r w:rsidR="00BC735B">
              <w:rPr>
                <w:rFonts w:asciiTheme="minorHAnsi" w:hAnsiTheme="minorHAnsi"/>
                <w:i/>
              </w:rPr>
              <w:t>a slow take off by the administration</w:t>
            </w:r>
            <w:r w:rsidR="00492C65">
              <w:rPr>
                <w:rFonts w:asciiTheme="minorHAnsi" w:hAnsiTheme="minorHAnsi"/>
                <w:i/>
              </w:rPr>
              <w:t xml:space="preserve"> and turn-over in civil servant</w:t>
            </w:r>
            <w:r w:rsidR="00BC735B">
              <w:rPr>
                <w:rFonts w:asciiTheme="minorHAnsi" w:hAnsiTheme="minorHAnsi"/>
                <w:i/>
              </w:rPr>
              <w:t>.</w:t>
            </w:r>
          </w:p>
          <w:p w:rsidR="004C4CF9" w:rsidRDefault="004C4CF9" w:rsidP="004C4CF9">
            <w:pPr>
              <w:pStyle w:val="BodyText2"/>
              <w:jc w:val="both"/>
              <w:rPr>
                <w:rFonts w:asciiTheme="minorHAnsi" w:hAnsiTheme="minorHAnsi"/>
                <w:i/>
              </w:rPr>
            </w:pPr>
          </w:p>
          <w:p w:rsidR="00BC735B" w:rsidRPr="00BC735B" w:rsidRDefault="00492C65" w:rsidP="004C4CF9">
            <w:pPr>
              <w:pStyle w:val="BodyText2"/>
              <w:jc w:val="both"/>
              <w:rPr>
                <w:rFonts w:asciiTheme="minorHAnsi" w:hAnsiTheme="minorHAnsi"/>
                <w:i/>
              </w:rPr>
            </w:pPr>
            <w:r>
              <w:rPr>
                <w:rFonts w:asciiTheme="minorHAnsi" w:hAnsiTheme="minorHAnsi"/>
                <w:i/>
              </w:rPr>
              <w:t>Despite these</w:t>
            </w:r>
            <w:r w:rsidR="00BC735B">
              <w:rPr>
                <w:rFonts w:asciiTheme="minorHAnsi" w:hAnsiTheme="minorHAnsi"/>
                <w:i/>
              </w:rPr>
              <w:t xml:space="preserve"> </w:t>
            </w:r>
            <w:r w:rsidR="00BC735B" w:rsidRPr="00BC735B">
              <w:rPr>
                <w:rFonts w:asciiTheme="minorHAnsi" w:hAnsiTheme="minorHAnsi"/>
                <w:i/>
              </w:rPr>
              <w:t>challenges, the CO has strengthened its</w:t>
            </w:r>
            <w:r>
              <w:rPr>
                <w:rFonts w:asciiTheme="minorHAnsi" w:hAnsiTheme="minorHAnsi"/>
                <w:i/>
              </w:rPr>
              <w:t xml:space="preserve"> capacity to mobilize resources,</w:t>
            </w:r>
            <w:r w:rsidR="00BC735B" w:rsidRPr="00BC735B">
              <w:rPr>
                <w:rFonts w:asciiTheme="minorHAnsi" w:hAnsiTheme="minorHAnsi"/>
                <w:i/>
              </w:rPr>
              <w:t xml:space="preserve"> learning institutional culture through the use of our global development netwo</w:t>
            </w:r>
            <w:r w:rsidR="00B96E3F">
              <w:rPr>
                <w:rFonts w:asciiTheme="minorHAnsi" w:hAnsiTheme="minorHAnsi"/>
                <w:i/>
              </w:rPr>
              <w:t>rk (</w:t>
            </w:r>
            <w:r w:rsidR="00BC735B" w:rsidRPr="00BC735B">
              <w:rPr>
                <w:rFonts w:asciiTheme="minorHAnsi" w:hAnsiTheme="minorHAnsi"/>
                <w:i/>
              </w:rPr>
              <w:t>RBA and the RSCA</w:t>
            </w:r>
            <w:r w:rsidR="00B96E3F">
              <w:rPr>
                <w:rFonts w:asciiTheme="minorHAnsi" w:hAnsiTheme="minorHAnsi"/>
                <w:i/>
              </w:rPr>
              <w:t>, “Pole Dakar”</w:t>
            </w:r>
            <w:r w:rsidR="00BC735B" w:rsidRPr="00BC735B">
              <w:rPr>
                <w:rFonts w:asciiTheme="minorHAnsi" w:hAnsiTheme="minorHAnsi"/>
                <w:i/>
              </w:rPr>
              <w:t>)</w:t>
            </w:r>
            <w:r w:rsidR="00BC735B">
              <w:rPr>
                <w:rFonts w:asciiTheme="minorHAnsi" w:hAnsiTheme="minorHAnsi"/>
                <w:i/>
              </w:rPr>
              <w:t xml:space="preserve"> and the</w:t>
            </w:r>
            <w:r w:rsidR="00BC735B" w:rsidRPr="00BC735B">
              <w:rPr>
                <w:rFonts w:asciiTheme="minorHAnsi" w:hAnsiTheme="minorHAnsi"/>
                <w:i/>
              </w:rPr>
              <w:t xml:space="preserve"> </w:t>
            </w:r>
            <w:proofErr w:type="spellStart"/>
            <w:r w:rsidR="00BC735B" w:rsidRPr="00BC735B">
              <w:rPr>
                <w:rFonts w:asciiTheme="minorHAnsi" w:hAnsiTheme="minorHAnsi"/>
                <w:i/>
              </w:rPr>
              <w:t>programme</w:t>
            </w:r>
            <w:proofErr w:type="spellEnd"/>
            <w:r w:rsidR="00BC735B" w:rsidRPr="00BC735B">
              <w:rPr>
                <w:rFonts w:asciiTheme="minorHAnsi" w:hAnsiTheme="minorHAnsi"/>
                <w:i/>
              </w:rPr>
              <w:t xml:space="preserve"> alignment exercise</w:t>
            </w:r>
            <w:r w:rsidR="00BC735B">
              <w:rPr>
                <w:rFonts w:asciiTheme="minorHAnsi" w:hAnsiTheme="minorHAnsi"/>
                <w:i/>
              </w:rPr>
              <w:t>,</w:t>
            </w:r>
            <w:r w:rsidR="00BC735B" w:rsidRPr="00BC735B">
              <w:rPr>
                <w:rFonts w:asciiTheme="minorHAnsi" w:hAnsiTheme="minorHAnsi"/>
                <w:i/>
              </w:rPr>
              <w:t xml:space="preserve"> which significantly enriched the quality of the CO’s positioning and </w:t>
            </w:r>
            <w:proofErr w:type="spellStart"/>
            <w:r w:rsidR="00BC735B" w:rsidRPr="00BC735B">
              <w:rPr>
                <w:rFonts w:asciiTheme="minorHAnsi" w:hAnsiTheme="minorHAnsi"/>
                <w:i/>
              </w:rPr>
              <w:t>programme</w:t>
            </w:r>
            <w:proofErr w:type="spellEnd"/>
            <w:r w:rsidR="00BC735B" w:rsidRPr="00BC735B">
              <w:rPr>
                <w:rFonts w:asciiTheme="minorHAnsi" w:hAnsiTheme="minorHAnsi"/>
                <w:i/>
              </w:rPr>
              <w:t xml:space="preserve"> </w:t>
            </w:r>
            <w:proofErr w:type="gramStart"/>
            <w:r w:rsidR="00BC735B" w:rsidRPr="00BC735B">
              <w:rPr>
                <w:rFonts w:asciiTheme="minorHAnsi" w:hAnsiTheme="minorHAnsi"/>
                <w:i/>
              </w:rPr>
              <w:t>implementation</w:t>
            </w:r>
            <w:r w:rsidR="00AF03C5">
              <w:rPr>
                <w:rFonts w:asciiTheme="minorHAnsi" w:hAnsiTheme="minorHAnsi"/>
                <w:i/>
              </w:rPr>
              <w:t>.</w:t>
            </w:r>
            <w:r w:rsidR="00BC735B" w:rsidRPr="00BC735B">
              <w:rPr>
                <w:rFonts w:asciiTheme="minorHAnsi" w:hAnsiTheme="minorHAnsi"/>
                <w:i/>
              </w:rPr>
              <w:t>.</w:t>
            </w:r>
            <w:proofErr w:type="gramEnd"/>
            <w:r w:rsidR="00BC735B" w:rsidRPr="00BC735B">
              <w:rPr>
                <w:rFonts w:asciiTheme="minorHAnsi" w:hAnsiTheme="minorHAnsi"/>
                <w:i/>
              </w:rPr>
              <w:t xml:space="preserve"> </w:t>
            </w:r>
          </w:p>
          <w:p w:rsidR="004C4CF9" w:rsidRDefault="004C4CF9" w:rsidP="004C4CF9">
            <w:pPr>
              <w:pStyle w:val="BodyText2"/>
              <w:jc w:val="both"/>
              <w:rPr>
                <w:rFonts w:asciiTheme="minorHAnsi" w:hAnsiTheme="minorHAnsi"/>
                <w:i/>
              </w:rPr>
            </w:pPr>
          </w:p>
          <w:p w:rsidR="00BC735B" w:rsidRPr="00BC735B" w:rsidRDefault="00F555A7" w:rsidP="004C4CF9">
            <w:pPr>
              <w:pStyle w:val="BodyText2"/>
              <w:jc w:val="both"/>
              <w:rPr>
                <w:rFonts w:asciiTheme="minorHAnsi" w:hAnsiTheme="minorHAnsi"/>
                <w:i/>
              </w:rPr>
            </w:pPr>
            <w:r w:rsidRPr="00F555A7">
              <w:rPr>
                <w:rFonts w:asciiTheme="minorHAnsi" w:hAnsiTheme="minorHAnsi"/>
                <w:i/>
              </w:rPr>
              <w:t>The lesson learned is that a more hands-on approach is critical fo</w:t>
            </w:r>
            <w:r w:rsidR="00492C65">
              <w:rPr>
                <w:rFonts w:asciiTheme="minorHAnsi" w:hAnsiTheme="minorHAnsi"/>
                <w:i/>
              </w:rPr>
              <w:t>r engagement with key Government and national partners</w:t>
            </w:r>
            <w:r w:rsidRPr="00F555A7">
              <w:rPr>
                <w:rFonts w:asciiTheme="minorHAnsi" w:hAnsiTheme="minorHAnsi"/>
                <w:i/>
              </w:rPr>
              <w:t xml:space="preserve">), and Development Partners for successful </w:t>
            </w:r>
            <w:proofErr w:type="spellStart"/>
            <w:r w:rsidRPr="00F555A7">
              <w:rPr>
                <w:rFonts w:asciiTheme="minorHAnsi" w:hAnsiTheme="minorHAnsi"/>
                <w:i/>
              </w:rPr>
              <w:t>programme</w:t>
            </w:r>
            <w:proofErr w:type="spellEnd"/>
            <w:r w:rsidRPr="00F555A7">
              <w:rPr>
                <w:rFonts w:asciiTheme="minorHAnsi" w:hAnsiTheme="minorHAnsi"/>
                <w:i/>
              </w:rPr>
              <w:t xml:space="preserve"> implementation. </w:t>
            </w:r>
            <w:r w:rsidR="00BC735B" w:rsidRPr="00BC735B">
              <w:rPr>
                <w:rFonts w:asciiTheme="minorHAnsi" w:hAnsiTheme="minorHAnsi"/>
                <w:i/>
              </w:rPr>
              <w:t xml:space="preserve">The need </w:t>
            </w:r>
            <w:r w:rsidR="00EF38B7">
              <w:rPr>
                <w:rFonts w:asciiTheme="minorHAnsi" w:hAnsiTheme="minorHAnsi"/>
                <w:i/>
              </w:rPr>
              <w:t>t</w:t>
            </w:r>
            <w:r w:rsidR="00BC735B" w:rsidRPr="00BC735B">
              <w:rPr>
                <w:rFonts w:asciiTheme="minorHAnsi" w:hAnsiTheme="minorHAnsi"/>
                <w:i/>
              </w:rPr>
              <w:t>o</w:t>
            </w:r>
            <w:r w:rsidR="00492C65">
              <w:rPr>
                <w:rFonts w:asciiTheme="minorHAnsi" w:hAnsiTheme="minorHAnsi"/>
                <w:i/>
              </w:rPr>
              <w:t xml:space="preserve"> develop strategy of resilience with regards to economic and monetary shocks from Nigeria, the necessity for </w:t>
            </w:r>
            <w:r w:rsidR="00BC735B" w:rsidRPr="00BC735B">
              <w:rPr>
                <w:rFonts w:asciiTheme="minorHAnsi" w:hAnsiTheme="minorHAnsi"/>
                <w:i/>
              </w:rPr>
              <w:t>economic diversification</w:t>
            </w:r>
            <w:r w:rsidR="00492C65">
              <w:rPr>
                <w:rFonts w:asciiTheme="minorHAnsi" w:hAnsiTheme="minorHAnsi"/>
                <w:i/>
              </w:rPr>
              <w:t xml:space="preserve"> and growth of productivity and youth employment. </w:t>
            </w:r>
          </w:p>
        </w:tc>
      </w:tr>
    </w:tbl>
    <w:p w:rsidR="004B3911" w:rsidRDefault="004B3911">
      <w:pPr>
        <w:pStyle w:val="BodyText2"/>
        <w:rPr>
          <w:rFonts w:ascii="Times New Roman" w:hAnsi="Times New Roman"/>
          <w:sz w:val="24"/>
        </w:rPr>
      </w:pPr>
    </w:p>
    <w:p w:rsidR="00B96E3F" w:rsidRPr="005474ED" w:rsidRDefault="00B96E3F" w:rsidP="00B96E3F">
      <w:pPr>
        <w:pStyle w:val="BodyText2"/>
        <w:jc w:val="center"/>
        <w:rPr>
          <w:rFonts w:asciiTheme="minorHAnsi" w:hAnsiTheme="minorHAnsi"/>
          <w:sz w:val="24"/>
        </w:rPr>
      </w:pPr>
      <w:r>
        <w:rPr>
          <w:rFonts w:asciiTheme="minorHAnsi" w:hAnsiTheme="minorHAnsi"/>
          <w:sz w:val="24"/>
        </w:rPr>
        <w:t xml:space="preserve">III. </w:t>
      </w:r>
      <w:r w:rsidRPr="005474ED">
        <w:rPr>
          <w:rFonts w:asciiTheme="minorHAnsi" w:hAnsiTheme="minorHAnsi"/>
          <w:sz w:val="24"/>
        </w:rPr>
        <w:t xml:space="preserve">Country </w:t>
      </w:r>
      <w:proofErr w:type="spellStart"/>
      <w:r w:rsidRPr="005474ED">
        <w:rPr>
          <w:rFonts w:asciiTheme="minorHAnsi" w:hAnsiTheme="minorHAnsi"/>
          <w:sz w:val="24"/>
        </w:rPr>
        <w:t>Programme</w:t>
      </w:r>
      <w:proofErr w:type="spellEnd"/>
      <w:r w:rsidRPr="005474ED">
        <w:rPr>
          <w:rFonts w:asciiTheme="minorHAnsi" w:hAnsiTheme="minorHAnsi"/>
          <w:sz w:val="24"/>
        </w:rPr>
        <w:t xml:space="preserve"> Resources</w:t>
      </w:r>
    </w:p>
    <w:tbl>
      <w:tblPr>
        <w:tblStyle w:val="TableGrid"/>
        <w:tblW w:w="0" w:type="auto"/>
        <w:tblLook w:val="04A0" w:firstRow="1" w:lastRow="0" w:firstColumn="1" w:lastColumn="0" w:noHBand="0" w:noVBand="1"/>
      </w:tblPr>
      <w:tblGrid>
        <w:gridCol w:w="3573"/>
        <w:gridCol w:w="2996"/>
        <w:gridCol w:w="2996"/>
        <w:gridCol w:w="2996"/>
        <w:gridCol w:w="1389"/>
      </w:tblGrid>
      <w:tr w:rsidR="00B96E3F" w:rsidRPr="006900FE" w:rsidTr="00203453">
        <w:tc>
          <w:tcPr>
            <w:tcW w:w="3573" w:type="dxa"/>
            <w:shd w:val="clear" w:color="auto" w:fill="000000" w:themeFill="text1"/>
          </w:tcPr>
          <w:p w:rsidR="00B96E3F" w:rsidRPr="006900FE" w:rsidRDefault="00B96E3F" w:rsidP="00203453">
            <w:pPr>
              <w:pStyle w:val="BodyText2"/>
              <w:jc w:val="center"/>
              <w:rPr>
                <w:rFonts w:asciiTheme="minorHAnsi" w:hAnsiTheme="minorHAnsi"/>
                <w:b/>
                <w:color w:val="FFFFFF" w:themeColor="background1"/>
                <w:sz w:val="24"/>
              </w:rPr>
            </w:pPr>
            <w:r>
              <w:rPr>
                <w:rFonts w:asciiTheme="minorHAnsi" w:hAnsiTheme="minorHAnsi"/>
                <w:b/>
                <w:color w:val="FFFFFF" w:themeColor="background1"/>
                <w:sz w:val="24"/>
              </w:rPr>
              <w:t>Year</w:t>
            </w:r>
          </w:p>
        </w:tc>
        <w:tc>
          <w:tcPr>
            <w:tcW w:w="8988" w:type="dxa"/>
            <w:gridSpan w:val="3"/>
            <w:shd w:val="clear" w:color="auto" w:fill="000000" w:themeFill="text1"/>
          </w:tcPr>
          <w:p w:rsidR="00B96E3F" w:rsidRPr="006900FE" w:rsidRDefault="00B96E3F" w:rsidP="00203453">
            <w:pPr>
              <w:pStyle w:val="BodyText2"/>
              <w:jc w:val="center"/>
              <w:rPr>
                <w:rFonts w:asciiTheme="minorHAnsi" w:hAnsiTheme="minorHAnsi"/>
                <w:b/>
                <w:color w:val="FFFFFF" w:themeColor="background1"/>
                <w:sz w:val="24"/>
              </w:rPr>
            </w:pPr>
            <w:proofErr w:type="spellStart"/>
            <w:r w:rsidRPr="006900FE">
              <w:rPr>
                <w:rFonts w:asciiTheme="minorHAnsi" w:hAnsiTheme="minorHAnsi"/>
                <w:b/>
                <w:color w:val="FFFFFF" w:themeColor="background1"/>
                <w:sz w:val="24"/>
              </w:rPr>
              <w:t>Programme</w:t>
            </w:r>
            <w:proofErr w:type="spellEnd"/>
            <w:r w:rsidRPr="006900FE">
              <w:rPr>
                <w:rFonts w:asciiTheme="minorHAnsi" w:hAnsiTheme="minorHAnsi"/>
                <w:b/>
                <w:color w:val="FFFFFF" w:themeColor="background1"/>
                <w:sz w:val="24"/>
              </w:rPr>
              <w:t xml:space="preserve"> Expenditure ($)</w:t>
            </w:r>
          </w:p>
        </w:tc>
        <w:tc>
          <w:tcPr>
            <w:tcW w:w="1389" w:type="dxa"/>
            <w:shd w:val="clear" w:color="auto" w:fill="000000" w:themeFill="text1"/>
          </w:tcPr>
          <w:p w:rsidR="00B96E3F" w:rsidRPr="006900FE" w:rsidRDefault="00B96E3F" w:rsidP="00203453">
            <w:pPr>
              <w:pStyle w:val="BodyText2"/>
              <w:jc w:val="center"/>
              <w:rPr>
                <w:rFonts w:asciiTheme="minorHAnsi" w:hAnsiTheme="minorHAnsi"/>
                <w:b/>
                <w:color w:val="FFFFFF" w:themeColor="background1"/>
                <w:sz w:val="24"/>
              </w:rPr>
            </w:pPr>
            <w:r w:rsidRPr="006900FE">
              <w:rPr>
                <w:rFonts w:asciiTheme="minorHAnsi" w:hAnsiTheme="minorHAnsi"/>
                <w:b/>
                <w:color w:val="FFFFFF" w:themeColor="background1"/>
                <w:sz w:val="24"/>
              </w:rPr>
              <w:t>% of Total</w:t>
            </w:r>
          </w:p>
        </w:tc>
      </w:tr>
      <w:tr w:rsidR="00B96E3F" w:rsidRPr="006900FE" w:rsidTr="00203453">
        <w:tc>
          <w:tcPr>
            <w:tcW w:w="3573" w:type="dxa"/>
          </w:tcPr>
          <w:p w:rsidR="00B96E3F" w:rsidRPr="006900FE" w:rsidRDefault="00B96E3F" w:rsidP="00203453">
            <w:pPr>
              <w:pStyle w:val="BodyText2"/>
              <w:rPr>
                <w:rFonts w:asciiTheme="minorHAnsi" w:hAnsiTheme="minorHAnsi"/>
              </w:rPr>
            </w:pPr>
          </w:p>
        </w:tc>
        <w:tc>
          <w:tcPr>
            <w:tcW w:w="2996" w:type="dxa"/>
          </w:tcPr>
          <w:p w:rsidR="00B96E3F" w:rsidRPr="006900FE" w:rsidRDefault="00B96E3F" w:rsidP="00203453">
            <w:pPr>
              <w:pStyle w:val="BodyText2"/>
              <w:jc w:val="right"/>
              <w:rPr>
                <w:rFonts w:asciiTheme="minorHAnsi" w:hAnsiTheme="minorHAnsi"/>
              </w:rPr>
            </w:pPr>
            <w:r w:rsidRPr="006900FE">
              <w:rPr>
                <w:rFonts w:asciiTheme="minorHAnsi" w:hAnsiTheme="minorHAnsi"/>
              </w:rPr>
              <w:t>Regular (TRAC)</w:t>
            </w:r>
          </w:p>
        </w:tc>
        <w:tc>
          <w:tcPr>
            <w:tcW w:w="2996" w:type="dxa"/>
          </w:tcPr>
          <w:p w:rsidR="00B96E3F" w:rsidRPr="006900FE" w:rsidRDefault="00B96E3F" w:rsidP="00203453">
            <w:pPr>
              <w:pStyle w:val="BodyText2"/>
              <w:jc w:val="right"/>
              <w:rPr>
                <w:rFonts w:asciiTheme="minorHAnsi" w:hAnsiTheme="minorHAnsi"/>
              </w:rPr>
            </w:pPr>
            <w:r w:rsidRPr="006900FE">
              <w:rPr>
                <w:rFonts w:asciiTheme="minorHAnsi" w:hAnsiTheme="minorHAnsi"/>
              </w:rPr>
              <w:t>Other</w:t>
            </w:r>
          </w:p>
        </w:tc>
        <w:tc>
          <w:tcPr>
            <w:tcW w:w="2996" w:type="dxa"/>
          </w:tcPr>
          <w:p w:rsidR="00B96E3F" w:rsidRPr="006900FE" w:rsidRDefault="00B96E3F" w:rsidP="00203453">
            <w:pPr>
              <w:pStyle w:val="BodyText2"/>
              <w:jc w:val="right"/>
              <w:rPr>
                <w:rFonts w:asciiTheme="minorHAnsi" w:hAnsiTheme="minorHAnsi"/>
              </w:rPr>
            </w:pPr>
            <w:r w:rsidRPr="006900FE">
              <w:rPr>
                <w:rFonts w:asciiTheme="minorHAnsi" w:hAnsiTheme="minorHAnsi"/>
              </w:rPr>
              <w:t>Total</w:t>
            </w:r>
          </w:p>
        </w:tc>
        <w:tc>
          <w:tcPr>
            <w:tcW w:w="1389" w:type="dxa"/>
          </w:tcPr>
          <w:p w:rsidR="00B96E3F" w:rsidRPr="006900FE" w:rsidRDefault="00B96E3F" w:rsidP="00203453">
            <w:pPr>
              <w:pStyle w:val="BodyText2"/>
              <w:jc w:val="center"/>
              <w:rPr>
                <w:rFonts w:asciiTheme="minorHAnsi" w:hAnsiTheme="minorHAnsi"/>
              </w:rPr>
            </w:pPr>
          </w:p>
        </w:tc>
      </w:tr>
      <w:tr w:rsidR="00B96E3F" w:rsidRPr="006900FE" w:rsidTr="00203453">
        <w:tc>
          <w:tcPr>
            <w:tcW w:w="3573" w:type="dxa"/>
            <w:vAlign w:val="center"/>
          </w:tcPr>
          <w:p w:rsidR="00B96E3F" w:rsidRPr="006900FE" w:rsidRDefault="00B96E3F" w:rsidP="00203453">
            <w:pPr>
              <w:pStyle w:val="BodyText2"/>
              <w:jc w:val="center"/>
              <w:rPr>
                <w:rFonts w:asciiTheme="minorHAnsi" w:hAnsiTheme="minorHAnsi"/>
              </w:rPr>
            </w:pPr>
            <w:r>
              <w:rPr>
                <w:color w:val="000000"/>
              </w:rPr>
              <w:t>2014</w:t>
            </w:r>
          </w:p>
        </w:tc>
        <w:tc>
          <w:tcPr>
            <w:tcW w:w="2996" w:type="dxa"/>
          </w:tcPr>
          <w:p w:rsidR="00B96E3F" w:rsidRPr="00D472C0" w:rsidRDefault="00B96E3F" w:rsidP="00203453">
            <w:r w:rsidRPr="00D472C0">
              <w:t>4 091 733,00</w:t>
            </w:r>
          </w:p>
        </w:tc>
        <w:tc>
          <w:tcPr>
            <w:tcW w:w="2996" w:type="dxa"/>
          </w:tcPr>
          <w:p w:rsidR="00B96E3F" w:rsidRPr="00D472C0" w:rsidRDefault="00B96E3F" w:rsidP="00203453">
            <w:r w:rsidRPr="00D472C0">
              <w:t>7 259 937,00</w:t>
            </w:r>
          </w:p>
        </w:tc>
        <w:tc>
          <w:tcPr>
            <w:tcW w:w="2996" w:type="dxa"/>
          </w:tcPr>
          <w:p w:rsidR="00B96E3F" w:rsidRPr="00D472C0" w:rsidRDefault="00B96E3F" w:rsidP="00203453">
            <w:r w:rsidRPr="00D472C0">
              <w:t>11 351 670,00</w:t>
            </w:r>
          </w:p>
        </w:tc>
        <w:tc>
          <w:tcPr>
            <w:tcW w:w="1389" w:type="dxa"/>
          </w:tcPr>
          <w:p w:rsidR="00B96E3F" w:rsidRPr="00D472C0" w:rsidRDefault="00B96E3F" w:rsidP="00203453">
            <w:r w:rsidRPr="00D472C0">
              <w:t>25,13%</w:t>
            </w:r>
          </w:p>
        </w:tc>
      </w:tr>
      <w:tr w:rsidR="00B96E3F" w:rsidRPr="006900FE" w:rsidTr="00203453">
        <w:tc>
          <w:tcPr>
            <w:tcW w:w="3573" w:type="dxa"/>
            <w:vAlign w:val="center"/>
          </w:tcPr>
          <w:p w:rsidR="00B96E3F" w:rsidRPr="006900FE" w:rsidRDefault="00B96E3F" w:rsidP="00203453">
            <w:pPr>
              <w:pStyle w:val="BodyText2"/>
              <w:jc w:val="center"/>
              <w:rPr>
                <w:rFonts w:asciiTheme="minorHAnsi" w:hAnsiTheme="minorHAnsi"/>
              </w:rPr>
            </w:pPr>
            <w:r>
              <w:rPr>
                <w:color w:val="000000"/>
              </w:rPr>
              <w:t>2015</w:t>
            </w:r>
          </w:p>
        </w:tc>
        <w:tc>
          <w:tcPr>
            <w:tcW w:w="2996" w:type="dxa"/>
          </w:tcPr>
          <w:p w:rsidR="00B96E3F" w:rsidRPr="00D472C0" w:rsidRDefault="00B96E3F" w:rsidP="00203453">
            <w:r w:rsidRPr="00D472C0">
              <w:t>3 744 425,00</w:t>
            </w:r>
          </w:p>
        </w:tc>
        <w:tc>
          <w:tcPr>
            <w:tcW w:w="2996" w:type="dxa"/>
          </w:tcPr>
          <w:p w:rsidR="00B96E3F" w:rsidRPr="00D472C0" w:rsidRDefault="00B96E3F" w:rsidP="00203453">
            <w:r w:rsidRPr="00D472C0">
              <w:t>8 503 195,00</w:t>
            </w:r>
          </w:p>
        </w:tc>
        <w:tc>
          <w:tcPr>
            <w:tcW w:w="2996" w:type="dxa"/>
          </w:tcPr>
          <w:p w:rsidR="00B96E3F" w:rsidRPr="00D472C0" w:rsidRDefault="00B96E3F" w:rsidP="00203453">
            <w:r w:rsidRPr="00D472C0">
              <w:t>12 247 620,00</w:t>
            </w:r>
          </w:p>
        </w:tc>
        <w:tc>
          <w:tcPr>
            <w:tcW w:w="1389" w:type="dxa"/>
          </w:tcPr>
          <w:p w:rsidR="00B96E3F" w:rsidRPr="00D472C0" w:rsidRDefault="00B96E3F" w:rsidP="00203453">
            <w:r w:rsidRPr="00D472C0">
              <w:t>27,12%</w:t>
            </w:r>
          </w:p>
        </w:tc>
      </w:tr>
      <w:tr w:rsidR="00B96E3F" w:rsidRPr="006900FE" w:rsidTr="00203453">
        <w:tc>
          <w:tcPr>
            <w:tcW w:w="3573" w:type="dxa"/>
            <w:vAlign w:val="center"/>
          </w:tcPr>
          <w:p w:rsidR="00B96E3F" w:rsidRPr="006900FE" w:rsidRDefault="00B96E3F" w:rsidP="00203453">
            <w:pPr>
              <w:pStyle w:val="BodyText2"/>
              <w:jc w:val="center"/>
              <w:rPr>
                <w:rFonts w:asciiTheme="minorHAnsi" w:hAnsiTheme="minorHAnsi"/>
              </w:rPr>
            </w:pPr>
            <w:r>
              <w:rPr>
                <w:color w:val="000000"/>
              </w:rPr>
              <w:t>2016</w:t>
            </w:r>
          </w:p>
        </w:tc>
        <w:tc>
          <w:tcPr>
            <w:tcW w:w="2996" w:type="dxa"/>
          </w:tcPr>
          <w:p w:rsidR="00B96E3F" w:rsidRPr="00D472C0" w:rsidRDefault="00B96E3F" w:rsidP="00203453">
            <w:r w:rsidRPr="00D472C0">
              <w:t>3 611 345,00</w:t>
            </w:r>
          </w:p>
        </w:tc>
        <w:tc>
          <w:tcPr>
            <w:tcW w:w="2996" w:type="dxa"/>
          </w:tcPr>
          <w:p w:rsidR="00B96E3F" w:rsidRPr="00D472C0" w:rsidRDefault="00B96E3F" w:rsidP="00203453">
            <w:r w:rsidRPr="00D472C0">
              <w:t>8 105 754,00</w:t>
            </w:r>
          </w:p>
        </w:tc>
        <w:tc>
          <w:tcPr>
            <w:tcW w:w="2996" w:type="dxa"/>
          </w:tcPr>
          <w:p w:rsidR="00B96E3F" w:rsidRPr="00D472C0" w:rsidRDefault="00B96E3F" w:rsidP="00203453">
            <w:r w:rsidRPr="00D472C0">
              <w:t>11 717 099,00</w:t>
            </w:r>
          </w:p>
        </w:tc>
        <w:tc>
          <w:tcPr>
            <w:tcW w:w="1389" w:type="dxa"/>
          </w:tcPr>
          <w:p w:rsidR="00B96E3F" w:rsidRPr="00D472C0" w:rsidRDefault="00B96E3F" w:rsidP="00203453">
            <w:r w:rsidRPr="00D472C0">
              <w:t>25,94%</w:t>
            </w:r>
          </w:p>
        </w:tc>
      </w:tr>
      <w:tr w:rsidR="00B96E3F" w:rsidRPr="006900FE" w:rsidTr="00203453">
        <w:tc>
          <w:tcPr>
            <w:tcW w:w="3573" w:type="dxa"/>
            <w:vAlign w:val="center"/>
          </w:tcPr>
          <w:p w:rsidR="00B96E3F" w:rsidRPr="006900FE" w:rsidRDefault="00B96E3F" w:rsidP="00203453">
            <w:pPr>
              <w:pStyle w:val="BodyText2"/>
              <w:jc w:val="center"/>
              <w:rPr>
                <w:rFonts w:asciiTheme="minorHAnsi" w:hAnsiTheme="minorHAnsi"/>
              </w:rPr>
            </w:pPr>
            <w:r>
              <w:rPr>
                <w:color w:val="000000"/>
              </w:rPr>
              <w:t>2017</w:t>
            </w:r>
          </w:p>
        </w:tc>
        <w:tc>
          <w:tcPr>
            <w:tcW w:w="2996" w:type="dxa"/>
          </w:tcPr>
          <w:p w:rsidR="00B96E3F" w:rsidRPr="00D472C0" w:rsidRDefault="00B96E3F" w:rsidP="00203453">
            <w:r w:rsidRPr="00D472C0">
              <w:t>3 088 496,00</w:t>
            </w:r>
          </w:p>
        </w:tc>
        <w:tc>
          <w:tcPr>
            <w:tcW w:w="2996" w:type="dxa"/>
          </w:tcPr>
          <w:p w:rsidR="00B96E3F" w:rsidRPr="00D472C0" w:rsidRDefault="00B96E3F" w:rsidP="00203453">
            <w:r w:rsidRPr="00D472C0">
              <w:t>6 762 006,00</w:t>
            </w:r>
          </w:p>
        </w:tc>
        <w:tc>
          <w:tcPr>
            <w:tcW w:w="2996" w:type="dxa"/>
          </w:tcPr>
          <w:p w:rsidR="00B96E3F" w:rsidRPr="00D472C0" w:rsidRDefault="00B96E3F" w:rsidP="00203453">
            <w:r w:rsidRPr="00D472C0">
              <w:t>9 850 502,00</w:t>
            </w:r>
          </w:p>
        </w:tc>
        <w:tc>
          <w:tcPr>
            <w:tcW w:w="1389" w:type="dxa"/>
          </w:tcPr>
          <w:p w:rsidR="00B96E3F" w:rsidRPr="00D472C0" w:rsidRDefault="00B96E3F" w:rsidP="00203453">
            <w:r w:rsidRPr="00D472C0">
              <w:t>21,81%</w:t>
            </w:r>
          </w:p>
        </w:tc>
      </w:tr>
      <w:tr w:rsidR="00B96E3F" w:rsidRPr="006900FE" w:rsidTr="00203453">
        <w:tc>
          <w:tcPr>
            <w:tcW w:w="3573" w:type="dxa"/>
            <w:shd w:val="clear" w:color="auto" w:fill="00B0F0"/>
            <w:vAlign w:val="center"/>
          </w:tcPr>
          <w:p w:rsidR="00B96E3F" w:rsidRPr="006900FE" w:rsidRDefault="00B96E3F" w:rsidP="00203453">
            <w:pPr>
              <w:pStyle w:val="BodyText2"/>
              <w:jc w:val="center"/>
              <w:rPr>
                <w:rFonts w:asciiTheme="minorHAnsi" w:hAnsiTheme="minorHAnsi"/>
              </w:rPr>
            </w:pPr>
            <w:r>
              <w:rPr>
                <w:color w:val="000000"/>
              </w:rPr>
              <w:lastRenderedPageBreak/>
              <w:t>Total</w:t>
            </w:r>
          </w:p>
        </w:tc>
        <w:tc>
          <w:tcPr>
            <w:tcW w:w="2996" w:type="dxa"/>
            <w:shd w:val="clear" w:color="auto" w:fill="00B0F0"/>
          </w:tcPr>
          <w:p w:rsidR="00B96E3F" w:rsidRPr="00D472C0" w:rsidRDefault="00B96E3F" w:rsidP="00203453">
            <w:r w:rsidRPr="00D472C0">
              <w:t>14 535 999,00</w:t>
            </w:r>
          </w:p>
        </w:tc>
        <w:tc>
          <w:tcPr>
            <w:tcW w:w="2996" w:type="dxa"/>
            <w:shd w:val="clear" w:color="auto" w:fill="00B0F0"/>
          </w:tcPr>
          <w:p w:rsidR="00B96E3F" w:rsidRPr="00D472C0" w:rsidRDefault="00B96E3F" w:rsidP="00203453">
            <w:r w:rsidRPr="00D472C0">
              <w:t>30 630 892,00</w:t>
            </w:r>
          </w:p>
        </w:tc>
        <w:tc>
          <w:tcPr>
            <w:tcW w:w="2996" w:type="dxa"/>
            <w:shd w:val="clear" w:color="auto" w:fill="00B0F0"/>
          </w:tcPr>
          <w:p w:rsidR="00B96E3F" w:rsidRPr="00D472C0" w:rsidRDefault="00B96E3F" w:rsidP="00203453">
            <w:r w:rsidRPr="00D472C0">
              <w:t>45 166 891,00</w:t>
            </w:r>
          </w:p>
        </w:tc>
        <w:tc>
          <w:tcPr>
            <w:tcW w:w="1389" w:type="dxa"/>
            <w:shd w:val="clear" w:color="auto" w:fill="00B0F0"/>
          </w:tcPr>
          <w:p w:rsidR="00B96E3F" w:rsidRDefault="00B96E3F" w:rsidP="00203453"/>
        </w:tc>
      </w:tr>
    </w:tbl>
    <w:p w:rsidR="00B96E3F" w:rsidRPr="006900FE" w:rsidRDefault="00B96E3F" w:rsidP="00B96E3F">
      <w:pPr>
        <w:pStyle w:val="BodyText2"/>
        <w:rPr>
          <w:rFonts w:asciiTheme="minorHAnsi" w:hAnsiTheme="minorHAnsi"/>
          <w:sz w:val="24"/>
        </w:rPr>
      </w:pPr>
    </w:p>
    <w:tbl>
      <w:tblPr>
        <w:tblStyle w:val="TableGrid"/>
        <w:tblW w:w="0" w:type="auto"/>
        <w:tblLook w:val="04A0" w:firstRow="1" w:lastRow="0" w:firstColumn="1" w:lastColumn="0" w:noHBand="0" w:noVBand="1"/>
      </w:tblPr>
      <w:tblGrid>
        <w:gridCol w:w="13950"/>
      </w:tblGrid>
      <w:tr w:rsidR="00B96E3F" w:rsidRPr="006900FE" w:rsidTr="00203453">
        <w:tc>
          <w:tcPr>
            <w:tcW w:w="14176" w:type="dxa"/>
          </w:tcPr>
          <w:p w:rsidR="00B96E3F" w:rsidRPr="006900FE" w:rsidRDefault="00B96E3F" w:rsidP="00203453">
            <w:pPr>
              <w:pStyle w:val="BodyText2"/>
              <w:rPr>
                <w:rFonts w:asciiTheme="minorHAnsi" w:hAnsiTheme="minorHAnsi"/>
                <w:b/>
              </w:rPr>
            </w:pPr>
            <w:r w:rsidRPr="006900FE">
              <w:rPr>
                <w:rFonts w:asciiTheme="minorHAnsi" w:hAnsiTheme="minorHAnsi"/>
                <w:b/>
              </w:rPr>
              <w:t>Data sources</w:t>
            </w:r>
            <w:proofErr w:type="gramStart"/>
            <w:r w:rsidRPr="006900FE">
              <w:rPr>
                <w:rFonts w:asciiTheme="minorHAnsi" w:hAnsiTheme="minorHAnsi"/>
                <w:b/>
              </w:rPr>
              <w:t>:  (</w:t>
            </w:r>
            <w:proofErr w:type="gramEnd"/>
            <w:r w:rsidRPr="006900FE">
              <w:rPr>
                <w:rFonts w:asciiTheme="minorHAnsi" w:hAnsiTheme="minorHAnsi"/>
                <w:b/>
              </w:rPr>
              <w:t xml:space="preserve">please indicate the main sources from which data were obtained for this report.) </w:t>
            </w:r>
          </w:p>
        </w:tc>
      </w:tr>
      <w:tr w:rsidR="00B96E3F" w:rsidRPr="006900FE" w:rsidTr="00203453">
        <w:tc>
          <w:tcPr>
            <w:tcW w:w="14176" w:type="dxa"/>
          </w:tcPr>
          <w:p w:rsidR="00B96E3F" w:rsidRPr="00F476FE" w:rsidRDefault="00B96E3F" w:rsidP="00203453">
            <w:pPr>
              <w:pStyle w:val="BodyText2"/>
              <w:rPr>
                <w:rFonts w:asciiTheme="minorHAnsi" w:hAnsiTheme="minorHAnsi"/>
              </w:rPr>
            </w:pPr>
            <w:r>
              <w:rPr>
                <w:rFonts w:asciiTheme="minorHAnsi" w:hAnsiTheme="minorHAnsi"/>
              </w:rPr>
              <w:t xml:space="preserve">Country </w:t>
            </w:r>
            <w:proofErr w:type="spellStart"/>
            <w:r>
              <w:rPr>
                <w:rFonts w:asciiTheme="minorHAnsi" w:hAnsiTheme="minorHAnsi"/>
              </w:rPr>
              <w:t>Programme</w:t>
            </w:r>
            <w:proofErr w:type="spellEnd"/>
            <w:r>
              <w:rPr>
                <w:rFonts w:asciiTheme="minorHAnsi" w:hAnsiTheme="minorHAnsi"/>
              </w:rPr>
              <w:t xml:space="preserve"> Document 2014-2018</w:t>
            </w:r>
          </w:p>
          <w:p w:rsidR="00B96E3F" w:rsidRDefault="00B96E3F" w:rsidP="00203453">
            <w:pPr>
              <w:pStyle w:val="BodyText2"/>
              <w:rPr>
                <w:rFonts w:asciiTheme="minorHAnsi" w:hAnsiTheme="minorHAnsi"/>
              </w:rPr>
            </w:pPr>
            <w:r>
              <w:rPr>
                <w:rFonts w:asciiTheme="minorHAnsi" w:hAnsiTheme="minorHAnsi"/>
              </w:rPr>
              <w:t>ROAR 2015, 2016, 2017</w:t>
            </w:r>
          </w:p>
          <w:p w:rsidR="00B96E3F" w:rsidRDefault="00B96E3F" w:rsidP="00203453">
            <w:pPr>
              <w:pStyle w:val="BodyText2"/>
              <w:rPr>
                <w:rFonts w:asciiTheme="minorHAnsi" w:hAnsiTheme="minorHAnsi"/>
              </w:rPr>
            </w:pPr>
            <w:r>
              <w:rPr>
                <w:rFonts w:asciiTheme="minorHAnsi" w:hAnsiTheme="minorHAnsi"/>
              </w:rPr>
              <w:t>UNDP CPD/UNDAF OUTCOMES Evaluation (2017)</w:t>
            </w:r>
          </w:p>
          <w:p w:rsidR="00B96E3F" w:rsidRPr="00DC6B2C" w:rsidRDefault="00B96E3F" w:rsidP="00203453">
            <w:pPr>
              <w:pStyle w:val="BodyText2"/>
              <w:rPr>
                <w:rFonts w:asciiTheme="minorHAnsi" w:hAnsiTheme="minorHAnsi"/>
              </w:rPr>
            </w:pPr>
          </w:p>
        </w:tc>
      </w:tr>
    </w:tbl>
    <w:p w:rsidR="00B96E3F" w:rsidRDefault="00B96E3F" w:rsidP="00B96E3F">
      <w:pPr>
        <w:pStyle w:val="BodyText2"/>
        <w:rPr>
          <w:rFonts w:ascii="Times New Roman" w:hAnsi="Times New Roman"/>
          <w:sz w:val="24"/>
        </w:rPr>
      </w:pPr>
    </w:p>
    <w:p w:rsidR="004C4CF9" w:rsidRDefault="004C4CF9">
      <w:pPr>
        <w:pStyle w:val="BodyText2"/>
        <w:rPr>
          <w:rFonts w:ascii="Times New Roman" w:hAnsi="Times New Roman"/>
          <w:sz w:val="24"/>
        </w:rPr>
      </w:pPr>
    </w:p>
    <w:p w:rsidR="00B96E3F" w:rsidRDefault="00B96E3F">
      <w:pPr>
        <w:pStyle w:val="BodyText2"/>
        <w:rPr>
          <w:rFonts w:ascii="Times New Roman" w:hAnsi="Times New Roman"/>
          <w:sz w:val="24"/>
        </w:rPr>
      </w:pPr>
    </w:p>
    <w:p w:rsidR="00B96E3F" w:rsidRDefault="00B96E3F">
      <w:pPr>
        <w:pStyle w:val="BodyText2"/>
        <w:rPr>
          <w:rFonts w:ascii="Times New Roman" w:hAnsi="Times New Roman"/>
          <w:sz w:val="24"/>
        </w:rPr>
      </w:pPr>
    </w:p>
    <w:sectPr w:rsidR="00B96E3F" w:rsidSect="0037523B">
      <w:endnotePr>
        <w:numFmt w:val="decimal"/>
      </w:endnotePr>
      <w:pgSz w:w="16840" w:h="11907" w:orient="landscape" w:code="9"/>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5B92" w:rsidRDefault="00C75B92">
      <w:r>
        <w:separator/>
      </w:r>
    </w:p>
  </w:endnote>
  <w:endnote w:type="continuationSeparator" w:id="0">
    <w:p w:rsidR="00C75B92" w:rsidRDefault="00C75B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Univers">
    <w:charset w:val="00"/>
    <w:family w:val="swiss"/>
    <w:pitch w:val="variable"/>
    <w:sig w:usb0="80000287" w:usb1="00000000" w:usb2="00000000" w:usb3="00000000" w:csb0="0000009F" w:csb1="00000000"/>
  </w:font>
  <w:font w:name="Lucida Grande">
    <w:altName w:val="Courier New"/>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6407"/>
      <w:docPartObj>
        <w:docPartGallery w:val="Page Numbers (Bottom of Page)"/>
        <w:docPartUnique/>
      </w:docPartObj>
    </w:sdtPr>
    <w:sdtEndPr/>
    <w:sdtContent>
      <w:p w:rsidR="00EC088E" w:rsidRDefault="00EC088E">
        <w:pPr>
          <w:pStyle w:val="Footer"/>
          <w:jc w:val="center"/>
        </w:pPr>
        <w:r>
          <w:fldChar w:fldCharType="begin"/>
        </w:r>
        <w:r>
          <w:instrText xml:space="preserve"> PAGE   \* MERGEFORMAT </w:instrText>
        </w:r>
        <w:r>
          <w:fldChar w:fldCharType="separate"/>
        </w:r>
        <w:r w:rsidR="006F34CC">
          <w:rPr>
            <w:noProof/>
          </w:rPr>
          <w:t>2</w:t>
        </w:r>
        <w:r>
          <w:rPr>
            <w:noProof/>
          </w:rPr>
          <w:fldChar w:fldCharType="end"/>
        </w:r>
      </w:p>
    </w:sdtContent>
  </w:sdt>
  <w:p w:rsidR="00EC088E" w:rsidRDefault="00EC08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5B92" w:rsidRDefault="00C75B92">
      <w:r>
        <w:separator/>
      </w:r>
    </w:p>
  </w:footnote>
  <w:footnote w:type="continuationSeparator" w:id="0">
    <w:p w:rsidR="00C75B92" w:rsidRDefault="00C75B92">
      <w:r>
        <w:continuationSeparator/>
      </w:r>
    </w:p>
  </w:footnote>
  <w:footnote w:id="1">
    <w:p w:rsidR="00EC088E" w:rsidRPr="00DC6B2C" w:rsidRDefault="00EC088E" w:rsidP="00DC6B2C">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A39EF"/>
    <w:multiLevelType w:val="hybridMultilevel"/>
    <w:tmpl w:val="2E34CBA8"/>
    <w:lvl w:ilvl="0" w:tplc="89B6A30A">
      <w:start w:val="1"/>
      <w:numFmt w:val="lowerLetter"/>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C74DD3"/>
    <w:multiLevelType w:val="hybridMultilevel"/>
    <w:tmpl w:val="8D26551A"/>
    <w:lvl w:ilvl="0" w:tplc="32D4598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AA47C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C2A684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C391950"/>
    <w:multiLevelType w:val="hybridMultilevel"/>
    <w:tmpl w:val="05DAE228"/>
    <w:lvl w:ilvl="0" w:tplc="0C8EE990">
      <w:start w:val="1"/>
      <w:numFmt w:val="lowerLetter"/>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120B9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5C30BE2"/>
    <w:multiLevelType w:val="hybridMultilevel"/>
    <w:tmpl w:val="FF4C982A"/>
    <w:lvl w:ilvl="0" w:tplc="F6FE1EFC">
      <w:numFmt w:val="bullet"/>
      <w:lvlText w:val="-"/>
      <w:lvlJc w:val="left"/>
      <w:pPr>
        <w:tabs>
          <w:tab w:val="num" w:pos="572"/>
        </w:tabs>
        <w:ind w:left="572" w:hanging="360"/>
      </w:pPr>
      <w:rPr>
        <w:rFonts w:ascii="Arial" w:hAnsi="Aria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0C76E6"/>
    <w:multiLevelType w:val="hybridMultilevel"/>
    <w:tmpl w:val="C31ED728"/>
    <w:lvl w:ilvl="0" w:tplc="32D4598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9D66C9E"/>
    <w:multiLevelType w:val="hybridMultilevel"/>
    <w:tmpl w:val="2E34CBA8"/>
    <w:lvl w:ilvl="0" w:tplc="89B6A30A">
      <w:start w:val="1"/>
      <w:numFmt w:val="lowerLetter"/>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23B693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4284809"/>
    <w:multiLevelType w:val="hybridMultilevel"/>
    <w:tmpl w:val="5BCC15D6"/>
    <w:lvl w:ilvl="0" w:tplc="08260F98">
      <w:start w:val="1"/>
      <w:numFmt w:val="lowerLetter"/>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8587310"/>
    <w:multiLevelType w:val="hybridMultilevel"/>
    <w:tmpl w:val="8D26551A"/>
    <w:lvl w:ilvl="0" w:tplc="32D4598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7E91BBE"/>
    <w:multiLevelType w:val="hybridMultilevel"/>
    <w:tmpl w:val="06C04FAC"/>
    <w:lvl w:ilvl="0" w:tplc="F6FE1EFC">
      <w:numFmt w:val="bullet"/>
      <w:lvlText w:val="-"/>
      <w:lvlJc w:val="left"/>
      <w:pPr>
        <w:tabs>
          <w:tab w:val="num" w:pos="1112"/>
        </w:tabs>
        <w:ind w:left="1112" w:hanging="360"/>
      </w:pPr>
      <w:rPr>
        <w:rFonts w:ascii="Arial" w:hAnsi="Arial" w:cs="Times New Roman"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3" w15:restartNumberingAfterBreak="0">
    <w:nsid w:val="3B020A94"/>
    <w:multiLevelType w:val="hybridMultilevel"/>
    <w:tmpl w:val="8D26551A"/>
    <w:lvl w:ilvl="0" w:tplc="32D4598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E4B7DAA"/>
    <w:multiLevelType w:val="hybridMultilevel"/>
    <w:tmpl w:val="B1BC2630"/>
    <w:lvl w:ilvl="0" w:tplc="637AB9C8">
      <w:start w:val="1"/>
      <w:numFmt w:val="decimal"/>
      <w:lvlText w:val="%1)"/>
      <w:lvlJc w:val="left"/>
      <w:pPr>
        <w:tabs>
          <w:tab w:val="num" w:pos="1440"/>
        </w:tabs>
        <w:ind w:left="1440" w:hanging="360"/>
      </w:pPr>
      <w:rPr>
        <w:rFonts w:cs="Times New Roman" w:hint="default"/>
      </w:rPr>
    </w:lvl>
    <w:lvl w:ilvl="1" w:tplc="C2CCC016" w:tentative="1">
      <w:start w:val="1"/>
      <w:numFmt w:val="lowerLetter"/>
      <w:lvlText w:val="%2."/>
      <w:lvlJc w:val="left"/>
      <w:pPr>
        <w:tabs>
          <w:tab w:val="num" w:pos="2160"/>
        </w:tabs>
        <w:ind w:left="2160" w:hanging="360"/>
      </w:pPr>
    </w:lvl>
    <w:lvl w:ilvl="2" w:tplc="7F520C4C" w:tentative="1">
      <w:start w:val="1"/>
      <w:numFmt w:val="lowerRoman"/>
      <w:lvlText w:val="%3."/>
      <w:lvlJc w:val="right"/>
      <w:pPr>
        <w:tabs>
          <w:tab w:val="num" w:pos="2880"/>
        </w:tabs>
        <w:ind w:left="2880" w:hanging="180"/>
      </w:pPr>
    </w:lvl>
    <w:lvl w:ilvl="3" w:tplc="FEA22EFE" w:tentative="1">
      <w:start w:val="1"/>
      <w:numFmt w:val="decimal"/>
      <w:lvlText w:val="%4."/>
      <w:lvlJc w:val="left"/>
      <w:pPr>
        <w:tabs>
          <w:tab w:val="num" w:pos="3600"/>
        </w:tabs>
        <w:ind w:left="3600" w:hanging="360"/>
      </w:pPr>
    </w:lvl>
    <w:lvl w:ilvl="4" w:tplc="16E80030" w:tentative="1">
      <w:start w:val="1"/>
      <w:numFmt w:val="lowerLetter"/>
      <w:lvlText w:val="%5."/>
      <w:lvlJc w:val="left"/>
      <w:pPr>
        <w:tabs>
          <w:tab w:val="num" w:pos="4320"/>
        </w:tabs>
        <w:ind w:left="4320" w:hanging="360"/>
      </w:pPr>
    </w:lvl>
    <w:lvl w:ilvl="5" w:tplc="B0F6687C" w:tentative="1">
      <w:start w:val="1"/>
      <w:numFmt w:val="lowerRoman"/>
      <w:lvlText w:val="%6."/>
      <w:lvlJc w:val="right"/>
      <w:pPr>
        <w:tabs>
          <w:tab w:val="num" w:pos="5040"/>
        </w:tabs>
        <w:ind w:left="5040" w:hanging="180"/>
      </w:pPr>
    </w:lvl>
    <w:lvl w:ilvl="6" w:tplc="EE283A6C" w:tentative="1">
      <w:start w:val="1"/>
      <w:numFmt w:val="decimal"/>
      <w:lvlText w:val="%7."/>
      <w:lvlJc w:val="left"/>
      <w:pPr>
        <w:tabs>
          <w:tab w:val="num" w:pos="5760"/>
        </w:tabs>
        <w:ind w:left="5760" w:hanging="360"/>
      </w:pPr>
    </w:lvl>
    <w:lvl w:ilvl="7" w:tplc="C4B860EC" w:tentative="1">
      <w:start w:val="1"/>
      <w:numFmt w:val="lowerLetter"/>
      <w:lvlText w:val="%8."/>
      <w:lvlJc w:val="left"/>
      <w:pPr>
        <w:tabs>
          <w:tab w:val="num" w:pos="6480"/>
        </w:tabs>
        <w:ind w:left="6480" w:hanging="360"/>
      </w:pPr>
    </w:lvl>
    <w:lvl w:ilvl="8" w:tplc="B75AACE8" w:tentative="1">
      <w:start w:val="1"/>
      <w:numFmt w:val="lowerRoman"/>
      <w:lvlText w:val="%9."/>
      <w:lvlJc w:val="right"/>
      <w:pPr>
        <w:tabs>
          <w:tab w:val="num" w:pos="7200"/>
        </w:tabs>
        <w:ind w:left="7200" w:hanging="180"/>
      </w:pPr>
    </w:lvl>
  </w:abstractNum>
  <w:abstractNum w:abstractNumId="15" w15:restartNumberingAfterBreak="0">
    <w:nsid w:val="403569F9"/>
    <w:multiLevelType w:val="hybridMultilevel"/>
    <w:tmpl w:val="245099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E977C9"/>
    <w:multiLevelType w:val="hybridMultilevel"/>
    <w:tmpl w:val="3CA02C6C"/>
    <w:lvl w:ilvl="0" w:tplc="B7AEFE40">
      <w:start w:val="1"/>
      <w:numFmt w:val="lowerLetter"/>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9A50B88"/>
    <w:multiLevelType w:val="hybridMultilevel"/>
    <w:tmpl w:val="333006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4BBB13F6"/>
    <w:multiLevelType w:val="hybridMultilevel"/>
    <w:tmpl w:val="C31ED728"/>
    <w:lvl w:ilvl="0" w:tplc="32D4598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D557F3D"/>
    <w:multiLevelType w:val="hybridMultilevel"/>
    <w:tmpl w:val="AB926C66"/>
    <w:lvl w:ilvl="0" w:tplc="1924D38C">
      <w:start w:val="1"/>
      <w:numFmt w:val="lowerLetter"/>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5A55245"/>
    <w:multiLevelType w:val="hybridMultilevel"/>
    <w:tmpl w:val="2A2435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6B51D7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903215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AE6027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D387FF6"/>
    <w:multiLevelType w:val="hybridMultilevel"/>
    <w:tmpl w:val="BB4010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38708F8"/>
    <w:multiLevelType w:val="hybridMultilevel"/>
    <w:tmpl w:val="3CA02C6C"/>
    <w:lvl w:ilvl="0" w:tplc="B7AEFE40">
      <w:start w:val="1"/>
      <w:numFmt w:val="lowerLetter"/>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1691847"/>
    <w:multiLevelType w:val="hybridMultilevel"/>
    <w:tmpl w:val="05DAE228"/>
    <w:lvl w:ilvl="0" w:tplc="0C8EE990">
      <w:start w:val="1"/>
      <w:numFmt w:val="lowerLetter"/>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4D14FD5"/>
    <w:multiLevelType w:val="hybridMultilevel"/>
    <w:tmpl w:val="C526E486"/>
    <w:lvl w:ilvl="0" w:tplc="6A00F7F2">
      <w:start w:val="16"/>
      <w:numFmt w:val="bullet"/>
      <w:lvlText w:val=""/>
      <w:lvlJc w:val="left"/>
      <w:pPr>
        <w:tabs>
          <w:tab w:val="num" w:pos="1472"/>
        </w:tabs>
        <w:ind w:left="1472" w:hanging="720"/>
      </w:pPr>
      <w:rPr>
        <w:rFonts w:ascii="Symbol" w:eastAsia="Times New Roman" w:hAnsi="Symbol" w:cs="Times New Roman"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8" w15:restartNumberingAfterBreak="0">
    <w:nsid w:val="7BE71BF5"/>
    <w:multiLevelType w:val="hybridMultilevel"/>
    <w:tmpl w:val="874E4A64"/>
    <w:lvl w:ilvl="0" w:tplc="5EF096B8">
      <w:start w:val="1"/>
      <w:numFmt w:val="bullet"/>
      <w:lvlText w:val="•"/>
      <w:lvlJc w:val="left"/>
      <w:pPr>
        <w:tabs>
          <w:tab w:val="num" w:pos="720"/>
        </w:tabs>
        <w:ind w:left="720" w:hanging="360"/>
      </w:pPr>
      <w:rPr>
        <w:rFonts w:ascii="Arial" w:hAnsi="Arial" w:hint="default"/>
      </w:rPr>
    </w:lvl>
    <w:lvl w:ilvl="1" w:tplc="BC36D5E2" w:tentative="1">
      <w:start w:val="1"/>
      <w:numFmt w:val="bullet"/>
      <w:lvlText w:val="•"/>
      <w:lvlJc w:val="left"/>
      <w:pPr>
        <w:tabs>
          <w:tab w:val="num" w:pos="1440"/>
        </w:tabs>
        <w:ind w:left="1440" w:hanging="360"/>
      </w:pPr>
      <w:rPr>
        <w:rFonts w:ascii="Arial" w:hAnsi="Arial" w:hint="default"/>
      </w:rPr>
    </w:lvl>
    <w:lvl w:ilvl="2" w:tplc="C742D84C" w:tentative="1">
      <w:start w:val="1"/>
      <w:numFmt w:val="bullet"/>
      <w:lvlText w:val="•"/>
      <w:lvlJc w:val="left"/>
      <w:pPr>
        <w:tabs>
          <w:tab w:val="num" w:pos="2160"/>
        </w:tabs>
        <w:ind w:left="2160" w:hanging="360"/>
      </w:pPr>
      <w:rPr>
        <w:rFonts w:ascii="Arial" w:hAnsi="Arial" w:hint="default"/>
      </w:rPr>
    </w:lvl>
    <w:lvl w:ilvl="3" w:tplc="8FB47304" w:tentative="1">
      <w:start w:val="1"/>
      <w:numFmt w:val="bullet"/>
      <w:lvlText w:val="•"/>
      <w:lvlJc w:val="left"/>
      <w:pPr>
        <w:tabs>
          <w:tab w:val="num" w:pos="2880"/>
        </w:tabs>
        <w:ind w:left="2880" w:hanging="360"/>
      </w:pPr>
      <w:rPr>
        <w:rFonts w:ascii="Arial" w:hAnsi="Arial" w:hint="default"/>
      </w:rPr>
    </w:lvl>
    <w:lvl w:ilvl="4" w:tplc="C0BEAECC" w:tentative="1">
      <w:start w:val="1"/>
      <w:numFmt w:val="bullet"/>
      <w:lvlText w:val="•"/>
      <w:lvlJc w:val="left"/>
      <w:pPr>
        <w:tabs>
          <w:tab w:val="num" w:pos="3600"/>
        </w:tabs>
        <w:ind w:left="3600" w:hanging="360"/>
      </w:pPr>
      <w:rPr>
        <w:rFonts w:ascii="Arial" w:hAnsi="Arial" w:hint="default"/>
      </w:rPr>
    </w:lvl>
    <w:lvl w:ilvl="5" w:tplc="6BF88E5C" w:tentative="1">
      <w:start w:val="1"/>
      <w:numFmt w:val="bullet"/>
      <w:lvlText w:val="•"/>
      <w:lvlJc w:val="left"/>
      <w:pPr>
        <w:tabs>
          <w:tab w:val="num" w:pos="4320"/>
        </w:tabs>
        <w:ind w:left="4320" w:hanging="360"/>
      </w:pPr>
      <w:rPr>
        <w:rFonts w:ascii="Arial" w:hAnsi="Arial" w:hint="default"/>
      </w:rPr>
    </w:lvl>
    <w:lvl w:ilvl="6" w:tplc="CB202BDC" w:tentative="1">
      <w:start w:val="1"/>
      <w:numFmt w:val="bullet"/>
      <w:lvlText w:val="•"/>
      <w:lvlJc w:val="left"/>
      <w:pPr>
        <w:tabs>
          <w:tab w:val="num" w:pos="5040"/>
        </w:tabs>
        <w:ind w:left="5040" w:hanging="360"/>
      </w:pPr>
      <w:rPr>
        <w:rFonts w:ascii="Arial" w:hAnsi="Arial" w:hint="default"/>
      </w:rPr>
    </w:lvl>
    <w:lvl w:ilvl="7" w:tplc="E2080E5C" w:tentative="1">
      <w:start w:val="1"/>
      <w:numFmt w:val="bullet"/>
      <w:lvlText w:val="•"/>
      <w:lvlJc w:val="left"/>
      <w:pPr>
        <w:tabs>
          <w:tab w:val="num" w:pos="5760"/>
        </w:tabs>
        <w:ind w:left="5760" w:hanging="360"/>
      </w:pPr>
      <w:rPr>
        <w:rFonts w:ascii="Arial" w:hAnsi="Arial" w:hint="default"/>
      </w:rPr>
    </w:lvl>
    <w:lvl w:ilvl="8" w:tplc="21286CEE" w:tentative="1">
      <w:start w:val="1"/>
      <w:numFmt w:val="bullet"/>
      <w:lvlText w:val="•"/>
      <w:lvlJc w:val="left"/>
      <w:pPr>
        <w:tabs>
          <w:tab w:val="num" w:pos="6480"/>
        </w:tabs>
        <w:ind w:left="6480" w:hanging="360"/>
      </w:pPr>
      <w:rPr>
        <w:rFonts w:ascii="Arial" w:hAnsi="Arial" w:hint="default"/>
      </w:rPr>
    </w:lvl>
  </w:abstractNum>
  <w:num w:numId="1">
    <w:abstractNumId w:val="14"/>
  </w:num>
  <w:num w:numId="2">
    <w:abstractNumId w:val="2"/>
  </w:num>
  <w:num w:numId="3">
    <w:abstractNumId w:val="9"/>
  </w:num>
  <w:num w:numId="4">
    <w:abstractNumId w:val="5"/>
  </w:num>
  <w:num w:numId="5">
    <w:abstractNumId w:val="21"/>
  </w:num>
  <w:num w:numId="6">
    <w:abstractNumId w:val="23"/>
  </w:num>
  <w:num w:numId="7">
    <w:abstractNumId w:val="3"/>
  </w:num>
  <w:num w:numId="8">
    <w:abstractNumId w:val="22"/>
  </w:num>
  <w:num w:numId="9">
    <w:abstractNumId w:val="6"/>
  </w:num>
  <w:num w:numId="10">
    <w:abstractNumId w:val="12"/>
  </w:num>
  <w:num w:numId="11">
    <w:abstractNumId w:val="27"/>
  </w:num>
  <w:num w:numId="12">
    <w:abstractNumId w:val="15"/>
  </w:num>
  <w:num w:numId="13">
    <w:abstractNumId w:val="19"/>
  </w:num>
  <w:num w:numId="14">
    <w:abstractNumId w:val="10"/>
  </w:num>
  <w:num w:numId="15">
    <w:abstractNumId w:val="0"/>
  </w:num>
  <w:num w:numId="16">
    <w:abstractNumId w:val="25"/>
  </w:num>
  <w:num w:numId="17">
    <w:abstractNumId w:val="24"/>
  </w:num>
  <w:num w:numId="18">
    <w:abstractNumId w:val="28"/>
  </w:num>
  <w:num w:numId="19">
    <w:abstractNumId w:val="8"/>
  </w:num>
  <w:num w:numId="20">
    <w:abstractNumId w:val="16"/>
  </w:num>
  <w:num w:numId="21">
    <w:abstractNumId w:val="1"/>
  </w:num>
  <w:num w:numId="22">
    <w:abstractNumId w:val="13"/>
  </w:num>
  <w:num w:numId="23">
    <w:abstractNumId w:val="11"/>
  </w:num>
  <w:num w:numId="24">
    <w:abstractNumId w:val="18"/>
  </w:num>
  <w:num w:numId="25">
    <w:abstractNumId w:val="7"/>
  </w:num>
  <w:num w:numId="26">
    <w:abstractNumId w:val="20"/>
  </w:num>
  <w:num w:numId="27">
    <w:abstractNumId w:val="26"/>
  </w:num>
  <w:num w:numId="28">
    <w:abstractNumId w:val="4"/>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6168"/>
    <w:rsid w:val="0000312C"/>
    <w:rsid w:val="00007461"/>
    <w:rsid w:val="000079CC"/>
    <w:rsid w:val="00010246"/>
    <w:rsid w:val="00011654"/>
    <w:rsid w:val="00011A63"/>
    <w:rsid w:val="000135A8"/>
    <w:rsid w:val="00030890"/>
    <w:rsid w:val="000502AD"/>
    <w:rsid w:val="00056CEA"/>
    <w:rsid w:val="000642D6"/>
    <w:rsid w:val="000823AC"/>
    <w:rsid w:val="0008289B"/>
    <w:rsid w:val="00085C90"/>
    <w:rsid w:val="000A021A"/>
    <w:rsid w:val="000A049E"/>
    <w:rsid w:val="000A3305"/>
    <w:rsid w:val="000A46A9"/>
    <w:rsid w:val="000C09B4"/>
    <w:rsid w:val="000C1D36"/>
    <w:rsid w:val="000C22A7"/>
    <w:rsid w:val="000C4457"/>
    <w:rsid w:val="000D6DE5"/>
    <w:rsid w:val="000E03BE"/>
    <w:rsid w:val="000F77FD"/>
    <w:rsid w:val="00103201"/>
    <w:rsid w:val="00107207"/>
    <w:rsid w:val="00115E80"/>
    <w:rsid w:val="001174AC"/>
    <w:rsid w:val="00151052"/>
    <w:rsid w:val="0015409F"/>
    <w:rsid w:val="00157815"/>
    <w:rsid w:val="00166254"/>
    <w:rsid w:val="001663A4"/>
    <w:rsid w:val="00167DA9"/>
    <w:rsid w:val="00176076"/>
    <w:rsid w:val="00176160"/>
    <w:rsid w:val="00181A66"/>
    <w:rsid w:val="001956C7"/>
    <w:rsid w:val="001A4946"/>
    <w:rsid w:val="001A4D75"/>
    <w:rsid w:val="001B721D"/>
    <w:rsid w:val="001C1FE6"/>
    <w:rsid w:val="001C5270"/>
    <w:rsid w:val="001C6839"/>
    <w:rsid w:val="001E39D4"/>
    <w:rsid w:val="001F20D0"/>
    <w:rsid w:val="001F3524"/>
    <w:rsid w:val="001F45FF"/>
    <w:rsid w:val="001F77D5"/>
    <w:rsid w:val="00200526"/>
    <w:rsid w:val="00203453"/>
    <w:rsid w:val="0021278D"/>
    <w:rsid w:val="00214F52"/>
    <w:rsid w:val="00225D48"/>
    <w:rsid w:val="00230A0E"/>
    <w:rsid w:val="002315A5"/>
    <w:rsid w:val="00232597"/>
    <w:rsid w:val="00234FCA"/>
    <w:rsid w:val="00237434"/>
    <w:rsid w:val="002547CF"/>
    <w:rsid w:val="0026321D"/>
    <w:rsid w:val="00283ACC"/>
    <w:rsid w:val="0029420C"/>
    <w:rsid w:val="002B5DAF"/>
    <w:rsid w:val="002C2064"/>
    <w:rsid w:val="002C4B80"/>
    <w:rsid w:val="002D0D41"/>
    <w:rsid w:val="002D32B9"/>
    <w:rsid w:val="002E495B"/>
    <w:rsid w:val="002F0C46"/>
    <w:rsid w:val="002F10B4"/>
    <w:rsid w:val="002F4AF3"/>
    <w:rsid w:val="002F7E65"/>
    <w:rsid w:val="003064C0"/>
    <w:rsid w:val="00316649"/>
    <w:rsid w:val="0032175A"/>
    <w:rsid w:val="00322DEA"/>
    <w:rsid w:val="00343104"/>
    <w:rsid w:val="00346615"/>
    <w:rsid w:val="00354CB5"/>
    <w:rsid w:val="0035754A"/>
    <w:rsid w:val="00357B0E"/>
    <w:rsid w:val="00363EC5"/>
    <w:rsid w:val="00366AD1"/>
    <w:rsid w:val="0037523B"/>
    <w:rsid w:val="003752C5"/>
    <w:rsid w:val="0037609E"/>
    <w:rsid w:val="0038305A"/>
    <w:rsid w:val="003B037A"/>
    <w:rsid w:val="003B422F"/>
    <w:rsid w:val="003B716E"/>
    <w:rsid w:val="003C6C8A"/>
    <w:rsid w:val="003D653B"/>
    <w:rsid w:val="003E28FF"/>
    <w:rsid w:val="003F0F1F"/>
    <w:rsid w:val="004004FC"/>
    <w:rsid w:val="004055FE"/>
    <w:rsid w:val="00417008"/>
    <w:rsid w:val="00424E4F"/>
    <w:rsid w:val="004352A1"/>
    <w:rsid w:val="00461D62"/>
    <w:rsid w:val="004637E8"/>
    <w:rsid w:val="004864AA"/>
    <w:rsid w:val="00486935"/>
    <w:rsid w:val="00490D0A"/>
    <w:rsid w:val="00492C65"/>
    <w:rsid w:val="004B3911"/>
    <w:rsid w:val="004C4CF9"/>
    <w:rsid w:val="004C595C"/>
    <w:rsid w:val="004C6E46"/>
    <w:rsid w:val="004D3DBE"/>
    <w:rsid w:val="00500186"/>
    <w:rsid w:val="0051183A"/>
    <w:rsid w:val="00516AC8"/>
    <w:rsid w:val="00517955"/>
    <w:rsid w:val="00525078"/>
    <w:rsid w:val="00530FDE"/>
    <w:rsid w:val="00532CB3"/>
    <w:rsid w:val="00537A80"/>
    <w:rsid w:val="00540880"/>
    <w:rsid w:val="00546DF6"/>
    <w:rsid w:val="005474ED"/>
    <w:rsid w:val="00592207"/>
    <w:rsid w:val="00597D45"/>
    <w:rsid w:val="005A1FD0"/>
    <w:rsid w:val="005A2947"/>
    <w:rsid w:val="005A7B65"/>
    <w:rsid w:val="005B7FFD"/>
    <w:rsid w:val="005C1046"/>
    <w:rsid w:val="005C256C"/>
    <w:rsid w:val="005C6168"/>
    <w:rsid w:val="005C7635"/>
    <w:rsid w:val="005E0C05"/>
    <w:rsid w:val="005F2E08"/>
    <w:rsid w:val="005F6261"/>
    <w:rsid w:val="00606B2E"/>
    <w:rsid w:val="00612159"/>
    <w:rsid w:val="00614AE2"/>
    <w:rsid w:val="006211A2"/>
    <w:rsid w:val="0062135D"/>
    <w:rsid w:val="00625987"/>
    <w:rsid w:val="00625D4D"/>
    <w:rsid w:val="00631C1C"/>
    <w:rsid w:val="00635929"/>
    <w:rsid w:val="00635F33"/>
    <w:rsid w:val="0064746F"/>
    <w:rsid w:val="006545EE"/>
    <w:rsid w:val="00670E10"/>
    <w:rsid w:val="00673710"/>
    <w:rsid w:val="00674B1A"/>
    <w:rsid w:val="006801A9"/>
    <w:rsid w:val="006900FE"/>
    <w:rsid w:val="006927C1"/>
    <w:rsid w:val="006B075D"/>
    <w:rsid w:val="006E61CA"/>
    <w:rsid w:val="006F34CC"/>
    <w:rsid w:val="00700521"/>
    <w:rsid w:val="00701A64"/>
    <w:rsid w:val="007160E7"/>
    <w:rsid w:val="007178AD"/>
    <w:rsid w:val="0072147E"/>
    <w:rsid w:val="00725A36"/>
    <w:rsid w:val="00732FF5"/>
    <w:rsid w:val="00733E6A"/>
    <w:rsid w:val="0075043E"/>
    <w:rsid w:val="00750717"/>
    <w:rsid w:val="00751358"/>
    <w:rsid w:val="00760E32"/>
    <w:rsid w:val="00764E41"/>
    <w:rsid w:val="00771515"/>
    <w:rsid w:val="007732DB"/>
    <w:rsid w:val="0077384D"/>
    <w:rsid w:val="00776056"/>
    <w:rsid w:val="00783CF3"/>
    <w:rsid w:val="0078599A"/>
    <w:rsid w:val="00790C12"/>
    <w:rsid w:val="007A4F15"/>
    <w:rsid w:val="007C05FE"/>
    <w:rsid w:val="007C1B15"/>
    <w:rsid w:val="007C5A24"/>
    <w:rsid w:val="007D4ED6"/>
    <w:rsid w:val="007E1663"/>
    <w:rsid w:val="008018C5"/>
    <w:rsid w:val="00806443"/>
    <w:rsid w:val="00813F1E"/>
    <w:rsid w:val="0081403B"/>
    <w:rsid w:val="00837C4B"/>
    <w:rsid w:val="00842737"/>
    <w:rsid w:val="00843006"/>
    <w:rsid w:val="008440D9"/>
    <w:rsid w:val="00844110"/>
    <w:rsid w:val="00845340"/>
    <w:rsid w:val="0085505E"/>
    <w:rsid w:val="00867AAC"/>
    <w:rsid w:val="00882ECA"/>
    <w:rsid w:val="008844F7"/>
    <w:rsid w:val="008A3D3B"/>
    <w:rsid w:val="008B06DD"/>
    <w:rsid w:val="008B116C"/>
    <w:rsid w:val="008C1252"/>
    <w:rsid w:val="008D1D03"/>
    <w:rsid w:val="008D4556"/>
    <w:rsid w:val="008D791F"/>
    <w:rsid w:val="008E3E1D"/>
    <w:rsid w:val="008E7816"/>
    <w:rsid w:val="008F0A97"/>
    <w:rsid w:val="008F3024"/>
    <w:rsid w:val="008F40ED"/>
    <w:rsid w:val="00920DBC"/>
    <w:rsid w:val="009353D7"/>
    <w:rsid w:val="00935B27"/>
    <w:rsid w:val="00942B3B"/>
    <w:rsid w:val="0094589F"/>
    <w:rsid w:val="00952DC7"/>
    <w:rsid w:val="00956552"/>
    <w:rsid w:val="009600FF"/>
    <w:rsid w:val="00966C72"/>
    <w:rsid w:val="0097079A"/>
    <w:rsid w:val="0097197E"/>
    <w:rsid w:val="00975566"/>
    <w:rsid w:val="00990CED"/>
    <w:rsid w:val="0099335A"/>
    <w:rsid w:val="009A0824"/>
    <w:rsid w:val="009B1044"/>
    <w:rsid w:val="009B4B72"/>
    <w:rsid w:val="009B76A1"/>
    <w:rsid w:val="009E2C14"/>
    <w:rsid w:val="009E4429"/>
    <w:rsid w:val="009E7526"/>
    <w:rsid w:val="009F21FD"/>
    <w:rsid w:val="009F4EB3"/>
    <w:rsid w:val="00A0001A"/>
    <w:rsid w:val="00A0594D"/>
    <w:rsid w:val="00A130C4"/>
    <w:rsid w:val="00A1786A"/>
    <w:rsid w:val="00A210CD"/>
    <w:rsid w:val="00A30EBB"/>
    <w:rsid w:val="00A40130"/>
    <w:rsid w:val="00A44F24"/>
    <w:rsid w:val="00A45528"/>
    <w:rsid w:val="00A57002"/>
    <w:rsid w:val="00A57912"/>
    <w:rsid w:val="00A613C2"/>
    <w:rsid w:val="00A661F9"/>
    <w:rsid w:val="00A7108C"/>
    <w:rsid w:val="00A735E4"/>
    <w:rsid w:val="00A74149"/>
    <w:rsid w:val="00A85E34"/>
    <w:rsid w:val="00A861D4"/>
    <w:rsid w:val="00AB4D93"/>
    <w:rsid w:val="00AF03C5"/>
    <w:rsid w:val="00AF04CB"/>
    <w:rsid w:val="00AF320A"/>
    <w:rsid w:val="00B00E5C"/>
    <w:rsid w:val="00B0478B"/>
    <w:rsid w:val="00B053BE"/>
    <w:rsid w:val="00B2050D"/>
    <w:rsid w:val="00B25B8C"/>
    <w:rsid w:val="00B32ADA"/>
    <w:rsid w:val="00B4122F"/>
    <w:rsid w:val="00B4782A"/>
    <w:rsid w:val="00B521D4"/>
    <w:rsid w:val="00B55B85"/>
    <w:rsid w:val="00B64ACA"/>
    <w:rsid w:val="00B76707"/>
    <w:rsid w:val="00B95D24"/>
    <w:rsid w:val="00B96E3F"/>
    <w:rsid w:val="00BB0B65"/>
    <w:rsid w:val="00BC38E0"/>
    <w:rsid w:val="00BC735B"/>
    <w:rsid w:val="00BD2655"/>
    <w:rsid w:val="00BE2925"/>
    <w:rsid w:val="00C0001A"/>
    <w:rsid w:val="00C33A75"/>
    <w:rsid w:val="00C522C9"/>
    <w:rsid w:val="00C543C5"/>
    <w:rsid w:val="00C66DE1"/>
    <w:rsid w:val="00C75B92"/>
    <w:rsid w:val="00C82F5B"/>
    <w:rsid w:val="00C91136"/>
    <w:rsid w:val="00C91715"/>
    <w:rsid w:val="00C97E31"/>
    <w:rsid w:val="00CA06AC"/>
    <w:rsid w:val="00CA4CD2"/>
    <w:rsid w:val="00CA6190"/>
    <w:rsid w:val="00CA7116"/>
    <w:rsid w:val="00CB647D"/>
    <w:rsid w:val="00CE1850"/>
    <w:rsid w:val="00CF67C5"/>
    <w:rsid w:val="00D066E2"/>
    <w:rsid w:val="00D117F9"/>
    <w:rsid w:val="00D20A1D"/>
    <w:rsid w:val="00D30BE3"/>
    <w:rsid w:val="00D32850"/>
    <w:rsid w:val="00D36944"/>
    <w:rsid w:val="00D4771F"/>
    <w:rsid w:val="00D578C9"/>
    <w:rsid w:val="00D80A4F"/>
    <w:rsid w:val="00D9192E"/>
    <w:rsid w:val="00DA107E"/>
    <w:rsid w:val="00DA7CFB"/>
    <w:rsid w:val="00DA7DB9"/>
    <w:rsid w:val="00DB31C8"/>
    <w:rsid w:val="00DC0BBD"/>
    <w:rsid w:val="00DC4D86"/>
    <w:rsid w:val="00DC60CC"/>
    <w:rsid w:val="00DC6B2C"/>
    <w:rsid w:val="00DC7354"/>
    <w:rsid w:val="00DD4368"/>
    <w:rsid w:val="00DF0357"/>
    <w:rsid w:val="00DF1862"/>
    <w:rsid w:val="00E01067"/>
    <w:rsid w:val="00E06A4E"/>
    <w:rsid w:val="00E1172D"/>
    <w:rsid w:val="00E1547F"/>
    <w:rsid w:val="00E160D3"/>
    <w:rsid w:val="00E17443"/>
    <w:rsid w:val="00E239E9"/>
    <w:rsid w:val="00E32ACA"/>
    <w:rsid w:val="00E37C11"/>
    <w:rsid w:val="00E37E7A"/>
    <w:rsid w:val="00E64242"/>
    <w:rsid w:val="00E770DC"/>
    <w:rsid w:val="00EA7740"/>
    <w:rsid w:val="00EB4F9C"/>
    <w:rsid w:val="00EC088E"/>
    <w:rsid w:val="00EC4D8C"/>
    <w:rsid w:val="00EC7BBC"/>
    <w:rsid w:val="00ED3974"/>
    <w:rsid w:val="00ED668D"/>
    <w:rsid w:val="00EE1D60"/>
    <w:rsid w:val="00EE2A06"/>
    <w:rsid w:val="00EF38B7"/>
    <w:rsid w:val="00EF6D96"/>
    <w:rsid w:val="00F01FDE"/>
    <w:rsid w:val="00F16195"/>
    <w:rsid w:val="00F20CFE"/>
    <w:rsid w:val="00F2269C"/>
    <w:rsid w:val="00F309C1"/>
    <w:rsid w:val="00F31949"/>
    <w:rsid w:val="00F37FA7"/>
    <w:rsid w:val="00F476FE"/>
    <w:rsid w:val="00F53770"/>
    <w:rsid w:val="00F555A7"/>
    <w:rsid w:val="00F777F6"/>
    <w:rsid w:val="00F826EC"/>
    <w:rsid w:val="00F84FD4"/>
    <w:rsid w:val="00F91CC5"/>
    <w:rsid w:val="00F93487"/>
    <w:rsid w:val="00FB2C4C"/>
    <w:rsid w:val="00FB3DB2"/>
    <w:rsid w:val="00FC5BB2"/>
    <w:rsid w:val="00FD0E4D"/>
    <w:rsid w:val="00FE0104"/>
    <w:rsid w:val="00FE3711"/>
    <w:rsid w:val="00FE3A75"/>
    <w:rsid w:val="00FF3E9E"/>
    <w:rsid w:val="00FF5BC4"/>
    <w:rsid w:val="00FF73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C24FADE"/>
  <w15:docId w15:val="{258E6E67-0CB9-4018-B73A-2B1A9A9AC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F5BC4"/>
    <w:pPr>
      <w:widowControl w:val="0"/>
    </w:pPr>
    <w:rPr>
      <w:sz w:val="24"/>
    </w:rPr>
  </w:style>
  <w:style w:type="paragraph" w:styleId="Heading1">
    <w:name w:val="heading 1"/>
    <w:basedOn w:val="Normal"/>
    <w:next w:val="Normal"/>
    <w:link w:val="Heading1Char"/>
    <w:qFormat/>
    <w:rsid w:val="00DC735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qFormat/>
    <w:rsid w:val="00FF5BC4"/>
    <w:pPr>
      <w:keepNext/>
      <w:shd w:val="pct15" w:color="auto" w:fill="FFFFFF"/>
      <w:jc w:val="center"/>
      <w:outlineLvl w:val="2"/>
    </w:pPr>
    <w:rPr>
      <w:rFonts w:ascii="Arial" w:hAnsi="Arial"/>
      <w:bCs/>
    </w:rPr>
  </w:style>
  <w:style w:type="paragraph" w:styleId="Heading4">
    <w:name w:val="heading 4"/>
    <w:basedOn w:val="Normal"/>
    <w:next w:val="Normal"/>
    <w:qFormat/>
    <w:rsid w:val="00FF5BC4"/>
    <w:pPr>
      <w:keepNext/>
      <w:jc w:val="center"/>
      <w:outlineLvl w:val="3"/>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F5BC4"/>
    <w:pPr>
      <w:widowControl/>
    </w:pPr>
    <w:rPr>
      <w:rFonts w:ascii="Univers" w:hAnsi="Univers"/>
      <w:sz w:val="22"/>
    </w:rPr>
  </w:style>
  <w:style w:type="paragraph" w:styleId="BodyText2">
    <w:name w:val="Body Text 2"/>
    <w:basedOn w:val="Normal"/>
    <w:rsid w:val="00FF5BC4"/>
    <w:pPr>
      <w:widowControl/>
    </w:pPr>
    <w:rPr>
      <w:rFonts w:ascii="Arial" w:hAnsi="Arial"/>
      <w:sz w:val="20"/>
    </w:rPr>
  </w:style>
  <w:style w:type="paragraph" w:styleId="BodyText3">
    <w:name w:val="Body Text 3"/>
    <w:basedOn w:val="Normal"/>
    <w:rsid w:val="00FF5BC4"/>
    <w:pPr>
      <w:jc w:val="both"/>
    </w:pPr>
    <w:rPr>
      <w:szCs w:val="24"/>
    </w:rPr>
  </w:style>
  <w:style w:type="paragraph" w:styleId="Header">
    <w:name w:val="header"/>
    <w:basedOn w:val="Normal"/>
    <w:rsid w:val="00FF5BC4"/>
    <w:pPr>
      <w:tabs>
        <w:tab w:val="center" w:pos="4320"/>
        <w:tab w:val="right" w:pos="8640"/>
      </w:tabs>
    </w:pPr>
  </w:style>
  <w:style w:type="paragraph" w:styleId="Footer">
    <w:name w:val="footer"/>
    <w:basedOn w:val="Normal"/>
    <w:link w:val="FooterChar"/>
    <w:uiPriority w:val="99"/>
    <w:rsid w:val="00FF5BC4"/>
    <w:pPr>
      <w:tabs>
        <w:tab w:val="center" w:pos="4320"/>
        <w:tab w:val="right" w:pos="8640"/>
      </w:tabs>
    </w:pPr>
  </w:style>
  <w:style w:type="table" w:styleId="TableGrid">
    <w:name w:val="Table Grid"/>
    <w:basedOn w:val="TableNormal"/>
    <w:rsid w:val="008018C5"/>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DC7354"/>
    <w:rPr>
      <w:rFonts w:asciiTheme="majorHAnsi" w:eastAsiaTheme="majorEastAsia" w:hAnsiTheme="majorHAnsi" w:cstheme="majorBidi"/>
      <w:b/>
      <w:bCs/>
      <w:color w:val="365F91" w:themeColor="accent1" w:themeShade="BF"/>
      <w:sz w:val="28"/>
      <w:szCs w:val="28"/>
    </w:rPr>
  </w:style>
  <w:style w:type="character" w:customStyle="1" w:styleId="FooterChar">
    <w:name w:val="Footer Char"/>
    <w:basedOn w:val="DefaultParagraphFont"/>
    <w:link w:val="Footer"/>
    <w:uiPriority w:val="99"/>
    <w:rsid w:val="00A210CD"/>
    <w:rPr>
      <w:sz w:val="24"/>
    </w:rPr>
  </w:style>
  <w:style w:type="paragraph" w:styleId="FootnoteText">
    <w:name w:val="footnote text"/>
    <w:basedOn w:val="Normal"/>
    <w:link w:val="FootnoteTextChar"/>
    <w:rsid w:val="001F3524"/>
    <w:rPr>
      <w:sz w:val="20"/>
    </w:rPr>
  </w:style>
  <w:style w:type="character" w:customStyle="1" w:styleId="FootnoteTextChar">
    <w:name w:val="Footnote Text Char"/>
    <w:basedOn w:val="DefaultParagraphFont"/>
    <w:link w:val="FootnoteText"/>
    <w:rsid w:val="001F3524"/>
  </w:style>
  <w:style w:type="character" w:styleId="FootnoteReference">
    <w:name w:val="footnote reference"/>
    <w:basedOn w:val="DefaultParagraphFont"/>
    <w:rsid w:val="001F3524"/>
    <w:rPr>
      <w:vertAlign w:val="superscript"/>
    </w:rPr>
  </w:style>
  <w:style w:type="paragraph" w:styleId="ListParagraph">
    <w:name w:val="List Paragraph"/>
    <w:basedOn w:val="Normal"/>
    <w:uiPriority w:val="34"/>
    <w:qFormat/>
    <w:rsid w:val="00181A66"/>
    <w:pPr>
      <w:widowControl/>
      <w:ind w:left="720"/>
      <w:contextualSpacing/>
    </w:pPr>
    <w:rPr>
      <w:szCs w:val="24"/>
      <w:lang w:val="en-GB" w:eastAsia="en-GB"/>
    </w:rPr>
  </w:style>
  <w:style w:type="paragraph" w:styleId="BalloonText">
    <w:name w:val="Balloon Text"/>
    <w:basedOn w:val="Normal"/>
    <w:link w:val="BalloonTextChar"/>
    <w:rsid w:val="00200526"/>
    <w:rPr>
      <w:rFonts w:ascii="Lucida Grande" w:hAnsi="Lucida Grande" w:cs="Lucida Grande"/>
      <w:sz w:val="18"/>
      <w:szCs w:val="18"/>
    </w:rPr>
  </w:style>
  <w:style w:type="character" w:customStyle="1" w:styleId="BalloonTextChar">
    <w:name w:val="Balloon Text Char"/>
    <w:basedOn w:val="DefaultParagraphFont"/>
    <w:link w:val="BalloonText"/>
    <w:rsid w:val="00200526"/>
    <w:rPr>
      <w:rFonts w:ascii="Lucida Grande" w:hAnsi="Lucida Grande" w:cs="Lucida Grande"/>
      <w:sz w:val="18"/>
      <w:szCs w:val="18"/>
    </w:rPr>
  </w:style>
  <w:style w:type="character" w:customStyle="1" w:styleId="roaroutcomename">
    <w:name w:val="roar_outcomename"/>
    <w:basedOn w:val="DefaultParagraphFont"/>
    <w:rsid w:val="00500186"/>
  </w:style>
  <w:style w:type="character" w:customStyle="1" w:styleId="shorttext">
    <w:name w:val="short_text"/>
    <w:basedOn w:val="DefaultParagraphFont"/>
    <w:rsid w:val="00670E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4087665">
      <w:bodyDiv w:val="1"/>
      <w:marLeft w:val="0"/>
      <w:marRight w:val="0"/>
      <w:marTop w:val="0"/>
      <w:marBottom w:val="0"/>
      <w:divBdr>
        <w:top w:val="none" w:sz="0" w:space="0" w:color="auto"/>
        <w:left w:val="none" w:sz="0" w:space="0" w:color="auto"/>
        <w:bottom w:val="none" w:sz="0" w:space="0" w:color="auto"/>
        <w:right w:val="none" w:sz="0" w:space="0" w:color="auto"/>
      </w:divBdr>
    </w:div>
    <w:div w:id="1071006013">
      <w:bodyDiv w:val="1"/>
      <w:marLeft w:val="0"/>
      <w:marRight w:val="0"/>
      <w:marTop w:val="0"/>
      <w:marBottom w:val="0"/>
      <w:divBdr>
        <w:top w:val="none" w:sz="0" w:space="0" w:color="auto"/>
        <w:left w:val="none" w:sz="0" w:space="0" w:color="auto"/>
        <w:bottom w:val="none" w:sz="0" w:space="0" w:color="auto"/>
        <w:right w:val="none" w:sz="0" w:space="0" w:color="auto"/>
      </w:divBdr>
      <w:divsChild>
        <w:div w:id="1609578635">
          <w:marLeft w:val="0"/>
          <w:marRight w:val="0"/>
          <w:marTop w:val="225"/>
          <w:marBottom w:val="150"/>
          <w:divBdr>
            <w:top w:val="none" w:sz="0" w:space="0" w:color="auto"/>
            <w:left w:val="none" w:sz="0" w:space="0" w:color="auto"/>
            <w:bottom w:val="none" w:sz="0" w:space="0" w:color="auto"/>
            <w:right w:val="none" w:sz="0" w:space="0" w:color="auto"/>
          </w:divBdr>
        </w:div>
      </w:divsChild>
    </w:div>
    <w:div w:id="1492255610">
      <w:bodyDiv w:val="1"/>
      <w:marLeft w:val="0"/>
      <w:marRight w:val="0"/>
      <w:marTop w:val="0"/>
      <w:marBottom w:val="0"/>
      <w:divBdr>
        <w:top w:val="none" w:sz="0" w:space="0" w:color="auto"/>
        <w:left w:val="none" w:sz="0" w:space="0" w:color="auto"/>
        <w:bottom w:val="none" w:sz="0" w:space="0" w:color="auto"/>
        <w:right w:val="none" w:sz="0" w:space="0" w:color="auto"/>
      </w:divBdr>
      <w:divsChild>
        <w:div w:id="1226645719">
          <w:marLeft w:val="446"/>
          <w:marRight w:val="0"/>
          <w:marTop w:val="0"/>
          <w:marBottom w:val="0"/>
          <w:divBdr>
            <w:top w:val="none" w:sz="0" w:space="0" w:color="auto"/>
            <w:left w:val="none" w:sz="0" w:space="0" w:color="auto"/>
            <w:bottom w:val="none" w:sz="0" w:space="0" w:color="auto"/>
            <w:right w:val="none" w:sz="0" w:space="0" w:color="auto"/>
          </w:divBdr>
        </w:div>
      </w:divsChild>
    </w:div>
    <w:div w:id="1758745392">
      <w:bodyDiv w:val="1"/>
      <w:marLeft w:val="0"/>
      <w:marRight w:val="0"/>
      <w:marTop w:val="0"/>
      <w:marBottom w:val="0"/>
      <w:divBdr>
        <w:top w:val="none" w:sz="0" w:space="0" w:color="auto"/>
        <w:left w:val="none" w:sz="0" w:space="0" w:color="auto"/>
        <w:bottom w:val="none" w:sz="0" w:space="0" w:color="auto"/>
        <w:right w:val="none" w:sz="0" w:space="0" w:color="auto"/>
      </w:divBdr>
    </w:div>
    <w:div w:id="1770461887">
      <w:bodyDiv w:val="1"/>
      <w:marLeft w:val="0"/>
      <w:marRight w:val="0"/>
      <w:marTop w:val="0"/>
      <w:marBottom w:val="0"/>
      <w:divBdr>
        <w:top w:val="none" w:sz="0" w:space="0" w:color="auto"/>
        <w:left w:val="none" w:sz="0" w:space="0" w:color="auto"/>
        <w:bottom w:val="none" w:sz="0" w:space="0" w:color="auto"/>
        <w:right w:val="none" w:sz="0" w:space="0" w:color="auto"/>
      </w:divBdr>
    </w:div>
    <w:div w:id="1956253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UNDPPlannedReviewDate xmlns="83ed2304-0f0e-45ba-b0cc-7d360cbc1769"/>
    <UNDPEffectiveDate xmlns="83ed2304-0f0e-45ba-b0cc-7d360cbc1769"/>
    <UNDPResponsibleUnit xmlns="83ed2304-0f0e-45ba-b0cc-7d360cbc1769"/>
    <UNDPCreator xmlns="83ed2304-0f0e-45ba-b0cc-7d360cbc1769">
      <UserInfo>
        <DisplayName/>
        <AccountId/>
        <AccountType/>
      </UserInfo>
    </UNDPCreator>
    <UNDPApplicability xmlns="83ed2304-0f0e-45ba-b0cc-7d360cbc1769"/>
    <UNDPActualReviewDate xmlns="83ed2304-0f0e-45ba-b0cc-7d360cbc1769" xsi:nil="true"/>
    <UNDPPOPPFunctionalArea xmlns="83ed2304-0f0e-45ba-b0cc-7d360cbc1769">Programme and Project</UNDPPOPPFunctionalArea>
    <UNDPPOPPSubprocess xmlns="83ed2304-0f0e-45ba-b0cc-7d360cbc1769">Programme Completion and Transition</UNDPPOPPSubprocess>
    <UNDPPublishedDate xmlns="83ed2304-0f0e-45ba-b0cc-7d360cbc1769"/>
    <UNDPPOPPProcess xmlns="83ed2304-0f0e-45ba-b0cc-7d360cbc1769">Programme Management</UNDPPOPPProcess>
    <UNDPPOPPSubsubprocess xmlns="83ed2304-0f0e-45ba-b0cc-7d360cbc1769" xsi:nil="true"/>
    <UNDPIssuanceDate xmlns="83ed2304-0f0e-45ba-b0cc-7d360cbc1769"/>
    <UNDPSummary xmlns="83ed2304-0f0e-45ba-b0cc-7d360cbc1769" xsi:nil="true"/>
    <UNDPFocalpoint xmlns="83ed2304-0f0e-45ba-b0cc-7d360cbc1769">
      <UserInfo>
        <DisplayName/>
        <AccountId/>
        <AccountType/>
      </UserInfo>
    </UNDPFocalpoint>
    <UNDPPOPPKeywordsTaxHTField0 xmlns="83ed2304-0f0e-45ba-b0cc-7d360cbc1769">
      <Terms xmlns="http://schemas.microsoft.com/office/infopath/2007/PartnerControls"/>
    </UNDPPOPPKeywordsTaxHTField0>
    <UNDPPOPPSubsubsubprocess xmlns="83ed2304-0f0e-45ba-b0cc-7d360cbc1769" xsi:nil="true"/>
    <UNDPPOPPPrescriptiveContentSelection xmlns="83ed2304-0f0e-45ba-b0cc-7d360cbc1769"/>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28e6c43a-9e99-4bdd-9574-a0fa4ea3b61e" ContentTypeId="0x01010023A92725C93E4830A7421C44D384B7FC00AA2C51EDC20547BE9D8059E930612AF9" PreviousValue="false"/>
</file>

<file path=customXml/item5.xml><?xml version="1.0" encoding="utf-8"?>
<ct:contentTypeSchema xmlns:ct="http://schemas.microsoft.com/office/2006/metadata/contentType" xmlns:ma="http://schemas.microsoft.com/office/2006/metadata/properties/metaAttributes" ct:_="" ma:_="" ma:contentTypeName="POPP Deliverable" ma:contentTypeID="0x01010023A92725C93E4830A7421C44D384B7FC00AA2C51EDC20547BE9D8059E930612AF900BB1DAF2B020D674E95D024E21C9B8446" ma:contentTypeVersion="271" ma:contentTypeDescription="Create a new POPP Deliverable document" ma:contentTypeScope="" ma:versionID="e6de6f4a163210476040df223df441e8">
  <xsd:schema xmlns:xsd="http://www.w3.org/2001/XMLSchema" xmlns:xs="http://www.w3.org/2001/XMLSchema" xmlns:p="http://schemas.microsoft.com/office/2006/metadata/properties" xmlns:ns2="83ed2304-0f0e-45ba-b0cc-7d360cbc1769" targetNamespace="http://schemas.microsoft.com/office/2006/metadata/properties" ma:root="true" ma:fieldsID="75b7e553a872fe2836fe2ecc2b8c7ab0" ns2:_="">
    <xsd:import namespace="83ed2304-0f0e-45ba-b0cc-7d360cbc1769"/>
    <xsd:element name="properties">
      <xsd:complexType>
        <xsd:sequence>
          <xsd:element name="documentManagement">
            <xsd:complexType>
              <xsd:all>
                <xsd:element ref="ns2:UNDPPOPPPrescriptiveContentSelection"/>
                <xsd:element ref="ns2:UNDPPOPPFunctionalArea" minOccurs="0"/>
                <xsd:element ref="ns2:UNDPPOPPProcess" minOccurs="0"/>
                <xsd:element ref="ns2:UNDPPOPPSubprocess" minOccurs="0"/>
                <xsd:element ref="ns2:UNDPPOPPSubsubprocess" minOccurs="0"/>
                <xsd:element ref="ns2:UNDPPOPPSubsubsubprocess" minOccurs="0"/>
                <xsd:element ref="ns2:UNDPPOPPKeywordsTaxHTField0" minOccurs="0"/>
                <xsd:element ref="ns2:UNDPFocalpoint"/>
                <xsd:element ref="ns2:UNDPPublishedDate"/>
                <xsd:element ref="ns2:UNDPEffectiveDate"/>
                <xsd:element ref="ns2:UNDPResponsibleUnit"/>
                <xsd:element ref="ns2:UNDPCreator"/>
                <xsd:element ref="ns2:UNDPIssuanceDate"/>
                <xsd:element ref="ns2:UNDPPlannedReviewDate"/>
                <xsd:element ref="ns2:UNDPActualReviewDate" minOccurs="0"/>
                <xsd:element ref="ns2:UNDPSummary" minOccurs="0"/>
                <xsd:element ref="ns2:UNDPApplicabilit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ed2304-0f0e-45ba-b0cc-7d360cbc1769" elementFormDefault="qualified">
    <xsd:import namespace="http://schemas.microsoft.com/office/2006/documentManagement/types"/>
    <xsd:import namespace="http://schemas.microsoft.com/office/infopath/2007/PartnerControls"/>
    <xsd:element name="UNDPPOPPPrescriptiveContentSelection" ma:index="8" ma:displayName="POPP Prescriptive Content Selection" ma:format="RadioButtons" ma:internalName="UNDPPOPPPrescriptiveContentSelection" ma:readOnly="false">
      <xsd:simpleType>
        <xsd:restriction base="dms:Choice">
          <xsd:enumeration value="Yes"/>
          <xsd:enumeration value="No"/>
        </xsd:restriction>
      </xsd:simpleType>
    </xsd:element>
    <xsd:element name="UNDPPOPPFunctionalArea" ma:index="9" nillable="true" ma:displayName="Functional Area" ma:description="The Functional Area (as defined in POPP) of this document" ma:format="Dropdown" ma:internalName="UNDPPOPPFunctionalArea">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UNDPPOPPProcess" ma:index="10" nillable="true" ma:displayName="POPP Process" ma:format="Dropdown" ma:internalName="UNDPPOPPProcess">
      <xsd:simpleType>
        <xsd:restriction base="dms:Choice">
          <xsd:enumeration value="Accountability &amp; Delegation of Authority"/>
          <xsd:enumeration value="Accounting for Capital and Non-Capital Assets"/>
          <xsd:enumeration value="Annual and special leave"/>
          <xsd:enumeration value="Appointment and promotion"/>
          <xsd:enumeration value="Asset Management"/>
          <xsd:enumeration value="Award of Contract"/>
          <xsd:enumeration value="Cash Banking and Investment"/>
          <xsd:enumeration value="Civil society"/>
          <xsd:enumeration value="Classification of posts and staff"/>
          <xsd:enumeration value="Contract Management"/>
          <xsd:enumeration value="Contract Review Committees"/>
          <xsd:enumeration value="Disciplinary measures and appeals"/>
          <xsd:enumeration value="Duties, obligations and privileges"/>
          <xsd:enumeration value="Enterprise Risk Management"/>
          <xsd:enumeration value="Enterprise Solutions"/>
          <xsd:enumeration value="Evaluation"/>
          <xsd:enumeration value="Evaluation of Offers"/>
          <xsd:enumeration value="Fast Track Procedures"/>
          <xsd:enumeration value="Financial Closure of Development Projects and Trust Funds"/>
          <xsd:enumeration value="Financial Disclosure"/>
          <xsd:enumeration value="Financial Management and Execution Modalities"/>
          <xsd:enumeration value="Financial Operations Management"/>
          <xsd:enumeration value="Foundations"/>
          <xsd:enumeration value="Global Services"/>
          <xsd:enumeration value="HACT"/>
          <xsd:enumeration value="ICT Oversight"/>
          <xsd:enumeration value="ICT Security"/>
          <xsd:enumeration value="Information Disclosure"/>
          <xsd:enumeration value="Internal Control Framework"/>
          <xsd:enumeration value="Legal Framework"/>
          <xsd:enumeration value="Lease Management"/>
          <xsd:enumeration value="Management of IC"/>
          <xsd:enumeration value="Management of local presences"/>
          <xsd:enumeration value="Non-staff (consultants, service contracts, UNVs and interns)"/>
          <xsd:enumeration value="OIST Operations"/>
          <xsd:enumeration value="Prescriptive Content Management Overview"/>
          <xsd:enumeration value="Private sector"/>
          <xsd:enumeration value="Procurement Methods"/>
          <xsd:enumeration value="Procurement Overview"/>
          <xsd:enumeration value="Procurement Review Committee"/>
          <xsd:enumeration value="Procurement Strategies and Planning"/>
          <xsd:enumeration value="Programme &amp; Project Management Arrangements"/>
          <xsd:enumeration value="Programme Management"/>
          <xsd:enumeration value="Project Management"/>
          <xsd:enumeration value="Purchasing Card, Insurance, Vehicle and Assets Management"/>
          <xsd:enumeration value="Purchasing Card, Insurance and Vehicle Management"/>
          <xsd:enumeration value="Protection against retaliation"/>
          <xsd:enumeration value="Quality Assurance Procedure"/>
          <xsd:enumeration value="Receivables and Expenditures"/>
          <xsd:enumeration value="Revenue and Expense Management"/>
          <xsd:enumeration value="Requisitions"/>
          <xsd:enumeration value="Resource Center"/>
          <xsd:enumeration value="Resource Planning and Budgeting"/>
          <xsd:enumeration value="Resources and Funding Mechanism"/>
          <xsd:enumeration value="Salaries and related allowances"/>
          <xsd:enumeration value="Security Risk Management"/>
          <xsd:enumeration value="Separation from service"/>
          <xsd:enumeration value="Social security"/>
          <xsd:enumeration value="Solicitation Process"/>
          <xsd:enumeration value="Sourcing of Suppliers"/>
          <xsd:enumeration value="Specific policies for Global &amp; Regional Programming"/>
          <xsd:enumeration value="Travel and removal expenses"/>
          <xsd:enumeration value="Travel Support Services"/>
          <xsd:enumeration value="UNDP Framework for Accountability"/>
          <xsd:enumeration value="UNDP Security Policy"/>
          <xsd:enumeration value="Unit work planning monitoring and reporting"/>
          <xsd:enumeration value="Workforce management"/>
          <xsd:enumeration value="Working with External Auditors"/>
        </xsd:restriction>
      </xsd:simpleType>
    </xsd:element>
    <xsd:element name="UNDPPOPPSubprocess" ma:index="11" nillable="true" ma:displayName="POPP Subprocess" ma:format="Dropdown" ma:indexed="true" ma:internalName="UNDPPOPPSubprocess">
      <xsd:simpleType>
        <xsd:restriction base="dms:Choice">
          <xsd:enumeration value="Accompanied and Excess Baggage"/>
          <xsd:enumeration value="Accountability &amp; Delegation of Authority"/>
          <xsd:enumeration value="Activating Fast Track Procedures"/>
          <xsd:enumeration value="Additional information"/>
          <xsd:enumeration value="Advisory Committee on Procurement"/>
          <xsd:enumeration value="Agency Execution Finances"/>
          <xsd:enumeration value="Allowances and Benefits"/>
          <xsd:enumeration value="Analysis for a Programme"/>
          <xsd:enumeration value="Assessing partnerships with civil society"/>
          <xsd:enumeration value="Assessing partnerships with foundations"/>
          <xsd:enumeration value="Assessing partnerships with the private sector"/>
          <xsd:enumeration value="Asset Acquisition"/>
          <xsd:enumeration value="Asset Disposal"/>
          <xsd:enumeration value="Asset Loss or Theft"/>
          <xsd:enumeration value="Atlas User Access Standards"/>
          <xsd:enumeration value="Authoring Content"/>
          <xsd:enumeration value="Banking Arrangements"/>
          <xsd:enumeration value="Breach or Termination of Contract"/>
          <xsd:enumeration value="Cash Arrangements"/>
          <xsd:enumeration value="Cash Management"/>
          <xsd:enumeration value="Change Control and Release Management Standards"/>
          <xsd:enumeration value="Change Management Clearance"/>
          <xsd:enumeration value="Civil Society Organizations"/>
          <xsd:enumeration value="Classification and Duration"/>
          <xsd:enumeration value="Closing a presence outside the country office"/>
          <xsd:enumeration value="Closing a Project"/>
          <xsd:enumeration value="Commercial Aviation Risk Management Guidelines"/>
          <xsd:enumeration value="Common Actions"/>
          <xsd:enumeration value="Compensation"/>
          <xsd:enumeration value="Contract and Procurement Management Provisions"/>
          <xsd:enumeration value="Contracts, Asset and Procurement Committee"/>
          <xsd:enumeration value="Corporate Operations and Information Management"/>
          <xsd:enumeration value="Cost Recovery from Agencies at the Country Office Level"/>
          <xsd:enumeration value="Cost Recovery from Programmes Funded from Regular and Other Resources"/>
          <xsd:enumeration value="Country Office &amp; Regional ICT Security Standards"/>
          <xsd:enumeration value="CPR-TTF Project co-financing"/>
          <xsd:enumeration value="Defining a Project"/>
          <xsd:enumeration value="Definitions and Objectives"/>
          <xsd:enumeration value="Definitions, Objectives and Benefits"/>
          <xsd:enumeration value="Development Support Services"/>
          <xsd:enumeration value="Direct Contracting"/>
          <xsd:enumeration value="Direct Execution (DEX) and Direct Implementation (DIM) Finances"/>
          <xsd:enumeration value="Direct Implementation (DIM) modality"/>
          <xsd:enumeration value="Disciplinary Measures &amp; Procedures"/>
          <xsd:enumeration value="Disclosures"/>
          <xsd:enumeration value="Duty Travel"/>
          <xsd:enumeration value="Educational Assistance Programme"/>
          <xsd:enumeration value="Electronic Funds Transfer Standards"/>
          <xsd:enumeration value="Enterprise Risk Management Cycle"/>
          <xsd:enumeration value="Entitlement Travel"/>
          <xsd:enumeration value="Entitlements Upon Separation"/>
          <xsd:enumeration value="Environmental Considerations"/>
          <xsd:enumeration value="Establishing UNDP-supported presence outside a country office"/>
          <xsd:enumeration value="European Commission"/>
          <xsd:enumeration value="Evaluating a Programme"/>
          <xsd:enumeration value="Evaluation and Comparison of Offers"/>
          <xsd:enumeration value="Exigency and Exceptions"/>
          <xsd:enumeration value="Expense Management"/>
          <xsd:enumeration value="Feedback and Revise Content"/>
          <xsd:enumeration value="Feedback and Revision"/>
          <xsd:enumeration value="Financial Closure of Development Projects"/>
          <xsd:enumeration value="Financial Closure of Trust Funds"/>
          <xsd:enumeration value="Financial Disclosure Policy"/>
          <xsd:enumeration value="Financial Management Provisions"/>
          <xsd:enumeration value="Formalizing partnerships with civil society"/>
          <xsd:enumeration value="Formalizing partnerships with foundations"/>
          <xsd:enumeration value="Formalizing partnerships with the private sector"/>
          <xsd:enumeration value="Foundations"/>
          <xsd:enumeration value="General Considerations of Contracting"/>
          <xsd:enumeration value="Global &amp; Regional Programming"/>
          <xsd:enumeration value="Global and Regional Products and Publications"/>
          <xsd:enumeration value="Governments"/>
          <xsd:enumeration value="Handling of Procurement Complaints"/>
          <xsd:enumeration value="Harassment &amp; Abuse of Authority"/>
          <xsd:enumeration value="Health"/>
          <xsd:enumeration value="Headquarters Telecommunications Standards"/>
          <xsd:enumeration value="Hiring"/>
          <xsd:enumeration value="Hours of Work / Holidays"/>
          <xsd:enumeration value="HQ (ACP), Regional (RACP) and Local Review Committees (CAP)"/>
          <xsd:enumeration value="Human Resources Management Provisions"/>
          <xsd:enumeration value="ICT Disaster Recovery Plan Template"/>
          <xsd:enumeration value="ICT Disaster Recovery Standards for UNDP Offices"/>
          <xsd:enumeration value="ICT Resources Use Policy"/>
          <xsd:enumeration value="ICT Road map"/>
          <xsd:enumeration value="ICT Security and Awareness Standards"/>
          <xsd:enumeration value="Implementing a Programme"/>
          <xsd:enumeration value="Implementing a Project"/>
          <xsd:enumeration value="Increased Delegation of Procurement Authority"/>
          <xsd:enumeration value="Individual Contracts (IC)"/>
          <xsd:enumeration value="Information management"/>
          <xsd:enumeration value="Information Security Policy"/>
          <xsd:enumeration value="Information Systems Security Standards"/>
          <xsd:enumeration value="Initiating a Programme"/>
          <xsd:enumeration value="Initiating a Project"/>
          <xsd:enumeration value="Insurance Management"/>
          <xsd:enumeration value="Insurance Plans"/>
          <xsd:enumeration value="Inter-Agency Movements"/>
          <xsd:enumeration value="International Financial Institutions &amp; Inter Governmental Organizations"/>
          <xsd:enumeration value="Introduction"/>
          <xsd:enumeration value="Job Evaluation"/>
          <xsd:enumeration value="Joint Programming"/>
          <xsd:enumeration value="Justifying a Project"/>
          <xsd:enumeration value="Learning and Development"/>
          <xsd:enumeration value="Leasehold Improvements"/>
          <xsd:enumeration value="Legal Framework"/>
          <xsd:enumeration value="Legal Status of IC"/>
          <xsd:enumeration value="LTAs"/>
          <xsd:enumeration value="Making Information Available to the Public"/>
          <xsd:enumeration value="Management of Leases (Premises and Equipment)"/>
          <xsd:enumeration value="Management of Obligations (Expenditure)"/>
          <xsd:enumeration value="Management of Plant and Property"/>
          <xsd:enumeration value="Managing Service Provision to Other UN Agencies"/>
          <xsd:enumeration value="Market Research"/>
          <xsd:enumeration value="Methods of Soliciting Offers"/>
          <xsd:enumeration value="Minimum Standards for ICT Infrastructure and Telecommunications"/>
          <xsd:enumeration value="Miscellaneous"/>
          <xsd:enumeration value="Monitoring"/>
          <xsd:enumeration value="Monitoring partnerships with civil society"/>
          <xsd:enumeration value="Monitoring partnerships with foundations"/>
          <xsd:enumeration value="Monitoring partnerships with the private sector"/>
          <xsd:enumeration value="Monitoring the unit work plan"/>
          <xsd:enumeration value="National Execution (NEX) Finances and NGO Execution Finances"/>
          <xsd:enumeration value="Non-core Development Advisory Services (DAS) Funding Facility"/>
          <xsd:enumeration value="Operational Guide of the Internal Control Framework"/>
          <xsd:enumeration value="Other Resources"/>
          <xsd:enumeration value="Overview of IC Guidelines"/>
          <xsd:enumeration value="Partnership Management Provisions"/>
          <xsd:enumeration value="Payment and Taxes"/>
          <xsd:enumeration value="Payment of IC"/>
          <xsd:enumeration value="Payment of SSA"/>
          <xsd:enumeration value="Pension Fund"/>
          <xsd:enumeration value="Performance Management"/>
          <xsd:enumeration value="Periodic Revision and Update"/>
          <xsd:enumeration value="Policy for Protection against Retaliation"/>
          <xsd:enumeration value="Post Audit Follow-up and Implementation Status Update"/>
          <xsd:enumeration value="Pre-Audit Announcement and Preparation"/>
          <xsd:enumeration value="Principles of UNDP Procurement"/>
          <xsd:enumeration value="Private Sector"/>
          <xsd:enumeration value="Procurement Authority"/>
          <xsd:enumeration value="Procurement Ethics"/>
          <xsd:enumeration value="Procurement Fraud and Corrupt Practices"/>
          <xsd:enumeration value="Procurement of Goods, Civil Works &amp; Sevices"/>
          <xsd:enumeration value="Procurement Review Committees and Cooperative Procurement"/>
          <xsd:enumeration value="Programme &amp; Project Management Cycles"/>
          <xsd:enumeration value="Programme &amp; Project Management Organization Structure"/>
          <xsd:enumeration value="Programme and Project Management Provisions"/>
          <xsd:enumeration value="Programme Capacity Assessment &amp; Mgmt Arrangements"/>
          <xsd:enumeration value="Programme Completion and Transition"/>
          <xsd:enumeration value="Programme Strategic Planning"/>
          <xsd:enumeration value="Programming in Special Development Situations"/>
          <xsd:enumeration value="Project Assets Management"/>
          <xsd:enumeration value="Property Plant and Equipment (PP&amp;E)"/>
          <xsd:enumeration value="Property Plant and Equipment (PP&amp;E)"/>
          <xsd:enumeration value="Purchasing Card Management"/>
          <xsd:enumeration value="QA Review and Publishing"/>
          <xsd:enumeration value="Quality Assurance for National and Regional Human Development Reports"/>
          <xsd:enumeration value="Receivables, Receipts and Income"/>
          <xsd:enumeration value="Recovery, Retroactivity, Deductions &amp; Contributions"/>
          <xsd:enumeration value="Refunds to Donors"/>
          <xsd:enumeration value="Regular Resources"/>
          <xsd:enumeration value="Rehabilitation"/>
          <xsd:enumeration value="Reporting on the unit work plan (ROAR)"/>
          <xsd:enumeration value="Resource Center"/>
          <xsd:enumeration value="Resources for Special Development Situations"/>
          <xsd:enumeration value="Retroactive / Post Facto Contract"/>
          <xsd:enumeration value="Revenue Management"/>
          <xsd:enumeration value="Roadmap Roadmap and Analysis of a Programme"/>
          <xsd:enumeration value="Salaries"/>
          <xsd:enumeration value="Sanctions"/>
          <xsd:enumeration value="Selecting an Implementing Partner"/>
          <xsd:enumeration value="Selection and Engagement of an SSA"/>
          <xsd:enumeration value="Selection and Engagement of IC"/>
          <xsd:enumeration value="Selection and Engagement of IC (II)"/>
          <xsd:enumeration value="Service Contracts (SC)"/>
          <xsd:enumeration value="Shipment of Official Consignments/Goods"/>
          <xsd:enumeration value="Shipping and Insurance"/>
          <xsd:enumeration value="Solicitation Documents"/>
          <xsd:enumeration value="Sourcing and Market Research"/>
          <xsd:enumeration value="Staff and Their Recognized Dependants on Official Travel"/>
          <xsd:enumeration value="Standards of Conduct"/>
          <xsd:enumeration value="Statutory and Financial Reporting"/>
          <xsd:enumeration value="Submission and Receipt Offers"/>
          <xsd:enumeration value="Submissions, Direct Review and Post Facto"/>
          <xsd:enumeration value="Sustainable Procurement"/>
          <xsd:enumeration value="System Logon Banner Standards"/>
          <xsd:enumeration value="Termination of IC"/>
          <xsd:enumeration value="Termination of SSA"/>
          <xsd:enumeration value="Thresholds and Composition"/>
          <xsd:enumeration value="Track 1-1-3 Category I, III and IV"/>
          <xsd:enumeration value="Track 1-1-3 Category II"/>
          <xsd:enumeration value="Track 1-1-3 Category V"/>
          <xsd:enumeration value="Transfers where unexpended balances are not refunded to donors"/>
          <xsd:enumeration value="Types of Competition"/>
          <xsd:enumeration value="Types of Leave"/>
          <xsd:enumeration value="Types of Separation"/>
          <xsd:enumeration value="Types, Configurations and setting up an LTA"/>
          <xsd:enumeration value="UN Flag Code"/>
          <xsd:enumeration value="Unaccompanied Shipment Personal Effects"/>
          <xsd:enumeration value="UNDP Housing"/>
          <xsd:enumeration value="UNDP Intangible Assets"/>
          <xsd:enumeration value="UNDP Intangible Assets"/>
          <xsd:enumeration value="UNDP Non Expendable (Fixed) Asset Management"/>
          <xsd:enumeration value="UNDP Offices/Premises"/>
          <xsd:enumeration value="UNDP Vehicles"/>
          <xsd:enumeration value="Unit work planning"/>
          <xsd:enumeration value="UNODC Finances Management"/>
          <xsd:enumeration value="US Government Letters of Credit Guidelines and Procedures for Funding UNDP Projects"/>
          <xsd:enumeration value="Vehicle Maintenance"/>
          <xsd:enumeration value="Vehicle Management"/>
          <xsd:enumeration value="Vehicle Use"/>
          <xsd:enumeration value="Vendor Sanction Procedures"/>
          <xsd:enumeration value="Work Life"/>
          <xsd:enumeration value="Working with External Auditors During Audit"/>
          <xsd:enumeration value="Workplace Harassment &amp; Abuse of Authority"/>
        </xsd:restriction>
      </xsd:simpleType>
    </xsd:element>
    <xsd:element name="UNDPPOPPSubsubprocess" ma:index="12" nillable="true" ma:displayName="POPP Sub-subprocess" ma:format="Dropdown" ma:internalName="UNDPPOPPSubsubprocess">
      <xsd:simpleType>
        <xsd:restriction base="dms:Choice">
          <xsd:enumeration value="Abandonment of Post"/>
          <xsd:enumeration value="Absence Management Guidelines"/>
          <xsd:enumeration value="Accompanied and Excess Baggage"/>
          <xsd:enumeration value="Accountability and Internal Controls"/>
          <xsd:enumeration value="Accounts Payable"/>
          <xsd:enumeration value="Acquisition of Project Assets"/>
          <xsd:enumeration value="Adoption Leave"/>
          <xsd:enumeration value="After Service Health Insurance: ASHI MIP"/>
          <xsd:enumeration value="After Service Health Insurance: ASHI UN"/>
          <xsd:enumeration value="Agency Execution"/>
          <xsd:enumeration value="Annual Leave"/>
          <xsd:enumeration value="Application of Income"/>
          <xsd:enumeration value="Asset Acquisition and Oversight"/>
          <xsd:enumeration value="Asset Disposal"/>
          <xsd:enumeration value="Asset Disposal and Write-Off"/>
          <xsd:enumeration value="Asset Disposal and Write-Off"/>
          <xsd:enumeration value="Asset Loss or Theft"/>
          <xsd:enumeration value="Atlas Financial Closure Instructions"/>
          <xsd:enumeration value="Atlas Set Up and Fee Collection"/>
          <xsd:enumeration value="Audit of NEX/NGO Projects"/>
          <xsd:enumeration value="Authorizing Official Business Travel"/>
          <xsd:enumeration value="Bank Account Reconciliation"/>
          <xsd:enumeration value="Billing and Fee Collection"/>
          <xsd:enumeration value="Cash Operations"/>
          <xsd:enumeration value="Cash Planning/Forecasting of Cash Flows"/>
          <xsd:enumeration value="Certification of Service"/>
          <xsd:enumeration value="Certified Donor Reports"/>
          <xsd:enumeration value="Chartered Medical Evacuation Travel"/>
          <xsd:enumeration value="Clean-up of Accounts Payable"/>
          <xsd:enumeration value="Clean-up of Purchase Orders (POs)"/>
          <xsd:enumeration value="Clearing a local presence"/>
          <xsd:enumeration value="Combined Delivery Report"/>
          <xsd:enumeration value="Commutation of Annual Leave"/>
          <xsd:enumeration value="Compensation for Death, Injury or Illness - Appendix D"/>
          <xsd:enumeration value="Cost-Sharing"/>
          <xsd:enumeration value="Country Office Service Provision"/>
          <xsd:enumeration value="Creating and Approving Vendors"/>
          <xsd:enumeration value="Currency of Payments"/>
          <xsd:enumeration value="Daily Subsistence Allowance (DSA)"/>
          <xsd:enumeration value="Danger Pay"/>
          <xsd:enumeration value="Death"/>
          <xsd:enumeration value="Death Benefit"/>
          <xsd:enumeration value="Deductions &amp; Contributions"/>
          <xsd:enumeration value="Dental Insurance: UN NY Cigna Dental Plan"/>
          <xsd:enumeration value="Dependency Allowance"/>
          <xsd:enumeration value="Designation and Responsibilites of Signatories"/>
          <xsd:enumeration value="Developing a business case for local presence"/>
          <xsd:enumeration value="Direct Agency Implementation"/>
          <xsd:enumeration value="Direct Cash Transfers and Reimbursements"/>
          <xsd:enumeration value="Direct Payments"/>
          <xsd:enumeration value="Disbursing Funds (Making Payments)"/>
          <xsd:enumeration value="Educational Assistance Programme"/>
          <xsd:enumeration value="Elements of Remuneration"/>
          <xsd:enumeration value="Entitlements upon separation – Introduction"/>
          <xsd:enumeration value="Equipment - Depreciation, Reconciliations Reports and Centralized Functions"/>
          <xsd:enumeration value="Equipment - Depreciation, Reconciliations Reports and Centralized Functions"/>
          <xsd:enumeration value="Establishment and Use of Electronic Banking Systems"/>
          <xsd:enumeration value="Euro Reporting Guidelines"/>
          <xsd:enumeration value="Executive Board Papers"/>
          <xsd:enumeration value="Expenditure of Income Accrued from Cost Recovery"/>
          <xsd:enumeration value="Expense Management of UNODC Funded Activities"/>
          <xsd:enumeration value="Expiration of Fixed-Term Appointment"/>
          <xsd:enumeration value="Extended Monthly Evacuation Allowance (EMEA)"/>
          <xsd:enumeration value="Extension Beyond Retirement Age"/>
          <xsd:enumeration value="Family Leave"/>
          <xsd:enumeration value="Family Visit"/>
          <xsd:enumeration value="Financial Statements"/>
          <xsd:enumeration value="Flexible Working Arrangements"/>
          <xsd:enumeration value="Furniture and Equipment Acquisition and Maintenance"/>
          <xsd:enumeration value="Furniture and Equipment Acquisition and Maintenance"/>
          <xsd:enumeration value="Guidelines for Cash Arrangements"/>
          <xsd:enumeration value="Handling of Cash and Receipts"/>
          <xsd:enumeration value="Hazard Pay"/>
          <xsd:enumeration value="Home Leave"/>
          <xsd:enumeration value="Hospitality Expenditures"/>
          <xsd:enumeration value="Hospitality Expense"/>
          <xsd:enumeration value="Intangible Asset Disposal and Write-Off"/>
          <xsd:enumeration value="Intangible Asset Disposal and Write-Off"/>
          <xsd:enumeration value="Intangible Assets Acquisition, Development and Maintenance"/>
          <xsd:enumeration value="Intangible Assets Acquisition, Development and Maintenance"/>
          <xsd:enumeration value="Intangible Assets Amortizations, Reconciliations, Reports and Centralized Functions"/>
          <xsd:enumeration value="Intangible Assets Amortizations, Reconciliations, Reports and Centralized Functions"/>
          <xsd:enumeration value="Introduction"/>
          <xsd:enumeration value="Issuing Letters of Credit"/>
          <xsd:enumeration value="Language Allowance"/>
          <xsd:enumeration value="Last Day for Pay Purposes"/>
          <xsd:enumeration value="Leasehold Improvement Disposal and Write-Off"/>
          <xsd:enumeration value="Leasehold Improvement Disposal and Write-Off"/>
          <xsd:enumeration value="Leasehold Improvements - Acquisition and Maintenance"/>
          <xsd:enumeration value="Leasehold Improvements - Acquisition and Maintenance"/>
          <xsd:enumeration value="Leasehold Improvements - Depreciation, Reconciliations Reports and Centralized Functions"/>
          <xsd:enumeration value="Leasehold Improvements - Depreciation, Reconciliations Reports and Centralized Functions"/>
          <xsd:enumeration value="Leasehold Improvements within Common Premises"/>
          <xsd:enumeration value="Leasehold Improvements within Common Premises"/>
          <xsd:enumeration value="Life &amp; Accidental Insurance: Aetna Group Life Insurance Plan"/>
          <xsd:enumeration value="Maintenance and Usage of the Chart of Accounts"/>
          <xsd:enumeration value="Malicious Acts Insurance Policy (MAIP)"/>
          <xsd:enumeration value="Management of Cash in Crisis or Emergency Situations"/>
          <xsd:enumeration value="Management of Local Investments"/>
          <xsd:enumeration value="Management of Petty Cash"/>
          <xsd:enumeration value="Management of Receivables"/>
          <xsd:enumeration value="Management of UNODC Funded NEX Projects"/>
          <xsd:enumeration value="Management of Zero-Balance Account System"/>
          <xsd:enumeration value="Management Service Agreement"/>
          <xsd:enumeration value="Maternity Leave"/>
          <xsd:enumeration value="Medical Evacuation Travel"/>
          <xsd:enumeration value="Medical Insurance: ALD Vanbreda Global Medical Insurance Plan"/>
          <xsd:enumeration value="Medical Insurance: Medical Insurance Plan (MIP)"/>
          <xsd:enumeration value="Medical Insurance: UN NY Aetna Medical Insurance"/>
          <xsd:enumeration value="Medical Insurance: UN NY Empire Blue Cross PPO Medical Insurance"/>
          <xsd:enumeration value="Medical Insurance: UN NY HIP Health Plan"/>
          <xsd:enumeration value="Medical Insurance: UN Vanbreda Worldwide Medical Insurance Plan"/>
          <xsd:enumeration value="Mobility and Hardship"/>
          <xsd:enumeration value="Night Differential"/>
          <xsd:enumeration value="Non-Governmental Organizations (NGO) Implementation/Execution"/>
          <xsd:enumeration value="Opening and Closing of Bank Accounts"/>
          <xsd:enumeration value="Operational Procedures for Acquisition, Renewal and Termination of Premises"/>
          <xsd:enumeration value="Operational Procedures for Acquisition, Renewal and Termination of Premises Leases"/>
          <xsd:enumeration value="Operational Procedures for Equipment Leases"/>
          <xsd:enumeration value="Operational Procedures for Equipment Leases"/>
          <xsd:enumeration value="Other Official Business Travel Allowances and Expenses"/>
          <xsd:enumeration value="Other Resources"/>
          <xsd:enumeration value="Oversight of Project Assets"/>
          <xsd:enumeration value="Overtime Compensation"/>
          <xsd:enumeration value="Parallel Fund Management"/>
          <xsd:enumeration value="Pass-Through Fund Management: UNDP as a Participating UN Organization"/>
          <xsd:enumeration value="Pass-Through Fund Management: UNDP as an Administrative Agent"/>
          <xsd:enumeration value="Paternity Leave"/>
          <xsd:enumeration value="Pensionable Remuneration"/>
          <xsd:enumeration value="Performance Appraisal (RCA) Policy and Procedures"/>
          <xsd:enumeration value="Petty Cash"/>
          <xsd:enumeration value="Petty Cash Fund for Management Project (PCF)"/>
          <xsd:enumeration value="Plan and Property Acquisition and Maintenance"/>
          <xsd:enumeration value="Plan and Property Acquisition and Maintenance"/>
          <xsd:enumeration value="Plant and Property - Depreciation, Reconciliations Reports and Centralized Functions"/>
          <xsd:enumeration value="Plant and Property - Depreciation, Reconciliations Reports and Centralized Functions"/>
          <xsd:enumeration value="Plant and Property Disposal and Write-Off"/>
          <xsd:enumeration value="Plant and Property Disposal and Write-Off"/>
          <xsd:enumeration value="Policy Consistency of Donor Agreement"/>
          <xsd:enumeration value="Pooled Fund Management"/>
          <xsd:enumeration value="Post Adjustment"/>
          <xsd:enumeration value="Prepayments"/>
          <xsd:enumeration value="Principles of Remuneration"/>
          <xsd:enumeration value="Procurement of Banking Services"/>
          <xsd:enumeration value="Programme Acceleration Funds"/>
          <xsd:enumeration value="Project Cash Advance (PCA)"/>
          <xsd:enumeration value="Project Cash on Hand for DIM Projects (PCH)"/>
          <xsd:enumeration value="Project Management of UNODC Funded Activities"/>
          <xsd:enumeration value="Project Petty Cash Fund (PPCF)"/>
          <xsd:enumeration value="Purchase Orders/Commitments"/>
          <xsd:enumeration value="Purchase Orders/Obligation"/>
          <xsd:enumeration value="Raising E-requisitions"/>
          <xsd:enumeration value="Raising Requisitions"/>
          <xsd:enumeration value="RCA Rebuttal"/>
          <xsd:enumeration value="Receipt of Goods/Services"/>
          <xsd:enumeration value="Recognition and Awards"/>
          <xsd:enumeration value="Record Retention, Data Security and Contingency"/>
          <xsd:enumeration value="Recovery of Overpayments"/>
          <xsd:enumeration value="Regular Maintenance Accounts Payable"/>
          <xsd:enumeration value="Regular Maintenance and Closure of Purchase Orders (POs)"/>
          <xsd:enumeration value="Regular Resources"/>
          <xsd:enumeration value="Rental Subsidy"/>
          <xsd:enumeration value="Repatriation Grant"/>
          <xsd:enumeration value="Results &amp; Competency Assessment (RCA) Guidelines"/>
          <xsd:enumeration value="Retirement"/>
          <xsd:enumeration value="Retroactivity of Payments"/>
          <xsd:enumeration value="Route, Mode of Transportation, and Standard of Accommodation"/>
          <xsd:enumeration value="Rules"/>
          <xsd:enumeration value="Safe Driving Bonus (SDB)"/>
          <xsd:enumeration value="Safe Management"/>
          <xsd:enumeration value="Salary Advances"/>
          <xsd:enumeration value="Salary Increments"/>
          <xsd:enumeration value="Salary Surveys"/>
          <xsd:enumeration value="Service Provision and Service Levels"/>
          <xsd:enumeration value="Setting up a local presence"/>
          <xsd:enumeration value="Shipment of official Consignments/Goods"/>
          <xsd:enumeration value="Special Leave"/>
          <xsd:enumeration value="Special Operations Approach (SOA)"/>
          <xsd:enumeration value="Staff and Their Recognized Defendants on Official Travel"/>
          <xsd:enumeration value="Staff Assessment"/>
          <xsd:enumeration value="Steps for closing: decision making, planning, execution"/>
          <xsd:enumeration value="Taxation"/>
          <xsd:enumeration value="Termination Indemnity"/>
          <xsd:enumeration value="Termination of Appointment for Reasons of Health"/>
          <xsd:enumeration value="Time Off for Breastfeeding"/>
          <xsd:enumeration value="Transfer/Disposal of Project Assets"/>
          <xsd:enumeration value="Travel Requirements - Inoculations"/>
          <xsd:enumeration value="Travel Requirements - Malaria Prevention"/>
          <xsd:enumeration value="Travel Requirements - Medical Clearance"/>
          <xsd:enumeration value="Travel Requirements - National Passport"/>
          <xsd:enumeration value="Travel Requirements - Security Clearance"/>
          <xsd:enumeration value="Travel Requirements - UN Travel Documents"/>
          <xsd:enumeration value="Trust Funds Management"/>
          <xsd:enumeration value="Type of Leases and Treatment in UNDP Books"/>
          <xsd:enumeration value="Type of Leases and Treatment in UNDP Books"/>
          <xsd:enumeration value="UN Flag Code"/>
          <xsd:enumeration value="Unaccompanied Shipment of Personal Effects and Household Goods"/>
          <xsd:enumeration value="UNDP Housing"/>
          <xsd:enumeration value="UNDP Offices/Premises"/>
          <xsd:enumeration value="UNDP Vehicles"/>
          <xsd:enumeration value="UNFCU Share Account Management"/>
          <xsd:enumeration value="Uniforms"/>
          <xsd:enumeration value="Vehicle Maintenance"/>
          <xsd:enumeration value="Vehicle Use"/>
          <xsd:enumeration value="Vendor Banking Information Setup for IBAN"/>
        </xsd:restriction>
      </xsd:simpleType>
    </xsd:element>
    <xsd:element name="UNDPPOPPSubsubsubprocess" ma:index="13" nillable="true" ma:displayName="POPP Sub-sub-subprocess" ma:format="Dropdown" ma:internalName="UNDPPOPPSubsubsubprocess">
      <xsd:simpleType>
        <xsd:restriction base="dms:Choice">
          <xsd:enumeration value="Accounts Receivable"/>
          <xsd:enumeration value="Cash Operations"/>
          <xsd:enumeration value="Cash Operations"/>
          <xsd:enumeration value="Core Contributions"/>
          <xsd:enumeration value="Defining an MDTF/JP"/>
          <xsd:enumeration value="Government Contributions to Local Office Costs (GLOC)"/>
          <xsd:enumeration value="Handling of Cash and Receipts"/>
          <xsd:enumeration value="Initiating an MDTF/JP"/>
          <xsd:enumeration value="Joint Programming"/>
          <xsd:enumeration value="Justifying an MDTF/JP"/>
          <xsd:enumeration value="Management Service Agreements"/>
          <xsd:enumeration value="Non-core contributions (included Cost Sharing)"/>
          <xsd:enumeration value="Petty Cash Fund for Management Project (PCF)"/>
          <xsd:enumeration value="Petty Cash Fund for Management Project (PCF)"/>
          <xsd:enumeration value="Project Cash Advance (PCA)"/>
          <xsd:enumeration value="Project Cash Advance (PCA)"/>
          <xsd:enumeration value="Project Cash on Hand for DIM Projects (PCH)"/>
          <xsd:enumeration value="Project Cash on Hand for DIM Projects (PCH)"/>
          <xsd:enumeration value="Project Petty Cash Fund (PPCF)"/>
          <xsd:enumeration value="Project Petty Cash Fund (PPCF)"/>
          <xsd:enumeration value="Receipt of Goods and Application of Incoterms"/>
          <xsd:enumeration value="Receipt of Goods DAP and Application of Incoterms"/>
          <xsd:enumeration value="Receipt of Goods FOB and Application of Incoterms"/>
          <xsd:enumeration value="Receipt of Services"/>
          <xsd:enumeration value="Receipt of Works"/>
          <xsd:enumeration value="Reporting on MDTFs and on the activities of the MDTF Office/BoM"/>
          <xsd:enumeration value="Running an MDTF/JP"/>
          <xsd:enumeration value="US Agreements"/>
        </xsd:restriction>
      </xsd:simpleType>
    </xsd:element>
    <xsd:element name="UNDPPOPPKeywordsTaxHTField0" ma:index="15" ma:taxonomy="true" ma:internalName="UNDPPOPPKeywordsTaxHTField0" ma:taxonomyFieldName="UNDPPOPPKeywords" ma:displayName="POPP Keywords" ma:fieldId="{83a9342e-dd8f-413f-b495-97fee05666fb}" ma:taxonomyMulti="true" ma:sspId="28e6c43a-9e99-4bdd-9574-a0fa4ea3b61e" ma:termSetId="61cd4d35-d3cf-4427-90a6-f06d70d9a215" ma:anchorId="00000000-0000-0000-0000-000000000000" ma:open="false" ma:isKeyword="false">
      <xsd:complexType>
        <xsd:sequence>
          <xsd:element ref="pc:Terms" minOccurs="0" maxOccurs="1"/>
        </xsd:sequence>
      </xsd:complexType>
    </xsd:element>
    <xsd:element name="UNDPFocalpoint" ma:index="16" ma:displayName="Focalpoint" ma:SearchPeopleOnly="false" ma:SharePointGroup="0" ma:internalName="Focalpoint"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UNDPPublishedDate" ma:index="17" ma:displayName="Published Date" ma:description="The date the document was published" ma:format="DateOnly" ma:internalName="UNDPPublishedDate">
      <xsd:simpleType>
        <xsd:restriction base="dms:DateTime"/>
      </xsd:simpleType>
    </xsd:element>
    <xsd:element name="UNDPEffectiveDate" ma:index="18" ma:displayName="Effective Date" ma:format="DateOnly" ma:internalName="UNDPEffectiveDate">
      <xsd:simpleType>
        <xsd:restriction base="dms:DateTime"/>
      </xsd:simpleType>
    </xsd:element>
    <xsd:element name="UNDPResponsibleUnit" ma:index="19" ma:displayName="Responsible Unit" ma:internalName="UNDPResponsibleUnit">
      <xsd:simpleType>
        <xsd:restriction base="dms:Text"/>
      </xsd:simpleType>
    </xsd:element>
    <xsd:element name="UNDPCreator" ma:index="20" ma:displayName="Creator" ma:SearchPeopleOnly="false" ma:SharePointGroup="0" ma:internalName="UNDPCreato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UNDPIssuanceDate" ma:index="21" ma:displayName="Approval Date" ma:format="DateOnly" ma:internalName="UNDPIssuanceDate">
      <xsd:simpleType>
        <xsd:restriction base="dms:DateTime"/>
      </xsd:simpleType>
    </xsd:element>
    <xsd:element name="UNDPPlannedReviewDate" ma:index="22" ma:displayName="Planned Review Date" ma:format="DateOnly" ma:internalName="UNDPPlannedReviewDate">
      <xsd:simpleType>
        <xsd:restriction base="dms:DateTime"/>
      </xsd:simpleType>
    </xsd:element>
    <xsd:element name="UNDPActualReviewDate" ma:index="23" nillable="true" ma:displayName="Actual Review Date" ma:format="DateOnly" ma:internalName="UNDPActualReviewDate">
      <xsd:simpleType>
        <xsd:restriction base="dms:DateTime"/>
      </xsd:simpleType>
    </xsd:element>
    <xsd:element name="UNDPSummary" ma:index="24" nillable="true" ma:displayName="Summary" ma:description="A brief description or summary of the document that will displayed in search results." ma:internalName="UNDPSummary">
      <xsd:simpleType>
        <xsd:restriction base="dms:Note">
          <xsd:maxLength value="255"/>
        </xsd:restriction>
      </xsd:simpleType>
    </xsd:element>
    <xsd:element name="UNDPApplicability" ma:index="25" ma:displayName="Applicability" ma:internalName="UNDPApplicabilit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6F30E3-F037-4347-A061-0F786D120BC7}">
  <ds:schemaRefs>
    <ds:schemaRef ds:uri="http://schemas.microsoft.com/office/2006/metadata/properties"/>
    <ds:schemaRef ds:uri="http://schemas.microsoft.com/office/infopath/2007/PartnerControls"/>
    <ds:schemaRef ds:uri="83ed2304-0f0e-45ba-b0cc-7d360cbc1769"/>
  </ds:schemaRefs>
</ds:datastoreItem>
</file>

<file path=customXml/itemProps2.xml><?xml version="1.0" encoding="utf-8"?>
<ds:datastoreItem xmlns:ds="http://schemas.openxmlformats.org/officeDocument/2006/customXml" ds:itemID="{05E776AA-53A5-40ED-AB02-F651111B29B6}">
  <ds:schemaRefs>
    <ds:schemaRef ds:uri="http://schemas.microsoft.com/sharepoint/v3/contenttype/forms"/>
  </ds:schemaRefs>
</ds:datastoreItem>
</file>

<file path=customXml/itemProps3.xml><?xml version="1.0" encoding="utf-8"?>
<ds:datastoreItem xmlns:ds="http://schemas.openxmlformats.org/officeDocument/2006/customXml" ds:itemID="{780500B2-D380-49CC-890B-C8F8A14A95BC}">
  <ds:schemaRefs>
    <ds:schemaRef ds:uri="http://schemas.microsoft.com/sharepoint/events"/>
  </ds:schemaRefs>
</ds:datastoreItem>
</file>

<file path=customXml/itemProps4.xml><?xml version="1.0" encoding="utf-8"?>
<ds:datastoreItem xmlns:ds="http://schemas.openxmlformats.org/officeDocument/2006/customXml" ds:itemID="{BA8BF1EB-6965-48EE-990A-C332F8C77939}">
  <ds:schemaRefs>
    <ds:schemaRef ds:uri="Microsoft.SharePoint.Taxonomy.ContentTypeSync"/>
  </ds:schemaRefs>
</ds:datastoreItem>
</file>

<file path=customXml/itemProps5.xml><?xml version="1.0" encoding="utf-8"?>
<ds:datastoreItem xmlns:ds="http://schemas.openxmlformats.org/officeDocument/2006/customXml" ds:itemID="{BBF204ED-984C-407A-92BA-8E5AD42E0E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ed2304-0f0e-45ba-b0cc-7d360cbc17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E5EE5E04-9012-40C3-9C30-A658589D2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7447</Words>
  <Characters>42449</Characters>
  <Application>Microsoft Office Word</Application>
  <DocSecurity>0</DocSecurity>
  <Lines>353</Lines>
  <Paragraphs>99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CP results summary</vt:lpstr>
      <vt:lpstr>CP results summary</vt:lpstr>
    </vt:vector>
  </TitlesOfParts>
  <Company>UNDP</Company>
  <LinksUpToDate>false</LinksUpToDate>
  <CharactersWithSpaces>49797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 results summary</dc:title>
  <dc:subject/>
  <dc:creator>Ginette</dc:creator>
  <cp:keywords/>
  <dc:description/>
  <cp:lastModifiedBy>Svetlana Iazykova</cp:lastModifiedBy>
  <cp:revision>3</cp:revision>
  <cp:lastPrinted>2008-06-06T15:39:00Z</cp:lastPrinted>
  <dcterms:created xsi:type="dcterms:W3CDTF">2018-05-16T15:30:00Z</dcterms:created>
  <dcterms:modified xsi:type="dcterms:W3CDTF">2018-05-16T15:30:00Z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0x01010023A92725C93E4830A7421C44D384B7FC00AA2C51EDC20547BE9D8059E930612AF900BB1DAF2B020D674E95D024E21C9B8446</vt:lpwstr>
  </property>
  <property fmtid="{D5CDD505-2E9C-101B-9397-08002B2CF9AE}" pid="3" name="_dlc_DocIdItemGuid">
    <vt:lpwstr>d1e13303-6ece-4102-9f8f-5a459fba30ed</vt:lpwstr>
  </property>
  <property fmtid="{D5CDD505-2E9C-101B-9397-08002B2CF9AE}" pid="4" name="UNDPPOPPKeywords">
    <vt:lpwstr/>
  </property>
  <property fmtid="{D5CDD505-2E9C-101B-9397-08002B2CF9AE}" pid="5" name="TaxCatchAll">
    <vt:lpwstr/>
  </property>
  <property fmtid="{D5CDD505-2E9C-101B-9397-08002B2CF9AE}" pid="6" name="UNDPAuthor">
    <vt:lpwstr/>
  </property>
  <property fmtid="{D5CDD505-2E9C-101B-9397-08002B2CF9AE}" pid="7" name="Order">
    <vt:r8>9200</vt:r8>
  </property>
  <property fmtid="{D5CDD505-2E9C-101B-9397-08002B2CF9AE}" pid="8" name="_dlc_DocId">
    <vt:lpwstr>UNDPGBL-229-92</vt:lpwstr>
  </property>
  <property fmtid="{D5CDD505-2E9C-101B-9397-08002B2CF9AE}" pid="9" name="_dlc_DocIdUrl">
    <vt:lpwstr>https://intranet.undp.org/global/documents/_layouts/DocIdRedir.aspx?ID=UNDPGBL-229-92, UNDPGBL-229-92</vt:lpwstr>
  </property>
</Properties>
</file>