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FC" w:rsidRPr="000E5F18" w:rsidRDefault="007F1CFC" w:rsidP="000E5F18">
      <w:pPr>
        <w:tabs>
          <w:tab w:val="left" w:pos="1080"/>
        </w:tabs>
        <w:spacing w:line="20" w:lineRule="exact"/>
        <w:rPr>
          <w:sz w:val="2"/>
          <w:szCs w:val="20"/>
          <w:lang w:val="en-GB"/>
        </w:rPr>
      </w:pPr>
    </w:p>
    <w:p w:rsidR="000E5F18" w:rsidRDefault="000E5F18" w:rsidP="00F655D7">
      <w:pPr>
        <w:tabs>
          <w:tab w:val="left" w:pos="1080"/>
        </w:tabs>
        <w:rPr>
          <w:sz w:val="20"/>
          <w:szCs w:val="20"/>
          <w:lang w:val="en-GB"/>
        </w:rPr>
      </w:pPr>
    </w:p>
    <w:p w:rsidR="00F655D7" w:rsidRPr="007F1CFC" w:rsidRDefault="00F655D7" w:rsidP="007F1CFC">
      <w:pPr>
        <w:rPr>
          <w:sz w:val="16"/>
          <w:szCs w:val="16"/>
          <w:lang w:val="en-GB"/>
        </w:rPr>
        <w:sectPr w:rsidR="00F655D7" w:rsidRPr="007F1CFC" w:rsidSect="002979FA">
          <w:headerReference w:type="even" r:id="rId8"/>
          <w:headerReference w:type="default" r:id="rId9"/>
          <w:footerReference w:type="even" r:id="rId10"/>
          <w:footerReference w:type="default" r:id="rId11"/>
          <w:headerReference w:type="first" r:id="rId12"/>
          <w:footerReference w:type="first" r:id="rId13"/>
          <w:pgSz w:w="12240" w:h="15840" w:code="1"/>
          <w:pgMar w:top="1742" w:right="1195" w:bottom="1901" w:left="1195" w:header="576" w:footer="890" w:gutter="0"/>
          <w:pgNumType w:start="1"/>
          <w:cols w:space="720"/>
          <w:titlePg/>
          <w:docGrid w:linePitch="326"/>
        </w:sectPr>
      </w:pPr>
    </w:p>
    <w:p w:rsidR="00F655D7" w:rsidRPr="00C4626B" w:rsidRDefault="000B4535" w:rsidP="00F655D7">
      <w:pPr>
        <w:tabs>
          <w:tab w:val="left" w:pos="1080"/>
        </w:tabs>
        <w:rPr>
          <w:b/>
          <w:sz w:val="20"/>
          <w:szCs w:val="20"/>
          <w:lang w:val="en-GB"/>
        </w:rPr>
      </w:pPr>
      <w:r>
        <w:rPr>
          <w:b/>
          <w:sz w:val="20"/>
          <w:szCs w:val="20"/>
          <w:lang w:val="en-GB"/>
        </w:rPr>
        <w:lastRenderedPageBreak/>
        <w:t>First regular</w:t>
      </w:r>
      <w:r w:rsidR="002756B9">
        <w:rPr>
          <w:b/>
          <w:sz w:val="20"/>
          <w:szCs w:val="20"/>
          <w:lang w:val="en-GB"/>
        </w:rPr>
        <w:t xml:space="preserve"> </w:t>
      </w:r>
      <w:r w:rsidR="00F325A0">
        <w:rPr>
          <w:b/>
          <w:sz w:val="20"/>
          <w:szCs w:val="20"/>
          <w:lang w:val="en-GB"/>
        </w:rPr>
        <w:t xml:space="preserve">session </w:t>
      </w:r>
      <w:r w:rsidR="00F655D7" w:rsidRPr="00C4626B">
        <w:rPr>
          <w:b/>
          <w:sz w:val="20"/>
          <w:szCs w:val="20"/>
          <w:lang w:val="en-GB"/>
        </w:rPr>
        <w:t>20</w:t>
      </w:r>
      <w:r>
        <w:rPr>
          <w:b/>
          <w:sz w:val="20"/>
          <w:szCs w:val="20"/>
          <w:lang w:val="en-GB"/>
        </w:rPr>
        <w:t>16</w:t>
      </w:r>
    </w:p>
    <w:p w:rsidR="00F655D7" w:rsidRPr="00C4626B" w:rsidRDefault="000B4535" w:rsidP="00F655D7">
      <w:pPr>
        <w:tabs>
          <w:tab w:val="left" w:pos="1080"/>
        </w:tabs>
        <w:rPr>
          <w:sz w:val="20"/>
          <w:szCs w:val="20"/>
          <w:lang w:val="en-GB"/>
        </w:rPr>
      </w:pPr>
      <w:r w:rsidRPr="000B4535">
        <w:rPr>
          <w:sz w:val="20"/>
          <w:szCs w:val="20"/>
        </w:rPr>
        <w:t>25 - 29 January</w:t>
      </w:r>
      <w:r>
        <w:rPr>
          <w:sz w:val="20"/>
          <w:szCs w:val="20"/>
        </w:rPr>
        <w:t xml:space="preserve"> </w:t>
      </w:r>
      <w:r w:rsidR="00233F12">
        <w:rPr>
          <w:sz w:val="20"/>
          <w:szCs w:val="20"/>
          <w:lang w:val="en-GB"/>
        </w:rPr>
        <w:t>201</w:t>
      </w:r>
      <w:r>
        <w:rPr>
          <w:sz w:val="20"/>
          <w:szCs w:val="20"/>
          <w:lang w:val="en-GB"/>
        </w:rPr>
        <w:t>6</w:t>
      </w:r>
      <w:r w:rsidR="00F655D7" w:rsidRPr="00C4626B">
        <w:rPr>
          <w:sz w:val="20"/>
          <w:szCs w:val="20"/>
          <w:lang w:val="en-GB"/>
        </w:rPr>
        <w:t>, New York</w:t>
      </w:r>
    </w:p>
    <w:p w:rsidR="00F655D7" w:rsidRPr="00C4626B" w:rsidRDefault="00F655D7" w:rsidP="00F655D7">
      <w:pPr>
        <w:pStyle w:val="H56"/>
        <w:keepNext w:val="0"/>
        <w:keepLines w:val="0"/>
        <w:tabs>
          <w:tab w:val="clear" w:pos="360"/>
          <w:tab w:val="left" w:pos="1080"/>
        </w:tabs>
        <w:suppressAutoHyphens w:val="0"/>
        <w:spacing w:line="240" w:lineRule="auto"/>
        <w:outlineLvl w:val="9"/>
        <w:rPr>
          <w:spacing w:val="0"/>
          <w:w w:val="100"/>
          <w:kern w:val="0"/>
        </w:rPr>
      </w:pPr>
      <w:r w:rsidRPr="00C4626B">
        <w:rPr>
          <w:spacing w:val="0"/>
          <w:w w:val="100"/>
          <w:kern w:val="0"/>
        </w:rPr>
        <w:t xml:space="preserve">Item </w:t>
      </w:r>
      <w:r w:rsidR="009025E9">
        <w:rPr>
          <w:spacing w:val="0"/>
          <w:w w:val="100"/>
          <w:kern w:val="0"/>
        </w:rPr>
        <w:t>3</w:t>
      </w:r>
      <w:r w:rsidRPr="00C4626B">
        <w:rPr>
          <w:spacing w:val="0"/>
          <w:w w:val="100"/>
          <w:kern w:val="0"/>
        </w:rPr>
        <w:t xml:space="preserve"> of the provisional agenda</w:t>
      </w:r>
    </w:p>
    <w:p w:rsidR="00F655D7" w:rsidRPr="00C4626B" w:rsidRDefault="00F655D7" w:rsidP="00F655D7">
      <w:pPr>
        <w:pStyle w:val="Heading4"/>
        <w:tabs>
          <w:tab w:val="left" w:pos="1080"/>
        </w:tabs>
        <w:rPr>
          <w:lang w:val="en-GB"/>
        </w:rPr>
      </w:pPr>
      <w:r w:rsidRPr="00C4626B">
        <w:rPr>
          <w:lang w:val="en-GB"/>
        </w:rPr>
        <w:t>Evaluation</w:t>
      </w:r>
    </w:p>
    <w:p w:rsidR="00F655D7" w:rsidRPr="00C4626B" w:rsidRDefault="00F655D7" w:rsidP="00F655D7">
      <w:pPr>
        <w:tabs>
          <w:tab w:val="left" w:pos="1080"/>
        </w:tabs>
        <w:spacing w:line="120" w:lineRule="exact"/>
        <w:rPr>
          <w:sz w:val="20"/>
          <w:szCs w:val="20"/>
          <w:lang w:val="en-GB"/>
        </w:rPr>
      </w:pPr>
    </w:p>
    <w:p w:rsidR="00F655D7" w:rsidRPr="00C4626B" w:rsidRDefault="00F655D7" w:rsidP="00F655D7">
      <w:pPr>
        <w:tabs>
          <w:tab w:val="left" w:pos="1080"/>
        </w:tabs>
        <w:spacing w:line="120" w:lineRule="exact"/>
        <w:rPr>
          <w:sz w:val="20"/>
          <w:szCs w:val="20"/>
          <w:lang w:val="en-GB"/>
        </w:rPr>
      </w:pPr>
    </w:p>
    <w:p w:rsidR="00F655D7" w:rsidRPr="00C4626B" w:rsidRDefault="00F655D7" w:rsidP="00F655D7">
      <w:pPr>
        <w:tabs>
          <w:tab w:val="left" w:pos="1080"/>
        </w:tabs>
        <w:spacing w:line="120" w:lineRule="exact"/>
        <w:rPr>
          <w:sz w:val="20"/>
          <w:szCs w:val="20"/>
          <w:lang w:val="en-GB"/>
        </w:rPr>
      </w:pPr>
    </w:p>
    <w:p w:rsidR="000B4535" w:rsidRDefault="00F655D7" w:rsidP="000B4535">
      <w:pPr>
        <w:pStyle w:val="HM"/>
      </w:pPr>
      <w:r w:rsidRPr="00C4626B">
        <w:t xml:space="preserve">Management </w:t>
      </w:r>
      <w:r w:rsidR="00D440D7">
        <w:t>r</w:t>
      </w:r>
      <w:r w:rsidR="00D440D7" w:rsidRPr="00C4626B">
        <w:t xml:space="preserve">esponse </w:t>
      </w:r>
      <w:r w:rsidRPr="00C4626B">
        <w:t xml:space="preserve">to </w:t>
      </w:r>
      <w:r w:rsidR="000A1680">
        <w:t xml:space="preserve">the </w:t>
      </w:r>
      <w:r w:rsidR="00D440D7">
        <w:t>e</w:t>
      </w:r>
      <w:r w:rsidR="00D440D7" w:rsidRPr="000B4535">
        <w:t xml:space="preserve">valuation </w:t>
      </w:r>
      <w:r w:rsidR="000B4535" w:rsidRPr="000B4535">
        <w:t>of</w:t>
      </w:r>
      <w:r w:rsidR="0052141E">
        <w:t xml:space="preserve"> </w:t>
      </w:r>
      <w:r w:rsidR="00D440D7">
        <w:t>the</w:t>
      </w:r>
      <w:r w:rsidR="0052141E">
        <w:t xml:space="preserve"> </w:t>
      </w:r>
      <w:r w:rsidR="000B4535" w:rsidRPr="000B4535">
        <w:t xml:space="preserve">UNDP </w:t>
      </w:r>
      <w:r w:rsidR="00D440D7">
        <w:t xml:space="preserve">contribution </w:t>
      </w:r>
      <w:r w:rsidR="000B4535" w:rsidRPr="000B4535">
        <w:t xml:space="preserve">to </w:t>
      </w:r>
      <w:r w:rsidR="00D440D7">
        <w:t>m</w:t>
      </w:r>
      <w:r w:rsidR="00D440D7" w:rsidRPr="000B4535">
        <w:t xml:space="preserve">ine </w:t>
      </w:r>
      <w:r w:rsidR="00D440D7">
        <w:t>a</w:t>
      </w:r>
      <w:r w:rsidR="00D440D7" w:rsidRPr="000B4535">
        <w:t xml:space="preserve">ction </w:t>
      </w:r>
    </w:p>
    <w:p w:rsidR="008600E2" w:rsidRPr="008600E2" w:rsidRDefault="008600E2" w:rsidP="008600E2">
      <w:pPr>
        <w:rPr>
          <w:lang w:val="en-GB"/>
        </w:rPr>
      </w:pPr>
    </w:p>
    <w:p w:rsidR="00F655D7" w:rsidRPr="002929FA" w:rsidRDefault="00F655D7" w:rsidP="002929FA">
      <w:pPr>
        <w:tabs>
          <w:tab w:val="left" w:pos="1080"/>
        </w:tabs>
        <w:spacing w:line="120" w:lineRule="exact"/>
        <w:ind w:right="1030"/>
        <w:rPr>
          <w:sz w:val="10"/>
          <w:szCs w:val="20"/>
          <w:lang w:val="en-GB"/>
        </w:rPr>
      </w:pPr>
    </w:p>
    <w:p w:rsidR="00F655D7" w:rsidRPr="006861F9" w:rsidRDefault="00F655D7" w:rsidP="007F1CFC">
      <w:pPr>
        <w:tabs>
          <w:tab w:val="left" w:pos="1080"/>
        </w:tabs>
        <w:spacing w:line="120" w:lineRule="exact"/>
        <w:ind w:right="1030"/>
        <w:rPr>
          <w:sz w:val="20"/>
          <w:szCs w:val="20"/>
          <w:lang w:val="en-GB"/>
        </w:rPr>
      </w:pPr>
    </w:p>
    <w:p w:rsidR="00F655D7" w:rsidRPr="007F1CFC" w:rsidRDefault="00FD3153" w:rsidP="007F1CFC">
      <w:pPr>
        <w:pStyle w:val="SingleTxt"/>
        <w:tabs>
          <w:tab w:val="clear" w:pos="1267"/>
          <w:tab w:val="left" w:pos="720"/>
          <w:tab w:val="left" w:pos="1080"/>
          <w:tab w:val="left" w:pos="1620"/>
        </w:tabs>
        <w:ind w:left="1260" w:right="1030" w:hanging="1260"/>
        <w:rPr>
          <w:b/>
          <w:sz w:val="24"/>
          <w:szCs w:val="24"/>
        </w:rPr>
      </w:pPr>
      <w:r>
        <w:rPr>
          <w:b/>
          <w:sz w:val="24"/>
          <w:szCs w:val="24"/>
        </w:rPr>
        <w:tab/>
      </w:r>
      <w:r>
        <w:rPr>
          <w:b/>
          <w:sz w:val="24"/>
          <w:szCs w:val="24"/>
        </w:rPr>
        <w:tab/>
      </w:r>
      <w:r>
        <w:rPr>
          <w:b/>
          <w:sz w:val="24"/>
          <w:szCs w:val="24"/>
        </w:rPr>
        <w:tab/>
      </w:r>
      <w:r w:rsidR="00F655D7" w:rsidRPr="007F1CFC">
        <w:rPr>
          <w:b/>
          <w:sz w:val="24"/>
          <w:szCs w:val="24"/>
        </w:rPr>
        <w:t>Context</w:t>
      </w:r>
      <w:r w:rsidR="00D07E9F" w:rsidRPr="007F1CFC">
        <w:rPr>
          <w:b/>
          <w:sz w:val="24"/>
          <w:szCs w:val="24"/>
        </w:rPr>
        <w:t xml:space="preserve"> and</w:t>
      </w:r>
      <w:r w:rsidR="00F655D7" w:rsidRPr="007F1CFC">
        <w:rPr>
          <w:b/>
          <w:sz w:val="24"/>
          <w:szCs w:val="24"/>
        </w:rPr>
        <w:t xml:space="preserve"> </w:t>
      </w:r>
      <w:r w:rsidR="00D440D7">
        <w:rPr>
          <w:b/>
          <w:sz w:val="24"/>
          <w:szCs w:val="24"/>
        </w:rPr>
        <w:t>b</w:t>
      </w:r>
      <w:r w:rsidR="00D440D7" w:rsidRPr="007F1CFC">
        <w:rPr>
          <w:b/>
          <w:sz w:val="24"/>
          <w:szCs w:val="24"/>
        </w:rPr>
        <w:t>ackground</w:t>
      </w:r>
      <w:r w:rsidR="006704BF" w:rsidRPr="007F1CFC">
        <w:rPr>
          <w:b/>
          <w:sz w:val="24"/>
          <w:szCs w:val="24"/>
        </w:rPr>
        <w:t xml:space="preserve"> </w:t>
      </w:r>
    </w:p>
    <w:p w:rsidR="00A6735D" w:rsidRPr="00A6735D" w:rsidRDefault="00A6735D" w:rsidP="00A6735D">
      <w:pPr>
        <w:pStyle w:val="SingleTxt"/>
        <w:numPr>
          <w:ilvl w:val="0"/>
          <w:numId w:val="25"/>
        </w:numPr>
        <w:tabs>
          <w:tab w:val="left" w:pos="90"/>
          <w:tab w:val="left" w:pos="630"/>
          <w:tab w:val="left" w:pos="1620"/>
        </w:tabs>
        <w:ind w:left="1260" w:right="1030" w:firstLine="0"/>
      </w:pPr>
      <w:r w:rsidRPr="00A6735D">
        <w:t xml:space="preserve">Landmines, cluster munitions and other explosive remnants of war (ERW) are a threat to the livelihoods, safety and security of communities recovering from conflict. They impede development and often hinder access to and/or use of natural resources. UNDP has supported </w:t>
      </w:r>
      <w:r w:rsidR="00D440D7">
        <w:t>m</w:t>
      </w:r>
      <w:r w:rsidR="00D440D7" w:rsidRPr="00A6735D">
        <w:t xml:space="preserve">ine </w:t>
      </w:r>
      <w:r w:rsidR="00D440D7">
        <w:t>a</w:t>
      </w:r>
      <w:r w:rsidR="00D440D7" w:rsidRPr="00A6735D">
        <w:t xml:space="preserve">ction </w:t>
      </w:r>
      <w:r w:rsidRPr="00A6735D">
        <w:t xml:space="preserve">initiatives since 1993, when it launched </w:t>
      </w:r>
      <w:r w:rsidR="00101BA4">
        <w:t xml:space="preserve">a </w:t>
      </w:r>
      <w:r w:rsidR="00D440D7">
        <w:t>m</w:t>
      </w:r>
      <w:r w:rsidR="00D440D7" w:rsidRPr="00A6735D">
        <w:t xml:space="preserve">ine </w:t>
      </w:r>
      <w:r w:rsidR="00D440D7">
        <w:t>a</w:t>
      </w:r>
      <w:r w:rsidR="00D440D7" w:rsidRPr="00A6735D">
        <w:t xml:space="preserve">ction </w:t>
      </w:r>
      <w:r w:rsidRPr="00A6735D">
        <w:t>programme in Cambodia. Since then</w:t>
      </w:r>
      <w:r w:rsidR="00FB0D70">
        <w:t>,</w:t>
      </w:r>
      <w:r w:rsidRPr="00A6735D">
        <w:t xml:space="preserve"> it has supported national </w:t>
      </w:r>
      <w:r w:rsidR="00D440D7">
        <w:t>m</w:t>
      </w:r>
      <w:r w:rsidR="00D440D7" w:rsidRPr="00A6735D">
        <w:t xml:space="preserve">ine </w:t>
      </w:r>
      <w:r w:rsidR="00D440D7">
        <w:t>a</w:t>
      </w:r>
      <w:r w:rsidR="00D440D7" w:rsidRPr="00A6735D">
        <w:t>ction</w:t>
      </w:r>
      <w:r w:rsidRPr="00A6735D">
        <w:t xml:space="preserve"> programmes in over </w:t>
      </w:r>
      <w:r w:rsidR="00C973D8">
        <w:t>40</w:t>
      </w:r>
      <w:r w:rsidRPr="00A6735D">
        <w:t xml:space="preserve"> countries and provided limited assistance to another </w:t>
      </w:r>
      <w:r w:rsidR="00C973D8">
        <w:t>12</w:t>
      </w:r>
      <w:r w:rsidR="00D440D7">
        <w:t xml:space="preserve"> countries</w:t>
      </w:r>
      <w:r w:rsidRPr="00A6735D">
        <w:t xml:space="preserve">. </w:t>
      </w:r>
    </w:p>
    <w:p w:rsidR="00A6735D" w:rsidRPr="00337EE7" w:rsidRDefault="00A6735D" w:rsidP="00A6735D">
      <w:pPr>
        <w:pStyle w:val="SingleTxt"/>
        <w:numPr>
          <w:ilvl w:val="0"/>
          <w:numId w:val="25"/>
        </w:numPr>
        <w:tabs>
          <w:tab w:val="left" w:pos="90"/>
          <w:tab w:val="left" w:pos="630"/>
          <w:tab w:val="left" w:pos="1620"/>
        </w:tabs>
        <w:spacing w:line="240" w:lineRule="auto"/>
        <w:ind w:left="1260" w:right="1030" w:firstLine="0"/>
        <w:rPr>
          <w:lang w:val="en"/>
        </w:rPr>
      </w:pPr>
      <w:r w:rsidRPr="00A6735D">
        <w:rPr>
          <w:lang w:val="en"/>
        </w:rPr>
        <w:t xml:space="preserve">Over the </w:t>
      </w:r>
      <w:r w:rsidR="00101BA4">
        <w:rPr>
          <w:lang w:val="en"/>
        </w:rPr>
        <w:t>p</w:t>
      </w:r>
      <w:r w:rsidRPr="00A6735D">
        <w:rPr>
          <w:lang w:val="en"/>
        </w:rPr>
        <w:t>ast decade</w:t>
      </w:r>
      <w:r w:rsidR="00551CD2">
        <w:rPr>
          <w:lang w:val="en"/>
        </w:rPr>
        <w:t>, and in the years prior to 2004</w:t>
      </w:r>
      <w:r w:rsidRPr="00A6735D">
        <w:rPr>
          <w:lang w:val="en"/>
        </w:rPr>
        <w:t xml:space="preserve">, UNDP </w:t>
      </w:r>
      <w:r w:rsidR="00D440D7">
        <w:rPr>
          <w:lang w:val="en"/>
        </w:rPr>
        <w:t>m</w:t>
      </w:r>
      <w:r w:rsidR="00D440D7" w:rsidRPr="00A6735D">
        <w:rPr>
          <w:lang w:val="en"/>
        </w:rPr>
        <w:t xml:space="preserve">ine </w:t>
      </w:r>
      <w:r w:rsidR="00D440D7">
        <w:rPr>
          <w:lang w:val="en"/>
        </w:rPr>
        <w:t>a</w:t>
      </w:r>
      <w:r w:rsidR="00D440D7" w:rsidRPr="00A6735D">
        <w:rPr>
          <w:lang w:val="en"/>
        </w:rPr>
        <w:t>ction</w:t>
      </w:r>
      <w:r w:rsidRPr="00A6735D">
        <w:rPr>
          <w:lang w:val="en"/>
        </w:rPr>
        <w:t xml:space="preserve"> </w:t>
      </w:r>
      <w:r w:rsidR="00AA3131">
        <w:rPr>
          <w:lang w:val="en"/>
        </w:rPr>
        <w:t>h</w:t>
      </w:r>
      <w:r w:rsidRPr="00A6735D">
        <w:rPr>
          <w:lang w:val="en"/>
        </w:rPr>
        <w:t>as focused on</w:t>
      </w:r>
      <w:r w:rsidR="00C973D8">
        <w:rPr>
          <w:lang w:val="en"/>
        </w:rPr>
        <w:t xml:space="preserve"> </w:t>
      </w:r>
      <w:r w:rsidR="00AA3131">
        <w:rPr>
          <w:lang w:val="en"/>
        </w:rPr>
        <w:t>developing the</w:t>
      </w:r>
      <w:r w:rsidRPr="00A6735D">
        <w:rPr>
          <w:lang w:val="en"/>
        </w:rPr>
        <w:t xml:space="preserve"> capacit</w:t>
      </w:r>
      <w:r w:rsidR="00AA3131">
        <w:rPr>
          <w:lang w:val="en"/>
        </w:rPr>
        <w:t>ies</w:t>
      </w:r>
      <w:r w:rsidRPr="00A6735D">
        <w:rPr>
          <w:lang w:val="en"/>
        </w:rPr>
        <w:t xml:space="preserve"> </w:t>
      </w:r>
      <w:r w:rsidRPr="00337EE7">
        <w:rPr>
          <w:lang w:val="en"/>
        </w:rPr>
        <w:t>of national institutions</w:t>
      </w:r>
      <w:r w:rsidR="007836D7" w:rsidRPr="00337EE7">
        <w:rPr>
          <w:lang w:val="en"/>
        </w:rPr>
        <w:t xml:space="preserve"> </w:t>
      </w:r>
      <w:r w:rsidR="007716FF">
        <w:rPr>
          <w:lang w:val="en"/>
        </w:rPr>
        <w:t xml:space="preserve">and </w:t>
      </w:r>
      <w:r w:rsidR="007F6E61" w:rsidRPr="00337EE7">
        <w:rPr>
          <w:lang w:val="en"/>
        </w:rPr>
        <w:t>link</w:t>
      </w:r>
      <w:r w:rsidR="0070726B">
        <w:rPr>
          <w:lang w:val="en"/>
        </w:rPr>
        <w:t>ing</w:t>
      </w:r>
      <w:r w:rsidR="00937276">
        <w:rPr>
          <w:lang w:val="en"/>
        </w:rPr>
        <w:t xml:space="preserve"> this goal</w:t>
      </w:r>
      <w:r w:rsidR="007F6E61" w:rsidRPr="00337EE7">
        <w:rPr>
          <w:lang w:val="en"/>
        </w:rPr>
        <w:t xml:space="preserve"> </w:t>
      </w:r>
      <w:r w:rsidR="007F6E61" w:rsidRPr="00337EE7">
        <w:t>to</w:t>
      </w:r>
      <w:r w:rsidR="007716FF">
        <w:t xml:space="preserve"> </w:t>
      </w:r>
      <w:r w:rsidR="00C63BC0">
        <w:t xml:space="preserve">the </w:t>
      </w:r>
      <w:r w:rsidR="007716FF">
        <w:t>pursuit of</w:t>
      </w:r>
      <w:r w:rsidR="00C973D8" w:rsidRPr="00337EE7">
        <w:t xml:space="preserve"> </w:t>
      </w:r>
      <w:r w:rsidRPr="00337EE7">
        <w:t xml:space="preserve">broader development </w:t>
      </w:r>
      <w:r w:rsidR="007716FF">
        <w:t>objectives</w:t>
      </w:r>
      <w:r w:rsidR="007716FF" w:rsidRPr="00337EE7">
        <w:t xml:space="preserve"> </w:t>
      </w:r>
      <w:r w:rsidR="007716FF">
        <w:t>in</w:t>
      </w:r>
      <w:r w:rsidRPr="00337EE7">
        <w:t xml:space="preserve"> affected countries</w:t>
      </w:r>
      <w:r w:rsidR="003912BF">
        <w:t xml:space="preserve">. </w:t>
      </w:r>
      <w:r w:rsidR="0070726B">
        <w:t>Activities</w:t>
      </w:r>
      <w:r w:rsidRPr="00337EE7">
        <w:t xml:space="preserve"> </w:t>
      </w:r>
      <w:r w:rsidR="00D440D7">
        <w:t>have</w:t>
      </w:r>
      <w:r w:rsidRPr="00337EE7">
        <w:t xml:space="preserve"> </w:t>
      </w:r>
      <w:r w:rsidR="003912BF" w:rsidRPr="00337EE7">
        <w:t>includ</w:t>
      </w:r>
      <w:r w:rsidR="003912BF">
        <w:t>e</w:t>
      </w:r>
      <w:r w:rsidR="0070726B">
        <w:t>d</w:t>
      </w:r>
      <w:r w:rsidRPr="00337EE7">
        <w:rPr>
          <w:lang w:val="en"/>
        </w:rPr>
        <w:t>:</w:t>
      </w:r>
    </w:p>
    <w:p w:rsidR="00A6735D" w:rsidRPr="00337EE7" w:rsidRDefault="00D440D7" w:rsidP="00A6735D">
      <w:pPr>
        <w:pStyle w:val="SingleTxt"/>
        <w:numPr>
          <w:ilvl w:val="0"/>
          <w:numId w:val="34"/>
        </w:numPr>
        <w:tabs>
          <w:tab w:val="left" w:pos="90"/>
          <w:tab w:val="left" w:pos="630"/>
          <w:tab w:val="left" w:pos="1620"/>
        </w:tabs>
        <w:ind w:right="1030"/>
        <w:rPr>
          <w:lang w:val="en-US"/>
        </w:rPr>
      </w:pPr>
      <w:r>
        <w:t>s</w:t>
      </w:r>
      <w:r w:rsidRPr="00337EE7">
        <w:t>upport</w:t>
      </w:r>
      <w:r>
        <w:t>ing</w:t>
      </w:r>
      <w:r w:rsidR="00C973D8" w:rsidRPr="00337EE7">
        <w:t xml:space="preserve"> the</w:t>
      </w:r>
      <w:r w:rsidR="00A6735D" w:rsidRPr="00337EE7">
        <w:t xml:space="preserve"> </w:t>
      </w:r>
      <w:r w:rsidR="00C973D8" w:rsidRPr="00337EE7">
        <w:t>formulation</w:t>
      </w:r>
      <w:r w:rsidR="00A6735D" w:rsidRPr="00337EE7">
        <w:t xml:space="preserve"> and implement</w:t>
      </w:r>
      <w:r w:rsidR="00C973D8" w:rsidRPr="00337EE7">
        <w:t>ation of</w:t>
      </w:r>
      <w:r w:rsidR="00A6735D" w:rsidRPr="00337EE7">
        <w:t xml:space="preserve"> </w:t>
      </w:r>
      <w:r w:rsidR="003E0E0F">
        <w:t>n</w:t>
      </w:r>
      <w:r w:rsidR="00A6735D" w:rsidRPr="00337EE7">
        <w:t>ational</w:t>
      </w:r>
      <w:r w:rsidR="003E0E0F">
        <w:t xml:space="preserve"> policy and institutional frameworks, including </w:t>
      </w:r>
      <w:r>
        <w:t>national</w:t>
      </w:r>
      <w:r w:rsidRPr="00337EE7">
        <w:t xml:space="preserve"> </w:t>
      </w:r>
      <w:r>
        <w:t>s</w:t>
      </w:r>
      <w:r w:rsidRPr="00337EE7">
        <w:t>trategies</w:t>
      </w:r>
      <w:r>
        <w:t xml:space="preserve"> </w:t>
      </w:r>
      <w:r w:rsidR="0070726B">
        <w:t xml:space="preserve">for </w:t>
      </w:r>
      <w:r>
        <w:t>mine action</w:t>
      </w:r>
      <w:r w:rsidR="00467528">
        <w:t>,</w:t>
      </w:r>
      <w:r w:rsidR="0070726B">
        <w:t xml:space="preserve"> based on </w:t>
      </w:r>
      <w:r w:rsidR="00695B8D" w:rsidRPr="00337EE7">
        <w:t>international legal obligations</w:t>
      </w:r>
      <w:r>
        <w:t>;</w:t>
      </w:r>
    </w:p>
    <w:p w:rsidR="00A6735D" w:rsidRPr="005236FB" w:rsidRDefault="00D440D7" w:rsidP="00A6735D">
      <w:pPr>
        <w:pStyle w:val="SingleTxt"/>
        <w:numPr>
          <w:ilvl w:val="0"/>
          <w:numId w:val="34"/>
        </w:numPr>
        <w:tabs>
          <w:tab w:val="left" w:pos="90"/>
          <w:tab w:val="left" w:pos="630"/>
          <w:tab w:val="left" w:pos="1620"/>
        </w:tabs>
        <w:ind w:right="1030"/>
      </w:pPr>
      <w:r>
        <w:t>p</w:t>
      </w:r>
      <w:r w:rsidRPr="00A6735D">
        <w:t>roviding</w:t>
      </w:r>
      <w:r w:rsidR="00A6735D" w:rsidRPr="00A6735D">
        <w:t xml:space="preserve"> technical advice, institutional support, capacity assessments and capacity </w:t>
      </w:r>
      <w:r w:rsidR="004219C9">
        <w:t>development</w:t>
      </w:r>
      <w:r w:rsidR="00A6735D" w:rsidRPr="00A6735D">
        <w:t xml:space="preserve"> to national authorities</w:t>
      </w:r>
      <w:r w:rsidR="00B2410A">
        <w:t xml:space="preserve"> for</w:t>
      </w:r>
      <w:r w:rsidR="00A6735D" w:rsidRPr="005236FB">
        <w:t xml:space="preserve"> mine action activities upon request</w:t>
      </w:r>
      <w:r w:rsidR="00BA6129">
        <w:t xml:space="preserve">, ensuring </w:t>
      </w:r>
      <w:r>
        <w:t xml:space="preserve">the </w:t>
      </w:r>
      <w:r w:rsidR="00BA6129">
        <w:t>transition to national ownership</w:t>
      </w:r>
      <w:r>
        <w:t>;</w:t>
      </w:r>
    </w:p>
    <w:p w:rsidR="00A6735D" w:rsidRPr="00CE6AAA" w:rsidRDefault="00D440D7" w:rsidP="00A6735D">
      <w:pPr>
        <w:pStyle w:val="SingleTxt"/>
        <w:numPr>
          <w:ilvl w:val="0"/>
          <w:numId w:val="34"/>
        </w:numPr>
        <w:tabs>
          <w:tab w:val="left" w:pos="90"/>
          <w:tab w:val="left" w:pos="630"/>
          <w:tab w:val="left" w:pos="1620"/>
        </w:tabs>
        <w:ind w:right="1030"/>
      </w:pPr>
      <w:r>
        <w:t>s</w:t>
      </w:r>
      <w:r w:rsidRPr="005236FB">
        <w:t>trengthening</w:t>
      </w:r>
      <w:r w:rsidR="004219C9" w:rsidRPr="005236FB">
        <w:t xml:space="preserve"> </w:t>
      </w:r>
      <w:r w:rsidR="00A6735D" w:rsidRPr="005236FB">
        <w:t>national information management and data collection systems, with data disaggregated by age and gender</w:t>
      </w:r>
      <w:r>
        <w:t>;</w:t>
      </w:r>
    </w:p>
    <w:p w:rsidR="00A6735D" w:rsidRPr="003C611F" w:rsidRDefault="00782088" w:rsidP="00A6735D">
      <w:pPr>
        <w:pStyle w:val="SingleTxt"/>
        <w:numPr>
          <w:ilvl w:val="0"/>
          <w:numId w:val="34"/>
        </w:numPr>
        <w:tabs>
          <w:tab w:val="left" w:pos="90"/>
          <w:tab w:val="left" w:pos="630"/>
          <w:tab w:val="left" w:pos="1620"/>
        </w:tabs>
        <w:ind w:right="1030"/>
        <w:rPr>
          <w:lang w:val="en"/>
        </w:rPr>
      </w:pPr>
      <w:r>
        <w:t>supporting</w:t>
      </w:r>
      <w:r w:rsidR="00D440D7" w:rsidRPr="00CE6AAA">
        <w:t xml:space="preserve"> </w:t>
      </w:r>
      <w:r w:rsidR="004219C9" w:rsidRPr="00CE6AAA">
        <w:t>the</w:t>
      </w:r>
      <w:r w:rsidR="00A6735D" w:rsidRPr="00CE6AAA">
        <w:t xml:space="preserve"> inclusion of </w:t>
      </w:r>
      <w:r w:rsidR="00D440D7">
        <w:t>m</w:t>
      </w:r>
      <w:r w:rsidR="00D440D7" w:rsidRPr="00CE6AAA">
        <w:t xml:space="preserve">ine </w:t>
      </w:r>
      <w:r w:rsidR="00D440D7">
        <w:t>a</w:t>
      </w:r>
      <w:r w:rsidR="00D440D7" w:rsidRPr="00CE6AAA">
        <w:t>ction</w:t>
      </w:r>
      <w:r w:rsidR="00ED5D07">
        <w:t xml:space="preserve"> initiatives</w:t>
      </w:r>
      <w:r w:rsidR="00A6735D" w:rsidRPr="00CE6AAA">
        <w:t xml:space="preserve"> in national budgets and facilitating the mobilization and coordination of resources</w:t>
      </w:r>
      <w:r w:rsidR="00ED5D07">
        <w:rPr>
          <w:lang w:val="en"/>
        </w:rPr>
        <w:t>.</w:t>
      </w:r>
    </w:p>
    <w:p w:rsidR="00A6735D" w:rsidRPr="00C75E86" w:rsidRDefault="00A6735D" w:rsidP="00A6735D">
      <w:pPr>
        <w:pStyle w:val="SingleTxt"/>
        <w:numPr>
          <w:ilvl w:val="0"/>
          <w:numId w:val="25"/>
        </w:numPr>
        <w:tabs>
          <w:tab w:val="left" w:pos="90"/>
          <w:tab w:val="left" w:pos="630"/>
          <w:tab w:val="left" w:pos="1620"/>
        </w:tabs>
        <w:spacing w:line="240" w:lineRule="auto"/>
        <w:ind w:left="1260" w:right="1030" w:firstLine="0"/>
      </w:pPr>
      <w:r w:rsidRPr="003C611F">
        <w:t xml:space="preserve">As </w:t>
      </w:r>
      <w:r w:rsidR="00467528">
        <w:t xml:space="preserve">a </w:t>
      </w:r>
      <w:r w:rsidRPr="003C611F">
        <w:t xml:space="preserve">result, </w:t>
      </w:r>
      <w:r w:rsidR="00C5488A">
        <w:t xml:space="preserve">with </w:t>
      </w:r>
      <w:r w:rsidR="00D440D7">
        <w:t xml:space="preserve">assistance from </w:t>
      </w:r>
      <w:r w:rsidR="00C5488A">
        <w:t xml:space="preserve">UNDP, </w:t>
      </w:r>
      <w:r w:rsidRPr="003C611F">
        <w:t xml:space="preserve">many countries have successfully </w:t>
      </w:r>
      <w:r w:rsidR="00D440D7">
        <w:t>addressed</w:t>
      </w:r>
      <w:r w:rsidRPr="003C611F">
        <w:t xml:space="preserve"> their landmine and ERW contamination</w:t>
      </w:r>
      <w:r w:rsidR="00C5488A">
        <w:t>,</w:t>
      </w:r>
      <w:r w:rsidRPr="005236FB">
        <w:t xml:space="preserve"> </w:t>
      </w:r>
      <w:r w:rsidR="00977A14" w:rsidRPr="005236FB">
        <w:t>enhanced</w:t>
      </w:r>
      <w:r w:rsidR="00C5488A">
        <w:t xml:space="preserve"> their</w:t>
      </w:r>
      <w:r w:rsidRPr="005236FB">
        <w:t xml:space="preserve"> capacities to </w:t>
      </w:r>
      <w:r w:rsidR="00CC5C5E">
        <w:t>address</w:t>
      </w:r>
      <w:r w:rsidRPr="005236FB">
        <w:t xml:space="preserve"> residual</w:t>
      </w:r>
      <w:r w:rsidRPr="00A6735D">
        <w:t xml:space="preserve"> risks in</w:t>
      </w:r>
      <w:r w:rsidR="00EA6623">
        <w:t xml:space="preserve"> </w:t>
      </w:r>
      <w:r w:rsidRPr="00A6735D">
        <w:t xml:space="preserve">existing institutions </w:t>
      </w:r>
      <w:r w:rsidR="00C5488A">
        <w:t>(</w:t>
      </w:r>
      <w:r w:rsidR="005236FB">
        <w:t>including</w:t>
      </w:r>
      <w:r w:rsidRPr="00A6735D">
        <w:t xml:space="preserve"> the police or armed forces</w:t>
      </w:r>
      <w:r w:rsidR="00C5488A">
        <w:t>),</w:t>
      </w:r>
      <w:r w:rsidRPr="00A6735D">
        <w:t xml:space="preserve"> and </w:t>
      </w:r>
      <w:r w:rsidR="00E92107">
        <w:t xml:space="preserve">ensured that </w:t>
      </w:r>
      <w:r w:rsidR="00E92107" w:rsidRPr="00C75E86">
        <w:t>th</w:t>
      </w:r>
      <w:r w:rsidRPr="00C75E86">
        <w:t>e need</w:t>
      </w:r>
      <w:r w:rsidR="00E92107" w:rsidRPr="00C75E86">
        <w:t>s</w:t>
      </w:r>
      <w:r w:rsidRPr="00C75E86">
        <w:t xml:space="preserve"> </w:t>
      </w:r>
      <w:r w:rsidR="00E92107" w:rsidRPr="00C75E86">
        <w:t>of</w:t>
      </w:r>
      <w:r w:rsidR="00C75E86">
        <w:t xml:space="preserve"> </w:t>
      </w:r>
      <w:r w:rsidR="00E92107" w:rsidRPr="00C75E86">
        <w:t xml:space="preserve">landmines </w:t>
      </w:r>
      <w:r w:rsidRPr="00C75E86">
        <w:t xml:space="preserve">survivors </w:t>
      </w:r>
      <w:r w:rsidR="00E92107" w:rsidRPr="00C75E86">
        <w:t xml:space="preserve">are incorporated </w:t>
      </w:r>
      <w:r w:rsidRPr="00C75E86">
        <w:t>into disability polic</w:t>
      </w:r>
      <w:r w:rsidR="005236FB" w:rsidRPr="00C75E86">
        <w:t>ies</w:t>
      </w:r>
      <w:r w:rsidRPr="00C75E86">
        <w:t xml:space="preserve"> and programmes.</w:t>
      </w:r>
    </w:p>
    <w:p w:rsidR="00A6735D" w:rsidRPr="006A2EDB" w:rsidRDefault="00A6735D" w:rsidP="00A6735D">
      <w:pPr>
        <w:pStyle w:val="SingleTxt"/>
        <w:numPr>
          <w:ilvl w:val="0"/>
          <w:numId w:val="25"/>
        </w:numPr>
        <w:tabs>
          <w:tab w:val="left" w:pos="90"/>
          <w:tab w:val="left" w:pos="630"/>
          <w:tab w:val="left" w:pos="1620"/>
        </w:tabs>
        <w:ind w:left="1260" w:right="1030" w:firstLine="0"/>
        <w:rPr>
          <w:bCs/>
        </w:rPr>
      </w:pPr>
      <w:r w:rsidRPr="00F72B5A">
        <w:lastRenderedPageBreak/>
        <w:t>The mandates of each U</w:t>
      </w:r>
      <w:r w:rsidR="00D440D7">
        <w:t xml:space="preserve">nited </w:t>
      </w:r>
      <w:r w:rsidRPr="00F72B5A">
        <w:t>N</w:t>
      </w:r>
      <w:r w:rsidR="00D440D7">
        <w:t>ations</w:t>
      </w:r>
      <w:r w:rsidRPr="00F72B5A">
        <w:t xml:space="preserve"> agency on </w:t>
      </w:r>
      <w:r w:rsidR="00D440D7">
        <w:t>m</w:t>
      </w:r>
      <w:r w:rsidR="00D440D7" w:rsidRPr="00F72B5A">
        <w:t xml:space="preserve">ine </w:t>
      </w:r>
      <w:r w:rsidR="00D440D7">
        <w:t>a</w:t>
      </w:r>
      <w:r w:rsidR="00D440D7" w:rsidRPr="00F72B5A">
        <w:t xml:space="preserve">ction </w:t>
      </w:r>
      <w:r w:rsidRPr="00F72B5A">
        <w:t>a</w:t>
      </w:r>
      <w:r w:rsidRPr="006A2EDB">
        <w:t xml:space="preserve">re </w:t>
      </w:r>
      <w:r w:rsidR="00D440D7">
        <w:t>specified</w:t>
      </w:r>
      <w:r w:rsidRPr="006A2EDB">
        <w:t xml:space="preserve"> in the </w:t>
      </w:r>
      <w:r w:rsidRPr="00A6735D">
        <w:t>U</w:t>
      </w:r>
      <w:r w:rsidR="00D003BF">
        <w:t xml:space="preserve">nited </w:t>
      </w:r>
      <w:r w:rsidRPr="00A6735D">
        <w:t>N</w:t>
      </w:r>
      <w:r w:rsidR="00D003BF">
        <w:t>ations</w:t>
      </w:r>
      <w:r w:rsidRPr="00A6735D">
        <w:t xml:space="preserve"> </w:t>
      </w:r>
      <w:r w:rsidR="00D003BF">
        <w:t>p</w:t>
      </w:r>
      <w:r w:rsidR="00D003BF" w:rsidRPr="00A6735D">
        <w:t>olicy</w:t>
      </w:r>
      <w:r w:rsidR="00D003BF">
        <w:t xml:space="preserve"> on mine action and effective coordination</w:t>
      </w:r>
      <w:r w:rsidR="00CC5C5E">
        <w:t xml:space="preserve"> (2005)</w:t>
      </w:r>
      <w:r w:rsidRPr="00A6735D">
        <w:t xml:space="preserve">. The current </w:t>
      </w:r>
      <w:r w:rsidR="00CC5C5E">
        <w:t xml:space="preserve">Strategy of the </w:t>
      </w:r>
      <w:r w:rsidRPr="00A6735D">
        <w:t>U</w:t>
      </w:r>
      <w:r w:rsidR="00D003BF">
        <w:t xml:space="preserve">nited </w:t>
      </w:r>
      <w:r w:rsidRPr="00A6735D">
        <w:t>N</w:t>
      </w:r>
      <w:r w:rsidR="00D003BF">
        <w:t>ations</w:t>
      </w:r>
      <w:r w:rsidRPr="00A6735D">
        <w:t xml:space="preserve"> </w:t>
      </w:r>
      <w:r w:rsidR="00CC5C5E">
        <w:t xml:space="preserve">on </w:t>
      </w:r>
      <w:r w:rsidRPr="00A6735D">
        <w:t>Mine Action 2013–2018 was developed jointly through the Inter-Agency Coordinati</w:t>
      </w:r>
      <w:r w:rsidR="00C76AFC">
        <w:t>on</w:t>
      </w:r>
      <w:r w:rsidRPr="00A6735D">
        <w:t xml:space="preserve"> Group on Mine Action (IACG</w:t>
      </w:r>
      <w:r w:rsidR="00D003BF">
        <w:t>-MA</w:t>
      </w:r>
      <w:r w:rsidRPr="00A6735D">
        <w:t xml:space="preserve">), </w:t>
      </w:r>
      <w:r w:rsidR="00D003BF" w:rsidRPr="00A6735D">
        <w:t>w</w:t>
      </w:r>
      <w:r w:rsidR="00D003BF">
        <w:t>ith</w:t>
      </w:r>
      <w:r w:rsidR="00D003BF" w:rsidRPr="00A6735D">
        <w:t xml:space="preserve"> </w:t>
      </w:r>
      <w:r w:rsidRPr="00A6735D">
        <w:t xml:space="preserve">UNDP </w:t>
      </w:r>
      <w:r w:rsidR="00D003BF">
        <w:t xml:space="preserve">taking </w:t>
      </w:r>
      <w:r w:rsidR="004873B4">
        <w:t>the lead</w:t>
      </w:r>
      <w:r w:rsidRPr="00A6735D">
        <w:t xml:space="preserve"> on linking </w:t>
      </w:r>
      <w:r w:rsidR="00D003BF">
        <w:t>m</w:t>
      </w:r>
      <w:r w:rsidR="00D003BF" w:rsidRPr="00A6735D">
        <w:t xml:space="preserve">ine </w:t>
      </w:r>
      <w:r w:rsidR="00D003BF">
        <w:t>a</w:t>
      </w:r>
      <w:r w:rsidR="00D003BF" w:rsidRPr="00A6735D">
        <w:t xml:space="preserve">ction </w:t>
      </w:r>
      <w:r w:rsidRPr="00A6735D">
        <w:t xml:space="preserve">and development. UNDP programming efforts consistently </w:t>
      </w:r>
      <w:r w:rsidR="00D003BF" w:rsidRPr="00A6735D">
        <w:t xml:space="preserve">have </w:t>
      </w:r>
      <w:r w:rsidRPr="00A6735D">
        <w:t xml:space="preserve">linked </w:t>
      </w:r>
      <w:r w:rsidR="00D003BF">
        <w:t>m</w:t>
      </w:r>
      <w:r w:rsidR="00D003BF" w:rsidRPr="00A6735D">
        <w:t xml:space="preserve">ine </w:t>
      </w:r>
      <w:r w:rsidR="00D003BF">
        <w:t>a</w:t>
      </w:r>
      <w:r w:rsidR="00D003BF" w:rsidRPr="00A6735D">
        <w:t>ction</w:t>
      </w:r>
      <w:r w:rsidRPr="00A6735D">
        <w:t xml:space="preserve"> directly to livelihoods, governance, disaster risk reduction, peace building and reconciliation. In addition to being one of the main contributors to the IACG</w:t>
      </w:r>
      <w:r w:rsidR="00D003BF">
        <w:t>-MA</w:t>
      </w:r>
      <w:r w:rsidRPr="00A6735D">
        <w:t>, UNDP has contribut</w:t>
      </w:r>
      <w:r w:rsidR="006A2EDB">
        <w:t>ed</w:t>
      </w:r>
      <w:r w:rsidRPr="00A6735D">
        <w:t xml:space="preserve"> </w:t>
      </w:r>
      <w:r w:rsidRPr="006A2EDB">
        <w:t>to policy work on international treaties and legal instruments related to ERW.</w:t>
      </w:r>
    </w:p>
    <w:p w:rsidR="00A6735D" w:rsidRPr="004E0E75" w:rsidRDefault="00B2410A" w:rsidP="00A6735D">
      <w:pPr>
        <w:pStyle w:val="SingleTxt"/>
        <w:numPr>
          <w:ilvl w:val="0"/>
          <w:numId w:val="25"/>
        </w:numPr>
        <w:tabs>
          <w:tab w:val="left" w:pos="90"/>
          <w:tab w:val="left" w:pos="630"/>
          <w:tab w:val="left" w:pos="1620"/>
        </w:tabs>
        <w:spacing w:line="240" w:lineRule="auto"/>
        <w:ind w:left="1260" w:right="1030" w:firstLine="0"/>
      </w:pPr>
      <w:r w:rsidRPr="004E0E75">
        <w:t xml:space="preserve">Mine action </w:t>
      </w:r>
      <w:r w:rsidR="00A6735D" w:rsidRPr="004E0E75">
        <w:t>contribut</w:t>
      </w:r>
      <w:r w:rsidR="006A2EDB" w:rsidRPr="004E0E75">
        <w:t>es</w:t>
      </w:r>
      <w:r w:rsidR="00A6735D" w:rsidRPr="004E0E75">
        <w:t xml:space="preserve"> </w:t>
      </w:r>
      <w:r w:rsidR="00A6735D" w:rsidRPr="006F4285">
        <w:t>to</w:t>
      </w:r>
      <w:r w:rsidR="00E82C38" w:rsidRPr="006F4285">
        <w:t>wards meeting the goals of the UNDP Strategic Plan</w:t>
      </w:r>
      <w:r w:rsidR="00CC5C5E">
        <w:t>,</w:t>
      </w:r>
      <w:r w:rsidR="00E82C38" w:rsidRPr="006F4285">
        <w:t xml:space="preserve"> 2014-2017 in such areas as</w:t>
      </w:r>
      <w:r w:rsidR="00A6735D" w:rsidRPr="004E0E75">
        <w:t xml:space="preserve"> poverty</w:t>
      </w:r>
      <w:r w:rsidR="006A2EDB" w:rsidRPr="004E0E75">
        <w:t xml:space="preserve"> eradication</w:t>
      </w:r>
      <w:r w:rsidR="00820397" w:rsidRPr="004E0E75">
        <w:t xml:space="preserve">, </w:t>
      </w:r>
      <w:r w:rsidR="006A2EDB" w:rsidRPr="004E0E75">
        <w:t>the reduction of</w:t>
      </w:r>
      <w:r w:rsidR="00A6735D" w:rsidRPr="004E0E75">
        <w:t xml:space="preserve"> inequalities and exclusion</w:t>
      </w:r>
      <w:r w:rsidR="00820397" w:rsidRPr="004E0E75">
        <w:t xml:space="preserve">, </w:t>
      </w:r>
      <w:r w:rsidR="00A6735D" w:rsidRPr="004E0E75">
        <w:t>peacebuilding and conflict prevention</w:t>
      </w:r>
      <w:r w:rsidR="00E82C38" w:rsidRPr="006F4285">
        <w:t xml:space="preserve"> and rapid and effective recovery from conflict-induced crises where prevention</w:t>
      </w:r>
      <w:r w:rsidR="00E82C38" w:rsidRPr="004E0E75">
        <w:t xml:space="preserve"> has </w:t>
      </w:r>
      <w:r w:rsidR="00E82C38" w:rsidRPr="006F4285">
        <w:t>fallen short</w:t>
      </w:r>
      <w:r w:rsidR="00A6735D" w:rsidRPr="006F4285">
        <w:t>.</w:t>
      </w:r>
      <w:r w:rsidR="00A6735D" w:rsidRPr="004E0E75">
        <w:t xml:space="preserve"> </w:t>
      </w:r>
      <w:r w:rsidR="004E0E75">
        <w:t xml:space="preserve">UNDP </w:t>
      </w:r>
      <w:r w:rsidR="00CC5C5E">
        <w:t xml:space="preserve">focuses </w:t>
      </w:r>
      <w:r w:rsidR="00D003BF" w:rsidRPr="004E0E75">
        <w:t xml:space="preserve">primarily </w:t>
      </w:r>
      <w:r w:rsidR="00E30D56" w:rsidRPr="004E0E75">
        <w:t>on</w:t>
      </w:r>
      <w:r w:rsidR="00A15285" w:rsidRPr="004E0E75">
        <w:t xml:space="preserve"> </w:t>
      </w:r>
      <w:r w:rsidR="009800EC" w:rsidRPr="004E0E75">
        <w:t xml:space="preserve">field-based initiatives </w:t>
      </w:r>
      <w:r w:rsidR="00E30D56" w:rsidRPr="004E0E75">
        <w:t xml:space="preserve">and </w:t>
      </w:r>
      <w:r w:rsidR="0064478B" w:rsidRPr="004E0E75">
        <w:t xml:space="preserve">promoting their evolution from </w:t>
      </w:r>
      <w:r w:rsidR="00D003BF" w:rsidRPr="004E0E75">
        <w:t>'</w:t>
      </w:r>
      <w:r w:rsidR="0064478B" w:rsidRPr="004E0E75">
        <w:t>traditional</w:t>
      </w:r>
      <w:r w:rsidR="00D003BF" w:rsidRPr="004E0E75">
        <w:t>'</w:t>
      </w:r>
      <w:r w:rsidR="0064478B" w:rsidRPr="004E0E75">
        <w:t xml:space="preserve"> mine action programmes to initiatives that </w:t>
      </w:r>
      <w:r w:rsidR="00E30D56" w:rsidRPr="004E0E75">
        <w:t>contribut</w:t>
      </w:r>
      <w:r w:rsidR="0064478B" w:rsidRPr="004E0E75">
        <w:t>e</w:t>
      </w:r>
      <w:r w:rsidR="00E30D56" w:rsidRPr="004E0E75">
        <w:t xml:space="preserve"> to</w:t>
      </w:r>
      <w:r w:rsidR="009800EC" w:rsidRPr="004E0E75">
        <w:t xml:space="preserve"> </w:t>
      </w:r>
      <w:r w:rsidR="00A15285" w:rsidRPr="004E0E75">
        <w:t xml:space="preserve">multiple </w:t>
      </w:r>
      <w:r w:rsidR="009800EC" w:rsidRPr="004E0E75">
        <w:t xml:space="preserve">development </w:t>
      </w:r>
      <w:r w:rsidR="00A15285" w:rsidRPr="004E0E75">
        <w:t>benefits</w:t>
      </w:r>
      <w:r w:rsidR="000A3615" w:rsidRPr="004E0E75">
        <w:t>.</w:t>
      </w:r>
    </w:p>
    <w:p w:rsidR="00A6735D" w:rsidRPr="0000053B" w:rsidRDefault="00937276" w:rsidP="00A6735D">
      <w:pPr>
        <w:pStyle w:val="SingleTxt"/>
        <w:numPr>
          <w:ilvl w:val="0"/>
          <w:numId w:val="25"/>
        </w:numPr>
        <w:tabs>
          <w:tab w:val="left" w:pos="90"/>
          <w:tab w:val="left" w:pos="630"/>
          <w:tab w:val="left" w:pos="1620"/>
        </w:tabs>
        <w:spacing w:line="240" w:lineRule="auto"/>
        <w:ind w:left="1260" w:right="1030" w:firstLine="0"/>
      </w:pPr>
      <w:r w:rsidRPr="0000053B">
        <w:t xml:space="preserve">As the evaluation points out, the UNDP 2014-2017 Strategic Plan did not specifically mention Mine Action as an area of support.  Consequently, UNDP laid out plans to progressively phase out its mine action work after fulfilling current obligations.  However, early </w:t>
      </w:r>
      <w:r w:rsidR="00CC5C5E" w:rsidRPr="0000053B">
        <w:t xml:space="preserve">in </w:t>
      </w:r>
      <w:r w:rsidR="00A6735D" w:rsidRPr="0000053B">
        <w:t xml:space="preserve">2015, </w:t>
      </w:r>
      <w:r w:rsidRPr="0000053B">
        <w:t>and following</w:t>
      </w:r>
      <w:r w:rsidR="00A6735D" w:rsidRPr="0000053B">
        <w:t xml:space="preserve"> </w:t>
      </w:r>
      <w:r w:rsidR="00D543C4" w:rsidRPr="0000053B">
        <w:t xml:space="preserve">numerous requests and </w:t>
      </w:r>
      <w:r w:rsidR="00A6735D" w:rsidRPr="0000053B">
        <w:t>pressing demand</w:t>
      </w:r>
      <w:r w:rsidR="00B748C2" w:rsidRPr="0000053B">
        <w:t>s</w:t>
      </w:r>
      <w:r w:rsidR="00A6735D" w:rsidRPr="0000053B">
        <w:t xml:space="preserve"> from national counterparts, </w:t>
      </w:r>
      <w:r w:rsidR="00D543C4" w:rsidRPr="0000053B">
        <w:t xml:space="preserve">the </w:t>
      </w:r>
      <w:r w:rsidR="00A6735D" w:rsidRPr="0000053B">
        <w:t>emerg</w:t>
      </w:r>
      <w:r w:rsidR="00D543C4" w:rsidRPr="0000053B">
        <w:t xml:space="preserve">ence of </w:t>
      </w:r>
      <w:r w:rsidR="00A6735D" w:rsidRPr="0000053B">
        <w:t xml:space="preserve">new complex issues </w:t>
      </w:r>
      <w:r w:rsidR="0063637E" w:rsidRPr="0000053B">
        <w:t>a</w:t>
      </w:r>
      <w:r w:rsidR="007D517B" w:rsidRPr="0000053B">
        <w:t>nd</w:t>
      </w:r>
      <w:r w:rsidR="0063637E" w:rsidRPr="0000053B">
        <w:t xml:space="preserve"> the need for</w:t>
      </w:r>
      <w:r w:rsidR="00FE6394" w:rsidRPr="0000053B">
        <w:t xml:space="preserve"> more </w:t>
      </w:r>
      <w:r w:rsidR="0063637E" w:rsidRPr="0000053B">
        <w:t xml:space="preserve">coherent </w:t>
      </w:r>
      <w:r w:rsidR="00F92D5C" w:rsidRPr="0000053B">
        <w:t xml:space="preserve">programmatic </w:t>
      </w:r>
      <w:r w:rsidR="007D517B" w:rsidRPr="0000053B">
        <w:t xml:space="preserve">and </w:t>
      </w:r>
      <w:r w:rsidR="00FE6394" w:rsidRPr="0000053B">
        <w:t xml:space="preserve">inter-agency </w:t>
      </w:r>
      <w:r w:rsidR="00D7243E" w:rsidRPr="0000053B">
        <w:t xml:space="preserve">cooperation on </w:t>
      </w:r>
      <w:r w:rsidR="003C611F" w:rsidRPr="0000053B">
        <w:t>m</w:t>
      </w:r>
      <w:r w:rsidR="00D7243E" w:rsidRPr="0000053B">
        <w:t xml:space="preserve">ine </w:t>
      </w:r>
      <w:r w:rsidR="003C611F" w:rsidRPr="0000053B">
        <w:t>a</w:t>
      </w:r>
      <w:r w:rsidR="00D7243E" w:rsidRPr="0000053B">
        <w:t>ction,</w:t>
      </w:r>
      <w:r w:rsidR="00890548" w:rsidRPr="0000053B">
        <w:t xml:space="preserve"> UNDP</w:t>
      </w:r>
      <w:r w:rsidR="00A6735D" w:rsidRPr="0000053B">
        <w:t xml:space="preserve"> </w:t>
      </w:r>
      <w:r w:rsidR="00AB7AF6" w:rsidRPr="0000053B">
        <w:t>re-</w:t>
      </w:r>
      <w:r w:rsidR="00C13E1F" w:rsidRPr="0000053B">
        <w:t xml:space="preserve">engaged in mine action </w:t>
      </w:r>
      <w:r w:rsidRPr="0000053B">
        <w:t>with a renewed and strengthened focus on its development dimensions</w:t>
      </w:r>
      <w:r w:rsidR="0000053B" w:rsidRPr="0000053B">
        <w:t xml:space="preserve"> and a demand-driven approach</w:t>
      </w:r>
      <w:r w:rsidRPr="0000053B">
        <w:t>.</w:t>
      </w:r>
      <w:r w:rsidR="00D42F03" w:rsidRPr="0000053B">
        <w:t xml:space="preserve"> </w:t>
      </w:r>
      <w:r w:rsidR="002E0B54" w:rsidRPr="0000053B">
        <w:t>The</w:t>
      </w:r>
      <w:r w:rsidR="00A6735D" w:rsidRPr="0000053B">
        <w:t xml:space="preserve"> UNDP Support Framework for Development and Mine Action was </w:t>
      </w:r>
      <w:r w:rsidRPr="0000053B">
        <w:t xml:space="preserve">then </w:t>
      </w:r>
      <w:r w:rsidR="00B95E9F" w:rsidRPr="0000053B">
        <w:t>drafted</w:t>
      </w:r>
      <w:r w:rsidR="00A6735D" w:rsidRPr="0000053B">
        <w:t xml:space="preserve">, shared with main counterparts and </w:t>
      </w:r>
      <w:r w:rsidR="002E0B54" w:rsidRPr="0000053B">
        <w:t xml:space="preserve">announced </w:t>
      </w:r>
      <w:r w:rsidR="00A6735D" w:rsidRPr="0000053B">
        <w:t>to all country offices and key partner</w:t>
      </w:r>
      <w:r w:rsidR="00D42F03" w:rsidRPr="0000053B">
        <w:t>s, such as</w:t>
      </w:r>
      <w:r w:rsidR="00A6735D" w:rsidRPr="0000053B">
        <w:t xml:space="preserve"> the Mine Action Support Group</w:t>
      </w:r>
      <w:r w:rsidR="002E0B54" w:rsidRPr="0000053B">
        <w:t>,</w:t>
      </w:r>
      <w:r w:rsidR="00A6735D" w:rsidRPr="0000053B">
        <w:t xml:space="preserve"> </w:t>
      </w:r>
      <w:r w:rsidR="002E0B54" w:rsidRPr="0000053B">
        <w:t>in</w:t>
      </w:r>
      <w:r w:rsidR="00A6735D" w:rsidRPr="0000053B">
        <w:t xml:space="preserve"> February 2015.</w:t>
      </w:r>
    </w:p>
    <w:p w:rsidR="00301A0E" w:rsidRPr="00301A0E" w:rsidRDefault="00A6735D" w:rsidP="007C0B40">
      <w:pPr>
        <w:pStyle w:val="SingleTxt"/>
        <w:numPr>
          <w:ilvl w:val="0"/>
          <w:numId w:val="25"/>
        </w:numPr>
        <w:tabs>
          <w:tab w:val="clear" w:pos="1267"/>
          <w:tab w:val="clear" w:pos="1742"/>
          <w:tab w:val="left" w:pos="90"/>
          <w:tab w:val="left" w:pos="630"/>
          <w:tab w:val="left" w:pos="1620"/>
        </w:tabs>
        <w:spacing w:line="240" w:lineRule="auto"/>
        <w:ind w:left="1260" w:right="1030" w:firstLine="0"/>
      </w:pPr>
      <w:r w:rsidRPr="0000053B">
        <w:rPr>
          <w:lang w:val="en-US"/>
        </w:rPr>
        <w:t>Currently</w:t>
      </w:r>
      <w:r w:rsidR="002A650F" w:rsidRPr="0000053B">
        <w:rPr>
          <w:lang w:val="en-US"/>
        </w:rPr>
        <w:t>,</w:t>
      </w:r>
      <w:r w:rsidRPr="0000053B">
        <w:rPr>
          <w:lang w:val="en-US"/>
        </w:rPr>
        <w:t xml:space="preserve"> </w:t>
      </w:r>
      <w:r w:rsidR="002E0B54" w:rsidRPr="0000053B">
        <w:rPr>
          <w:lang w:val="en-US"/>
        </w:rPr>
        <w:t>mine action</w:t>
      </w:r>
      <w:r w:rsidR="004E0E75" w:rsidRPr="0000053B">
        <w:rPr>
          <w:lang w:val="en-US"/>
        </w:rPr>
        <w:t xml:space="preserve"> </w:t>
      </w:r>
      <w:r w:rsidR="005D5601" w:rsidRPr="0000053B">
        <w:rPr>
          <w:lang w:val="en-US"/>
        </w:rPr>
        <w:t xml:space="preserve">policy and programme support to UNDP </w:t>
      </w:r>
      <w:r w:rsidR="00CC5C5E" w:rsidRPr="0000053B">
        <w:rPr>
          <w:lang w:val="en-US"/>
        </w:rPr>
        <w:t xml:space="preserve">country offices </w:t>
      </w:r>
      <w:r w:rsidR="005D5601" w:rsidRPr="0000053B">
        <w:rPr>
          <w:lang w:val="en-US"/>
        </w:rPr>
        <w:t xml:space="preserve">is provided </w:t>
      </w:r>
      <w:r w:rsidR="0000053B">
        <w:rPr>
          <w:lang w:val="en-US"/>
        </w:rPr>
        <w:t>through one designated post in UNDP/New York headquarters, with two additional posts for regional hubs.  These</w:t>
      </w:r>
      <w:r w:rsidR="00301A0E">
        <w:rPr>
          <w:lang w:val="en-US"/>
        </w:rPr>
        <w:t xml:space="preserve"> posts will</w:t>
      </w:r>
      <w:r w:rsidR="00937276" w:rsidRPr="0000053B">
        <w:rPr>
          <w:lang w:val="en-US"/>
        </w:rPr>
        <w:t xml:space="preserve"> </w:t>
      </w:r>
      <w:r w:rsidR="00EF0DCF">
        <w:rPr>
          <w:lang w:val="en-US"/>
        </w:rPr>
        <w:t>backstop</w:t>
      </w:r>
      <w:r w:rsidR="00937276">
        <w:rPr>
          <w:lang w:val="en-US"/>
        </w:rPr>
        <w:t xml:space="preserve"> a</w:t>
      </w:r>
      <w:r w:rsidR="00AB7AF6">
        <w:rPr>
          <w:lang w:val="en-US"/>
        </w:rPr>
        <w:t xml:space="preserve"> network of country-based</w:t>
      </w:r>
      <w:r w:rsidR="00EF0DCF">
        <w:rPr>
          <w:lang w:val="en-US"/>
        </w:rPr>
        <w:t>,</w:t>
      </w:r>
      <w:r w:rsidR="00AB7AF6">
        <w:rPr>
          <w:lang w:val="en-US"/>
        </w:rPr>
        <w:t xml:space="preserve"> </w:t>
      </w:r>
      <w:r w:rsidR="0000053B">
        <w:rPr>
          <w:lang w:val="en-US"/>
        </w:rPr>
        <w:t xml:space="preserve">project-funded </w:t>
      </w:r>
      <w:r w:rsidR="00AB7AF6">
        <w:rPr>
          <w:lang w:val="en-US"/>
        </w:rPr>
        <w:t>Mine Action Advisers helping Governments and Country Offices implement Mine Action programmes</w:t>
      </w:r>
      <w:r w:rsidR="00301A0E">
        <w:rPr>
          <w:lang w:val="en-US"/>
        </w:rPr>
        <w:t>, on a demand basis</w:t>
      </w:r>
      <w:r w:rsidR="00740D68">
        <w:rPr>
          <w:lang w:val="en-US"/>
        </w:rPr>
        <w:t>.</w:t>
      </w:r>
      <w:r w:rsidR="005D5601">
        <w:rPr>
          <w:lang w:val="en-US"/>
        </w:rPr>
        <w:t xml:space="preserve"> </w:t>
      </w:r>
      <w:r w:rsidR="00301A0E">
        <w:rPr>
          <w:lang w:val="en-US"/>
        </w:rPr>
        <w:t>The positions</w:t>
      </w:r>
      <w:r w:rsidR="002E0B54" w:rsidRPr="007C0B40">
        <w:rPr>
          <w:lang w:val="en-US"/>
        </w:rPr>
        <w:t xml:space="preserve"> </w:t>
      </w:r>
      <w:r w:rsidRPr="007C0B40">
        <w:rPr>
          <w:lang w:val="en-US"/>
        </w:rPr>
        <w:t xml:space="preserve">are </w:t>
      </w:r>
      <w:r w:rsidR="002E0B54">
        <w:rPr>
          <w:lang w:val="en-US"/>
        </w:rPr>
        <w:t>part of</w:t>
      </w:r>
      <w:r w:rsidRPr="007C0B40">
        <w:rPr>
          <w:lang w:val="en-US"/>
        </w:rPr>
        <w:t xml:space="preserve"> the </w:t>
      </w:r>
      <w:r w:rsidR="00467528" w:rsidRPr="007C0B40">
        <w:rPr>
          <w:lang w:val="en-US"/>
        </w:rPr>
        <w:t xml:space="preserve">Livelihoods and Economic Recovery Team </w:t>
      </w:r>
      <w:r w:rsidR="00467528">
        <w:rPr>
          <w:lang w:val="en-US"/>
        </w:rPr>
        <w:t xml:space="preserve">in the </w:t>
      </w:r>
      <w:r w:rsidRPr="007C0B40">
        <w:rPr>
          <w:lang w:val="en-US"/>
        </w:rPr>
        <w:t>Sustainable Development Cluster</w:t>
      </w:r>
      <w:r w:rsidR="00467528">
        <w:rPr>
          <w:lang w:val="en-US"/>
        </w:rPr>
        <w:t xml:space="preserve"> of the Bureau for Policy and Programme Support</w:t>
      </w:r>
      <w:r w:rsidR="00301A0E">
        <w:rPr>
          <w:lang w:val="en-US"/>
        </w:rPr>
        <w:t>,</w:t>
      </w:r>
      <w:r w:rsidR="00E660B6">
        <w:rPr>
          <w:lang w:val="en-US"/>
        </w:rPr>
        <w:t xml:space="preserve"> working </w:t>
      </w:r>
      <w:r w:rsidR="00301A0E">
        <w:rPr>
          <w:lang w:val="en-US"/>
        </w:rPr>
        <w:t>a</w:t>
      </w:r>
      <w:r w:rsidR="00E660B6">
        <w:rPr>
          <w:lang w:val="en-US"/>
        </w:rPr>
        <w:t xml:space="preserve">cross units to incorporate governance, </w:t>
      </w:r>
      <w:r w:rsidR="00796F11">
        <w:rPr>
          <w:lang w:val="en-US"/>
        </w:rPr>
        <w:t xml:space="preserve">human </w:t>
      </w:r>
      <w:r w:rsidR="00E660B6">
        <w:rPr>
          <w:lang w:val="en-US"/>
        </w:rPr>
        <w:t>rights and peacebuilding dimensions</w:t>
      </w:r>
      <w:r w:rsidR="00467528">
        <w:rPr>
          <w:lang w:val="en-US"/>
        </w:rPr>
        <w:t xml:space="preserve">. </w:t>
      </w:r>
    </w:p>
    <w:p w:rsidR="007C0B40" w:rsidRPr="00C75E86" w:rsidRDefault="00EB1667" w:rsidP="007C0B40">
      <w:pPr>
        <w:pStyle w:val="SingleTxt"/>
        <w:numPr>
          <w:ilvl w:val="0"/>
          <w:numId w:val="25"/>
        </w:numPr>
        <w:tabs>
          <w:tab w:val="clear" w:pos="1267"/>
          <w:tab w:val="clear" w:pos="1742"/>
          <w:tab w:val="left" w:pos="90"/>
          <w:tab w:val="left" w:pos="630"/>
          <w:tab w:val="left" w:pos="1620"/>
        </w:tabs>
        <w:spacing w:line="240" w:lineRule="auto"/>
        <w:ind w:left="1260" w:right="1030" w:firstLine="0"/>
      </w:pPr>
      <w:r w:rsidRPr="007C0B40">
        <w:rPr>
          <w:lang w:val="en-US"/>
        </w:rPr>
        <w:t>F</w:t>
      </w:r>
      <w:r w:rsidR="00A6735D" w:rsidRPr="007C0B40">
        <w:rPr>
          <w:lang w:val="en-US"/>
        </w:rPr>
        <w:t xml:space="preserve">uture UNDP </w:t>
      </w:r>
      <w:r w:rsidR="003C611F" w:rsidRPr="007C0B40">
        <w:rPr>
          <w:lang w:val="en-US"/>
        </w:rPr>
        <w:t>d</w:t>
      </w:r>
      <w:r w:rsidR="00A6735D" w:rsidRPr="007C0B40">
        <w:rPr>
          <w:lang w:val="en-US"/>
        </w:rPr>
        <w:t xml:space="preserve">evelopment and </w:t>
      </w:r>
      <w:r w:rsidR="003C611F" w:rsidRPr="007C0B40">
        <w:rPr>
          <w:lang w:val="en-US"/>
        </w:rPr>
        <w:t>m</w:t>
      </w:r>
      <w:r w:rsidR="00A6735D" w:rsidRPr="007C0B40">
        <w:rPr>
          <w:bCs/>
          <w:lang w:val="en-US"/>
        </w:rPr>
        <w:t xml:space="preserve">ine </w:t>
      </w:r>
      <w:r w:rsidR="003C611F" w:rsidRPr="007C0B40">
        <w:rPr>
          <w:bCs/>
          <w:lang w:val="en-US"/>
        </w:rPr>
        <w:t>a</w:t>
      </w:r>
      <w:r w:rsidR="00A6735D" w:rsidRPr="007C0B40">
        <w:rPr>
          <w:bCs/>
          <w:lang w:val="en-US"/>
        </w:rPr>
        <w:t xml:space="preserve">ction programmes will be articulated in line with the UNDP Support Framework for Development and Mine Action, and will </w:t>
      </w:r>
      <w:r w:rsidR="00740D68">
        <w:rPr>
          <w:bCs/>
          <w:lang w:val="en-US"/>
        </w:rPr>
        <w:t>focus on</w:t>
      </w:r>
      <w:r w:rsidR="00740D68" w:rsidRPr="007C0B40">
        <w:rPr>
          <w:bCs/>
          <w:lang w:val="en-US"/>
        </w:rPr>
        <w:t xml:space="preserve"> </w:t>
      </w:r>
      <w:r w:rsidR="00A6735D" w:rsidRPr="007C0B40">
        <w:rPr>
          <w:bCs/>
          <w:lang w:val="en-US"/>
        </w:rPr>
        <w:t xml:space="preserve">three areas: </w:t>
      </w:r>
    </w:p>
    <w:p w:rsidR="007C0B40" w:rsidRPr="00CC5C5E" w:rsidRDefault="002E0B54" w:rsidP="00C75E86">
      <w:pPr>
        <w:pStyle w:val="SingleTxt"/>
        <w:numPr>
          <w:ilvl w:val="0"/>
          <w:numId w:val="5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630"/>
        </w:tabs>
        <w:spacing w:after="0" w:line="240" w:lineRule="auto"/>
        <w:ind w:left="1984" w:right="1032" w:hanging="357"/>
      </w:pPr>
      <w:r>
        <w:rPr>
          <w:lang w:val="en"/>
        </w:rPr>
        <w:t>t</w:t>
      </w:r>
      <w:r w:rsidRPr="00A6735D">
        <w:rPr>
          <w:lang w:val="en"/>
        </w:rPr>
        <w:t>ranslat</w:t>
      </w:r>
      <w:r>
        <w:rPr>
          <w:lang w:val="en"/>
        </w:rPr>
        <w:t>ing</w:t>
      </w:r>
      <w:r w:rsidR="00467528" w:rsidRPr="00A6735D">
        <w:rPr>
          <w:lang w:val="en"/>
        </w:rPr>
        <w:t xml:space="preserve"> </w:t>
      </w:r>
      <w:r w:rsidR="00A6735D" w:rsidRPr="00A6735D">
        <w:rPr>
          <w:lang w:val="en"/>
        </w:rPr>
        <w:t>mine action into sustainable development dividends such as</w:t>
      </w:r>
      <w:r w:rsidR="00E660B6">
        <w:rPr>
          <w:lang w:val="en"/>
        </w:rPr>
        <w:t>, safe surroundings and freedom of movement,</w:t>
      </w:r>
      <w:r w:rsidR="00A6735D" w:rsidRPr="00A6735D">
        <w:rPr>
          <w:lang w:val="en"/>
        </w:rPr>
        <w:t xml:space="preserve"> food security, jobs and livelihood</w:t>
      </w:r>
      <w:r w:rsidR="00A6735D" w:rsidRPr="00CE6AAA">
        <w:rPr>
          <w:lang w:val="en"/>
        </w:rPr>
        <w:t>s;</w:t>
      </w:r>
    </w:p>
    <w:p w:rsidR="00CC5C5E" w:rsidRPr="0084706A" w:rsidRDefault="00CC5C5E" w:rsidP="00CC5C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630"/>
        </w:tabs>
        <w:spacing w:after="0" w:line="240" w:lineRule="auto"/>
        <w:ind w:left="1984" w:right="1032"/>
        <w:rPr>
          <w:sz w:val="12"/>
          <w:szCs w:val="12"/>
        </w:rPr>
      </w:pPr>
    </w:p>
    <w:p w:rsidR="007C0B40" w:rsidRPr="00CC5C5E" w:rsidRDefault="002E0B54" w:rsidP="00C75E86">
      <w:pPr>
        <w:pStyle w:val="SingleTxt"/>
        <w:numPr>
          <w:ilvl w:val="0"/>
          <w:numId w:val="5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630"/>
        </w:tabs>
        <w:spacing w:after="0" w:line="240" w:lineRule="auto"/>
        <w:ind w:left="1984" w:right="1032" w:hanging="357"/>
      </w:pPr>
      <w:r>
        <w:rPr>
          <w:lang w:val="en"/>
        </w:rPr>
        <w:t>s</w:t>
      </w:r>
      <w:r w:rsidRPr="00CE6AAA">
        <w:rPr>
          <w:lang w:val="en"/>
        </w:rPr>
        <w:t xml:space="preserve">trengthening </w:t>
      </w:r>
      <w:r w:rsidR="00A6735D" w:rsidRPr="00CE6AAA">
        <w:rPr>
          <w:lang w:val="en"/>
        </w:rPr>
        <w:t xml:space="preserve">national institutions that accelerate </w:t>
      </w:r>
      <w:r w:rsidR="00CC5C5E">
        <w:rPr>
          <w:lang w:val="en"/>
        </w:rPr>
        <w:t xml:space="preserve">such </w:t>
      </w:r>
      <w:r w:rsidR="00A6735D" w:rsidRPr="00CE6AAA">
        <w:rPr>
          <w:lang w:val="en"/>
        </w:rPr>
        <w:t xml:space="preserve">development benefits as food security, jobs and livelihoods in </w:t>
      </w:r>
      <w:r w:rsidRPr="00CE6AAA">
        <w:rPr>
          <w:lang w:val="en"/>
        </w:rPr>
        <w:t>mine</w:t>
      </w:r>
      <w:r>
        <w:rPr>
          <w:lang w:val="en"/>
        </w:rPr>
        <w:t>-</w:t>
      </w:r>
      <w:r w:rsidR="00A6735D" w:rsidRPr="00CE6AAA">
        <w:rPr>
          <w:lang w:val="en"/>
        </w:rPr>
        <w:t xml:space="preserve">affected countries; </w:t>
      </w:r>
    </w:p>
    <w:p w:rsidR="00CC5C5E" w:rsidRPr="0084706A" w:rsidRDefault="00CC5C5E" w:rsidP="00CC5C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630"/>
        </w:tabs>
        <w:spacing w:after="0" w:line="240" w:lineRule="auto"/>
        <w:ind w:left="1984" w:right="1032"/>
        <w:rPr>
          <w:sz w:val="12"/>
          <w:szCs w:val="12"/>
        </w:rPr>
      </w:pPr>
    </w:p>
    <w:p w:rsidR="00A6735D" w:rsidRDefault="002E0B54" w:rsidP="00C75E86">
      <w:pPr>
        <w:pStyle w:val="SingleTxt"/>
        <w:numPr>
          <w:ilvl w:val="0"/>
          <w:numId w:val="5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630"/>
        </w:tabs>
        <w:spacing w:after="0" w:line="240" w:lineRule="auto"/>
        <w:ind w:left="1984" w:right="1032" w:hanging="357"/>
      </w:pPr>
      <w:r w:rsidRPr="002E0B54">
        <w:rPr>
          <w:lang w:val="en"/>
        </w:rPr>
        <w:t xml:space="preserve">supporting </w:t>
      </w:r>
      <w:r w:rsidR="00A6735D" w:rsidRPr="006F4285">
        <w:rPr>
          <w:lang w:val="en"/>
        </w:rPr>
        <w:t>international normative frameworks on mine action (e.g</w:t>
      </w:r>
      <w:r w:rsidR="00A6735D" w:rsidRPr="002E0B54">
        <w:rPr>
          <w:lang w:val="en"/>
        </w:rPr>
        <w:t>.</w:t>
      </w:r>
      <w:r w:rsidRPr="002E0B54">
        <w:rPr>
          <w:lang w:val="en"/>
        </w:rPr>
        <w:t>, Convention on the Prohibition of the Use, Stockpiling, Production and Transfer of Anti-Personnel Mines and on Their Destruction</w:t>
      </w:r>
      <w:r w:rsidR="00723074">
        <w:rPr>
          <w:lang w:val="en"/>
        </w:rPr>
        <w:t xml:space="preserve"> (APMBC)</w:t>
      </w:r>
      <w:r w:rsidRPr="002E0B54">
        <w:rPr>
          <w:lang w:val="en"/>
        </w:rPr>
        <w:t>;</w:t>
      </w:r>
      <w:r w:rsidR="00A6735D" w:rsidRPr="0088618E">
        <w:rPr>
          <w:lang w:val="en-US"/>
        </w:rPr>
        <w:t xml:space="preserve"> </w:t>
      </w:r>
      <w:r w:rsidR="00CC5C5E">
        <w:rPr>
          <w:lang w:val="en-US"/>
        </w:rPr>
        <w:t xml:space="preserve">the </w:t>
      </w:r>
      <w:r w:rsidR="00A6735D" w:rsidRPr="0088618E">
        <w:rPr>
          <w:lang w:val="en-US"/>
        </w:rPr>
        <w:t>Convention on Cluster Munitions</w:t>
      </w:r>
      <w:r w:rsidR="00723074">
        <w:rPr>
          <w:lang w:val="en-US"/>
        </w:rPr>
        <w:t xml:space="preserve"> (CCM)</w:t>
      </w:r>
      <w:r w:rsidR="00A6735D" w:rsidRPr="0088618E">
        <w:rPr>
          <w:lang w:val="en-US"/>
        </w:rPr>
        <w:t>;</w:t>
      </w:r>
      <w:r w:rsidR="007E151D" w:rsidRPr="007E151D">
        <w:rPr>
          <w:iCs/>
        </w:rPr>
        <w:t xml:space="preserve"> </w:t>
      </w:r>
      <w:r w:rsidR="00CC5C5E">
        <w:rPr>
          <w:iCs/>
        </w:rPr>
        <w:t xml:space="preserve">the </w:t>
      </w:r>
      <w:r w:rsidR="007E151D" w:rsidRPr="00F058A4">
        <w:rPr>
          <w:iCs/>
        </w:rPr>
        <w:t>Convention</w:t>
      </w:r>
      <w:r w:rsidR="007E151D" w:rsidRPr="00F058A4">
        <w:t> </w:t>
      </w:r>
      <w:r w:rsidR="007E151D" w:rsidRPr="00F058A4">
        <w:rPr>
          <w:iCs/>
        </w:rPr>
        <w:t>on</w:t>
      </w:r>
      <w:r w:rsidR="007E151D" w:rsidRPr="00F058A4">
        <w:t> Prohibitions or Restrictions </w:t>
      </w:r>
      <w:r w:rsidR="007E151D" w:rsidRPr="00F058A4">
        <w:rPr>
          <w:iCs/>
        </w:rPr>
        <w:t>on</w:t>
      </w:r>
      <w:r w:rsidR="007E151D" w:rsidRPr="00F058A4">
        <w:t> the Use of </w:t>
      </w:r>
      <w:r w:rsidR="007E151D" w:rsidRPr="00F058A4">
        <w:rPr>
          <w:iCs/>
        </w:rPr>
        <w:t>Certain</w:t>
      </w:r>
      <w:r w:rsidR="007E151D">
        <w:rPr>
          <w:iCs/>
        </w:rPr>
        <w:t xml:space="preserve"> </w:t>
      </w:r>
      <w:r w:rsidR="007E151D" w:rsidRPr="00F058A4">
        <w:rPr>
          <w:iCs/>
        </w:rPr>
        <w:t>Conventional</w:t>
      </w:r>
      <w:r w:rsidR="007E151D" w:rsidRPr="00F058A4">
        <w:t> </w:t>
      </w:r>
      <w:r w:rsidR="007E151D" w:rsidRPr="00F058A4">
        <w:rPr>
          <w:iCs/>
        </w:rPr>
        <w:t>Weapons</w:t>
      </w:r>
      <w:r w:rsidR="007E151D" w:rsidRPr="00F058A4">
        <w:t> Which May Be Deemed to Be Excessively Injurious or to Have Indiscriminate Effects (and Protocols</w:t>
      </w:r>
      <w:r w:rsidR="007E151D" w:rsidRPr="006F4285">
        <w:t>)</w:t>
      </w:r>
      <w:r w:rsidR="00723074">
        <w:t xml:space="preserve"> (CCW)</w:t>
      </w:r>
      <w:r w:rsidR="00A6735D" w:rsidRPr="006F4285">
        <w:t>;</w:t>
      </w:r>
      <w:r w:rsidR="00A6735D" w:rsidRPr="002E0B54">
        <w:rPr>
          <w:lang w:val="en-US"/>
        </w:rPr>
        <w:t xml:space="preserve"> </w:t>
      </w:r>
      <w:r w:rsidR="00467528" w:rsidRPr="002E0B54">
        <w:rPr>
          <w:lang w:val="en-US"/>
        </w:rPr>
        <w:t xml:space="preserve">and </w:t>
      </w:r>
      <w:r w:rsidR="00CC5C5E">
        <w:rPr>
          <w:lang w:val="en-US"/>
        </w:rPr>
        <w:t xml:space="preserve">the </w:t>
      </w:r>
      <w:r w:rsidR="00A6735D" w:rsidRPr="002E0B54">
        <w:rPr>
          <w:lang w:val="en-US"/>
        </w:rPr>
        <w:t xml:space="preserve">Convention on </w:t>
      </w:r>
      <w:r w:rsidR="007E151D">
        <w:rPr>
          <w:lang w:val="en-US"/>
        </w:rPr>
        <w:t>the</w:t>
      </w:r>
      <w:r w:rsidR="00A6735D" w:rsidRPr="0088618E">
        <w:rPr>
          <w:lang w:val="en-US"/>
        </w:rPr>
        <w:t xml:space="preserve"> Rights of Persons wi</w:t>
      </w:r>
      <w:r w:rsidR="00A6735D" w:rsidRPr="00314C5A">
        <w:rPr>
          <w:lang w:val="en-US"/>
        </w:rPr>
        <w:t>th Disabilities</w:t>
      </w:r>
      <w:r w:rsidR="00723074">
        <w:rPr>
          <w:lang w:val="en-US"/>
        </w:rPr>
        <w:t xml:space="preserve"> (CRPD)</w:t>
      </w:r>
      <w:r w:rsidR="00A6735D" w:rsidRPr="00314C5A">
        <w:rPr>
          <w:lang w:val="en-US"/>
        </w:rPr>
        <w:t>.</w:t>
      </w:r>
      <w:r w:rsidR="00A6735D" w:rsidRPr="00314C5A">
        <w:rPr>
          <w:lang w:val="en"/>
        </w:rPr>
        <w:t xml:space="preserve">  </w:t>
      </w:r>
      <w:r w:rsidR="00A6735D" w:rsidRPr="00A64340">
        <w:rPr>
          <w:lang w:val="en-US"/>
        </w:rPr>
        <w:t xml:space="preserve"> </w:t>
      </w:r>
    </w:p>
    <w:p w:rsidR="0084706A" w:rsidRDefault="0084706A">
      <w:pPr>
        <w:rPr>
          <w:b/>
          <w:spacing w:val="4"/>
          <w:w w:val="103"/>
          <w:kern w:val="14"/>
          <w:lang w:val="en-GB"/>
        </w:rPr>
      </w:pPr>
      <w:r>
        <w:rPr>
          <w:b/>
          <w:spacing w:val="4"/>
          <w:w w:val="103"/>
          <w:kern w:val="14"/>
          <w:lang w:val="en-GB"/>
        </w:rPr>
        <w:br w:type="page"/>
      </w:r>
    </w:p>
    <w:p w:rsidR="002D1991" w:rsidRPr="006F4285" w:rsidRDefault="00B270F1" w:rsidP="0000053B">
      <w:pPr>
        <w:tabs>
          <w:tab w:val="left" w:pos="720"/>
          <w:tab w:val="left" w:pos="1350"/>
        </w:tabs>
        <w:spacing w:before="120" w:after="120"/>
        <w:ind w:left="1267" w:right="1037"/>
        <w:jc w:val="both"/>
        <w:rPr>
          <w:b/>
          <w:spacing w:val="4"/>
          <w:w w:val="103"/>
          <w:kern w:val="14"/>
          <w:lang w:val="en-GB"/>
        </w:rPr>
      </w:pPr>
      <w:r w:rsidRPr="006F4285">
        <w:rPr>
          <w:b/>
          <w:spacing w:val="4"/>
          <w:w w:val="103"/>
          <w:kern w:val="14"/>
          <w:lang w:val="en-GB"/>
        </w:rPr>
        <w:lastRenderedPageBreak/>
        <w:t>M</w:t>
      </w:r>
      <w:r w:rsidR="002D1991" w:rsidRPr="006F4285">
        <w:rPr>
          <w:b/>
          <w:spacing w:val="4"/>
          <w:w w:val="103"/>
          <w:kern w:val="14"/>
          <w:lang w:val="en-GB"/>
        </w:rPr>
        <w:t>ethodology</w:t>
      </w:r>
      <w:r w:rsidR="00A64340" w:rsidRPr="006F4285">
        <w:rPr>
          <w:b/>
          <w:spacing w:val="4"/>
          <w:w w:val="103"/>
          <w:kern w:val="14"/>
          <w:lang w:val="en-GB"/>
        </w:rPr>
        <w:t xml:space="preserve"> of the </w:t>
      </w:r>
      <w:r w:rsidR="007E151D">
        <w:rPr>
          <w:b/>
          <w:spacing w:val="4"/>
          <w:w w:val="103"/>
          <w:kern w:val="14"/>
          <w:lang w:val="en-GB"/>
        </w:rPr>
        <w:t>e</w:t>
      </w:r>
      <w:r w:rsidR="007E151D" w:rsidRPr="007E151D">
        <w:rPr>
          <w:b/>
          <w:spacing w:val="4"/>
          <w:w w:val="103"/>
          <w:kern w:val="14"/>
          <w:lang w:val="en-GB"/>
        </w:rPr>
        <w:t>valuation</w:t>
      </w:r>
    </w:p>
    <w:p w:rsidR="001B76E1" w:rsidRPr="001B76E1" w:rsidRDefault="001B76E1" w:rsidP="001B76E1">
      <w:pPr>
        <w:pStyle w:val="SingleTxt"/>
        <w:numPr>
          <w:ilvl w:val="0"/>
          <w:numId w:val="25"/>
        </w:numPr>
        <w:tabs>
          <w:tab w:val="left" w:pos="90"/>
          <w:tab w:val="left" w:pos="630"/>
          <w:tab w:val="left" w:pos="1620"/>
        </w:tabs>
        <w:spacing w:line="240" w:lineRule="auto"/>
        <w:ind w:left="1260" w:right="1030" w:firstLine="0"/>
      </w:pPr>
      <w:r w:rsidRPr="001B76E1">
        <w:t>UNDP management welco</w:t>
      </w:r>
      <w:r w:rsidR="009E64DA">
        <w:t xml:space="preserve">mes </w:t>
      </w:r>
      <w:r w:rsidR="00164099">
        <w:t xml:space="preserve">the </w:t>
      </w:r>
      <w:r w:rsidR="009E64DA">
        <w:t>recent</w:t>
      </w:r>
      <w:r w:rsidRPr="001B76E1">
        <w:t xml:space="preserve"> </w:t>
      </w:r>
      <w:r w:rsidR="007E151D">
        <w:t>e</w:t>
      </w:r>
      <w:r w:rsidR="007E151D" w:rsidRPr="007E151D">
        <w:t xml:space="preserve">valuation </w:t>
      </w:r>
      <w:r w:rsidR="00467528" w:rsidRPr="006F4285">
        <w:t>of</w:t>
      </w:r>
      <w:r w:rsidR="00467528" w:rsidRPr="007E151D">
        <w:t xml:space="preserve"> </w:t>
      </w:r>
      <w:r w:rsidR="007E151D">
        <w:t>the</w:t>
      </w:r>
      <w:r w:rsidR="00467528" w:rsidRPr="006F4285">
        <w:t xml:space="preserve"> </w:t>
      </w:r>
      <w:r w:rsidR="00231951" w:rsidRPr="006F4285">
        <w:t>UNDP</w:t>
      </w:r>
      <w:r w:rsidR="00F270B1" w:rsidRPr="006F4285">
        <w:t xml:space="preserve"> </w:t>
      </w:r>
      <w:r w:rsidR="007E151D">
        <w:t>c</w:t>
      </w:r>
      <w:r w:rsidR="007E151D" w:rsidRPr="007E151D">
        <w:t xml:space="preserve">ontribution </w:t>
      </w:r>
      <w:r w:rsidR="00F270B1" w:rsidRPr="006F4285">
        <w:t>to</w:t>
      </w:r>
      <w:r w:rsidR="00467528" w:rsidRPr="006F4285">
        <w:t xml:space="preserve"> </w:t>
      </w:r>
      <w:r w:rsidR="007E151D">
        <w:t>m</w:t>
      </w:r>
      <w:r w:rsidR="007E151D" w:rsidRPr="007E151D">
        <w:t xml:space="preserve">ine </w:t>
      </w:r>
      <w:r w:rsidR="007E151D">
        <w:t>a</w:t>
      </w:r>
      <w:r w:rsidR="007E151D" w:rsidRPr="007E151D">
        <w:t>ction</w:t>
      </w:r>
      <w:r w:rsidR="00164099">
        <w:t xml:space="preserve">. </w:t>
      </w:r>
      <w:r w:rsidR="007E151D">
        <w:t xml:space="preserve">The evaluation </w:t>
      </w:r>
      <w:r w:rsidR="00164099">
        <w:t xml:space="preserve">examines </w:t>
      </w:r>
      <w:r w:rsidR="00467528">
        <w:t xml:space="preserve">in detail </w:t>
      </w:r>
      <w:r w:rsidR="007E151D">
        <w:t xml:space="preserve">the </w:t>
      </w:r>
      <w:r w:rsidR="00164099">
        <w:t>important role</w:t>
      </w:r>
      <w:r w:rsidR="009E64DA">
        <w:t xml:space="preserve"> </w:t>
      </w:r>
      <w:r w:rsidR="007E151D">
        <w:t>of UNDP</w:t>
      </w:r>
      <w:r w:rsidR="009E64DA">
        <w:t xml:space="preserve"> in supporting mine action over the period 2004-2014</w:t>
      </w:r>
      <w:r w:rsidR="00164099">
        <w:t xml:space="preserve"> </w:t>
      </w:r>
      <w:r w:rsidR="00467528">
        <w:t xml:space="preserve">and </w:t>
      </w:r>
      <w:r w:rsidR="009E64DA">
        <w:t xml:space="preserve">provides important lessons and </w:t>
      </w:r>
      <w:r w:rsidRPr="001B76E1">
        <w:t xml:space="preserve">recommendations </w:t>
      </w:r>
      <w:r w:rsidR="009E64DA">
        <w:t>for future interventions and programmes.</w:t>
      </w:r>
    </w:p>
    <w:p w:rsidR="001B76E1" w:rsidRDefault="00020626" w:rsidP="008F2BD9">
      <w:pPr>
        <w:pStyle w:val="SingleTxt"/>
        <w:numPr>
          <w:ilvl w:val="0"/>
          <w:numId w:val="25"/>
        </w:numPr>
        <w:tabs>
          <w:tab w:val="left" w:pos="90"/>
          <w:tab w:val="left" w:pos="630"/>
          <w:tab w:val="left" w:pos="1620"/>
        </w:tabs>
        <w:spacing w:line="240" w:lineRule="auto"/>
        <w:ind w:left="1260" w:right="1030" w:firstLine="0"/>
      </w:pPr>
      <w:r>
        <w:t xml:space="preserve">The </w:t>
      </w:r>
      <w:r w:rsidR="007E151D">
        <w:t>evaluation</w:t>
      </w:r>
      <w:r>
        <w:t xml:space="preserve"> has gathered vital data and</w:t>
      </w:r>
      <w:r w:rsidR="001B76E1" w:rsidRPr="001B76E1">
        <w:t xml:space="preserve"> </w:t>
      </w:r>
      <w:r>
        <w:t xml:space="preserve">experiences from a range of countries using mixed methods and a variety of </w:t>
      </w:r>
      <w:r w:rsidR="001B76E1" w:rsidRPr="00020626">
        <w:t xml:space="preserve">sources. </w:t>
      </w:r>
      <w:r w:rsidR="00164099">
        <w:t>I</w:t>
      </w:r>
      <w:r>
        <w:t>t is important to note</w:t>
      </w:r>
      <w:r w:rsidR="00164099">
        <w:t>, however,</w:t>
      </w:r>
      <w:r>
        <w:t xml:space="preserve"> that this first </w:t>
      </w:r>
      <w:r w:rsidR="007E151D">
        <w:t xml:space="preserve">evaluation </w:t>
      </w:r>
      <w:r>
        <w:t>of UNDP mine action work</w:t>
      </w:r>
      <w:r w:rsidR="008F2BD9">
        <w:t xml:space="preserve"> </w:t>
      </w:r>
      <w:r>
        <w:t xml:space="preserve">could have included </w:t>
      </w:r>
      <w:r w:rsidR="00740D68">
        <w:t xml:space="preserve">an </w:t>
      </w:r>
      <w:r>
        <w:t>analysis of work undertaken prior to 2004 to provide a more complete set of findings and conclusions</w:t>
      </w:r>
      <w:r w:rsidR="0002392B">
        <w:t>. UNDP management recognizes</w:t>
      </w:r>
      <w:r w:rsidR="008F2BD9">
        <w:t xml:space="preserve"> that the </w:t>
      </w:r>
      <w:r w:rsidR="007E151D">
        <w:t xml:space="preserve">evaluation </w:t>
      </w:r>
      <w:r w:rsidR="008F2BD9">
        <w:t>has been carried out at an opportune moment</w:t>
      </w:r>
      <w:r w:rsidR="0002392B">
        <w:t xml:space="preserve"> </w:t>
      </w:r>
      <w:r w:rsidR="001B76E1" w:rsidRPr="001B76E1">
        <w:t xml:space="preserve">when UNDP is </w:t>
      </w:r>
      <w:r w:rsidR="00AB7AF6">
        <w:t>re-</w:t>
      </w:r>
      <w:r w:rsidR="0002392B">
        <w:t>engaging</w:t>
      </w:r>
      <w:r w:rsidR="001B76E1" w:rsidRPr="001B76E1">
        <w:t xml:space="preserve"> in</w:t>
      </w:r>
      <w:r w:rsidR="0002392B">
        <w:t xml:space="preserve"> </w:t>
      </w:r>
      <w:r w:rsidR="007E151D">
        <w:t>d</w:t>
      </w:r>
      <w:r w:rsidR="007E151D" w:rsidRPr="001B76E1">
        <w:t xml:space="preserve">evelopment </w:t>
      </w:r>
      <w:r w:rsidR="001B76E1" w:rsidRPr="001B76E1">
        <w:t xml:space="preserve">and </w:t>
      </w:r>
      <w:r w:rsidR="007E151D">
        <w:t>m</w:t>
      </w:r>
      <w:r w:rsidR="007E151D" w:rsidRPr="001B76E1">
        <w:t xml:space="preserve">ine </w:t>
      </w:r>
      <w:r w:rsidR="007E151D">
        <w:t>a</w:t>
      </w:r>
      <w:r w:rsidR="007E151D" w:rsidRPr="001B76E1">
        <w:t>ction</w:t>
      </w:r>
      <w:r w:rsidR="004E0E75">
        <w:t xml:space="preserve"> </w:t>
      </w:r>
      <w:r w:rsidR="00C13E1F">
        <w:t>where appropriate, i.e.</w:t>
      </w:r>
      <w:r w:rsidR="00CC5C5E">
        <w:t>,</w:t>
      </w:r>
      <w:r w:rsidR="00C13E1F">
        <w:t xml:space="preserve"> based on demand from programme countries, and ensuring linkage to the outcomes of </w:t>
      </w:r>
      <w:r w:rsidR="00CC5C5E">
        <w:t>the</w:t>
      </w:r>
      <w:r w:rsidR="00C13E1F">
        <w:t xml:space="preserve"> </w:t>
      </w:r>
      <w:r w:rsidR="004E0E75">
        <w:t xml:space="preserve">UNDP </w:t>
      </w:r>
      <w:r w:rsidR="001B76E1" w:rsidRPr="001B76E1">
        <w:t>Strategic Plan</w:t>
      </w:r>
      <w:r w:rsidR="007E151D">
        <w:t>,</w:t>
      </w:r>
      <w:r w:rsidR="00C8252D">
        <w:t xml:space="preserve"> 2014-2017</w:t>
      </w:r>
      <w:r w:rsidR="001B76E1" w:rsidRPr="001B76E1">
        <w:t>.</w:t>
      </w:r>
    </w:p>
    <w:p w:rsidR="00F3388D" w:rsidRPr="00C75E86" w:rsidRDefault="00F3388D" w:rsidP="007C4DD5">
      <w:pPr>
        <w:spacing w:after="120"/>
        <w:ind w:left="1260" w:right="1030"/>
        <w:jc w:val="both"/>
        <w:rPr>
          <w:b/>
        </w:rPr>
      </w:pPr>
      <w:r w:rsidRPr="00C75E86">
        <w:rPr>
          <w:b/>
        </w:rPr>
        <w:t xml:space="preserve">Findings and </w:t>
      </w:r>
      <w:r w:rsidR="007E151D">
        <w:rPr>
          <w:b/>
        </w:rPr>
        <w:t>c</w:t>
      </w:r>
      <w:r w:rsidR="007E151D" w:rsidRPr="00C75E86">
        <w:rPr>
          <w:b/>
        </w:rPr>
        <w:t>onclusions</w:t>
      </w:r>
    </w:p>
    <w:p w:rsidR="001B76E1" w:rsidRPr="001B76E1" w:rsidRDefault="001B76E1" w:rsidP="001B76E1">
      <w:pPr>
        <w:pStyle w:val="SingleTxt"/>
        <w:numPr>
          <w:ilvl w:val="0"/>
          <w:numId w:val="25"/>
        </w:numPr>
        <w:tabs>
          <w:tab w:val="left" w:pos="90"/>
          <w:tab w:val="left" w:pos="630"/>
          <w:tab w:val="left" w:pos="1620"/>
        </w:tabs>
        <w:spacing w:line="240" w:lineRule="auto"/>
        <w:ind w:left="1260" w:right="1030" w:firstLine="0"/>
      </w:pPr>
      <w:r w:rsidRPr="001B76E1">
        <w:t xml:space="preserve">UNDP management </w:t>
      </w:r>
      <w:r w:rsidR="00BC19D5">
        <w:t>welcomes</w:t>
      </w:r>
      <w:r w:rsidR="00BC19D5" w:rsidRPr="001B76E1">
        <w:t xml:space="preserve"> </w:t>
      </w:r>
      <w:r w:rsidRPr="001B76E1">
        <w:t xml:space="preserve">the acknowledgement of UNDP as a </w:t>
      </w:r>
      <w:r w:rsidRPr="00F20A98">
        <w:t xml:space="preserve">significant contributor within the </w:t>
      </w:r>
      <w:r w:rsidR="007E151D">
        <w:t>S</w:t>
      </w:r>
      <w:r w:rsidR="007E151D" w:rsidRPr="00A6735D">
        <w:t>trategy of the U</w:t>
      </w:r>
      <w:r w:rsidR="007E151D">
        <w:t xml:space="preserve">nited </w:t>
      </w:r>
      <w:r w:rsidR="007E151D" w:rsidRPr="00A6735D">
        <w:t>N</w:t>
      </w:r>
      <w:r w:rsidR="007E151D">
        <w:t>ations</w:t>
      </w:r>
      <w:r w:rsidR="007E151D" w:rsidRPr="00A6735D">
        <w:t xml:space="preserve"> on Mine Action 2013–2018</w:t>
      </w:r>
      <w:r w:rsidRPr="00F20A98">
        <w:t>, especially for capacity development and support to national mine action programmes</w:t>
      </w:r>
      <w:r w:rsidRPr="001B76E1">
        <w:t xml:space="preserve">. There is </w:t>
      </w:r>
      <w:r w:rsidR="00560C21">
        <w:t>clear</w:t>
      </w:r>
      <w:r w:rsidRPr="001B76E1">
        <w:t xml:space="preserve"> recognition that UNDP </w:t>
      </w:r>
      <w:r w:rsidRPr="00C63BC0">
        <w:t xml:space="preserve">has </w:t>
      </w:r>
      <w:r w:rsidR="002E6179" w:rsidRPr="00C63BC0">
        <w:t xml:space="preserve">been a valuable participant in the global mine action effort, helping national </w:t>
      </w:r>
      <w:r w:rsidR="007E151D">
        <w:t>G</w:t>
      </w:r>
      <w:r w:rsidR="007E151D" w:rsidRPr="007E151D">
        <w:t xml:space="preserve">overnments </w:t>
      </w:r>
      <w:r w:rsidR="007E151D">
        <w:t xml:space="preserve">to </w:t>
      </w:r>
      <w:r w:rsidR="004C620F" w:rsidRPr="00C63BC0">
        <w:t>establish and manage mine action programmes</w:t>
      </w:r>
      <w:r w:rsidR="007E151D">
        <w:t xml:space="preserve">, and that </w:t>
      </w:r>
      <w:r w:rsidR="00722CAB" w:rsidRPr="00C63BC0">
        <w:t xml:space="preserve">UNDP has contributed to an increased sense of safety in </w:t>
      </w:r>
      <w:r w:rsidR="00E660B6">
        <w:t>affected</w:t>
      </w:r>
      <w:r w:rsidR="00E660B6" w:rsidRPr="00C63BC0">
        <w:t xml:space="preserve"> </w:t>
      </w:r>
      <w:r w:rsidR="00722CAB" w:rsidRPr="00C63BC0">
        <w:t>areas, which is reported by community members as the major impact of mine action at the community level. U</w:t>
      </w:r>
      <w:r w:rsidR="00236286" w:rsidRPr="00C63BC0">
        <w:t>NDP is viewed as a</w:t>
      </w:r>
      <w:r w:rsidR="00740D68">
        <w:t>n impartial</w:t>
      </w:r>
      <w:r w:rsidR="00236286" w:rsidRPr="00C63BC0">
        <w:t xml:space="preserve"> and reliable partner with considerable country-level knowledge, proven experience and comparative advantages in providing institutional support</w:t>
      </w:r>
      <w:r w:rsidR="00722CAB">
        <w:rPr>
          <w:i/>
        </w:rPr>
        <w:t>.</w:t>
      </w:r>
      <w:r w:rsidRPr="001B76E1">
        <w:t xml:space="preserve"> </w:t>
      </w:r>
      <w:r w:rsidR="00A978A4">
        <w:t xml:space="preserve">UNDP management also appreciates </w:t>
      </w:r>
      <w:r w:rsidR="00B6393A">
        <w:t xml:space="preserve">the </w:t>
      </w:r>
      <w:r w:rsidR="00A978A4">
        <w:t xml:space="preserve">recognition that </w:t>
      </w:r>
      <w:r w:rsidR="00A978A4" w:rsidRPr="00C63BC0">
        <w:t xml:space="preserve">UNDP support has generally been successful </w:t>
      </w:r>
      <w:r w:rsidR="007E151D">
        <w:t xml:space="preserve">in </w:t>
      </w:r>
      <w:r w:rsidR="00A978A4" w:rsidRPr="00C63BC0">
        <w:t xml:space="preserve">stimulating </w:t>
      </w:r>
      <w:r w:rsidR="007E151D">
        <w:t>G</w:t>
      </w:r>
      <w:r w:rsidR="007E151D" w:rsidRPr="007E151D">
        <w:t>overnments</w:t>
      </w:r>
      <w:r w:rsidR="00A978A4" w:rsidRPr="00C63BC0">
        <w:t xml:space="preserve"> to institutionalize mine action, including through the formal establishment of national mine action institutions</w:t>
      </w:r>
      <w:r w:rsidR="007E151D">
        <w:t>,</w:t>
      </w:r>
      <w:r w:rsidR="0095747F">
        <w:t xml:space="preserve"> and that </w:t>
      </w:r>
      <w:r w:rsidR="0095747F" w:rsidRPr="00C63BC0">
        <w:t>UNDP has promoted gender equality in its mine action work and stressed the need for gender-disaggregated data</w:t>
      </w:r>
      <w:r w:rsidR="0095747F">
        <w:t xml:space="preserve">. </w:t>
      </w:r>
    </w:p>
    <w:p w:rsidR="001B76E1" w:rsidRPr="001B76E1" w:rsidRDefault="007E151D" w:rsidP="001B76E1">
      <w:pPr>
        <w:pStyle w:val="SingleTxt"/>
        <w:numPr>
          <w:ilvl w:val="0"/>
          <w:numId w:val="25"/>
        </w:numPr>
        <w:tabs>
          <w:tab w:val="left" w:pos="90"/>
          <w:tab w:val="left" w:pos="630"/>
          <w:tab w:val="left" w:pos="1620"/>
        </w:tabs>
        <w:spacing w:line="240" w:lineRule="auto"/>
        <w:ind w:left="1260" w:right="1030" w:firstLine="0"/>
      </w:pPr>
      <w:r>
        <w:t>M</w:t>
      </w:r>
      <w:r w:rsidR="001B76E1" w:rsidRPr="001B76E1">
        <w:t xml:space="preserve">anagement welcomes </w:t>
      </w:r>
      <w:r w:rsidR="00C95370">
        <w:t xml:space="preserve">the </w:t>
      </w:r>
      <w:r w:rsidR="001B76E1" w:rsidRPr="001B76E1">
        <w:t xml:space="preserve">incorporation of the </w:t>
      </w:r>
      <w:r>
        <w:t>t</w:t>
      </w:r>
      <w:r w:rsidR="001B76E1" w:rsidRPr="001B76E1">
        <w:t xml:space="preserve">heory of </w:t>
      </w:r>
      <w:r>
        <w:t>c</w:t>
      </w:r>
      <w:r w:rsidRPr="001B76E1">
        <w:t>hange</w:t>
      </w:r>
      <w:r w:rsidR="001B76E1" w:rsidRPr="001B76E1">
        <w:t xml:space="preserve"> in the evaluation, which focuses on the causal links between projects and progress in </w:t>
      </w:r>
      <w:r w:rsidR="00C95370">
        <w:t xml:space="preserve">terms of </w:t>
      </w:r>
      <w:r w:rsidR="001B76E1" w:rsidRPr="001B76E1">
        <w:t xml:space="preserve">outcomes and impacts. Importantly, this </w:t>
      </w:r>
      <w:r>
        <w:t>t</w:t>
      </w:r>
      <w:r w:rsidR="001B76E1" w:rsidRPr="001B76E1">
        <w:t xml:space="preserve">heory of </w:t>
      </w:r>
      <w:r>
        <w:t>c</w:t>
      </w:r>
      <w:r w:rsidRPr="001B76E1">
        <w:t>hange</w:t>
      </w:r>
      <w:r w:rsidR="001B76E1" w:rsidRPr="001B76E1">
        <w:t xml:space="preserve"> recognizes that UNDP </w:t>
      </w:r>
      <w:r>
        <w:t>m</w:t>
      </w:r>
      <w:r w:rsidRPr="001B76E1">
        <w:t xml:space="preserve">ine </w:t>
      </w:r>
      <w:r>
        <w:t>a</w:t>
      </w:r>
      <w:r w:rsidRPr="001B76E1">
        <w:t>ction</w:t>
      </w:r>
      <w:r w:rsidR="001B76E1" w:rsidRPr="001B76E1">
        <w:t xml:space="preserve"> work should be </w:t>
      </w:r>
      <w:r w:rsidR="00740D68">
        <w:t>undertaken</w:t>
      </w:r>
      <w:r w:rsidR="00740D68" w:rsidRPr="001B76E1">
        <w:t xml:space="preserve"> </w:t>
      </w:r>
      <w:r w:rsidR="00C95370">
        <w:t>with</w:t>
      </w:r>
      <w:r w:rsidR="001B76E1" w:rsidRPr="001B76E1">
        <w:t>in a broad</w:t>
      </w:r>
      <w:r w:rsidR="00C95370">
        <w:t>er</w:t>
      </w:r>
      <w:r w:rsidR="001B76E1" w:rsidRPr="001B76E1">
        <w:t xml:space="preserve"> socioeconomic </w:t>
      </w:r>
      <w:r w:rsidR="00641D72">
        <w:t xml:space="preserve">development </w:t>
      </w:r>
      <w:r w:rsidR="001B76E1" w:rsidRPr="001B76E1">
        <w:t xml:space="preserve">context. While </w:t>
      </w:r>
      <w:r w:rsidR="00AB7AF6">
        <w:t>UNDP’s mine action work has not</w:t>
      </w:r>
      <w:r w:rsidR="0010035C">
        <w:t xml:space="preserve"> </w:t>
      </w:r>
      <w:r w:rsidR="00AB7AF6">
        <w:t>be</w:t>
      </w:r>
      <w:r w:rsidR="0010035C">
        <w:t>en</w:t>
      </w:r>
      <w:r w:rsidR="00AB7AF6">
        <w:t xml:space="preserve"> carried out based on an explicit and </w:t>
      </w:r>
      <w:r w:rsidR="00B40CB0">
        <w:t>mine action-related</w:t>
      </w:r>
      <w:r w:rsidR="00AB7AF6">
        <w:t xml:space="preserve"> theory of change  </w:t>
      </w:r>
      <w:r w:rsidR="00641D72">
        <w:t xml:space="preserve"> the mine action service line has always been part of </w:t>
      </w:r>
      <w:r>
        <w:t xml:space="preserve">the </w:t>
      </w:r>
      <w:r w:rsidR="00641D72">
        <w:t xml:space="preserve">UNDP theory of change for crisis prevention and recovery policy and programme work. In </w:t>
      </w:r>
      <w:r w:rsidR="00723074">
        <w:t xml:space="preserve">the </w:t>
      </w:r>
      <w:r w:rsidR="00641D72">
        <w:t>future</w:t>
      </w:r>
      <w:r w:rsidR="00145399">
        <w:t>,</w:t>
      </w:r>
      <w:r w:rsidR="00641D72">
        <w:t xml:space="preserve"> this theory of change </w:t>
      </w:r>
      <w:r w:rsidR="008059AB">
        <w:t>will be ad</w:t>
      </w:r>
      <w:r w:rsidR="00EA6623">
        <w:t>a</w:t>
      </w:r>
      <w:r w:rsidR="008059AB">
        <w:t xml:space="preserve">pted </w:t>
      </w:r>
      <w:r w:rsidR="0021148A">
        <w:t xml:space="preserve">accordingly </w:t>
      </w:r>
      <w:r w:rsidR="00641D72">
        <w:t>in the UNDP Support Framework for Development and Mine Action</w:t>
      </w:r>
      <w:r w:rsidR="00245A73">
        <w:t xml:space="preserve">. </w:t>
      </w:r>
    </w:p>
    <w:p w:rsidR="001B76E1" w:rsidRPr="00D87706" w:rsidRDefault="001B76E1" w:rsidP="001B76E1">
      <w:pPr>
        <w:pStyle w:val="SingleTxt"/>
        <w:numPr>
          <w:ilvl w:val="0"/>
          <w:numId w:val="25"/>
        </w:numPr>
        <w:tabs>
          <w:tab w:val="left" w:pos="90"/>
          <w:tab w:val="left" w:pos="630"/>
          <w:tab w:val="left" w:pos="1620"/>
        </w:tabs>
        <w:spacing w:line="240" w:lineRule="auto"/>
        <w:ind w:left="1260" w:right="1030" w:firstLine="0"/>
      </w:pPr>
      <w:r w:rsidRPr="001B76E1">
        <w:t>UNDP management takes</w:t>
      </w:r>
      <w:r w:rsidR="008115E6">
        <w:t xml:space="preserve"> </w:t>
      </w:r>
      <w:r w:rsidRPr="001B76E1">
        <w:t xml:space="preserve">note of the finding that while national </w:t>
      </w:r>
      <w:r w:rsidR="00145399">
        <w:t>m</w:t>
      </w:r>
      <w:r w:rsidR="00145399" w:rsidRPr="001B76E1">
        <w:t xml:space="preserve">ine </w:t>
      </w:r>
      <w:r w:rsidR="00145399">
        <w:t>a</w:t>
      </w:r>
      <w:r w:rsidR="00145399" w:rsidRPr="001B76E1">
        <w:t>ction</w:t>
      </w:r>
      <w:r w:rsidRPr="001B76E1">
        <w:t xml:space="preserve"> programmes have engaged with other sectors and economic actors regarding potential landmine threats to their activities, this has generally taken place through intragovernmental channels with little or no involvement of UNDP</w:t>
      </w:r>
      <w:r w:rsidR="00145399">
        <w:t xml:space="preserve">. The evaluation finds </w:t>
      </w:r>
      <w:r w:rsidRPr="00C63BC0">
        <w:t xml:space="preserve">little evidence that UNDP has </w:t>
      </w:r>
      <w:r w:rsidR="004700A0" w:rsidRPr="00C63BC0">
        <w:t>made</w:t>
      </w:r>
      <w:r w:rsidRPr="00C63BC0">
        <w:t xml:space="preserve"> link</w:t>
      </w:r>
      <w:r w:rsidR="004700A0" w:rsidRPr="00C63BC0">
        <w:t>ing</w:t>
      </w:r>
      <w:r w:rsidRPr="00C63BC0">
        <w:t xml:space="preserve"> </w:t>
      </w:r>
      <w:r w:rsidR="004700A0" w:rsidRPr="00C63BC0">
        <w:t>m</w:t>
      </w:r>
      <w:r w:rsidRPr="00C63BC0">
        <w:t xml:space="preserve">ine </w:t>
      </w:r>
      <w:r w:rsidR="004700A0" w:rsidRPr="00C63BC0">
        <w:t>a</w:t>
      </w:r>
      <w:r w:rsidRPr="00C63BC0">
        <w:t>ction support to other development support</w:t>
      </w:r>
      <w:r w:rsidR="00776CB4" w:rsidRPr="00C63BC0">
        <w:t xml:space="preserve"> a high priority, and has not refocused governance and poverty alleviation programming to better </w:t>
      </w:r>
      <w:r w:rsidRPr="00C63BC0">
        <w:t xml:space="preserve"> address </w:t>
      </w:r>
      <w:r w:rsidR="00FF6F51" w:rsidRPr="00C63BC0">
        <w:t xml:space="preserve">the </w:t>
      </w:r>
      <w:r w:rsidRPr="00C63BC0">
        <w:t>needs of mine-affected communities</w:t>
      </w:r>
      <w:r w:rsidR="009B229A" w:rsidRPr="00C63BC0">
        <w:t xml:space="preserve"> and individuals</w:t>
      </w:r>
      <w:r w:rsidRPr="00C63BC0">
        <w:t xml:space="preserve">. Where such linkages occurred, the </w:t>
      </w:r>
      <w:r w:rsidR="00145399">
        <w:t xml:space="preserve">evaluation finds that </w:t>
      </w:r>
      <w:r w:rsidRPr="00C63BC0">
        <w:t xml:space="preserve">achievements reflect the initiative of particular </w:t>
      </w:r>
      <w:r w:rsidR="009B229A" w:rsidRPr="00C63BC0">
        <w:t xml:space="preserve">mine action technical </w:t>
      </w:r>
      <w:r w:rsidR="00145399" w:rsidRPr="00145399">
        <w:t>advis</w:t>
      </w:r>
      <w:r w:rsidR="00145399">
        <w:t>e</w:t>
      </w:r>
      <w:r w:rsidR="00145399" w:rsidRPr="00145399">
        <w:t xml:space="preserve">rs </w:t>
      </w:r>
      <w:r w:rsidRPr="00C63BC0">
        <w:t xml:space="preserve">and </w:t>
      </w:r>
      <w:r w:rsidR="00145399">
        <w:t>c</w:t>
      </w:r>
      <w:r w:rsidR="00145399" w:rsidRPr="00145399">
        <w:t xml:space="preserve">ountry </w:t>
      </w:r>
      <w:r w:rsidR="00145399">
        <w:t>o</w:t>
      </w:r>
      <w:r w:rsidR="00145399" w:rsidRPr="00145399">
        <w:t>ffice</w:t>
      </w:r>
      <w:r w:rsidRPr="00C63BC0">
        <w:t xml:space="preserve"> management</w:t>
      </w:r>
      <w:r w:rsidR="009B229A" w:rsidRPr="00C63BC0">
        <w:t xml:space="preserve">, </w:t>
      </w:r>
      <w:r w:rsidR="00B6393A">
        <w:t xml:space="preserve">and are </w:t>
      </w:r>
      <w:r w:rsidR="009B229A" w:rsidRPr="00C63BC0">
        <w:t>not a result of headquarters and regional bureau initiatives</w:t>
      </w:r>
      <w:r w:rsidRPr="00D87706">
        <w:t xml:space="preserve">. </w:t>
      </w:r>
    </w:p>
    <w:p w:rsidR="001B76E1" w:rsidRPr="001B76E1" w:rsidRDefault="00AE0D9B" w:rsidP="001B76E1">
      <w:pPr>
        <w:pStyle w:val="SingleTxt"/>
        <w:numPr>
          <w:ilvl w:val="0"/>
          <w:numId w:val="25"/>
        </w:numPr>
        <w:tabs>
          <w:tab w:val="left" w:pos="90"/>
          <w:tab w:val="left" w:pos="630"/>
          <w:tab w:val="left" w:pos="1620"/>
        </w:tabs>
        <w:spacing w:line="240" w:lineRule="auto"/>
        <w:ind w:left="1260" w:right="1030" w:firstLine="0"/>
      </w:pPr>
      <w:r>
        <w:t xml:space="preserve">In response, </w:t>
      </w:r>
      <w:r w:rsidR="001B76E1" w:rsidRPr="00C75E86">
        <w:t xml:space="preserve">UNDP </w:t>
      </w:r>
      <w:r>
        <w:t>notes</w:t>
      </w:r>
      <w:r w:rsidRPr="00C75E86">
        <w:t xml:space="preserve"> </w:t>
      </w:r>
      <w:r w:rsidR="001B76E1" w:rsidRPr="00C75E86">
        <w:t xml:space="preserve">that </w:t>
      </w:r>
      <w:r w:rsidR="00B40CB0">
        <w:t>its mine action work prior to 2004, and during</w:t>
      </w:r>
      <w:r w:rsidR="00B40CB0" w:rsidRPr="0000053B">
        <w:rPr>
          <w:lang w:val="en-US"/>
        </w:rPr>
        <w:t xml:space="preserve"> </w:t>
      </w:r>
      <w:r w:rsidR="00B40CB0">
        <w:t>the decade covered by the evaluation</w:t>
      </w:r>
      <w:r>
        <w:t>,</w:t>
      </w:r>
      <w:r w:rsidR="00662D4B" w:rsidRPr="00C75E86">
        <w:t xml:space="preserve"> </w:t>
      </w:r>
      <w:r w:rsidR="00B021F9">
        <w:t xml:space="preserve">has </w:t>
      </w:r>
      <w:r w:rsidR="00662D4B" w:rsidRPr="00C75E86">
        <w:t>emphasi</w:t>
      </w:r>
      <w:r w:rsidR="00A610CE">
        <w:t>zed</w:t>
      </w:r>
      <w:r w:rsidR="00662D4B" w:rsidRPr="00C75E86">
        <w:t xml:space="preserve"> </w:t>
      </w:r>
      <w:r w:rsidR="001B76E1" w:rsidRPr="00C75E86">
        <w:t xml:space="preserve">development and livelihoods recovery in </w:t>
      </w:r>
      <w:r w:rsidR="00A610CE">
        <w:t>m</w:t>
      </w:r>
      <w:r w:rsidR="00A610CE" w:rsidRPr="00C75E86">
        <w:t xml:space="preserve">ine </w:t>
      </w:r>
      <w:r w:rsidR="00A610CE">
        <w:t>a</w:t>
      </w:r>
      <w:r w:rsidR="00A610CE" w:rsidRPr="00C75E86">
        <w:t xml:space="preserve">ction </w:t>
      </w:r>
      <w:r w:rsidR="001B76E1" w:rsidRPr="00C75E86">
        <w:t>support, with linkages to other programmes.</w:t>
      </w:r>
      <w:r w:rsidR="005356DD" w:rsidRPr="00C75E86">
        <w:t xml:space="preserve"> </w:t>
      </w:r>
      <w:r w:rsidR="00662D4B" w:rsidRPr="00C75E86">
        <w:t>Moreover, in the early 2000s</w:t>
      </w:r>
      <w:r w:rsidR="00A610CE">
        <w:t>, UNDP made</w:t>
      </w:r>
      <w:r w:rsidR="00662D4B" w:rsidRPr="00C75E86">
        <w:t xml:space="preserve"> </w:t>
      </w:r>
      <w:r w:rsidR="00F5319E" w:rsidRPr="00C75E86">
        <w:t xml:space="preserve">efforts to </w:t>
      </w:r>
      <w:r>
        <w:t>strengthen the</w:t>
      </w:r>
      <w:r w:rsidR="00B747D1" w:rsidRPr="00C75E86">
        <w:t xml:space="preserve"> capacities </w:t>
      </w:r>
      <w:r w:rsidR="00261471" w:rsidRPr="00C75E86">
        <w:t>of staff members and</w:t>
      </w:r>
      <w:r w:rsidR="00F5319E" w:rsidRPr="00C75E86">
        <w:t xml:space="preserve"> relevant </w:t>
      </w:r>
      <w:r w:rsidR="00261471" w:rsidRPr="00C75E86">
        <w:t xml:space="preserve">experts </w:t>
      </w:r>
      <w:r w:rsidR="0081177E" w:rsidRPr="00C75E86">
        <w:t xml:space="preserve">to link </w:t>
      </w:r>
      <w:r>
        <w:t>m</w:t>
      </w:r>
      <w:r w:rsidR="0081177E" w:rsidRPr="00C75E86">
        <w:t xml:space="preserve">ine </w:t>
      </w:r>
      <w:r>
        <w:lastRenderedPageBreak/>
        <w:t>a</w:t>
      </w:r>
      <w:r w:rsidR="0081177E" w:rsidRPr="00C75E86">
        <w:t>ction to b</w:t>
      </w:r>
      <w:r w:rsidR="00706EE3" w:rsidRPr="00C75E86">
        <w:t>ro</w:t>
      </w:r>
      <w:r w:rsidR="0081177E" w:rsidRPr="00C75E86">
        <w:t>ader development outcomes</w:t>
      </w:r>
      <w:r>
        <w:t>.</w:t>
      </w:r>
      <w:r w:rsidR="00464184" w:rsidRPr="00C75E86" w:rsidDel="00464184">
        <w:t xml:space="preserve"> </w:t>
      </w:r>
      <w:r w:rsidR="001B76E1" w:rsidRPr="001B76E1">
        <w:t>The evaluation makes an observation that</w:t>
      </w:r>
      <w:r w:rsidR="003162DB">
        <w:t xml:space="preserve"> UNDP has sought to frame its support to mine action in terms of the contribution to poverty reduction</w:t>
      </w:r>
      <w:r w:rsidR="00A610CE">
        <w:t xml:space="preserve">, finding that </w:t>
      </w:r>
      <w:r w:rsidR="00A610CE" w:rsidRPr="00A610CE">
        <w:t>i</w:t>
      </w:r>
      <w:r w:rsidR="00EB2837" w:rsidRPr="00A610CE">
        <w:t>n</w:t>
      </w:r>
      <w:r w:rsidR="00EB2837" w:rsidRPr="00C63BC0">
        <w:t xml:space="preserve"> most villages visited</w:t>
      </w:r>
      <w:r w:rsidR="00A610CE">
        <w:t>,</w:t>
      </w:r>
      <w:r w:rsidR="00EB2837" w:rsidRPr="00C63BC0">
        <w:t xml:space="preserve"> there </w:t>
      </w:r>
      <w:r w:rsidR="00A610CE">
        <w:t>wa</w:t>
      </w:r>
      <w:r w:rsidR="00A610CE" w:rsidRPr="00A610CE">
        <w:t>s</w:t>
      </w:r>
      <w:r w:rsidR="00EB2837" w:rsidRPr="00C63BC0">
        <w:t xml:space="preserve"> some evidence of improvements in standard of living over the course of the mine action programme, although the extent to which this </w:t>
      </w:r>
      <w:r w:rsidR="00A610CE">
        <w:t>wa</w:t>
      </w:r>
      <w:r w:rsidR="00A610CE" w:rsidRPr="00A610CE">
        <w:t xml:space="preserve">s </w:t>
      </w:r>
      <w:r w:rsidR="00EB2837" w:rsidRPr="00C63BC0">
        <w:t>a direct result of the demining effort is difficult to quantify</w:t>
      </w:r>
      <w:r w:rsidR="00EB2837">
        <w:t xml:space="preserve">. </w:t>
      </w:r>
      <w:r w:rsidR="00A610CE">
        <w:t xml:space="preserve">The </w:t>
      </w:r>
      <w:r w:rsidR="00EC0E50">
        <w:t xml:space="preserve">evaluation </w:t>
      </w:r>
      <w:r w:rsidR="00A610CE">
        <w:t xml:space="preserve">also </w:t>
      </w:r>
      <w:r w:rsidR="00EC0E50">
        <w:t>f</w:t>
      </w:r>
      <w:r w:rsidR="00A610CE">
        <w:t>ound</w:t>
      </w:r>
      <w:r w:rsidR="00EC0E50">
        <w:t xml:space="preserve"> that </w:t>
      </w:r>
      <w:r w:rsidR="00A610CE">
        <w:t xml:space="preserve">the </w:t>
      </w:r>
      <w:r w:rsidR="00EC0E50" w:rsidRPr="00C63BC0">
        <w:t>UNDP pro-poor orientation was not evident in da</w:t>
      </w:r>
      <w:r w:rsidR="00F20A98" w:rsidRPr="00C63BC0">
        <w:t>y</w:t>
      </w:r>
      <w:r w:rsidR="00EC0E50" w:rsidRPr="00C63BC0">
        <w:t>-to-day support to mine action</w:t>
      </w:r>
      <w:r w:rsidR="00A610CE">
        <w:t>, although</w:t>
      </w:r>
      <w:r w:rsidR="001B76E1" w:rsidRPr="001B76E1">
        <w:t xml:space="preserve"> UNDP </w:t>
      </w:r>
      <w:r w:rsidR="00A610CE">
        <w:t>had</w:t>
      </w:r>
      <w:r w:rsidR="00A33207">
        <w:t xml:space="preserve"> </w:t>
      </w:r>
      <w:r w:rsidR="001B76E1" w:rsidRPr="001B76E1">
        <w:t xml:space="preserve">documented numerous examples of positive changes in the livelihoods of people and communities that became mine-free. For instance, clearance of </w:t>
      </w:r>
      <w:r w:rsidR="001F59DD">
        <w:t>unexploded ordnance (</w:t>
      </w:r>
      <w:r w:rsidR="001B76E1" w:rsidRPr="001B76E1">
        <w:t>UXO</w:t>
      </w:r>
      <w:r w:rsidR="001F59DD">
        <w:t>)</w:t>
      </w:r>
      <w:r w:rsidR="001B76E1" w:rsidRPr="001B76E1">
        <w:t xml:space="preserve"> </w:t>
      </w:r>
      <w:r w:rsidR="00B021F9">
        <w:t>ha</w:t>
      </w:r>
      <w:r w:rsidR="00A610CE">
        <w:t>d</w:t>
      </w:r>
      <w:r w:rsidR="00B021F9">
        <w:t xml:space="preserve"> </w:t>
      </w:r>
      <w:r w:rsidR="001B76E1" w:rsidRPr="001B76E1">
        <w:t xml:space="preserve">brought significant improvements in the livelihoods of people and communities in </w:t>
      </w:r>
      <w:r w:rsidR="00A610CE">
        <w:t xml:space="preserve">the </w:t>
      </w:r>
      <w:r w:rsidR="001B76E1" w:rsidRPr="001B76E1">
        <w:t>Lao P</w:t>
      </w:r>
      <w:r w:rsidR="00A610CE">
        <w:t>eople's Democratic Republic</w:t>
      </w:r>
      <w:r w:rsidR="001B76E1" w:rsidRPr="001B76E1">
        <w:t>.</w:t>
      </w:r>
      <w:r w:rsidR="005D7C9B">
        <w:t xml:space="preserve"> </w:t>
      </w:r>
      <w:r w:rsidR="00DF5D75">
        <w:t>This additional information was offered to the evaluation team.</w:t>
      </w:r>
    </w:p>
    <w:p w:rsidR="001B76E1" w:rsidRPr="001B76E1" w:rsidRDefault="001B76E1" w:rsidP="001B76E1">
      <w:pPr>
        <w:pStyle w:val="SingleTxt"/>
        <w:numPr>
          <w:ilvl w:val="0"/>
          <w:numId w:val="25"/>
        </w:numPr>
        <w:tabs>
          <w:tab w:val="left" w:pos="90"/>
          <w:tab w:val="left" w:pos="630"/>
          <w:tab w:val="left" w:pos="1620"/>
        </w:tabs>
        <w:spacing w:line="240" w:lineRule="auto"/>
        <w:ind w:left="1260" w:right="1030" w:firstLine="0"/>
      </w:pPr>
      <w:r w:rsidRPr="001B76E1">
        <w:t>UNDP</w:t>
      </w:r>
      <w:r w:rsidR="00B40CB0">
        <w:t xml:space="preserve"> notes the finding that</w:t>
      </w:r>
      <w:r w:rsidRPr="001B76E1">
        <w:t xml:space="preserve"> </w:t>
      </w:r>
      <w:r w:rsidRPr="00C63BC0">
        <w:t xml:space="preserve">the most active period for UNDP </w:t>
      </w:r>
      <w:r w:rsidR="00A610CE">
        <w:t xml:space="preserve">headquarters </w:t>
      </w:r>
      <w:r w:rsidRPr="00C63BC0">
        <w:t xml:space="preserve">in the promotion of South-South </w:t>
      </w:r>
      <w:r w:rsidR="00245A73" w:rsidRPr="00C63BC0">
        <w:t>cooperation</w:t>
      </w:r>
      <w:r w:rsidR="00245A73" w:rsidRPr="00C63BC0">
        <w:rPr>
          <w:i/>
        </w:rPr>
        <w:t xml:space="preserve"> </w:t>
      </w:r>
      <w:r w:rsidRPr="00C63BC0">
        <w:t>was between 2000</w:t>
      </w:r>
      <w:r w:rsidR="00A610CE">
        <w:t xml:space="preserve"> and </w:t>
      </w:r>
      <w:r w:rsidRPr="00C63BC0">
        <w:t>2002</w:t>
      </w:r>
      <w:r w:rsidR="00A610CE">
        <w:t>,</w:t>
      </w:r>
      <w:r w:rsidR="00F20A98" w:rsidRPr="00C63BC0">
        <w:t xml:space="preserve"> </w:t>
      </w:r>
      <w:r w:rsidRPr="00C63BC0">
        <w:t>when the centrally managed</w:t>
      </w:r>
      <w:r w:rsidR="00F20A98" w:rsidRPr="00C63BC0">
        <w:t xml:space="preserve"> </w:t>
      </w:r>
      <w:r w:rsidRPr="00C63BC0">
        <w:t>Mine Action Exchange provided support for travel and exchange between mine action programme</w:t>
      </w:r>
      <w:r w:rsidR="00C70A90" w:rsidRPr="00C63BC0">
        <w:t>s</w:t>
      </w:r>
      <w:r w:rsidR="00A610CE">
        <w:t xml:space="preserve">, and that </w:t>
      </w:r>
      <w:r w:rsidR="00C70A90" w:rsidRPr="00C63BC0">
        <w:t xml:space="preserve">UNDP utilized its own budget </w:t>
      </w:r>
      <w:r w:rsidR="00C70A90">
        <w:t>to continue this exchange</w:t>
      </w:r>
      <w:r w:rsidR="00A610CE">
        <w:t xml:space="preserve"> </w:t>
      </w:r>
      <w:r w:rsidR="00A610CE" w:rsidRPr="00A610CE">
        <w:t>through</w:t>
      </w:r>
      <w:r w:rsidR="00A610CE">
        <w:rPr>
          <w:i/>
        </w:rPr>
        <w:t xml:space="preserve"> </w:t>
      </w:r>
      <w:r w:rsidR="00A610CE" w:rsidRPr="001B76E1">
        <w:t>2008</w:t>
      </w:r>
      <w:r w:rsidR="00C70A90">
        <w:t>.</w:t>
      </w:r>
      <w:r w:rsidR="00A610CE">
        <w:t xml:space="preserve"> </w:t>
      </w:r>
      <w:r w:rsidR="003A30F0">
        <w:t>More r</w:t>
      </w:r>
      <w:r w:rsidRPr="001B76E1">
        <w:t>ecent examples of South-South cooperation</w:t>
      </w:r>
      <w:r w:rsidR="001A3460">
        <w:t xml:space="preserve"> include the </w:t>
      </w:r>
      <w:r w:rsidRPr="001B76E1">
        <w:t>Azerbaijan National Agency for Mine Action (ANAMA)</w:t>
      </w:r>
      <w:r w:rsidR="001A3460">
        <w:t>,</w:t>
      </w:r>
      <w:r w:rsidRPr="001B76E1">
        <w:t xml:space="preserve"> which consistently emphasized </w:t>
      </w:r>
      <w:r w:rsidR="009955CE">
        <w:t xml:space="preserve">the </w:t>
      </w:r>
      <w:r w:rsidRPr="001B76E1">
        <w:t xml:space="preserve">socioeconomic impacts of demining. Currently ANAMA is exchanging knowledge and best practices </w:t>
      </w:r>
      <w:r w:rsidR="001A3460">
        <w:t>with</w:t>
      </w:r>
      <w:r w:rsidRPr="001B76E1">
        <w:t xml:space="preserve"> </w:t>
      </w:r>
      <w:r w:rsidR="00A610CE">
        <w:t xml:space="preserve">other </w:t>
      </w:r>
      <w:r w:rsidRPr="001B76E1">
        <w:t xml:space="preserve">national </w:t>
      </w:r>
      <w:r w:rsidR="00A610CE">
        <w:t>m</w:t>
      </w:r>
      <w:r w:rsidR="00A610CE" w:rsidRPr="001B76E1">
        <w:t xml:space="preserve">ine </w:t>
      </w:r>
      <w:r w:rsidR="00A610CE">
        <w:t>a</w:t>
      </w:r>
      <w:r w:rsidR="00A610CE" w:rsidRPr="001B76E1">
        <w:t xml:space="preserve">ction </w:t>
      </w:r>
      <w:r w:rsidRPr="001B76E1">
        <w:t>programmes</w:t>
      </w:r>
      <w:r w:rsidR="00A610CE">
        <w:t xml:space="preserve">, e.g., </w:t>
      </w:r>
      <w:r w:rsidR="00B6393A">
        <w:t xml:space="preserve">in </w:t>
      </w:r>
      <w:r w:rsidR="00A610CE">
        <w:t xml:space="preserve">Afghanistan and </w:t>
      </w:r>
      <w:r w:rsidRPr="001B76E1">
        <w:t>Turkey.</w:t>
      </w:r>
    </w:p>
    <w:p w:rsidR="009357A6" w:rsidRDefault="004F0C20" w:rsidP="009F6931">
      <w:pPr>
        <w:pStyle w:val="SingleTxt"/>
        <w:numPr>
          <w:ilvl w:val="0"/>
          <w:numId w:val="25"/>
        </w:numPr>
        <w:tabs>
          <w:tab w:val="left" w:pos="90"/>
          <w:tab w:val="left" w:pos="630"/>
          <w:tab w:val="left" w:pos="1620"/>
        </w:tabs>
        <w:spacing w:line="240" w:lineRule="auto"/>
        <w:ind w:left="1260" w:right="1030" w:firstLine="0"/>
      </w:pPr>
      <w:r>
        <w:t>UNDP agrees with t</w:t>
      </w:r>
      <w:r w:rsidR="001B76E1" w:rsidRPr="001B76E1">
        <w:t>he evaluation</w:t>
      </w:r>
      <w:r w:rsidR="00671157">
        <w:t xml:space="preserve"> </w:t>
      </w:r>
      <w:r>
        <w:t>observation</w:t>
      </w:r>
      <w:r w:rsidRPr="001B76E1">
        <w:t xml:space="preserve"> </w:t>
      </w:r>
      <w:r w:rsidR="001B76E1" w:rsidRPr="001B76E1">
        <w:t xml:space="preserve">that </w:t>
      </w:r>
      <w:r>
        <w:t xml:space="preserve">it </w:t>
      </w:r>
      <w:r w:rsidR="00423032">
        <w:t>has had limited engagement in support to mine victims and survivors</w:t>
      </w:r>
      <w:r w:rsidR="00A610CE">
        <w:t xml:space="preserve">, </w:t>
      </w:r>
      <w:r>
        <w:t xml:space="preserve">and </w:t>
      </w:r>
      <w:r w:rsidR="00A610CE">
        <w:t>that i</w:t>
      </w:r>
      <w:r w:rsidR="00423032" w:rsidRPr="00A610CE">
        <w:t>n</w:t>
      </w:r>
      <w:r w:rsidR="00423032" w:rsidRPr="00C63BC0">
        <w:t xml:space="preserve"> the</w:t>
      </w:r>
      <w:r w:rsidR="00423032">
        <w:t xml:space="preserve"> </w:t>
      </w:r>
      <w:r w:rsidR="001B76E1" w:rsidRPr="00C63BC0">
        <w:t>instances</w:t>
      </w:r>
      <w:r w:rsidR="00423032" w:rsidRPr="00C63BC0">
        <w:t xml:space="preserve"> where it has provided support in this area, it has </w:t>
      </w:r>
      <w:r w:rsidR="00B6393A">
        <w:t xml:space="preserve">focused </w:t>
      </w:r>
      <w:r w:rsidR="00423032" w:rsidRPr="00C63BC0">
        <w:t>mostly on institutional aspects and its</w:t>
      </w:r>
      <w:r w:rsidR="00125260" w:rsidRPr="00C63BC0">
        <w:t xml:space="preserve"> work has been well received by national partners</w:t>
      </w:r>
      <w:r w:rsidR="001B76E1" w:rsidRPr="001B76E1">
        <w:t xml:space="preserve">. </w:t>
      </w:r>
      <w:r w:rsidR="006D21F5">
        <w:t xml:space="preserve"> </w:t>
      </w:r>
    </w:p>
    <w:p w:rsidR="006D21F5" w:rsidRDefault="00A302A6" w:rsidP="009F6931">
      <w:pPr>
        <w:pStyle w:val="SingleTxt"/>
        <w:numPr>
          <w:ilvl w:val="0"/>
          <w:numId w:val="25"/>
        </w:numPr>
        <w:tabs>
          <w:tab w:val="left" w:pos="90"/>
          <w:tab w:val="left" w:pos="630"/>
          <w:tab w:val="left" w:pos="1620"/>
        </w:tabs>
        <w:spacing w:line="240" w:lineRule="auto"/>
        <w:ind w:left="1260" w:right="1030" w:firstLine="0"/>
      </w:pPr>
      <w:r>
        <w:t xml:space="preserve">UNDP </w:t>
      </w:r>
      <w:r w:rsidR="004F0C20">
        <w:t xml:space="preserve">further </w:t>
      </w:r>
      <w:r w:rsidR="00E85083">
        <w:t xml:space="preserve">notes that the reason </w:t>
      </w:r>
      <w:r w:rsidR="004F0C20">
        <w:t xml:space="preserve">for this limited engagement was a strategic choice rather than a </w:t>
      </w:r>
      <w:r w:rsidR="00C6701A">
        <w:t xml:space="preserve">programmatic </w:t>
      </w:r>
      <w:r w:rsidR="004F0C20">
        <w:t>shortcoming.  I</w:t>
      </w:r>
      <w:r w:rsidR="00E85083">
        <w:t xml:space="preserve">ndeed, while </w:t>
      </w:r>
      <w:r w:rsidR="00C1387A">
        <w:t xml:space="preserve">victim assistance is one of the </w:t>
      </w:r>
      <w:r w:rsidR="00E85083">
        <w:t xml:space="preserve">five pillars of mine action under the </w:t>
      </w:r>
      <w:r w:rsidR="00C6701A">
        <w:t>Mine Ban Convention</w:t>
      </w:r>
      <w:r w:rsidR="00C1387A">
        <w:t>, it has long been</w:t>
      </w:r>
      <w:r w:rsidR="00C6701A">
        <w:t xml:space="preserve"> UNDP</w:t>
      </w:r>
      <w:r w:rsidR="00C1387A">
        <w:t>’S view, acknowledged by the 2011 J</w:t>
      </w:r>
      <w:r w:rsidR="003E76C9">
        <w:t xml:space="preserve">oint </w:t>
      </w:r>
      <w:r w:rsidR="00C1387A">
        <w:t>I</w:t>
      </w:r>
      <w:r w:rsidR="003E76C9">
        <w:t xml:space="preserve">nspection </w:t>
      </w:r>
      <w:r w:rsidR="00C1387A">
        <w:t>U</w:t>
      </w:r>
      <w:r w:rsidR="003E76C9">
        <w:t xml:space="preserve">nit </w:t>
      </w:r>
      <w:r w:rsidR="00C1387A">
        <w:t xml:space="preserve"> evaluation of </w:t>
      </w:r>
      <w:r w:rsidR="003E76C9">
        <w:t xml:space="preserve">scope, organization, effectiveness and approach of the work of the </w:t>
      </w:r>
      <w:r w:rsidR="00C1387A">
        <w:t>U</w:t>
      </w:r>
      <w:r w:rsidR="003E76C9">
        <w:t xml:space="preserve">nited </w:t>
      </w:r>
      <w:r w:rsidR="00C1387A">
        <w:t>N</w:t>
      </w:r>
      <w:r w:rsidR="003E76C9">
        <w:t>ations</w:t>
      </w:r>
      <w:r w:rsidR="00C1387A">
        <w:t xml:space="preserve"> </w:t>
      </w:r>
      <w:r w:rsidR="003E76C9">
        <w:t xml:space="preserve">in </w:t>
      </w:r>
      <w:r w:rsidR="00C1387A">
        <w:t xml:space="preserve">mine action, </w:t>
      </w:r>
      <w:r w:rsidR="00C6701A">
        <w:t xml:space="preserve">that victim assistance </w:t>
      </w:r>
      <w:r w:rsidR="004F0C20">
        <w:t>would be</w:t>
      </w:r>
      <w:r w:rsidR="00C6701A">
        <w:t xml:space="preserve"> best addressed outside of </w:t>
      </w:r>
      <w:r w:rsidR="000A0780">
        <w:t xml:space="preserve">mine action </w:t>
      </w:r>
      <w:r w:rsidR="00C1387A">
        <w:t xml:space="preserve">institutions and </w:t>
      </w:r>
      <w:r w:rsidR="000A0780">
        <w:t>support</w:t>
      </w:r>
      <w:r w:rsidR="004F0C20">
        <w:t xml:space="preserve"> because: i) </w:t>
      </w:r>
      <w:r w:rsidR="00C1387A">
        <w:t>national</w:t>
      </w:r>
      <w:r w:rsidR="004F0C20">
        <w:t xml:space="preserve"> mine action </w:t>
      </w:r>
      <w:r w:rsidR="00C1387A">
        <w:t>institutions</w:t>
      </w:r>
      <w:r w:rsidR="001A5719">
        <w:t xml:space="preserve"> which UNDP supports</w:t>
      </w:r>
      <w:r w:rsidR="00C1387A">
        <w:t xml:space="preserve"> have neither the mandate nor the required critical </w:t>
      </w:r>
      <w:r w:rsidR="00A0190C">
        <w:t>expertise</w:t>
      </w:r>
      <w:r w:rsidR="001A5719">
        <w:t xml:space="preserve"> in such areas</w:t>
      </w:r>
      <w:r w:rsidR="00A0190C">
        <w:t xml:space="preserve"> as</w:t>
      </w:r>
      <w:r w:rsidR="004F0C20">
        <w:t xml:space="preserve"> psychological and physical rehabilitation</w:t>
      </w:r>
      <w:r w:rsidR="001A5719">
        <w:t xml:space="preserve"> to take this on</w:t>
      </w:r>
      <w:r w:rsidR="00A0190C">
        <w:t>; and ii) focusing exclusively on mine victims generate</w:t>
      </w:r>
      <w:r w:rsidR="001A5719">
        <w:t>s</w:t>
      </w:r>
      <w:r w:rsidR="00A0190C">
        <w:t xml:space="preserve"> </w:t>
      </w:r>
      <w:r w:rsidR="000A0780">
        <w:t xml:space="preserve">perceptions of discrimination where mine victims </w:t>
      </w:r>
      <w:r w:rsidR="001A5719">
        <w:t>are seen to have p</w:t>
      </w:r>
      <w:r w:rsidR="000A0780">
        <w:t xml:space="preserve">riority over the much larger category of  people living with </w:t>
      </w:r>
      <w:r w:rsidR="00A0190C">
        <w:t xml:space="preserve">non-mine related </w:t>
      </w:r>
      <w:r w:rsidR="000A0780">
        <w:t>disabilities.</w:t>
      </w:r>
      <w:r w:rsidR="00A0190C">
        <w:t xml:space="preserve">  </w:t>
      </w:r>
      <w:r w:rsidR="001A5719">
        <w:t xml:space="preserve"> </w:t>
      </w:r>
      <w:r w:rsidR="007A1D60">
        <w:t xml:space="preserve"> </w:t>
      </w:r>
    </w:p>
    <w:p w:rsidR="00702CFF" w:rsidRPr="00B16781" w:rsidRDefault="00A0190C" w:rsidP="00B16781">
      <w:pPr>
        <w:pStyle w:val="SingleTxt"/>
        <w:numPr>
          <w:ilvl w:val="0"/>
          <w:numId w:val="25"/>
        </w:numPr>
        <w:tabs>
          <w:tab w:val="left" w:pos="90"/>
          <w:tab w:val="left" w:pos="630"/>
          <w:tab w:val="left" w:pos="1620"/>
        </w:tabs>
        <w:spacing w:line="240" w:lineRule="auto"/>
        <w:ind w:left="1260" w:right="1030" w:firstLine="0"/>
      </w:pPr>
      <w:r>
        <w:t xml:space="preserve">While UNDP would be willing to contribute towards enabling more dedicated </w:t>
      </w:r>
      <w:r w:rsidR="007A1D60">
        <w:t>support to victim assistance, UNDP has always considered that</w:t>
      </w:r>
      <w:r w:rsidR="00D30DB0">
        <w:t xml:space="preserve"> such</w:t>
      </w:r>
      <w:r w:rsidR="007A1D60">
        <w:t xml:space="preserve"> assistance would be much better </w:t>
      </w:r>
      <w:r w:rsidR="00E72E8B">
        <w:t>provided</w:t>
      </w:r>
      <w:r w:rsidR="007A1D60">
        <w:t xml:space="preserve"> through broader national health and other social programmes dealing </w:t>
      </w:r>
      <w:r w:rsidR="00D30DB0">
        <w:t xml:space="preserve">not only with landmine and UXO victims, but also </w:t>
      </w:r>
      <w:r w:rsidR="007A1D60">
        <w:t xml:space="preserve">with </w:t>
      </w:r>
      <w:r w:rsidR="00D30DB0">
        <w:t xml:space="preserve">all </w:t>
      </w:r>
      <w:r w:rsidR="001A5719">
        <w:t>forms of</w:t>
      </w:r>
      <w:r w:rsidR="007A1D60">
        <w:t xml:space="preserve"> disabilit</w:t>
      </w:r>
      <w:r w:rsidR="001A5719">
        <w:t xml:space="preserve">y without discrimination, specialized support from </w:t>
      </w:r>
      <w:r w:rsidR="00D30DB0">
        <w:t>entities like</w:t>
      </w:r>
      <w:r w:rsidR="007A1D60">
        <w:t xml:space="preserve"> </w:t>
      </w:r>
      <w:r w:rsidR="004A6787">
        <w:t xml:space="preserve">the </w:t>
      </w:r>
      <w:r w:rsidR="007A1D60">
        <w:t>W</w:t>
      </w:r>
      <w:r w:rsidR="004A6787">
        <w:t xml:space="preserve">orld </w:t>
      </w:r>
      <w:r w:rsidR="007A1D60">
        <w:t>H</w:t>
      </w:r>
      <w:r w:rsidR="00A30FA9">
        <w:t xml:space="preserve">ealth </w:t>
      </w:r>
      <w:r w:rsidR="007A1D60">
        <w:t>O</w:t>
      </w:r>
      <w:r w:rsidR="00A30FA9">
        <w:t>rganization</w:t>
      </w:r>
      <w:r w:rsidR="007A1D60">
        <w:t xml:space="preserve"> and </w:t>
      </w:r>
      <w:r w:rsidR="00A30FA9">
        <w:t xml:space="preserve">the </w:t>
      </w:r>
      <w:r w:rsidR="007A1D60">
        <w:t>U</w:t>
      </w:r>
      <w:r w:rsidR="00A30FA9">
        <w:t xml:space="preserve">nited </w:t>
      </w:r>
      <w:r w:rsidR="007A1D60">
        <w:t>N</w:t>
      </w:r>
      <w:r w:rsidR="00A30FA9">
        <w:t xml:space="preserve">ations </w:t>
      </w:r>
      <w:r w:rsidR="007A1D60">
        <w:t>C</w:t>
      </w:r>
      <w:r w:rsidR="00A30FA9">
        <w:t xml:space="preserve">hildren’s </w:t>
      </w:r>
      <w:r w:rsidR="007A1D60">
        <w:t>F</w:t>
      </w:r>
      <w:r w:rsidR="00A30FA9">
        <w:t>und</w:t>
      </w:r>
      <w:r w:rsidR="001A5719">
        <w:t xml:space="preserve">. Mine action institutions would then limit their role </w:t>
      </w:r>
      <w:r w:rsidR="007A1D60">
        <w:t xml:space="preserve">to </w:t>
      </w:r>
      <w:r w:rsidR="0018344B">
        <w:t xml:space="preserve">advocacy, </w:t>
      </w:r>
      <w:r w:rsidR="007A1D60">
        <w:t>surveillance and risk reduction.</w:t>
      </w:r>
      <w:r w:rsidR="00D30DB0">
        <w:t xml:space="preserve">  Moving forward, UNDP would be ready to respond to </w:t>
      </w:r>
      <w:r w:rsidR="00E72E8B">
        <w:t xml:space="preserve">targeted </w:t>
      </w:r>
      <w:r w:rsidR="00D30DB0">
        <w:t xml:space="preserve">national demands for support to victims of landmines and other forms of violence in its areas of expertise, but </w:t>
      </w:r>
      <w:r w:rsidR="003A30F0">
        <w:t xml:space="preserve">would </w:t>
      </w:r>
      <w:r w:rsidR="00D30DB0">
        <w:t xml:space="preserve">do so under broader and non-discriminatory victim assistance frameworks that are not associated with </w:t>
      </w:r>
      <w:r w:rsidR="00E4028F">
        <w:t>m</w:t>
      </w:r>
      <w:r w:rsidR="00D30DB0">
        <w:t xml:space="preserve">ine </w:t>
      </w:r>
      <w:r w:rsidR="00E4028F">
        <w:t>a</w:t>
      </w:r>
      <w:r w:rsidR="00D30DB0">
        <w:t xml:space="preserve">ction, and are </w:t>
      </w:r>
      <w:r w:rsidR="001A5719">
        <w:t>consequently</w:t>
      </w:r>
      <w:r w:rsidR="00D30DB0">
        <w:t xml:space="preserve"> not within the scope of the present evaluation. </w:t>
      </w:r>
      <w:r w:rsidR="00702CFF">
        <w:t xml:space="preserve"> </w:t>
      </w:r>
      <w:r w:rsidR="00702CFF" w:rsidRPr="00702CFF">
        <w:t xml:space="preserve">There is indeed an upcoming </w:t>
      </w:r>
      <w:r w:rsidR="0054156A">
        <w:t>e</w:t>
      </w:r>
      <w:r w:rsidR="00702CFF" w:rsidRPr="0054156A">
        <w:rPr>
          <w:iCs/>
        </w:rPr>
        <w:t>valuation of UNDP support to disability-inclusive development scheduled to be presented</w:t>
      </w:r>
      <w:r w:rsidR="00702CFF" w:rsidRPr="00702CFF">
        <w:rPr>
          <w:iCs/>
        </w:rPr>
        <w:t xml:space="preserve"> to the Board in </w:t>
      </w:r>
      <w:r w:rsidR="00702CFF" w:rsidRPr="00B16781">
        <w:t>September 2016.</w:t>
      </w:r>
    </w:p>
    <w:p w:rsidR="00C1387A" w:rsidRPr="00C1387A" w:rsidRDefault="009025E9" w:rsidP="00B16781">
      <w:pPr>
        <w:pStyle w:val="SingleTxt"/>
        <w:numPr>
          <w:ilvl w:val="0"/>
          <w:numId w:val="25"/>
        </w:numPr>
        <w:tabs>
          <w:tab w:val="left" w:pos="90"/>
          <w:tab w:val="left" w:pos="630"/>
          <w:tab w:val="left" w:pos="1620"/>
        </w:tabs>
        <w:spacing w:line="240" w:lineRule="auto"/>
        <w:ind w:left="1260" w:right="1030" w:firstLine="0"/>
      </w:pPr>
      <w:r>
        <w:t>UNDP m</w:t>
      </w:r>
      <w:r w:rsidR="00C1387A" w:rsidRPr="00C1387A">
        <w:t xml:space="preserve">anagement notes the observation of the evaluation team, </w:t>
      </w:r>
      <w:r w:rsidR="00C1387A" w:rsidRPr="0054156A">
        <w:t>attributed to “some global partners”</w:t>
      </w:r>
      <w:r w:rsidR="0054156A" w:rsidRPr="0054156A">
        <w:t xml:space="preserve">, </w:t>
      </w:r>
      <w:r w:rsidR="00C1387A" w:rsidRPr="0054156A">
        <w:t xml:space="preserve">that </w:t>
      </w:r>
      <w:r w:rsidR="009D7CCC">
        <w:t>“</w:t>
      </w:r>
      <w:r w:rsidR="00C1387A" w:rsidRPr="0054156A">
        <w:t>UNDP has heightened problems regarding outcome achievement because of the lack of a global strategy and programmatic guidance to orient its mine action advisors.</w:t>
      </w:r>
      <w:r w:rsidR="001A5719" w:rsidRPr="0054156A">
        <w:t>”</w:t>
      </w:r>
      <w:r w:rsidR="00C1387A" w:rsidRPr="0054156A">
        <w:t xml:space="preserve">  UNDP further notes that the evaluation team qualifies this perception by </w:t>
      </w:r>
      <w:r w:rsidR="00C1387A" w:rsidRPr="0054156A">
        <w:lastRenderedPageBreak/>
        <w:t>acknowledging that UNDP</w:t>
      </w:r>
      <w:r w:rsidR="00C1387A" w:rsidRPr="00C1387A">
        <w:t xml:space="preserve"> global network of mine action experts is often cited as one of </w:t>
      </w:r>
      <w:r w:rsidR="00FF7876">
        <w:t>the organization</w:t>
      </w:r>
      <w:r w:rsidR="00C1387A" w:rsidRPr="00C1387A">
        <w:t>’s competitive advantage in the mine action field.</w:t>
      </w:r>
    </w:p>
    <w:p w:rsidR="00C1387A" w:rsidRPr="00C1387A" w:rsidRDefault="0010035C" w:rsidP="00B16781">
      <w:pPr>
        <w:pStyle w:val="SingleTxt"/>
        <w:numPr>
          <w:ilvl w:val="0"/>
          <w:numId w:val="25"/>
        </w:numPr>
        <w:tabs>
          <w:tab w:val="left" w:pos="90"/>
          <w:tab w:val="left" w:pos="630"/>
          <w:tab w:val="left" w:pos="1620"/>
        </w:tabs>
        <w:spacing w:line="240" w:lineRule="auto"/>
        <w:ind w:left="1260" w:right="1030" w:firstLine="0"/>
      </w:pPr>
      <w:r>
        <w:t>T</w:t>
      </w:r>
      <w:r w:rsidR="00B40CB0">
        <w:t>his perception is</w:t>
      </w:r>
      <w:r w:rsidR="007C6D1A">
        <w:t>,</w:t>
      </w:r>
      <w:r w:rsidR="00B40CB0">
        <w:t xml:space="preserve"> </w:t>
      </w:r>
      <w:r>
        <w:t>however</w:t>
      </w:r>
      <w:r w:rsidR="007C6D1A">
        <w:t>,</w:t>
      </w:r>
      <w:r>
        <w:t xml:space="preserve"> </w:t>
      </w:r>
      <w:r w:rsidR="00B40CB0">
        <w:t>not accurate</w:t>
      </w:r>
      <w:r w:rsidR="00C1387A" w:rsidRPr="00C1387A">
        <w:t>.  UNDP’s global strategy is an integral part of the U</w:t>
      </w:r>
      <w:r w:rsidR="00E025CC">
        <w:t xml:space="preserve">nited </w:t>
      </w:r>
      <w:r w:rsidR="00C1387A" w:rsidRPr="00C1387A">
        <w:t>N</w:t>
      </w:r>
      <w:r w:rsidR="00E025CC">
        <w:t>ations</w:t>
      </w:r>
      <w:r w:rsidR="00C1387A" w:rsidRPr="00C1387A">
        <w:t xml:space="preserve"> </w:t>
      </w:r>
      <w:r w:rsidR="00E025CC">
        <w:t>mine a</w:t>
      </w:r>
      <w:r w:rsidR="00C1387A" w:rsidRPr="00C1387A">
        <w:t>ction policy and related strategies</w:t>
      </w:r>
      <w:r w:rsidR="00301A0E">
        <w:t>, in which</w:t>
      </w:r>
      <w:r w:rsidR="00C1387A" w:rsidRPr="00C1387A">
        <w:t xml:space="preserve"> UNDP’s role </w:t>
      </w:r>
      <w:r w:rsidR="001A5719">
        <w:t xml:space="preserve">and approach are </w:t>
      </w:r>
      <w:r w:rsidR="00C1387A" w:rsidRPr="00C1387A">
        <w:t>clearly spelt out, and wh</w:t>
      </w:r>
      <w:r w:rsidR="007F5125">
        <w:t>ich serve as the basis for UNDP</w:t>
      </w:r>
      <w:r w:rsidR="00C1387A" w:rsidRPr="00C1387A">
        <w:t xml:space="preserve"> country level </w:t>
      </w:r>
      <w:r w:rsidR="001A5719">
        <w:t>support within the relevant coun</w:t>
      </w:r>
      <w:r w:rsidR="00C1387A" w:rsidRPr="00C1387A">
        <w:t>try programming</w:t>
      </w:r>
      <w:r w:rsidR="001A5719">
        <w:t xml:space="preserve"> frameworks</w:t>
      </w:r>
      <w:r w:rsidR="00C1387A" w:rsidRPr="00C1387A">
        <w:t>.</w:t>
      </w:r>
      <w:r w:rsidR="00EC6C2B">
        <w:t xml:space="preserve"> </w:t>
      </w:r>
      <w:r w:rsidR="00B40CB0">
        <w:t>There is evidence of consistent guidance and support to country offices over the entire period UNDP has been involved in mine</w:t>
      </w:r>
      <w:r w:rsidR="00E7251E">
        <w:t xml:space="preserve"> action.</w:t>
      </w:r>
      <w:r w:rsidR="00E025CC">
        <w:t xml:space="preserve"> </w:t>
      </w:r>
      <w:r w:rsidR="00C1387A" w:rsidRPr="00C1387A">
        <w:t xml:space="preserve">UNDP </w:t>
      </w:r>
      <w:r w:rsidR="00EC6C2B">
        <w:t>headquarters</w:t>
      </w:r>
      <w:r w:rsidR="00C1387A" w:rsidRPr="00C1387A">
        <w:t xml:space="preserve"> support and oversight teams </w:t>
      </w:r>
      <w:r w:rsidR="0037786D">
        <w:t>have systematically</w:t>
      </w:r>
      <w:r w:rsidR="00E7251E">
        <w:t xml:space="preserve"> engaged </w:t>
      </w:r>
      <w:r w:rsidR="00C1387A" w:rsidRPr="00C1387A">
        <w:t>with country</w:t>
      </w:r>
      <w:r w:rsidR="005B4227">
        <w:t>-</w:t>
      </w:r>
      <w:r w:rsidR="00C1387A" w:rsidRPr="00C1387A">
        <w:t xml:space="preserve">level </w:t>
      </w:r>
      <w:r w:rsidR="005B4227">
        <w:t>mine a</w:t>
      </w:r>
      <w:r w:rsidR="00301A0E">
        <w:t>ction</w:t>
      </w:r>
      <w:r w:rsidR="001A5719">
        <w:t xml:space="preserve"> </w:t>
      </w:r>
      <w:r w:rsidR="00C1387A" w:rsidRPr="00C1387A">
        <w:t xml:space="preserve">advisers through exchanges on their day-to-day work, </w:t>
      </w:r>
      <w:r w:rsidR="00ED12DD">
        <w:t xml:space="preserve">direct support to programme design and implementation, </w:t>
      </w:r>
      <w:r w:rsidR="001A0469">
        <w:t xml:space="preserve">an online practice </w:t>
      </w:r>
      <w:r w:rsidR="00742E0F">
        <w:t>exchange platform</w:t>
      </w:r>
      <w:r w:rsidR="001A0469">
        <w:t xml:space="preserve">, </w:t>
      </w:r>
      <w:r w:rsidR="00E7251E">
        <w:t xml:space="preserve">and </w:t>
      </w:r>
      <w:r w:rsidR="00C1387A" w:rsidRPr="00C1387A">
        <w:t>annual technical meetings held in Geneva</w:t>
      </w:r>
      <w:r w:rsidR="00742E0F">
        <w:t xml:space="preserve"> and</w:t>
      </w:r>
      <w:r w:rsidR="00301A0E">
        <w:t>,</w:t>
      </w:r>
      <w:r w:rsidR="00742E0F">
        <w:t xml:space="preserve"> every other year</w:t>
      </w:r>
      <w:r w:rsidR="00301A0E">
        <w:t>,</w:t>
      </w:r>
      <w:r w:rsidR="00742E0F">
        <w:t xml:space="preserve"> in a mine-</w:t>
      </w:r>
      <w:r w:rsidR="00C1387A" w:rsidRPr="00C1387A">
        <w:t>affected country (e.g</w:t>
      </w:r>
      <w:r w:rsidR="00667D46">
        <w:t>.</w:t>
      </w:r>
      <w:r w:rsidR="007F25B6">
        <w:t>,</w:t>
      </w:r>
      <w:r w:rsidR="00C1387A" w:rsidRPr="00C1387A">
        <w:t xml:space="preserve"> </w:t>
      </w:r>
      <w:r w:rsidR="00EB2C7A">
        <w:t>Colombia,</w:t>
      </w:r>
      <w:r w:rsidR="00C1387A" w:rsidRPr="00C1387A">
        <w:t xml:space="preserve"> </w:t>
      </w:r>
      <w:r w:rsidR="00EB2C7A">
        <w:t>Jordan</w:t>
      </w:r>
      <w:r w:rsidR="00C1387A" w:rsidRPr="00C1387A">
        <w:t>, Mozambique) and timed to c</w:t>
      </w:r>
      <w:r w:rsidR="005B4227">
        <w:t>oincide whenever possible with m</w:t>
      </w:r>
      <w:r w:rsidR="00C1387A" w:rsidRPr="00C1387A">
        <w:t>eetings</w:t>
      </w:r>
      <w:r w:rsidR="00723074">
        <w:t xml:space="preserve"> of States Parties to the</w:t>
      </w:r>
      <w:r w:rsidR="00C1387A" w:rsidRPr="00C1387A">
        <w:t xml:space="preserve"> APMBC</w:t>
      </w:r>
      <w:r w:rsidR="00796F11">
        <w:t>.</w:t>
      </w:r>
      <w:r w:rsidR="00C1387A" w:rsidRPr="00C1387A">
        <w:t xml:space="preserve">  These meetings were complemented by training workshops that provid</w:t>
      </w:r>
      <w:r w:rsidR="0075077B">
        <w:t>ed further guidance to mine action advisers on UNDP</w:t>
      </w:r>
      <w:r w:rsidR="00C1387A" w:rsidRPr="00C1387A">
        <w:t xml:space="preserve"> </w:t>
      </w:r>
      <w:r w:rsidR="0075077B">
        <w:t>mine action</w:t>
      </w:r>
      <w:r w:rsidR="00C1387A" w:rsidRPr="00C1387A">
        <w:t xml:space="preserve"> approaches</w:t>
      </w:r>
      <w:r w:rsidR="00B11754">
        <w:t>, including strategic framing, programme design and mine action-specific monitoring and evaluation</w:t>
      </w:r>
      <w:r w:rsidR="009025E9">
        <w:t>.</w:t>
      </w:r>
      <w:r w:rsidR="00E4028F">
        <w:t xml:space="preserve"> </w:t>
      </w:r>
      <w:r w:rsidR="009025E9">
        <w:t>Senior UNDP m</w:t>
      </w:r>
      <w:r w:rsidR="00C1387A" w:rsidRPr="00C1387A">
        <w:t>anagement participated regularly in these meetings, and the 2007 annual UNDP M</w:t>
      </w:r>
      <w:r w:rsidR="00B11754">
        <w:t xml:space="preserve">ine </w:t>
      </w:r>
      <w:r w:rsidR="00C1387A" w:rsidRPr="00C1387A">
        <w:t>A</w:t>
      </w:r>
      <w:r w:rsidR="00B11754">
        <w:t>ction</w:t>
      </w:r>
      <w:r w:rsidR="00C1387A" w:rsidRPr="00C1387A">
        <w:t xml:space="preserve"> meeting was keynoted by the Associate Administrator, </w:t>
      </w:r>
      <w:r w:rsidR="005901A4">
        <w:t>who shared with the a</w:t>
      </w:r>
      <w:r w:rsidR="00B11754">
        <w:t>dvis</w:t>
      </w:r>
      <w:r w:rsidR="005901A4">
        <w:t>e</w:t>
      </w:r>
      <w:r w:rsidR="00B11754">
        <w:t>rs</w:t>
      </w:r>
      <w:r w:rsidR="00C1387A" w:rsidRPr="00C1387A">
        <w:t xml:space="preserve"> UNDP’s strategic outlook regarding </w:t>
      </w:r>
      <w:r w:rsidR="005901A4">
        <w:t>m</w:t>
      </w:r>
      <w:r w:rsidR="00C1387A" w:rsidRPr="00C1387A">
        <w:t xml:space="preserve">ine </w:t>
      </w:r>
      <w:r w:rsidR="005901A4">
        <w:t>a</w:t>
      </w:r>
      <w:r w:rsidR="00C1387A" w:rsidRPr="00C1387A">
        <w:t xml:space="preserve">ction. </w:t>
      </w:r>
      <w:r w:rsidR="00B11754">
        <w:t xml:space="preserve"> </w:t>
      </w:r>
    </w:p>
    <w:p w:rsidR="001B76E1" w:rsidRPr="001B76E1" w:rsidRDefault="004270C5" w:rsidP="001B76E1">
      <w:pPr>
        <w:pStyle w:val="SingleTxt"/>
        <w:numPr>
          <w:ilvl w:val="0"/>
          <w:numId w:val="25"/>
        </w:numPr>
        <w:tabs>
          <w:tab w:val="left" w:pos="90"/>
          <w:tab w:val="left" w:pos="630"/>
          <w:tab w:val="left" w:pos="1620"/>
        </w:tabs>
        <w:spacing w:line="240" w:lineRule="auto"/>
        <w:ind w:left="1260" w:right="1030" w:firstLine="0"/>
      </w:pPr>
      <w:r>
        <w:t xml:space="preserve">UNDP </w:t>
      </w:r>
      <w:r w:rsidR="00A610CE">
        <w:t>management</w:t>
      </w:r>
      <w:r>
        <w:t xml:space="preserve"> agrees with the observation that </w:t>
      </w:r>
      <w:r w:rsidRPr="00C63BC0">
        <w:t>UNDP played a limited role in support of operational demining activities, the issuance of national mine action standards and the destruction of landmine and UXO stockpiles</w:t>
      </w:r>
      <w:r>
        <w:t xml:space="preserve">. </w:t>
      </w:r>
      <w:r w:rsidR="00B11754">
        <w:t xml:space="preserve">This is in line with the fact that these are not core components of UNDP’s mandated areas of mine action work.  Consequently, </w:t>
      </w:r>
      <w:r w:rsidR="001B14C2">
        <w:t xml:space="preserve">UNDP does not have capacity in </w:t>
      </w:r>
      <w:r w:rsidR="00B11754">
        <w:t xml:space="preserve">these </w:t>
      </w:r>
      <w:r w:rsidR="001B14C2">
        <w:t>area</w:t>
      </w:r>
      <w:r w:rsidR="00B11754">
        <w:t xml:space="preserve">s and its future involvement will continue to be very limited.   </w:t>
      </w:r>
    </w:p>
    <w:p w:rsidR="001B76E1" w:rsidRPr="001B76E1" w:rsidRDefault="001B76E1" w:rsidP="001B76E1">
      <w:pPr>
        <w:pStyle w:val="SingleTxt"/>
        <w:numPr>
          <w:ilvl w:val="0"/>
          <w:numId w:val="25"/>
        </w:numPr>
        <w:tabs>
          <w:tab w:val="left" w:pos="90"/>
          <w:tab w:val="left" w:pos="630"/>
          <w:tab w:val="left" w:pos="1620"/>
        </w:tabs>
        <w:spacing w:line="240" w:lineRule="auto"/>
        <w:ind w:left="1260" w:right="1030" w:firstLine="0"/>
      </w:pPr>
      <w:r w:rsidRPr="001B76E1">
        <w:t xml:space="preserve">UNDP welcomes and agrees with the evaluation’s </w:t>
      </w:r>
      <w:r w:rsidR="00091256">
        <w:t>C</w:t>
      </w:r>
      <w:r w:rsidR="00091256" w:rsidRPr="001B76E1">
        <w:t>onclusion</w:t>
      </w:r>
      <w:r w:rsidRPr="001B76E1">
        <w:t xml:space="preserve"> 1 that </w:t>
      </w:r>
      <w:r w:rsidR="00E41A2A" w:rsidRPr="00C63BC0">
        <w:t>UNDP support to mine action has contributed substantially to increased human safety, through the reduction of risk</w:t>
      </w:r>
      <w:r w:rsidR="00775376">
        <w:t>, and that t</w:t>
      </w:r>
      <w:r w:rsidR="007A2544" w:rsidRPr="00091256">
        <w:t>o</w:t>
      </w:r>
      <w:r w:rsidR="007A2544" w:rsidRPr="00C63BC0">
        <w:t xml:space="preserve"> a lesser degree, it </w:t>
      </w:r>
      <w:r w:rsidR="0006000B" w:rsidRPr="00C63BC0">
        <w:t>has</w:t>
      </w:r>
      <w:r w:rsidR="007A2544" w:rsidRPr="00C63BC0">
        <w:t xml:space="preserve"> also led to improvements in socioeconomic conditions at the community level</w:t>
      </w:r>
      <w:r w:rsidR="007A2544">
        <w:t xml:space="preserve">. </w:t>
      </w:r>
      <w:r w:rsidRPr="001B76E1">
        <w:t xml:space="preserve">UNDP has facilitated the reconstruction and expansion of national infrastructure and helped nations </w:t>
      </w:r>
      <w:r w:rsidR="00775376">
        <w:t xml:space="preserve">to </w:t>
      </w:r>
      <w:r w:rsidRPr="001B76E1">
        <w:t>provide greater economic opportunities for their citizens in mine-affected communities. At the same time</w:t>
      </w:r>
      <w:r w:rsidR="00775376">
        <w:t>,</w:t>
      </w:r>
      <w:r w:rsidR="00F20A98">
        <w:t xml:space="preserve"> </w:t>
      </w:r>
      <w:r w:rsidRPr="00F20A98">
        <w:t>the greatest impact of UNDP support to mine action at the community level is the reduction of fear</w:t>
      </w:r>
      <w:r w:rsidRPr="001B76E1">
        <w:t>.</w:t>
      </w:r>
    </w:p>
    <w:p w:rsidR="001B76E1" w:rsidRPr="0022648D" w:rsidRDefault="001B76E1" w:rsidP="001B76E1">
      <w:pPr>
        <w:pStyle w:val="SingleTxt"/>
        <w:numPr>
          <w:ilvl w:val="0"/>
          <w:numId w:val="25"/>
        </w:numPr>
        <w:tabs>
          <w:tab w:val="left" w:pos="90"/>
          <w:tab w:val="left" w:pos="630"/>
          <w:tab w:val="left" w:pos="1620"/>
        </w:tabs>
        <w:spacing w:line="240" w:lineRule="auto"/>
        <w:ind w:left="1260" w:right="1030" w:firstLine="0"/>
      </w:pPr>
      <w:r w:rsidRPr="001B76E1">
        <w:t xml:space="preserve">UNDP management </w:t>
      </w:r>
      <w:r w:rsidR="008F774F">
        <w:t xml:space="preserve">takes </w:t>
      </w:r>
      <w:r w:rsidR="008F774F" w:rsidRPr="001B76E1">
        <w:t>note</w:t>
      </w:r>
      <w:r w:rsidR="008F774F">
        <w:t xml:space="preserve"> of</w:t>
      </w:r>
      <w:r w:rsidR="008F774F" w:rsidRPr="001B76E1">
        <w:t xml:space="preserve"> </w:t>
      </w:r>
      <w:r w:rsidR="00775376">
        <w:t>C</w:t>
      </w:r>
      <w:r w:rsidRPr="001B76E1">
        <w:t>onclusion 2</w:t>
      </w:r>
      <w:r w:rsidR="00775376">
        <w:t xml:space="preserve">, </w:t>
      </w:r>
      <w:r w:rsidRPr="001B76E1">
        <w:t xml:space="preserve">that </w:t>
      </w:r>
      <w:r w:rsidR="00775376">
        <w:t>t</w:t>
      </w:r>
      <w:r w:rsidR="003635B9" w:rsidRPr="00775376">
        <w:t>he</w:t>
      </w:r>
      <w:r w:rsidR="003635B9" w:rsidRPr="00C63BC0">
        <w:t xml:space="preserve"> </w:t>
      </w:r>
      <w:r w:rsidR="008B709F">
        <w:t>scaling</w:t>
      </w:r>
      <w:r w:rsidR="003635B9" w:rsidRPr="00C63BC0">
        <w:t xml:space="preserve"> down of the mine action global programme at UNDP over the past decade has lessened its strategic coherence and limited the capacity of UNDP headquarters to fully support its staff at the country level</w:t>
      </w:r>
      <w:r w:rsidR="003635B9">
        <w:t xml:space="preserve">. </w:t>
      </w:r>
      <w:r w:rsidR="00F1679D" w:rsidRPr="009F122D">
        <w:t>In response,</w:t>
      </w:r>
      <w:r w:rsidRPr="009F122D">
        <w:t xml:space="preserve"> </w:t>
      </w:r>
      <w:r w:rsidR="00B021F9">
        <w:t>UNDP has</w:t>
      </w:r>
      <w:r w:rsidR="00F1679D" w:rsidRPr="009F122D">
        <w:t xml:space="preserve"> </w:t>
      </w:r>
      <w:r w:rsidR="00B47C93">
        <w:t xml:space="preserve">reinstated </w:t>
      </w:r>
      <w:r w:rsidR="00C40DA1">
        <w:t xml:space="preserve">the requisite </w:t>
      </w:r>
      <w:r w:rsidR="00B73911">
        <w:t xml:space="preserve">headquarters </w:t>
      </w:r>
      <w:r w:rsidR="00C40DA1">
        <w:t xml:space="preserve">and regional programme and </w:t>
      </w:r>
      <w:r w:rsidR="00C40DA1" w:rsidRPr="0022648D">
        <w:t xml:space="preserve">policy capacities </w:t>
      </w:r>
      <w:r w:rsidRPr="0022648D">
        <w:t xml:space="preserve">on </w:t>
      </w:r>
      <w:r w:rsidR="00775376" w:rsidRPr="0022648D">
        <w:t xml:space="preserve">development </w:t>
      </w:r>
      <w:r w:rsidRPr="0022648D">
        <w:t xml:space="preserve">and </w:t>
      </w:r>
      <w:r w:rsidR="00775376" w:rsidRPr="0022648D">
        <w:t>mine action</w:t>
      </w:r>
      <w:r w:rsidR="00B73911" w:rsidRPr="0022648D">
        <w:t>.</w:t>
      </w:r>
      <w:r w:rsidR="002C2572" w:rsidRPr="0022648D">
        <w:t xml:space="preserve"> </w:t>
      </w:r>
      <w:r w:rsidR="00E7251E">
        <w:t>As indicated earlier, a limited number of d</w:t>
      </w:r>
      <w:r w:rsidRPr="0022648D">
        <w:t>edicated</w:t>
      </w:r>
      <w:r w:rsidR="002C2572" w:rsidRPr="0022648D">
        <w:t xml:space="preserve"> </w:t>
      </w:r>
      <w:r w:rsidRPr="0022648D">
        <w:t xml:space="preserve">staff </w:t>
      </w:r>
      <w:r w:rsidR="00F1679D" w:rsidRPr="0022648D">
        <w:t xml:space="preserve">now work specifically </w:t>
      </w:r>
      <w:r w:rsidRPr="0022648D">
        <w:t xml:space="preserve">on </w:t>
      </w:r>
      <w:r w:rsidR="00775376" w:rsidRPr="0022648D">
        <w:t xml:space="preserve">development </w:t>
      </w:r>
      <w:r w:rsidRPr="0022648D">
        <w:t xml:space="preserve">and </w:t>
      </w:r>
      <w:r w:rsidR="00775376" w:rsidRPr="0022648D">
        <w:t xml:space="preserve">mine </w:t>
      </w:r>
      <w:r w:rsidR="000F0356" w:rsidRPr="0022648D">
        <w:t>action</w:t>
      </w:r>
      <w:r w:rsidRPr="0022648D">
        <w:t xml:space="preserve"> issue</w:t>
      </w:r>
      <w:r w:rsidR="00F1679D" w:rsidRPr="0022648D">
        <w:t>s at</w:t>
      </w:r>
      <w:r w:rsidRPr="0022648D">
        <w:t xml:space="preserve"> both </w:t>
      </w:r>
      <w:r w:rsidR="00F1679D" w:rsidRPr="0022648D">
        <w:t>headquarters</w:t>
      </w:r>
      <w:r w:rsidRPr="0022648D">
        <w:t xml:space="preserve"> and</w:t>
      </w:r>
      <w:r w:rsidR="00E7251E">
        <w:t xml:space="preserve"> at regional level</w:t>
      </w:r>
      <w:r w:rsidR="0037786D">
        <w:t xml:space="preserve"> (Amman, Istanbul and B</w:t>
      </w:r>
      <w:r w:rsidR="00E7251E">
        <w:t>a</w:t>
      </w:r>
      <w:r w:rsidR="0037786D">
        <w:t>n</w:t>
      </w:r>
      <w:r w:rsidR="00E7251E">
        <w:t>gkok), supporting and complementing the dem</w:t>
      </w:r>
      <w:r w:rsidR="000476AC">
        <w:t>and-driven work of field-level mine a</w:t>
      </w:r>
      <w:r w:rsidR="00E7251E">
        <w:t xml:space="preserve">ction specialists </w:t>
      </w:r>
      <w:r w:rsidR="006F2819" w:rsidRPr="0022648D">
        <w:t xml:space="preserve"> in </w:t>
      </w:r>
      <w:r w:rsidR="00E7251E">
        <w:t xml:space="preserve">line with related UNDP Strategic Plan outcomes. </w:t>
      </w:r>
      <w:r w:rsidR="00E7251E" w:rsidRPr="0022648D">
        <w:t xml:space="preserve"> </w:t>
      </w:r>
      <w:r w:rsidR="00E7251E">
        <w:t xml:space="preserve"> </w:t>
      </w:r>
    </w:p>
    <w:p w:rsidR="001B76E1" w:rsidRPr="00C75E86" w:rsidRDefault="001B76E1" w:rsidP="001B76E1">
      <w:pPr>
        <w:pStyle w:val="SingleTxt"/>
        <w:numPr>
          <w:ilvl w:val="0"/>
          <w:numId w:val="25"/>
        </w:numPr>
        <w:tabs>
          <w:tab w:val="left" w:pos="90"/>
          <w:tab w:val="left" w:pos="630"/>
          <w:tab w:val="left" w:pos="1620"/>
        </w:tabs>
        <w:spacing w:line="240" w:lineRule="auto"/>
        <w:ind w:left="1260" w:right="1030" w:firstLine="0"/>
      </w:pPr>
      <w:r w:rsidRPr="008B5A75">
        <w:t xml:space="preserve">UNDP acknowledges the observation that </w:t>
      </w:r>
      <w:r w:rsidR="00DF5A7C" w:rsidRPr="00C63BC0">
        <w:t xml:space="preserve">the </w:t>
      </w:r>
      <w:r w:rsidR="008B709F">
        <w:t>plan to progressively phase out UNDP</w:t>
      </w:r>
      <w:r w:rsidR="00DF5A7C">
        <w:t xml:space="preserve"> </w:t>
      </w:r>
      <w:r w:rsidR="008B709F">
        <w:t xml:space="preserve">involvement in </w:t>
      </w:r>
      <w:r w:rsidR="000476AC">
        <w:t>m</w:t>
      </w:r>
      <w:r w:rsidR="008B709F">
        <w:t xml:space="preserve">ine </w:t>
      </w:r>
      <w:r w:rsidR="000476AC">
        <w:t>a</w:t>
      </w:r>
      <w:r w:rsidR="008B709F">
        <w:t>ction</w:t>
      </w:r>
      <w:r w:rsidRPr="00C63BC0">
        <w:t xml:space="preserve"> </w:t>
      </w:r>
      <w:r w:rsidR="00DF5A7C" w:rsidRPr="00C63BC0">
        <w:t xml:space="preserve">caused uncertainty among stakeholders as to the </w:t>
      </w:r>
      <w:r w:rsidR="000F0356" w:rsidRPr="00775376">
        <w:t>long</w:t>
      </w:r>
      <w:r w:rsidR="000F0356">
        <w:t>-</w:t>
      </w:r>
      <w:r w:rsidR="00DF5A7C" w:rsidRPr="00C63BC0">
        <w:t xml:space="preserve">term strategic engagement of UNDP in this area </w:t>
      </w:r>
      <w:r w:rsidR="00554ECE" w:rsidRPr="00233436">
        <w:t>and that</w:t>
      </w:r>
      <w:r w:rsidR="00554ECE" w:rsidRPr="00C63BC0">
        <w:t xml:space="preserve"> this </w:t>
      </w:r>
      <w:r w:rsidR="00E72E8B">
        <w:t>pause</w:t>
      </w:r>
      <w:r w:rsidR="00E72E8B" w:rsidRPr="00C63BC0">
        <w:t xml:space="preserve"> </w:t>
      </w:r>
      <w:r w:rsidR="00554ECE" w:rsidRPr="00C63BC0">
        <w:t xml:space="preserve">constituted </w:t>
      </w:r>
      <w:r w:rsidRPr="00C63BC0">
        <w:t xml:space="preserve">a break from </w:t>
      </w:r>
      <w:r w:rsidR="000F0356">
        <w:t xml:space="preserve">the </w:t>
      </w:r>
      <w:r w:rsidRPr="00C63BC0">
        <w:t xml:space="preserve">expectations set out in the </w:t>
      </w:r>
      <w:r w:rsidR="00B73911">
        <w:t xml:space="preserve">Strategy of the </w:t>
      </w:r>
      <w:r w:rsidR="000F0356">
        <w:t xml:space="preserve">United Nations </w:t>
      </w:r>
      <w:r w:rsidR="00B73911">
        <w:t xml:space="preserve">on </w:t>
      </w:r>
      <w:r w:rsidRPr="00C63BC0">
        <w:t>Mine Action</w:t>
      </w:r>
      <w:r w:rsidRPr="009F122D">
        <w:t xml:space="preserve">. </w:t>
      </w:r>
      <w:r w:rsidR="008B5A75">
        <w:t>Nevertheless</w:t>
      </w:r>
      <w:r w:rsidR="00302484" w:rsidRPr="009F122D">
        <w:t xml:space="preserve">, UNDP continued </w:t>
      </w:r>
      <w:r w:rsidR="008B709F">
        <w:t xml:space="preserve">during this interval </w:t>
      </w:r>
      <w:r w:rsidR="00302484" w:rsidRPr="009F122D">
        <w:t xml:space="preserve">to </w:t>
      </w:r>
      <w:r w:rsidR="001A0E1A" w:rsidRPr="009F122D">
        <w:t xml:space="preserve">be engaged </w:t>
      </w:r>
      <w:r w:rsidR="000F0356">
        <w:t>i</w:t>
      </w:r>
      <w:r w:rsidR="000F0356" w:rsidRPr="009F122D">
        <w:t xml:space="preserve">n </w:t>
      </w:r>
      <w:r w:rsidR="000F0356">
        <w:t>d</w:t>
      </w:r>
      <w:r w:rsidR="000F0356" w:rsidRPr="009F122D">
        <w:t xml:space="preserve">evelopment </w:t>
      </w:r>
      <w:r w:rsidR="001A0E1A" w:rsidRPr="009F122D">
        <w:t xml:space="preserve">and </w:t>
      </w:r>
      <w:r w:rsidR="000F0356">
        <w:t>m</w:t>
      </w:r>
      <w:r w:rsidR="000F0356" w:rsidRPr="009F122D">
        <w:t xml:space="preserve">ine </w:t>
      </w:r>
      <w:r w:rsidR="000F0356">
        <w:t>a</w:t>
      </w:r>
      <w:r w:rsidR="000F0356" w:rsidRPr="009F122D">
        <w:t xml:space="preserve">ction </w:t>
      </w:r>
      <w:r w:rsidR="008B709F">
        <w:t>through its</w:t>
      </w:r>
      <w:r w:rsidR="001A0E1A" w:rsidRPr="009F122D">
        <w:t xml:space="preserve"> numerous </w:t>
      </w:r>
      <w:r w:rsidR="00E72E8B">
        <w:t xml:space="preserve">ongoing </w:t>
      </w:r>
      <w:r w:rsidR="001A0E1A" w:rsidRPr="009F122D">
        <w:t xml:space="preserve">projects in programme countries. </w:t>
      </w:r>
      <w:r w:rsidR="00E7251E">
        <w:t xml:space="preserve"> </w:t>
      </w:r>
    </w:p>
    <w:p w:rsidR="001B76E1" w:rsidRDefault="001B76E1" w:rsidP="00EB2C7A">
      <w:pPr>
        <w:pStyle w:val="SingleTxt"/>
        <w:numPr>
          <w:ilvl w:val="0"/>
          <w:numId w:val="25"/>
        </w:numPr>
        <w:tabs>
          <w:tab w:val="left" w:pos="90"/>
          <w:tab w:val="left" w:pos="630"/>
          <w:tab w:val="left" w:pos="1620"/>
        </w:tabs>
        <w:spacing w:line="240" w:lineRule="auto"/>
        <w:ind w:left="1260" w:right="1030" w:firstLine="0"/>
      </w:pPr>
      <w:r w:rsidRPr="009F122D">
        <w:t xml:space="preserve">UNDP management </w:t>
      </w:r>
      <w:r w:rsidR="00E471AC">
        <w:t xml:space="preserve">notes with concern the </w:t>
      </w:r>
      <w:r w:rsidRPr="00F20A98">
        <w:t>observation</w:t>
      </w:r>
      <w:r w:rsidRPr="009F122D">
        <w:t xml:space="preserve"> </w:t>
      </w:r>
      <w:r w:rsidR="008F774F">
        <w:t>under</w:t>
      </w:r>
      <w:r w:rsidR="008F774F" w:rsidRPr="009F122D">
        <w:t xml:space="preserve"> </w:t>
      </w:r>
      <w:r w:rsidR="008F774F">
        <w:t>C</w:t>
      </w:r>
      <w:r w:rsidR="008F774F" w:rsidRPr="009F122D">
        <w:t>onclusion</w:t>
      </w:r>
      <w:r w:rsidRPr="009F122D">
        <w:t xml:space="preserve"> 3 that </w:t>
      </w:r>
      <w:r w:rsidR="004B65D3" w:rsidRPr="00C63BC0">
        <w:t>the transition to national ownership of mine action in some countries aided by UNDP has been slow and inconsistent, and the sustainability of some nationally-managed programmes remains in question</w:t>
      </w:r>
      <w:r w:rsidR="004B65D3">
        <w:t xml:space="preserve">. </w:t>
      </w:r>
      <w:r w:rsidR="00E471AC">
        <w:t xml:space="preserve">While we </w:t>
      </w:r>
      <w:r w:rsidR="00464184">
        <w:t xml:space="preserve">acknowledge the fact that more work is needed by UNDP </w:t>
      </w:r>
      <w:r w:rsidR="008B709F">
        <w:t xml:space="preserve">as </w:t>
      </w:r>
      <w:r w:rsidR="008B709F">
        <w:lastRenderedPageBreak/>
        <w:t>well as by the</w:t>
      </w:r>
      <w:r w:rsidR="00464184">
        <w:t xml:space="preserve"> </w:t>
      </w:r>
      <w:r w:rsidR="00796F11">
        <w:t>Governments</w:t>
      </w:r>
      <w:r w:rsidR="00A84172">
        <w:t xml:space="preserve"> </w:t>
      </w:r>
      <w:r w:rsidR="008B709F">
        <w:t xml:space="preserve">concerned and their </w:t>
      </w:r>
      <w:r w:rsidR="0025094F">
        <w:t>mine action</w:t>
      </w:r>
      <w:r w:rsidR="00464184">
        <w:t xml:space="preserve"> partners to </w:t>
      </w:r>
      <w:r w:rsidR="00A84172">
        <w:t>attain</w:t>
      </w:r>
      <w:r w:rsidR="00464184">
        <w:t xml:space="preserve"> full national ownership and leadership, </w:t>
      </w:r>
      <w:r w:rsidRPr="001B76E1">
        <w:t>UNDP has invested significantly</w:t>
      </w:r>
      <w:r w:rsidR="00464184">
        <w:t>, as the evaluation acknowledges,</w:t>
      </w:r>
      <w:r w:rsidRPr="001B76E1">
        <w:t xml:space="preserve"> in building </w:t>
      </w:r>
      <w:r w:rsidR="001019A3">
        <w:t xml:space="preserve">the </w:t>
      </w:r>
      <w:r w:rsidRPr="001B76E1">
        <w:t>sustainability of national mine action institutions</w:t>
      </w:r>
      <w:r w:rsidR="008E5878">
        <w:t>. It</w:t>
      </w:r>
      <w:r w:rsidRPr="001B76E1">
        <w:t xml:space="preserve"> </w:t>
      </w:r>
      <w:r w:rsidR="00464184">
        <w:t xml:space="preserve">has </w:t>
      </w:r>
      <w:r w:rsidRPr="001B76E1">
        <w:t xml:space="preserve">demonstrated </w:t>
      </w:r>
      <w:r w:rsidR="00464184">
        <w:t xml:space="preserve">significant </w:t>
      </w:r>
      <w:r w:rsidRPr="001B76E1">
        <w:t>results</w:t>
      </w:r>
      <w:r w:rsidR="008B709F">
        <w:t xml:space="preserve"> in this areas </w:t>
      </w:r>
      <w:r w:rsidRPr="001B76E1">
        <w:t>in a number of countries</w:t>
      </w:r>
      <w:r w:rsidR="008F774F">
        <w:t xml:space="preserve"> including</w:t>
      </w:r>
      <w:r w:rsidR="008F774F" w:rsidRPr="001B76E1">
        <w:t xml:space="preserve"> </w:t>
      </w:r>
      <w:r w:rsidR="00667D46">
        <w:t xml:space="preserve">Albania, </w:t>
      </w:r>
      <w:r w:rsidR="00DD6E34">
        <w:t xml:space="preserve">Angola, </w:t>
      </w:r>
      <w:r w:rsidR="001C6701" w:rsidRPr="001C6701">
        <w:t xml:space="preserve">Azerbaijan, </w:t>
      </w:r>
      <w:r w:rsidR="00A20212" w:rsidRPr="00A20212">
        <w:t>Bosnia and Herzegovina,</w:t>
      </w:r>
      <w:r w:rsidR="00A20212">
        <w:t xml:space="preserve"> </w:t>
      </w:r>
      <w:r w:rsidR="00667D46">
        <w:t xml:space="preserve">Cambodia, </w:t>
      </w:r>
      <w:r w:rsidR="001C6701" w:rsidRPr="001C6701">
        <w:t>Croatia,</w:t>
      </w:r>
      <w:r w:rsidR="00EA037A">
        <w:t xml:space="preserve"> the</w:t>
      </w:r>
      <w:r w:rsidR="001C6701" w:rsidRPr="001C6701">
        <w:t xml:space="preserve"> </w:t>
      </w:r>
      <w:r w:rsidR="00EA037A" w:rsidRPr="00EA037A">
        <w:t>Lao People's Democratic Republic</w:t>
      </w:r>
      <w:r w:rsidR="00667D46">
        <w:t xml:space="preserve">, </w:t>
      </w:r>
      <w:r w:rsidR="001C6701" w:rsidRPr="001C6701">
        <w:t>Mozambique</w:t>
      </w:r>
      <w:r w:rsidR="0025094F">
        <w:t>,</w:t>
      </w:r>
      <w:r w:rsidR="001C6701" w:rsidRPr="001C6701">
        <w:t xml:space="preserve"> </w:t>
      </w:r>
      <w:r w:rsidR="00702CFF">
        <w:t>and</w:t>
      </w:r>
      <w:r w:rsidR="00A20212">
        <w:t xml:space="preserve"> Tajikistan</w:t>
      </w:r>
      <w:r w:rsidR="00796F11">
        <w:t xml:space="preserve">. </w:t>
      </w:r>
      <w:r w:rsidR="00702CFF">
        <w:t xml:space="preserve"> Efforts in this area will </w:t>
      </w:r>
      <w:r w:rsidRPr="001B76E1">
        <w:t xml:space="preserve">continue as part of </w:t>
      </w:r>
      <w:r w:rsidR="00E10E36">
        <w:t xml:space="preserve">the </w:t>
      </w:r>
      <w:r w:rsidRPr="001B76E1">
        <w:t xml:space="preserve">UNDP </w:t>
      </w:r>
      <w:r w:rsidR="00B73911">
        <w:t>demand-</w:t>
      </w:r>
      <w:r w:rsidR="00891822">
        <w:t>drive</w:t>
      </w:r>
      <w:r w:rsidR="002C2572">
        <w:t>n</w:t>
      </w:r>
      <w:r w:rsidR="00891822">
        <w:t xml:space="preserve"> support to </w:t>
      </w:r>
      <w:r w:rsidR="008F774F">
        <w:t>d</w:t>
      </w:r>
      <w:r w:rsidR="008F774F" w:rsidRPr="001B76E1">
        <w:t xml:space="preserve">evelopment </w:t>
      </w:r>
      <w:r w:rsidRPr="001B76E1">
        <w:t xml:space="preserve">and </w:t>
      </w:r>
      <w:r w:rsidR="008F774F">
        <w:t>m</w:t>
      </w:r>
      <w:r w:rsidR="008F774F" w:rsidRPr="001B76E1">
        <w:t xml:space="preserve">ine </w:t>
      </w:r>
      <w:r w:rsidR="008F774F">
        <w:t>a</w:t>
      </w:r>
      <w:r w:rsidR="008F774F" w:rsidRPr="001B76E1">
        <w:t>ction</w:t>
      </w:r>
      <w:r w:rsidRPr="001B76E1">
        <w:t xml:space="preserve">, and </w:t>
      </w:r>
      <w:r w:rsidR="00A84172">
        <w:t>through</w:t>
      </w:r>
      <w:r w:rsidR="00E31F50">
        <w:t xml:space="preserve"> </w:t>
      </w:r>
      <w:r w:rsidRPr="001B76E1">
        <w:t xml:space="preserve">implementation of the </w:t>
      </w:r>
      <w:r w:rsidR="00EB2C7A" w:rsidRPr="00EB2C7A">
        <w:t>Strategy of the United Nations on Mine Action 2013–2018</w:t>
      </w:r>
      <w:r w:rsidRPr="001B76E1">
        <w:t>.</w:t>
      </w:r>
    </w:p>
    <w:p w:rsidR="00AF7944" w:rsidRPr="00833A68" w:rsidRDefault="004A4E1B" w:rsidP="00F20A98">
      <w:pPr>
        <w:pStyle w:val="SingleTxt"/>
        <w:numPr>
          <w:ilvl w:val="0"/>
          <w:numId w:val="25"/>
        </w:numPr>
        <w:tabs>
          <w:tab w:val="left" w:pos="90"/>
          <w:tab w:val="left" w:pos="630"/>
          <w:tab w:val="left" w:pos="1620"/>
        </w:tabs>
        <w:spacing w:line="240" w:lineRule="auto"/>
        <w:ind w:left="1260" w:right="1030" w:firstLine="0"/>
        <w:rPr>
          <w:sz w:val="24"/>
          <w:szCs w:val="24"/>
        </w:rPr>
      </w:pPr>
      <w:r>
        <w:t xml:space="preserve">UNDP management </w:t>
      </w:r>
      <w:r w:rsidR="008F774F">
        <w:t>takes note of C</w:t>
      </w:r>
      <w:r>
        <w:t xml:space="preserve">onclusion 4 that </w:t>
      </w:r>
      <w:r w:rsidR="008F774F" w:rsidRPr="008F774F">
        <w:t>a</w:t>
      </w:r>
      <w:r w:rsidRPr="008F774F">
        <w:t>s</w:t>
      </w:r>
      <w:r w:rsidRPr="00C63BC0">
        <w:t xml:space="preserve"> mine action programmes mature, they tend to become increasingly more focused on poor rural communities with a wide array of development challenges</w:t>
      </w:r>
      <w:r w:rsidR="008F774F">
        <w:t>, and that</w:t>
      </w:r>
      <w:r w:rsidR="008F774F" w:rsidRPr="008F774F">
        <w:t xml:space="preserve"> </w:t>
      </w:r>
      <w:r w:rsidRPr="00C63BC0">
        <w:t xml:space="preserve">UNDP has recognized </w:t>
      </w:r>
      <w:r w:rsidR="008F774F">
        <w:t xml:space="preserve">that </w:t>
      </w:r>
      <w:r w:rsidRPr="00C63BC0">
        <w:t>there are important development linkages for mine action</w:t>
      </w:r>
      <w:r w:rsidR="001E3C16" w:rsidRPr="00C63BC0">
        <w:t xml:space="preserve">, </w:t>
      </w:r>
      <w:r w:rsidR="008F774F">
        <w:t>although</w:t>
      </w:r>
      <w:r w:rsidR="001E3C16" w:rsidRPr="00C63BC0">
        <w:t xml:space="preserve"> there is scant evidence that this recognition has led to the linking or targeting of other development programming in poor communities that have been demined</w:t>
      </w:r>
      <w:r w:rsidR="001E3C16">
        <w:t>.</w:t>
      </w:r>
      <w:r w:rsidR="00892493">
        <w:t xml:space="preserve"> </w:t>
      </w:r>
      <w:r w:rsidR="00F20A98">
        <w:t>To address this,</w:t>
      </w:r>
      <w:r w:rsidR="00892493">
        <w:t xml:space="preserve"> </w:t>
      </w:r>
      <w:r w:rsidR="00892493" w:rsidRPr="00C75E86">
        <w:t xml:space="preserve">UNDP </w:t>
      </w:r>
      <w:r w:rsidR="00D26E21">
        <w:t xml:space="preserve">will </w:t>
      </w:r>
      <w:r w:rsidR="00464184">
        <w:t xml:space="preserve">strengthen its </w:t>
      </w:r>
      <w:r w:rsidR="00A84172">
        <w:t>focus</w:t>
      </w:r>
      <w:r w:rsidR="00464184">
        <w:t xml:space="preserve"> on </w:t>
      </w:r>
      <w:r w:rsidR="00892493" w:rsidRPr="00C75E86">
        <w:t xml:space="preserve">development and livelihoods recovery </w:t>
      </w:r>
      <w:r w:rsidR="008F774F">
        <w:t>with</w:t>
      </w:r>
      <w:r w:rsidR="00892493" w:rsidRPr="00C75E86">
        <w:t xml:space="preserve">in </w:t>
      </w:r>
      <w:r w:rsidR="008F774F">
        <w:t>its</w:t>
      </w:r>
      <w:r w:rsidR="00892493" w:rsidRPr="00C75E86">
        <w:t xml:space="preserve"> </w:t>
      </w:r>
      <w:r w:rsidR="008F774F">
        <w:t>m</w:t>
      </w:r>
      <w:r w:rsidR="008F774F" w:rsidRPr="00C75E86">
        <w:t xml:space="preserve">ine </w:t>
      </w:r>
      <w:r w:rsidR="008F774F">
        <w:t>a</w:t>
      </w:r>
      <w:r w:rsidR="008F774F" w:rsidRPr="00C75E86">
        <w:t>ction</w:t>
      </w:r>
      <w:r w:rsidR="00892493" w:rsidRPr="00C75E86">
        <w:t xml:space="preserve"> support, with linkages to other programmes. </w:t>
      </w:r>
      <w:r w:rsidR="00252589">
        <w:t xml:space="preserve">One of the priority areas identified in the UNDP Support Framework for Development and Mine Action is </w:t>
      </w:r>
      <w:r w:rsidR="008F774F">
        <w:t>t</w:t>
      </w:r>
      <w:r w:rsidR="008F774F" w:rsidRPr="008F774F">
        <w:t xml:space="preserve">ranslating </w:t>
      </w:r>
      <w:r w:rsidR="008F774F">
        <w:t>m</w:t>
      </w:r>
      <w:r w:rsidR="008F774F" w:rsidRPr="008F774F">
        <w:t xml:space="preserve">ine </w:t>
      </w:r>
      <w:r w:rsidR="008F774F">
        <w:t>a</w:t>
      </w:r>
      <w:r w:rsidR="008F774F" w:rsidRPr="008F774F">
        <w:t>ction</w:t>
      </w:r>
      <w:r w:rsidR="003568B2" w:rsidRPr="00C63BC0">
        <w:t xml:space="preserve"> into sustainable development dividends such as food security, jobs and livelihoods</w:t>
      </w:r>
      <w:r w:rsidR="00252589">
        <w:t>.</w:t>
      </w:r>
      <w:r w:rsidR="00AF7944" w:rsidRPr="00833A68">
        <w:rPr>
          <w:sz w:val="24"/>
          <w:szCs w:val="24"/>
          <w:lang w:val="en"/>
        </w:rPr>
        <w:t xml:space="preserve">  </w:t>
      </w:r>
      <w:r w:rsidR="00AF7944" w:rsidRPr="00833A68">
        <w:rPr>
          <w:sz w:val="24"/>
          <w:szCs w:val="24"/>
          <w:lang w:val="en-US"/>
        </w:rPr>
        <w:t xml:space="preserve"> </w:t>
      </w:r>
    </w:p>
    <w:p w:rsidR="001B76E1" w:rsidRPr="001B76E1" w:rsidRDefault="008F774F" w:rsidP="001B76E1">
      <w:pPr>
        <w:pStyle w:val="SingleTxt"/>
        <w:numPr>
          <w:ilvl w:val="0"/>
          <w:numId w:val="25"/>
        </w:numPr>
        <w:tabs>
          <w:tab w:val="left" w:pos="90"/>
          <w:tab w:val="left" w:pos="630"/>
          <w:tab w:val="left" w:pos="1620"/>
        </w:tabs>
        <w:spacing w:line="240" w:lineRule="auto"/>
        <w:ind w:left="1260" w:right="1030" w:firstLine="0"/>
      </w:pPr>
      <w:r>
        <w:t>M</w:t>
      </w:r>
      <w:r w:rsidR="001B76E1" w:rsidRPr="001B76E1">
        <w:t>anagement t</w:t>
      </w:r>
      <w:r w:rsidR="001019A3">
        <w:t>akes</w:t>
      </w:r>
      <w:r w:rsidR="001B76E1" w:rsidRPr="001B76E1">
        <w:t xml:space="preserve"> note of </w:t>
      </w:r>
      <w:r w:rsidR="001019A3">
        <w:t xml:space="preserve">the </w:t>
      </w:r>
      <w:r w:rsidR="001B76E1" w:rsidRPr="001B76E1">
        <w:t xml:space="preserve">recommendation that </w:t>
      </w:r>
      <w:r w:rsidR="0057092A" w:rsidRPr="00C63BC0">
        <w:t>UNDP should reaffirm its strategic commitment to mine action support globally</w:t>
      </w:r>
      <w:r w:rsidR="00301A0E">
        <w:t>,</w:t>
      </w:r>
      <w:r w:rsidR="0057092A" w:rsidRPr="00C63BC0">
        <w:t xml:space="preserve"> and </w:t>
      </w:r>
      <w:r w:rsidR="00301A0E">
        <w:t xml:space="preserve">to </w:t>
      </w:r>
      <w:r w:rsidR="0057092A" w:rsidRPr="00C63BC0">
        <w:t xml:space="preserve">ensure that </w:t>
      </w:r>
      <w:r w:rsidR="00E7251E">
        <w:t>those</w:t>
      </w:r>
      <w:r w:rsidR="00E7251E" w:rsidRPr="00C63BC0">
        <w:t xml:space="preserve"> </w:t>
      </w:r>
      <w:r w:rsidR="0057092A" w:rsidRPr="00C63BC0">
        <w:t xml:space="preserve">countries with ongoing mine action programmes are fully supported at the headquarters and regional </w:t>
      </w:r>
      <w:r w:rsidR="0057092A" w:rsidRPr="008F774F">
        <w:t>level</w:t>
      </w:r>
      <w:r>
        <w:t>s</w:t>
      </w:r>
      <w:r w:rsidR="0057092A">
        <w:t>.</w:t>
      </w:r>
      <w:r w:rsidR="001B76E1" w:rsidRPr="001B76E1">
        <w:t xml:space="preserve"> </w:t>
      </w:r>
      <w:r w:rsidR="00891822">
        <w:t xml:space="preserve">In addition, UNDP </w:t>
      </w:r>
      <w:r w:rsidR="00E7251E">
        <w:t xml:space="preserve">has confirmed to programme countries and to its partners </w:t>
      </w:r>
      <w:r w:rsidR="00891822">
        <w:t xml:space="preserve">its </w:t>
      </w:r>
      <w:r w:rsidR="00E7251E">
        <w:t>re-</w:t>
      </w:r>
      <w:r w:rsidR="00891822">
        <w:t xml:space="preserve">engagement </w:t>
      </w:r>
      <w:r w:rsidR="00464184">
        <w:t xml:space="preserve">with countries </w:t>
      </w:r>
      <w:r w:rsidR="00891822">
        <w:t>on mine action</w:t>
      </w:r>
      <w:r w:rsidR="00464184">
        <w:t xml:space="preserve"> </w:t>
      </w:r>
      <w:r w:rsidR="00301A0E">
        <w:t xml:space="preserve">- </w:t>
      </w:r>
      <w:r w:rsidR="00464184">
        <w:t>upon request</w:t>
      </w:r>
      <w:r w:rsidR="002C2572">
        <w:t xml:space="preserve"> </w:t>
      </w:r>
      <w:r w:rsidR="00301A0E">
        <w:t xml:space="preserve">- </w:t>
      </w:r>
      <w:r w:rsidR="002C2572">
        <w:t xml:space="preserve">and </w:t>
      </w:r>
      <w:r w:rsidR="00891822">
        <w:t xml:space="preserve">where </w:t>
      </w:r>
      <w:r w:rsidR="0010035C">
        <w:t>its support contributes to the objectives of the Strategic Plan</w:t>
      </w:r>
      <w:r w:rsidR="002C2572">
        <w:t xml:space="preserve">. </w:t>
      </w:r>
      <w:r w:rsidR="00E7251E" w:rsidRPr="001B76E1">
        <w:t>Th</w:t>
      </w:r>
      <w:r w:rsidR="00E7251E">
        <w:t>is will also be communicated to</w:t>
      </w:r>
      <w:r w:rsidR="00E7251E" w:rsidRPr="001B76E1">
        <w:t xml:space="preserve"> </w:t>
      </w:r>
      <w:r w:rsidR="00BE5F62">
        <w:t xml:space="preserve">non-governmental organization and civil society organization partners </w:t>
      </w:r>
      <w:r w:rsidR="001B76E1" w:rsidRPr="001B76E1">
        <w:t xml:space="preserve">during </w:t>
      </w:r>
      <w:r w:rsidR="0010035C">
        <w:t xml:space="preserve">future meetings of </w:t>
      </w:r>
      <w:r w:rsidR="001B76E1" w:rsidRPr="001B76E1">
        <w:t>State Parties</w:t>
      </w:r>
      <w:r w:rsidR="009158C3" w:rsidRPr="00643F89">
        <w:t xml:space="preserve"> to the </w:t>
      </w:r>
      <w:r w:rsidR="00723074">
        <w:t>APMBC</w:t>
      </w:r>
      <w:r w:rsidR="00A500E7">
        <w:t xml:space="preserve"> </w:t>
      </w:r>
      <w:r w:rsidR="001B76E1" w:rsidRPr="001B76E1">
        <w:t>and</w:t>
      </w:r>
      <w:r w:rsidR="00EB5C0B">
        <w:t xml:space="preserve"> at</w:t>
      </w:r>
      <w:r w:rsidR="001B76E1" w:rsidRPr="001B76E1">
        <w:t xml:space="preserve"> the </w:t>
      </w:r>
      <w:r w:rsidR="00672645">
        <w:t xml:space="preserve">upcoming </w:t>
      </w:r>
      <w:r w:rsidR="00672645" w:rsidRPr="00D93D5B">
        <w:t>International Meeting of Mine Action National Programme Directors and U</w:t>
      </w:r>
      <w:r w:rsidR="00672645">
        <w:t xml:space="preserve">nited </w:t>
      </w:r>
      <w:r w:rsidR="00672645" w:rsidRPr="00D93D5B">
        <w:t>N</w:t>
      </w:r>
      <w:r w:rsidR="00672645">
        <w:t>ations</w:t>
      </w:r>
      <w:r w:rsidR="00672645" w:rsidRPr="00D93D5B">
        <w:t xml:space="preserve"> Advis</w:t>
      </w:r>
      <w:r w:rsidR="00672645">
        <w:t>e</w:t>
      </w:r>
      <w:r w:rsidR="00672645" w:rsidRPr="00D93D5B">
        <w:t>rs</w:t>
      </w:r>
      <w:r w:rsidR="00672645" w:rsidRPr="001B76E1">
        <w:t xml:space="preserve"> </w:t>
      </w:r>
      <w:r w:rsidR="00672645">
        <w:t>(</w:t>
      </w:r>
      <w:r w:rsidR="001B76E1" w:rsidRPr="001B76E1">
        <w:t>Geneva</w:t>
      </w:r>
      <w:r w:rsidR="00672645">
        <w:t>,</w:t>
      </w:r>
      <w:r w:rsidR="001B76E1" w:rsidRPr="001B76E1">
        <w:t xml:space="preserve"> 16 February 2016)</w:t>
      </w:r>
      <w:r w:rsidR="00EA037A">
        <w:t>.</w:t>
      </w:r>
      <w:r w:rsidR="00E7251E">
        <w:t xml:space="preserve"> </w:t>
      </w:r>
    </w:p>
    <w:p w:rsidR="005750CF" w:rsidRPr="006861F9" w:rsidRDefault="005750CF" w:rsidP="006861F9">
      <w:pPr>
        <w:pStyle w:val="ColorfulList-Accent11"/>
        <w:ind w:left="1260" w:right="1030" w:hanging="540"/>
        <w:rPr>
          <w:sz w:val="20"/>
          <w:szCs w:val="20"/>
        </w:rPr>
      </w:pPr>
    </w:p>
    <w:p w:rsidR="00F655D7" w:rsidRPr="006861F9" w:rsidRDefault="004D466D" w:rsidP="006861F9">
      <w:pPr>
        <w:pStyle w:val="SingleTxt"/>
        <w:tabs>
          <w:tab w:val="left" w:pos="1080"/>
          <w:tab w:val="left" w:pos="1620"/>
        </w:tabs>
        <w:ind w:left="1260" w:right="1030"/>
        <w:sectPr w:rsidR="00F655D7" w:rsidRPr="006861F9" w:rsidSect="00C75E86">
          <w:headerReference w:type="even" r:id="rId14"/>
          <w:headerReference w:type="default" r:id="rId15"/>
          <w:footerReference w:type="even" r:id="rId16"/>
          <w:footerReference w:type="default" r:id="rId17"/>
          <w:type w:val="continuous"/>
          <w:pgSz w:w="12240" w:h="15840" w:code="1"/>
          <w:pgMar w:top="1742" w:right="1021" w:bottom="1620" w:left="1021" w:header="576" w:footer="1037" w:gutter="0"/>
          <w:pgNumType w:start="1"/>
          <w:cols w:space="720"/>
          <w:noEndnote/>
          <w:titlePg/>
        </w:sectPr>
      </w:pPr>
      <w:r w:rsidRPr="006861F9">
        <w:rPr>
          <w:b/>
        </w:rPr>
        <w:tab/>
      </w:r>
    </w:p>
    <w:p w:rsidR="00E14541" w:rsidRDefault="00F655D7" w:rsidP="00823AC6">
      <w:pPr>
        <w:pStyle w:val="HCh"/>
        <w:spacing w:after="120"/>
        <w:ind w:left="-900" w:right="-579" w:firstLine="90"/>
        <w:jc w:val="both"/>
        <w:rPr>
          <w:sz w:val="26"/>
          <w:szCs w:val="26"/>
        </w:rPr>
      </w:pPr>
      <w:r w:rsidRPr="00EF56FA">
        <w:rPr>
          <w:sz w:val="26"/>
          <w:szCs w:val="26"/>
        </w:rPr>
        <w:lastRenderedPageBreak/>
        <w:t>Annex</w:t>
      </w:r>
      <w:r w:rsidR="00672645">
        <w:rPr>
          <w:sz w:val="26"/>
          <w:szCs w:val="26"/>
        </w:rPr>
        <w:t xml:space="preserve">. </w:t>
      </w:r>
      <w:r w:rsidR="007F1CFC" w:rsidRPr="007F1CFC">
        <w:rPr>
          <w:sz w:val="26"/>
          <w:szCs w:val="26"/>
        </w:rPr>
        <w:t xml:space="preserve">Key </w:t>
      </w:r>
      <w:r w:rsidR="00B96A9F">
        <w:rPr>
          <w:sz w:val="26"/>
          <w:szCs w:val="26"/>
        </w:rPr>
        <w:t xml:space="preserve">evaluation </w:t>
      </w:r>
      <w:r w:rsidR="00672645">
        <w:rPr>
          <w:sz w:val="26"/>
          <w:szCs w:val="26"/>
        </w:rPr>
        <w:t>r</w:t>
      </w:r>
      <w:r w:rsidR="00672645" w:rsidRPr="007F1CFC">
        <w:rPr>
          <w:sz w:val="26"/>
          <w:szCs w:val="26"/>
        </w:rPr>
        <w:t xml:space="preserve">ecommendations </w:t>
      </w:r>
      <w:r w:rsidR="007F1CFC" w:rsidRPr="007F1CFC">
        <w:rPr>
          <w:sz w:val="26"/>
          <w:szCs w:val="26"/>
        </w:rPr>
        <w:t xml:space="preserve">and </w:t>
      </w:r>
      <w:r w:rsidR="004615E9">
        <w:rPr>
          <w:sz w:val="26"/>
          <w:szCs w:val="26"/>
        </w:rPr>
        <w:t xml:space="preserve">UNDP </w:t>
      </w:r>
      <w:r w:rsidR="00672645">
        <w:rPr>
          <w:sz w:val="26"/>
          <w:szCs w:val="26"/>
        </w:rPr>
        <w:t>m</w:t>
      </w:r>
      <w:r w:rsidR="00672645" w:rsidRPr="007F1CFC">
        <w:rPr>
          <w:sz w:val="26"/>
          <w:szCs w:val="26"/>
        </w:rPr>
        <w:t xml:space="preserve">anagement </w:t>
      </w:r>
      <w:r w:rsidR="00672645">
        <w:rPr>
          <w:sz w:val="26"/>
          <w:szCs w:val="26"/>
        </w:rPr>
        <w:t>r</w:t>
      </w:r>
      <w:r w:rsidR="00672645" w:rsidRPr="007F1CFC">
        <w:rPr>
          <w:sz w:val="26"/>
          <w:szCs w:val="26"/>
        </w:rPr>
        <w:t>esponse</w:t>
      </w:r>
    </w:p>
    <w:tbl>
      <w:tblPr>
        <w:tblW w:w="144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3"/>
        <w:gridCol w:w="810"/>
        <w:gridCol w:w="636"/>
        <w:gridCol w:w="1164"/>
        <w:gridCol w:w="90"/>
        <w:gridCol w:w="232"/>
        <w:gridCol w:w="1748"/>
        <w:gridCol w:w="90"/>
        <w:gridCol w:w="607"/>
        <w:gridCol w:w="653"/>
        <w:gridCol w:w="270"/>
        <w:gridCol w:w="297"/>
        <w:gridCol w:w="1053"/>
        <w:gridCol w:w="67"/>
      </w:tblGrid>
      <w:tr w:rsidR="00F20A98" w:rsidRPr="00F443B3" w:rsidTr="00D5696B">
        <w:trPr>
          <w:gridAfter w:val="1"/>
          <w:wAfter w:w="67" w:type="dxa"/>
        </w:trPr>
        <w:tc>
          <w:tcPr>
            <w:tcW w:w="14423" w:type="dxa"/>
            <w:gridSpan w:val="13"/>
            <w:tcBorders>
              <w:bottom w:val="single" w:sz="4" w:space="0" w:color="auto"/>
            </w:tcBorders>
            <w:shd w:val="clear" w:color="auto" w:fill="E6E6E6"/>
          </w:tcPr>
          <w:p w:rsidR="00F20A98" w:rsidRPr="00F443B3" w:rsidRDefault="00B96A9F" w:rsidP="0071676E">
            <w:pPr>
              <w:pStyle w:val="normal2"/>
              <w:numPr>
                <w:ilvl w:val="0"/>
                <w:numId w:val="0"/>
              </w:numPr>
              <w:spacing w:before="0"/>
            </w:pPr>
            <w:r>
              <w:rPr>
                <w:b/>
                <w:u w:val="single"/>
              </w:rPr>
              <w:t>R</w:t>
            </w:r>
            <w:r w:rsidR="00F20A98" w:rsidRPr="00F443B3">
              <w:rPr>
                <w:b/>
                <w:u w:val="single"/>
              </w:rPr>
              <w:t>ecommendation 1</w:t>
            </w:r>
            <w:r w:rsidR="00672645">
              <w:rPr>
                <w:b/>
              </w:rPr>
              <w:t>.</w:t>
            </w:r>
            <w:r w:rsidR="00F20A98" w:rsidRPr="00F443B3">
              <w:rPr>
                <w:b/>
              </w:rPr>
              <w:t xml:space="preserve"> UNDP should reaffirm its strategic commitment to mine action support globally and ensure that the dozen countries with ongoing mine action programmes are fully supported at the headquarters and regional level</w:t>
            </w:r>
            <w:r>
              <w:rPr>
                <w:b/>
              </w:rPr>
              <w:t>s</w:t>
            </w:r>
            <w:r w:rsidR="00F20A98" w:rsidRPr="00F443B3">
              <w:t xml:space="preserve">. </w:t>
            </w:r>
          </w:p>
          <w:p w:rsidR="00F20A98" w:rsidRPr="00F443B3" w:rsidRDefault="00F20A98" w:rsidP="0071676E">
            <w:pPr>
              <w:tabs>
                <w:tab w:val="left" w:pos="2880"/>
              </w:tabs>
              <w:rPr>
                <w:b/>
                <w:sz w:val="20"/>
                <w:szCs w:val="20"/>
              </w:rPr>
            </w:pPr>
          </w:p>
        </w:tc>
      </w:tr>
      <w:tr w:rsidR="00F20A98" w:rsidRPr="00F443B3" w:rsidTr="00D5696B">
        <w:trPr>
          <w:gridAfter w:val="1"/>
          <w:wAfter w:w="67" w:type="dxa"/>
        </w:trPr>
        <w:tc>
          <w:tcPr>
            <w:tcW w:w="14423" w:type="dxa"/>
            <w:gridSpan w:val="13"/>
            <w:shd w:val="clear" w:color="auto" w:fill="F3F3F3"/>
          </w:tcPr>
          <w:p w:rsidR="00F20A98" w:rsidRPr="00F443B3" w:rsidRDefault="00F20A98" w:rsidP="0071676E">
            <w:pPr>
              <w:tabs>
                <w:tab w:val="left" w:pos="2880"/>
              </w:tabs>
              <w:rPr>
                <w:b/>
                <w:sz w:val="20"/>
                <w:szCs w:val="20"/>
              </w:rPr>
            </w:pPr>
            <w:r w:rsidRPr="00F443B3">
              <w:rPr>
                <w:b/>
                <w:sz w:val="20"/>
                <w:szCs w:val="20"/>
              </w:rPr>
              <w:t>Management response</w:t>
            </w:r>
          </w:p>
          <w:p w:rsidR="00D254B0" w:rsidRPr="00F443B3" w:rsidRDefault="00F20A98" w:rsidP="00694C0E">
            <w:pPr>
              <w:pStyle w:val="normal2"/>
              <w:numPr>
                <w:ilvl w:val="0"/>
                <w:numId w:val="0"/>
              </w:numPr>
              <w:spacing w:before="0"/>
            </w:pPr>
            <w:r w:rsidRPr="00F443B3">
              <w:t xml:space="preserve">UNDP management agrees that UNDP should support </w:t>
            </w:r>
            <w:r w:rsidR="00B96A9F">
              <w:t>m</w:t>
            </w:r>
            <w:r w:rsidR="00B96A9F" w:rsidRPr="00F443B3">
              <w:t xml:space="preserve">ine </w:t>
            </w:r>
            <w:r w:rsidR="00B96A9F">
              <w:t>a</w:t>
            </w:r>
            <w:r w:rsidR="00B96A9F" w:rsidRPr="00F443B3">
              <w:t xml:space="preserve">ction </w:t>
            </w:r>
            <w:r w:rsidRPr="00F443B3">
              <w:t>over the long</w:t>
            </w:r>
            <w:r w:rsidR="00B96A9F">
              <w:t xml:space="preserve"> </w:t>
            </w:r>
            <w:r w:rsidRPr="00F443B3">
              <w:t xml:space="preserve">term, </w:t>
            </w:r>
            <w:r w:rsidR="00B96A9F">
              <w:t>both</w:t>
            </w:r>
            <w:r w:rsidRPr="00F443B3">
              <w:t xml:space="preserve"> to comply with obligations created by the Anti-Personnel </w:t>
            </w:r>
            <w:r w:rsidR="00B96A9F" w:rsidRPr="00F443B3">
              <w:t>Mine</w:t>
            </w:r>
            <w:r w:rsidR="00B96A9F">
              <w:t>-</w:t>
            </w:r>
            <w:r w:rsidRPr="00F443B3">
              <w:t xml:space="preserve">Ban Convention and as part of its long-standing post-conflict </w:t>
            </w:r>
            <w:r w:rsidR="00F60FE2">
              <w:t>recovery</w:t>
            </w:r>
            <w:r w:rsidR="00F60FE2" w:rsidRPr="00F443B3">
              <w:t xml:space="preserve"> </w:t>
            </w:r>
            <w:r w:rsidRPr="00F443B3">
              <w:t xml:space="preserve">support to national </w:t>
            </w:r>
            <w:r w:rsidR="00B96A9F">
              <w:t>G</w:t>
            </w:r>
            <w:r w:rsidR="00B96A9F" w:rsidRPr="00F443B3">
              <w:t>overnments</w:t>
            </w:r>
            <w:r w:rsidRPr="00F443B3">
              <w:t xml:space="preserve">. UNDP management will also: </w:t>
            </w:r>
            <w:r w:rsidR="00B96A9F">
              <w:t>(a</w:t>
            </w:r>
            <w:r w:rsidRPr="00F443B3">
              <w:t xml:space="preserve">) ensure that mine action technical </w:t>
            </w:r>
            <w:r w:rsidR="00B96A9F" w:rsidRPr="00F443B3">
              <w:t>advis</w:t>
            </w:r>
            <w:r w:rsidR="00B96A9F">
              <w:t>e</w:t>
            </w:r>
            <w:r w:rsidR="00B96A9F" w:rsidRPr="00F443B3">
              <w:t xml:space="preserve">rs </w:t>
            </w:r>
            <w:r w:rsidRPr="00F443B3">
              <w:t xml:space="preserve">have requisite management and </w:t>
            </w:r>
            <w:r w:rsidR="00B96A9F" w:rsidRPr="00F443B3">
              <w:t>capacity</w:t>
            </w:r>
            <w:r w:rsidR="00B96A9F">
              <w:t>-</w:t>
            </w:r>
            <w:r w:rsidRPr="00F443B3">
              <w:t xml:space="preserve">building  skills; </w:t>
            </w:r>
            <w:r w:rsidR="00B96A9F">
              <w:t>(b</w:t>
            </w:r>
            <w:r w:rsidRPr="00F443B3">
              <w:t xml:space="preserve">) ensure that UNDP is providing practical guidance to countries on transitioning to national implementation and enhancing development support in demined areas; and </w:t>
            </w:r>
            <w:r w:rsidR="00B96A9F">
              <w:t>(c</w:t>
            </w:r>
            <w:r w:rsidRPr="00F443B3">
              <w:t xml:space="preserve">) maintain </w:t>
            </w:r>
            <w:r w:rsidR="00B96A9F" w:rsidRPr="00F443B3">
              <w:t>high</w:t>
            </w:r>
            <w:r w:rsidR="00B96A9F">
              <w:t>-</w:t>
            </w:r>
            <w:r w:rsidRPr="00F443B3">
              <w:t>level headquarter engagement with the Inter</w:t>
            </w:r>
            <w:r w:rsidR="00484266">
              <w:t>-A</w:t>
            </w:r>
            <w:r w:rsidRPr="00F443B3">
              <w:t>gency Coordinati</w:t>
            </w:r>
            <w:r w:rsidR="00484266">
              <w:t>on</w:t>
            </w:r>
            <w:r w:rsidRPr="00F443B3">
              <w:t xml:space="preserve"> Group on Mine Action</w:t>
            </w:r>
            <w:r w:rsidR="00B73911">
              <w:t xml:space="preserve"> (IACG-ME)</w:t>
            </w:r>
            <w:r w:rsidRPr="00F443B3">
              <w:t xml:space="preserve">, </w:t>
            </w:r>
            <w:r w:rsidR="00484266">
              <w:t xml:space="preserve">the </w:t>
            </w:r>
            <w:r w:rsidRPr="00F443B3">
              <w:t xml:space="preserve">Mine Action Support Group  and the </w:t>
            </w:r>
            <w:r w:rsidR="00484266">
              <w:t>a</w:t>
            </w:r>
            <w:r w:rsidR="00484266" w:rsidRPr="00F443B3">
              <w:t xml:space="preserve">nnual </w:t>
            </w:r>
            <w:r w:rsidR="00484266">
              <w:t>m</w:t>
            </w:r>
            <w:r w:rsidRPr="00F443B3">
              <w:t xml:space="preserve">eeting of </w:t>
            </w:r>
            <w:r w:rsidR="00484266" w:rsidRPr="00D93D5B">
              <w:t>Mine Action National Programme Directors and U</w:t>
            </w:r>
            <w:r w:rsidR="00484266">
              <w:t xml:space="preserve">nited </w:t>
            </w:r>
            <w:r w:rsidR="00484266" w:rsidRPr="00D93D5B">
              <w:t>N</w:t>
            </w:r>
            <w:r w:rsidR="00484266">
              <w:t>ations</w:t>
            </w:r>
            <w:r w:rsidR="00484266" w:rsidRPr="00D93D5B">
              <w:t xml:space="preserve"> Advis</w:t>
            </w:r>
            <w:r w:rsidR="00484266">
              <w:t>e</w:t>
            </w:r>
            <w:r w:rsidR="00484266" w:rsidRPr="00D93D5B">
              <w:t>rs</w:t>
            </w:r>
            <w:r w:rsidRPr="00F443B3">
              <w:t>.</w:t>
            </w:r>
            <w:r>
              <w:t xml:space="preserve">  </w:t>
            </w:r>
          </w:p>
        </w:tc>
      </w:tr>
      <w:tr w:rsidR="00F20A98" w:rsidRPr="00F443B3" w:rsidTr="00D5696B">
        <w:trPr>
          <w:gridAfter w:val="1"/>
          <w:wAfter w:w="67" w:type="dxa"/>
        </w:trPr>
        <w:tc>
          <w:tcPr>
            <w:tcW w:w="6773" w:type="dxa"/>
            <w:vMerge w:val="restart"/>
            <w:shd w:val="clear" w:color="auto" w:fill="F3F3F3"/>
          </w:tcPr>
          <w:p w:rsidR="00F20A98" w:rsidRPr="00F443B3" w:rsidRDefault="00F20A98" w:rsidP="00D5696B">
            <w:pPr>
              <w:tabs>
                <w:tab w:val="left" w:pos="2880"/>
              </w:tabs>
              <w:jc w:val="center"/>
              <w:rPr>
                <w:b/>
                <w:sz w:val="20"/>
                <w:szCs w:val="20"/>
              </w:rPr>
            </w:pPr>
            <w:r w:rsidRPr="00F443B3">
              <w:rPr>
                <w:b/>
                <w:sz w:val="20"/>
                <w:szCs w:val="20"/>
              </w:rPr>
              <w:t>Key action(s)</w:t>
            </w:r>
          </w:p>
        </w:tc>
        <w:tc>
          <w:tcPr>
            <w:tcW w:w="2610" w:type="dxa"/>
            <w:gridSpan w:val="3"/>
            <w:vMerge w:val="restart"/>
            <w:shd w:val="clear" w:color="auto" w:fill="F3F3F3"/>
          </w:tcPr>
          <w:p w:rsidR="00F20A98" w:rsidRPr="00F443B3" w:rsidRDefault="00F20A98" w:rsidP="00D5696B">
            <w:pPr>
              <w:tabs>
                <w:tab w:val="left" w:pos="2880"/>
              </w:tabs>
              <w:jc w:val="center"/>
              <w:rPr>
                <w:b/>
                <w:sz w:val="20"/>
                <w:szCs w:val="20"/>
              </w:rPr>
            </w:pPr>
            <w:r w:rsidRPr="00F443B3">
              <w:rPr>
                <w:b/>
                <w:sz w:val="20"/>
                <w:szCs w:val="20"/>
              </w:rPr>
              <w:t>Time frame</w:t>
            </w:r>
          </w:p>
        </w:tc>
        <w:tc>
          <w:tcPr>
            <w:tcW w:w="2070" w:type="dxa"/>
            <w:gridSpan w:val="3"/>
            <w:vMerge w:val="restart"/>
            <w:shd w:val="clear" w:color="auto" w:fill="F3F3F3"/>
          </w:tcPr>
          <w:p w:rsidR="00F20A98" w:rsidRPr="00F443B3" w:rsidRDefault="00F20A98" w:rsidP="00D5696B">
            <w:pPr>
              <w:tabs>
                <w:tab w:val="left" w:pos="2880"/>
              </w:tabs>
              <w:jc w:val="center"/>
              <w:rPr>
                <w:b/>
                <w:sz w:val="20"/>
                <w:szCs w:val="20"/>
              </w:rPr>
            </w:pPr>
            <w:r w:rsidRPr="00F443B3">
              <w:rPr>
                <w:b/>
                <w:sz w:val="20"/>
                <w:szCs w:val="20"/>
              </w:rPr>
              <w:t>Responsible unit(s)</w:t>
            </w:r>
          </w:p>
        </w:tc>
        <w:tc>
          <w:tcPr>
            <w:tcW w:w="2970" w:type="dxa"/>
            <w:gridSpan w:val="6"/>
            <w:shd w:val="clear" w:color="auto" w:fill="F3F3F3"/>
          </w:tcPr>
          <w:p w:rsidR="00F20A98" w:rsidRPr="00F443B3" w:rsidRDefault="00F20A98" w:rsidP="00D5696B">
            <w:pPr>
              <w:tabs>
                <w:tab w:val="left" w:pos="2880"/>
              </w:tabs>
              <w:jc w:val="center"/>
              <w:rPr>
                <w:b/>
                <w:sz w:val="20"/>
                <w:szCs w:val="20"/>
              </w:rPr>
            </w:pPr>
            <w:r w:rsidRPr="00F443B3">
              <w:rPr>
                <w:b/>
                <w:sz w:val="20"/>
                <w:szCs w:val="20"/>
              </w:rPr>
              <w:t>Tracking*</w:t>
            </w:r>
          </w:p>
        </w:tc>
      </w:tr>
      <w:tr w:rsidR="00F20A98" w:rsidRPr="00F443B3" w:rsidTr="00D5696B">
        <w:trPr>
          <w:gridAfter w:val="1"/>
          <w:wAfter w:w="67" w:type="dxa"/>
        </w:trPr>
        <w:tc>
          <w:tcPr>
            <w:tcW w:w="6773" w:type="dxa"/>
            <w:vMerge/>
            <w:shd w:val="clear" w:color="auto" w:fill="auto"/>
          </w:tcPr>
          <w:p w:rsidR="00F20A98" w:rsidRPr="00F443B3" w:rsidRDefault="00F20A98" w:rsidP="0071676E">
            <w:pPr>
              <w:tabs>
                <w:tab w:val="left" w:pos="2880"/>
              </w:tabs>
              <w:rPr>
                <w:b/>
                <w:sz w:val="20"/>
                <w:szCs w:val="20"/>
              </w:rPr>
            </w:pPr>
          </w:p>
        </w:tc>
        <w:tc>
          <w:tcPr>
            <w:tcW w:w="2610" w:type="dxa"/>
            <w:gridSpan w:val="3"/>
            <w:vMerge/>
            <w:shd w:val="clear" w:color="auto" w:fill="auto"/>
          </w:tcPr>
          <w:p w:rsidR="00F20A98" w:rsidRPr="00F443B3" w:rsidRDefault="00F20A98" w:rsidP="0071676E">
            <w:pPr>
              <w:tabs>
                <w:tab w:val="left" w:pos="2880"/>
              </w:tabs>
              <w:rPr>
                <w:b/>
                <w:sz w:val="20"/>
                <w:szCs w:val="20"/>
              </w:rPr>
            </w:pPr>
          </w:p>
        </w:tc>
        <w:tc>
          <w:tcPr>
            <w:tcW w:w="2070" w:type="dxa"/>
            <w:gridSpan w:val="3"/>
            <w:vMerge/>
            <w:shd w:val="clear" w:color="auto" w:fill="auto"/>
          </w:tcPr>
          <w:p w:rsidR="00F20A98" w:rsidRPr="00F443B3" w:rsidRDefault="00F20A98" w:rsidP="0071676E">
            <w:pPr>
              <w:tabs>
                <w:tab w:val="left" w:pos="2880"/>
              </w:tabs>
              <w:rPr>
                <w:b/>
                <w:sz w:val="20"/>
                <w:szCs w:val="20"/>
              </w:rPr>
            </w:pPr>
          </w:p>
        </w:tc>
        <w:tc>
          <w:tcPr>
            <w:tcW w:w="1350" w:type="dxa"/>
            <w:gridSpan w:val="3"/>
            <w:shd w:val="clear" w:color="auto" w:fill="auto"/>
          </w:tcPr>
          <w:p w:rsidR="00F20A98" w:rsidRPr="00F443B3" w:rsidRDefault="00F20A98" w:rsidP="0071676E">
            <w:pPr>
              <w:tabs>
                <w:tab w:val="left" w:pos="2880"/>
              </w:tabs>
              <w:rPr>
                <w:b/>
                <w:sz w:val="20"/>
                <w:szCs w:val="20"/>
              </w:rPr>
            </w:pPr>
            <w:r w:rsidRPr="00F443B3">
              <w:rPr>
                <w:b/>
                <w:sz w:val="20"/>
                <w:szCs w:val="20"/>
              </w:rPr>
              <w:t>Status</w:t>
            </w:r>
          </w:p>
        </w:tc>
        <w:tc>
          <w:tcPr>
            <w:tcW w:w="1620" w:type="dxa"/>
            <w:gridSpan w:val="3"/>
            <w:shd w:val="clear" w:color="auto" w:fill="auto"/>
          </w:tcPr>
          <w:p w:rsidR="00F20A98" w:rsidRPr="00F443B3" w:rsidRDefault="00F20A98" w:rsidP="0071676E">
            <w:pPr>
              <w:tabs>
                <w:tab w:val="left" w:pos="2880"/>
              </w:tabs>
              <w:rPr>
                <w:b/>
                <w:sz w:val="20"/>
                <w:szCs w:val="20"/>
              </w:rPr>
            </w:pPr>
            <w:r w:rsidRPr="00F443B3">
              <w:rPr>
                <w:b/>
                <w:sz w:val="20"/>
                <w:szCs w:val="20"/>
              </w:rPr>
              <w:t>Comments</w:t>
            </w:r>
          </w:p>
        </w:tc>
      </w:tr>
      <w:tr w:rsidR="00F20A98" w:rsidRPr="00F443B3" w:rsidTr="00D5696B">
        <w:trPr>
          <w:gridAfter w:val="1"/>
          <w:wAfter w:w="67" w:type="dxa"/>
        </w:trPr>
        <w:tc>
          <w:tcPr>
            <w:tcW w:w="6773" w:type="dxa"/>
            <w:shd w:val="clear" w:color="auto" w:fill="auto"/>
          </w:tcPr>
          <w:p w:rsidR="00F20A98" w:rsidRPr="00F443B3" w:rsidRDefault="00F20A98" w:rsidP="0071676E">
            <w:pPr>
              <w:tabs>
                <w:tab w:val="left" w:pos="2880"/>
              </w:tabs>
              <w:rPr>
                <w:sz w:val="20"/>
                <w:szCs w:val="20"/>
              </w:rPr>
            </w:pPr>
            <w:r w:rsidRPr="00F443B3">
              <w:rPr>
                <w:sz w:val="20"/>
                <w:szCs w:val="20"/>
              </w:rPr>
              <w:t xml:space="preserve">1.1 Recruitment of key staff at </w:t>
            </w:r>
            <w:r w:rsidR="00484266">
              <w:rPr>
                <w:sz w:val="20"/>
                <w:szCs w:val="20"/>
              </w:rPr>
              <w:t>headquarters</w:t>
            </w:r>
            <w:r w:rsidR="00484266" w:rsidRPr="00F443B3">
              <w:rPr>
                <w:sz w:val="20"/>
                <w:szCs w:val="20"/>
              </w:rPr>
              <w:t xml:space="preserve"> </w:t>
            </w:r>
            <w:r w:rsidRPr="00F443B3">
              <w:rPr>
                <w:sz w:val="20"/>
                <w:szCs w:val="20"/>
              </w:rPr>
              <w:t>and regional level</w:t>
            </w:r>
            <w:r w:rsidR="00484266">
              <w:rPr>
                <w:sz w:val="20"/>
                <w:szCs w:val="20"/>
              </w:rPr>
              <w:t>s.</w:t>
            </w:r>
            <w:r w:rsidRPr="00F443B3">
              <w:rPr>
                <w:sz w:val="20"/>
                <w:szCs w:val="20"/>
              </w:rPr>
              <w:t xml:space="preserve"> </w:t>
            </w:r>
          </w:p>
        </w:tc>
        <w:tc>
          <w:tcPr>
            <w:tcW w:w="2610" w:type="dxa"/>
            <w:gridSpan w:val="3"/>
            <w:shd w:val="clear" w:color="auto" w:fill="auto"/>
          </w:tcPr>
          <w:p w:rsidR="00F20A98" w:rsidRPr="00F443B3" w:rsidRDefault="00F20A98" w:rsidP="0071676E">
            <w:pPr>
              <w:tabs>
                <w:tab w:val="left" w:pos="2880"/>
              </w:tabs>
              <w:rPr>
                <w:sz w:val="20"/>
                <w:szCs w:val="20"/>
              </w:rPr>
            </w:pPr>
            <w:r w:rsidRPr="00F443B3">
              <w:rPr>
                <w:sz w:val="20"/>
                <w:szCs w:val="20"/>
              </w:rPr>
              <w:t>By the end of December 2015</w:t>
            </w:r>
          </w:p>
        </w:tc>
        <w:tc>
          <w:tcPr>
            <w:tcW w:w="2070" w:type="dxa"/>
            <w:gridSpan w:val="3"/>
            <w:shd w:val="clear" w:color="auto" w:fill="auto"/>
          </w:tcPr>
          <w:p w:rsidR="00F20A98" w:rsidRPr="00F443B3" w:rsidRDefault="00F20A98" w:rsidP="0071676E">
            <w:pPr>
              <w:tabs>
                <w:tab w:val="left" w:pos="2880"/>
              </w:tabs>
              <w:rPr>
                <w:sz w:val="20"/>
                <w:szCs w:val="20"/>
              </w:rPr>
            </w:pPr>
            <w:r w:rsidRPr="00F443B3">
              <w:rPr>
                <w:sz w:val="20"/>
                <w:szCs w:val="20"/>
              </w:rPr>
              <w:t>Bureau for Policy and Programme Support (BPPS)</w:t>
            </w:r>
          </w:p>
        </w:tc>
        <w:tc>
          <w:tcPr>
            <w:tcW w:w="1350" w:type="dxa"/>
            <w:gridSpan w:val="3"/>
            <w:shd w:val="clear" w:color="auto" w:fill="auto"/>
          </w:tcPr>
          <w:p w:rsidR="00F20A98" w:rsidRPr="00F443B3" w:rsidRDefault="00F20A98" w:rsidP="0071676E">
            <w:pPr>
              <w:tabs>
                <w:tab w:val="left" w:pos="2880"/>
              </w:tabs>
              <w:rPr>
                <w:sz w:val="20"/>
                <w:szCs w:val="20"/>
              </w:rPr>
            </w:pPr>
          </w:p>
        </w:tc>
        <w:tc>
          <w:tcPr>
            <w:tcW w:w="1620" w:type="dxa"/>
            <w:gridSpan w:val="3"/>
            <w:shd w:val="clear" w:color="auto" w:fill="auto"/>
          </w:tcPr>
          <w:p w:rsidR="00F20A98" w:rsidRPr="00F443B3" w:rsidRDefault="00F20A98" w:rsidP="0071676E">
            <w:pPr>
              <w:tabs>
                <w:tab w:val="left" w:pos="2880"/>
              </w:tabs>
              <w:rPr>
                <w:sz w:val="20"/>
                <w:szCs w:val="20"/>
              </w:rPr>
            </w:pPr>
          </w:p>
        </w:tc>
      </w:tr>
      <w:tr w:rsidR="00F20A98" w:rsidRPr="00F443B3" w:rsidTr="00D5696B">
        <w:trPr>
          <w:gridAfter w:val="1"/>
          <w:wAfter w:w="67" w:type="dxa"/>
        </w:trPr>
        <w:tc>
          <w:tcPr>
            <w:tcW w:w="6773" w:type="dxa"/>
            <w:shd w:val="clear" w:color="auto" w:fill="auto"/>
          </w:tcPr>
          <w:p w:rsidR="00F20A98" w:rsidRPr="00F443B3" w:rsidRDefault="00F20A98" w:rsidP="00B73911">
            <w:pPr>
              <w:tabs>
                <w:tab w:val="left" w:pos="2880"/>
              </w:tabs>
              <w:rPr>
                <w:sz w:val="20"/>
                <w:szCs w:val="20"/>
              </w:rPr>
            </w:pPr>
            <w:r w:rsidRPr="00F443B3">
              <w:rPr>
                <w:sz w:val="20"/>
                <w:szCs w:val="20"/>
              </w:rPr>
              <w:t xml:space="preserve">1.2 Training of national staff and chief technical </w:t>
            </w:r>
            <w:r w:rsidR="00484266" w:rsidRPr="00F443B3">
              <w:rPr>
                <w:sz w:val="20"/>
                <w:szCs w:val="20"/>
              </w:rPr>
              <w:t>advis</w:t>
            </w:r>
            <w:r w:rsidR="00484266">
              <w:rPr>
                <w:sz w:val="20"/>
                <w:szCs w:val="20"/>
              </w:rPr>
              <w:t>e</w:t>
            </w:r>
            <w:r w:rsidR="00484266" w:rsidRPr="00F443B3">
              <w:rPr>
                <w:sz w:val="20"/>
                <w:szCs w:val="20"/>
              </w:rPr>
              <w:t xml:space="preserve">rs </w:t>
            </w:r>
            <w:r w:rsidRPr="00F443B3">
              <w:rPr>
                <w:sz w:val="20"/>
                <w:szCs w:val="20"/>
              </w:rPr>
              <w:t xml:space="preserve">for mine action on </w:t>
            </w:r>
            <w:r w:rsidR="00484266">
              <w:rPr>
                <w:sz w:val="20"/>
                <w:szCs w:val="20"/>
              </w:rPr>
              <w:t>d</w:t>
            </w:r>
            <w:r w:rsidR="00484266" w:rsidRPr="00F443B3">
              <w:rPr>
                <w:sz w:val="20"/>
                <w:szCs w:val="20"/>
              </w:rPr>
              <w:t xml:space="preserve">evelopment </w:t>
            </w:r>
            <w:r w:rsidRPr="00F443B3">
              <w:rPr>
                <w:sz w:val="20"/>
                <w:szCs w:val="20"/>
              </w:rPr>
              <w:t xml:space="preserve">and </w:t>
            </w:r>
            <w:r w:rsidR="00484266">
              <w:rPr>
                <w:sz w:val="20"/>
                <w:szCs w:val="20"/>
              </w:rPr>
              <w:t>m</w:t>
            </w:r>
            <w:r w:rsidR="00484266" w:rsidRPr="00F443B3">
              <w:rPr>
                <w:sz w:val="20"/>
                <w:szCs w:val="20"/>
              </w:rPr>
              <w:t xml:space="preserve">ine </w:t>
            </w:r>
            <w:r w:rsidR="00484266">
              <w:rPr>
                <w:sz w:val="20"/>
                <w:szCs w:val="20"/>
              </w:rPr>
              <w:t>a</w:t>
            </w:r>
            <w:r w:rsidR="00484266" w:rsidRPr="00F443B3">
              <w:rPr>
                <w:sz w:val="20"/>
                <w:szCs w:val="20"/>
              </w:rPr>
              <w:t>ction</w:t>
            </w:r>
            <w:r w:rsidRPr="00F443B3">
              <w:rPr>
                <w:sz w:val="20"/>
                <w:szCs w:val="20"/>
              </w:rPr>
              <w:t xml:space="preserve"> using the guidance provided in the UNDP Support Framework for Development and Mine Action</w:t>
            </w:r>
            <w:r w:rsidR="00B73911">
              <w:rPr>
                <w:sz w:val="20"/>
                <w:szCs w:val="20"/>
              </w:rPr>
              <w:t>.</w:t>
            </w:r>
            <w:r w:rsidR="00B73911" w:rsidRPr="00F443B3">
              <w:rPr>
                <w:sz w:val="20"/>
                <w:szCs w:val="20"/>
              </w:rPr>
              <w:t xml:space="preserve"> </w:t>
            </w:r>
          </w:p>
        </w:tc>
        <w:tc>
          <w:tcPr>
            <w:tcW w:w="2610" w:type="dxa"/>
            <w:gridSpan w:val="3"/>
            <w:shd w:val="clear" w:color="auto" w:fill="auto"/>
          </w:tcPr>
          <w:p w:rsidR="00F20A98" w:rsidRPr="00F443B3" w:rsidRDefault="0023638A" w:rsidP="00DE5407">
            <w:pPr>
              <w:tabs>
                <w:tab w:val="left" w:pos="2880"/>
              </w:tabs>
              <w:rPr>
                <w:sz w:val="20"/>
                <w:szCs w:val="20"/>
              </w:rPr>
            </w:pPr>
            <w:r w:rsidRPr="004074EE">
              <w:rPr>
                <w:sz w:val="20"/>
                <w:szCs w:val="20"/>
              </w:rPr>
              <w:t>In the course of 2016-2017</w:t>
            </w:r>
          </w:p>
        </w:tc>
        <w:tc>
          <w:tcPr>
            <w:tcW w:w="2070" w:type="dxa"/>
            <w:gridSpan w:val="3"/>
            <w:shd w:val="clear" w:color="auto" w:fill="auto"/>
          </w:tcPr>
          <w:p w:rsidR="00F20A98" w:rsidRPr="00F443B3" w:rsidRDefault="00F20A98" w:rsidP="0071676E">
            <w:pPr>
              <w:tabs>
                <w:tab w:val="left" w:pos="2880"/>
              </w:tabs>
              <w:rPr>
                <w:sz w:val="20"/>
                <w:szCs w:val="20"/>
              </w:rPr>
            </w:pPr>
            <w:r w:rsidRPr="00F443B3">
              <w:rPr>
                <w:sz w:val="20"/>
                <w:szCs w:val="20"/>
              </w:rPr>
              <w:t>BPPS</w:t>
            </w:r>
          </w:p>
        </w:tc>
        <w:tc>
          <w:tcPr>
            <w:tcW w:w="1350" w:type="dxa"/>
            <w:gridSpan w:val="3"/>
            <w:shd w:val="clear" w:color="auto" w:fill="auto"/>
          </w:tcPr>
          <w:p w:rsidR="00F20A98" w:rsidRPr="00F443B3" w:rsidRDefault="00F20A98" w:rsidP="0071676E">
            <w:pPr>
              <w:tabs>
                <w:tab w:val="left" w:pos="2880"/>
              </w:tabs>
              <w:rPr>
                <w:sz w:val="20"/>
                <w:szCs w:val="20"/>
              </w:rPr>
            </w:pPr>
          </w:p>
        </w:tc>
        <w:tc>
          <w:tcPr>
            <w:tcW w:w="1620" w:type="dxa"/>
            <w:gridSpan w:val="3"/>
            <w:shd w:val="clear" w:color="auto" w:fill="auto"/>
          </w:tcPr>
          <w:p w:rsidR="00F20A98" w:rsidRPr="00F443B3" w:rsidRDefault="00F20A98" w:rsidP="0071676E">
            <w:pPr>
              <w:tabs>
                <w:tab w:val="left" w:pos="2880"/>
              </w:tabs>
              <w:rPr>
                <w:sz w:val="20"/>
                <w:szCs w:val="20"/>
              </w:rPr>
            </w:pPr>
          </w:p>
        </w:tc>
      </w:tr>
      <w:tr w:rsidR="00F20A98" w:rsidRPr="00F443B3" w:rsidTr="00D5696B">
        <w:trPr>
          <w:gridAfter w:val="1"/>
          <w:wAfter w:w="67" w:type="dxa"/>
        </w:trPr>
        <w:tc>
          <w:tcPr>
            <w:tcW w:w="6773" w:type="dxa"/>
            <w:shd w:val="clear" w:color="auto" w:fill="auto"/>
          </w:tcPr>
          <w:p w:rsidR="00F20A98" w:rsidRPr="00F443B3" w:rsidRDefault="00F20A98" w:rsidP="00B73911">
            <w:pPr>
              <w:tabs>
                <w:tab w:val="left" w:pos="2880"/>
              </w:tabs>
              <w:rPr>
                <w:sz w:val="20"/>
                <w:szCs w:val="20"/>
              </w:rPr>
            </w:pPr>
            <w:r w:rsidRPr="00F443B3">
              <w:rPr>
                <w:sz w:val="20"/>
                <w:szCs w:val="20"/>
              </w:rPr>
              <w:t xml:space="preserve">1.3 Participation in </w:t>
            </w:r>
            <w:r w:rsidR="00570335">
              <w:rPr>
                <w:sz w:val="20"/>
                <w:szCs w:val="20"/>
              </w:rPr>
              <w:t>the: (a) IACG-ME;</w:t>
            </w:r>
            <w:r w:rsidR="00570335" w:rsidRPr="00F443B3">
              <w:rPr>
                <w:sz w:val="20"/>
                <w:szCs w:val="20"/>
              </w:rPr>
              <w:t xml:space="preserve"> </w:t>
            </w:r>
            <w:r w:rsidR="00570335">
              <w:rPr>
                <w:sz w:val="20"/>
                <w:szCs w:val="20"/>
              </w:rPr>
              <w:t>(b)</w:t>
            </w:r>
            <w:r w:rsidRPr="00F443B3">
              <w:rPr>
                <w:sz w:val="20"/>
                <w:szCs w:val="20"/>
              </w:rPr>
              <w:t xml:space="preserve"> Mine Action Support Group</w:t>
            </w:r>
            <w:r w:rsidR="00570335">
              <w:rPr>
                <w:sz w:val="20"/>
                <w:szCs w:val="20"/>
              </w:rPr>
              <w:t>;</w:t>
            </w:r>
            <w:r w:rsidRPr="00F443B3">
              <w:rPr>
                <w:sz w:val="20"/>
                <w:szCs w:val="20"/>
              </w:rPr>
              <w:t xml:space="preserve"> and </w:t>
            </w:r>
            <w:r w:rsidR="00570335">
              <w:rPr>
                <w:sz w:val="20"/>
                <w:szCs w:val="20"/>
              </w:rPr>
              <w:t xml:space="preserve">(c) </w:t>
            </w:r>
            <w:r w:rsidRPr="00F443B3">
              <w:rPr>
                <w:sz w:val="20"/>
                <w:szCs w:val="20"/>
              </w:rPr>
              <w:t xml:space="preserve">the </w:t>
            </w:r>
            <w:r w:rsidR="00484266">
              <w:rPr>
                <w:sz w:val="20"/>
                <w:szCs w:val="20"/>
              </w:rPr>
              <w:t>a</w:t>
            </w:r>
            <w:r w:rsidR="00484266" w:rsidRPr="00F443B3">
              <w:rPr>
                <w:sz w:val="20"/>
                <w:szCs w:val="20"/>
              </w:rPr>
              <w:t xml:space="preserve">nnual </w:t>
            </w:r>
            <w:r w:rsidR="00484266">
              <w:rPr>
                <w:sz w:val="20"/>
                <w:szCs w:val="20"/>
              </w:rPr>
              <w:t>m</w:t>
            </w:r>
            <w:r w:rsidR="00484266" w:rsidRPr="00F443B3">
              <w:rPr>
                <w:sz w:val="20"/>
                <w:szCs w:val="20"/>
              </w:rPr>
              <w:t xml:space="preserve">eeting </w:t>
            </w:r>
            <w:r w:rsidRPr="00F443B3">
              <w:rPr>
                <w:sz w:val="20"/>
                <w:szCs w:val="20"/>
              </w:rPr>
              <w:t xml:space="preserve">of </w:t>
            </w:r>
            <w:r w:rsidR="00484266">
              <w:rPr>
                <w:sz w:val="20"/>
                <w:szCs w:val="20"/>
              </w:rPr>
              <w:t>n</w:t>
            </w:r>
            <w:r w:rsidR="00484266" w:rsidRPr="00F443B3">
              <w:rPr>
                <w:sz w:val="20"/>
                <w:szCs w:val="20"/>
              </w:rPr>
              <w:t xml:space="preserve">ational </w:t>
            </w:r>
            <w:r w:rsidR="00484266">
              <w:rPr>
                <w:sz w:val="20"/>
                <w:szCs w:val="20"/>
              </w:rPr>
              <w:t>d</w:t>
            </w:r>
            <w:r w:rsidR="00484266" w:rsidRPr="00F443B3">
              <w:rPr>
                <w:sz w:val="20"/>
                <w:szCs w:val="20"/>
              </w:rPr>
              <w:t xml:space="preserve">irectors </w:t>
            </w:r>
            <w:r w:rsidRPr="00F443B3">
              <w:rPr>
                <w:sz w:val="20"/>
                <w:szCs w:val="20"/>
              </w:rPr>
              <w:t xml:space="preserve">and </w:t>
            </w:r>
            <w:r w:rsidR="00484266">
              <w:rPr>
                <w:sz w:val="20"/>
                <w:szCs w:val="20"/>
              </w:rPr>
              <w:t>United Nations a</w:t>
            </w:r>
            <w:r w:rsidR="00484266" w:rsidRPr="00F443B3">
              <w:rPr>
                <w:sz w:val="20"/>
                <w:szCs w:val="20"/>
              </w:rPr>
              <w:t>dvis</w:t>
            </w:r>
            <w:r w:rsidR="00484266">
              <w:rPr>
                <w:sz w:val="20"/>
                <w:szCs w:val="20"/>
              </w:rPr>
              <w:t>e</w:t>
            </w:r>
            <w:r w:rsidR="00484266" w:rsidRPr="00F443B3">
              <w:rPr>
                <w:sz w:val="20"/>
                <w:szCs w:val="20"/>
              </w:rPr>
              <w:t>rs</w:t>
            </w:r>
            <w:r w:rsidR="00B73911">
              <w:rPr>
                <w:sz w:val="20"/>
                <w:szCs w:val="20"/>
              </w:rPr>
              <w:t>.</w:t>
            </w:r>
            <w:r w:rsidR="00484266" w:rsidRPr="00F443B3">
              <w:rPr>
                <w:sz w:val="20"/>
                <w:szCs w:val="20"/>
              </w:rPr>
              <w:t xml:space="preserve"> </w:t>
            </w:r>
          </w:p>
        </w:tc>
        <w:tc>
          <w:tcPr>
            <w:tcW w:w="2610" w:type="dxa"/>
            <w:gridSpan w:val="3"/>
            <w:shd w:val="clear" w:color="auto" w:fill="auto"/>
          </w:tcPr>
          <w:p w:rsidR="00F20A98" w:rsidRPr="00F443B3" w:rsidRDefault="00F20A98" w:rsidP="0071676E">
            <w:pPr>
              <w:tabs>
                <w:tab w:val="left" w:pos="2880"/>
              </w:tabs>
              <w:rPr>
                <w:sz w:val="20"/>
                <w:szCs w:val="20"/>
              </w:rPr>
            </w:pPr>
            <w:r w:rsidRPr="00F443B3">
              <w:rPr>
                <w:sz w:val="20"/>
                <w:szCs w:val="20"/>
              </w:rPr>
              <w:t>Ongoing:</w:t>
            </w:r>
          </w:p>
          <w:p w:rsidR="00F20A98" w:rsidRPr="00F443B3" w:rsidRDefault="00570335" w:rsidP="0071676E">
            <w:pPr>
              <w:tabs>
                <w:tab w:val="left" w:pos="2880"/>
              </w:tabs>
              <w:rPr>
                <w:sz w:val="20"/>
                <w:szCs w:val="20"/>
              </w:rPr>
            </w:pPr>
            <w:r>
              <w:rPr>
                <w:sz w:val="20"/>
                <w:szCs w:val="20"/>
              </w:rPr>
              <w:t xml:space="preserve">(a) </w:t>
            </w:r>
            <w:r w:rsidR="00B73911">
              <w:rPr>
                <w:sz w:val="20"/>
                <w:szCs w:val="20"/>
              </w:rPr>
              <w:t>m</w:t>
            </w:r>
            <w:r w:rsidR="00B73911" w:rsidRPr="00F443B3">
              <w:rPr>
                <w:sz w:val="20"/>
                <w:szCs w:val="20"/>
              </w:rPr>
              <w:t>onthly</w:t>
            </w:r>
            <w:r w:rsidR="00F20A98" w:rsidRPr="00F443B3">
              <w:rPr>
                <w:sz w:val="20"/>
                <w:szCs w:val="20"/>
              </w:rPr>
              <w:t xml:space="preserve"> </w:t>
            </w:r>
          </w:p>
          <w:p w:rsidR="00570335" w:rsidRDefault="00570335" w:rsidP="00570335">
            <w:pPr>
              <w:tabs>
                <w:tab w:val="left" w:pos="2880"/>
              </w:tabs>
              <w:rPr>
                <w:sz w:val="20"/>
                <w:szCs w:val="20"/>
              </w:rPr>
            </w:pPr>
            <w:r>
              <w:rPr>
                <w:sz w:val="20"/>
                <w:szCs w:val="20"/>
              </w:rPr>
              <w:t>(b)</w:t>
            </w:r>
            <w:r w:rsidR="00F20A98" w:rsidRPr="00F443B3">
              <w:rPr>
                <w:sz w:val="20"/>
                <w:szCs w:val="20"/>
              </w:rPr>
              <w:t xml:space="preserve"> </w:t>
            </w:r>
            <w:r w:rsidR="00B73911">
              <w:rPr>
                <w:sz w:val="20"/>
                <w:szCs w:val="20"/>
              </w:rPr>
              <w:t>b</w:t>
            </w:r>
            <w:r w:rsidR="00B73911" w:rsidRPr="00F443B3">
              <w:rPr>
                <w:sz w:val="20"/>
                <w:szCs w:val="20"/>
              </w:rPr>
              <w:t>iannually</w:t>
            </w:r>
            <w:r w:rsidR="00F20A98" w:rsidRPr="00F443B3">
              <w:rPr>
                <w:sz w:val="20"/>
                <w:szCs w:val="20"/>
              </w:rPr>
              <w:t xml:space="preserve"> </w:t>
            </w:r>
          </w:p>
          <w:p w:rsidR="00F20A98" w:rsidRPr="00F443B3" w:rsidRDefault="00570335" w:rsidP="00B73911">
            <w:pPr>
              <w:tabs>
                <w:tab w:val="left" w:pos="2880"/>
              </w:tabs>
              <w:rPr>
                <w:sz w:val="20"/>
                <w:szCs w:val="20"/>
              </w:rPr>
            </w:pPr>
            <w:r>
              <w:rPr>
                <w:sz w:val="20"/>
                <w:szCs w:val="20"/>
              </w:rPr>
              <w:t xml:space="preserve">(c) </w:t>
            </w:r>
            <w:r w:rsidR="00B73911">
              <w:rPr>
                <w:sz w:val="20"/>
                <w:szCs w:val="20"/>
              </w:rPr>
              <w:t>a</w:t>
            </w:r>
            <w:r w:rsidR="00B73911" w:rsidRPr="00F443B3">
              <w:rPr>
                <w:sz w:val="20"/>
                <w:szCs w:val="20"/>
              </w:rPr>
              <w:t>nnual</w:t>
            </w:r>
            <w:r w:rsidR="00B73911">
              <w:rPr>
                <w:sz w:val="20"/>
                <w:szCs w:val="20"/>
              </w:rPr>
              <w:t>ly</w:t>
            </w:r>
          </w:p>
        </w:tc>
        <w:tc>
          <w:tcPr>
            <w:tcW w:w="2070" w:type="dxa"/>
            <w:gridSpan w:val="3"/>
            <w:shd w:val="clear" w:color="auto" w:fill="auto"/>
          </w:tcPr>
          <w:p w:rsidR="00F20A98" w:rsidRPr="00F443B3" w:rsidRDefault="00F20A98" w:rsidP="0071676E">
            <w:pPr>
              <w:tabs>
                <w:tab w:val="left" w:pos="2880"/>
              </w:tabs>
              <w:rPr>
                <w:sz w:val="20"/>
                <w:szCs w:val="20"/>
              </w:rPr>
            </w:pPr>
            <w:r w:rsidRPr="00F443B3">
              <w:rPr>
                <w:sz w:val="20"/>
                <w:szCs w:val="20"/>
              </w:rPr>
              <w:t>BPPS</w:t>
            </w:r>
          </w:p>
        </w:tc>
        <w:tc>
          <w:tcPr>
            <w:tcW w:w="1350" w:type="dxa"/>
            <w:gridSpan w:val="3"/>
            <w:shd w:val="clear" w:color="auto" w:fill="auto"/>
          </w:tcPr>
          <w:p w:rsidR="00F20A98" w:rsidRPr="00F443B3" w:rsidRDefault="00F20A98" w:rsidP="0071676E">
            <w:pPr>
              <w:tabs>
                <w:tab w:val="left" w:pos="2880"/>
              </w:tabs>
              <w:rPr>
                <w:sz w:val="20"/>
                <w:szCs w:val="20"/>
              </w:rPr>
            </w:pPr>
          </w:p>
        </w:tc>
        <w:tc>
          <w:tcPr>
            <w:tcW w:w="1620" w:type="dxa"/>
            <w:gridSpan w:val="3"/>
            <w:shd w:val="clear" w:color="auto" w:fill="auto"/>
          </w:tcPr>
          <w:p w:rsidR="00F20A98" w:rsidRPr="00F443B3" w:rsidRDefault="00F20A98" w:rsidP="0071676E">
            <w:pPr>
              <w:tabs>
                <w:tab w:val="left" w:pos="2880"/>
              </w:tabs>
              <w:rPr>
                <w:sz w:val="20"/>
                <w:szCs w:val="20"/>
              </w:rPr>
            </w:pPr>
          </w:p>
        </w:tc>
      </w:tr>
      <w:tr w:rsidR="00F20A98" w:rsidRPr="00F443B3" w:rsidTr="00D5696B">
        <w:trPr>
          <w:gridAfter w:val="1"/>
          <w:wAfter w:w="67" w:type="dxa"/>
        </w:trPr>
        <w:tc>
          <w:tcPr>
            <w:tcW w:w="6773" w:type="dxa"/>
            <w:shd w:val="clear" w:color="auto" w:fill="auto"/>
          </w:tcPr>
          <w:p w:rsidR="00F20A98" w:rsidRPr="00F443B3" w:rsidRDefault="00F20A98" w:rsidP="0071676E">
            <w:pPr>
              <w:pStyle w:val="normal2"/>
              <w:numPr>
                <w:ilvl w:val="0"/>
                <w:numId w:val="0"/>
              </w:numPr>
              <w:tabs>
                <w:tab w:val="clear" w:pos="1620"/>
              </w:tabs>
              <w:spacing w:before="0"/>
            </w:pPr>
            <w:r>
              <w:t xml:space="preserve">1.4 </w:t>
            </w:r>
            <w:r w:rsidRPr="00F443B3">
              <w:t>Through discussions in the IACG</w:t>
            </w:r>
            <w:r w:rsidR="00570335">
              <w:t>-ME</w:t>
            </w:r>
            <w:r w:rsidRPr="00F443B3">
              <w:t>, ensure that there is greater clarity in the Strategy on the roles and responsibilities for technical support to victim assistance.</w:t>
            </w:r>
          </w:p>
        </w:tc>
        <w:tc>
          <w:tcPr>
            <w:tcW w:w="2610" w:type="dxa"/>
            <w:gridSpan w:val="3"/>
            <w:shd w:val="clear" w:color="auto" w:fill="auto"/>
          </w:tcPr>
          <w:p w:rsidR="00F20A98" w:rsidRPr="00F443B3" w:rsidRDefault="00F20A98" w:rsidP="0071676E">
            <w:pPr>
              <w:tabs>
                <w:tab w:val="left" w:pos="2880"/>
              </w:tabs>
              <w:rPr>
                <w:sz w:val="20"/>
                <w:szCs w:val="20"/>
              </w:rPr>
            </w:pPr>
          </w:p>
          <w:p w:rsidR="00F20A98" w:rsidRPr="00F443B3" w:rsidRDefault="00A607FF" w:rsidP="0071676E">
            <w:pPr>
              <w:tabs>
                <w:tab w:val="left" w:pos="2880"/>
              </w:tabs>
              <w:rPr>
                <w:sz w:val="20"/>
                <w:szCs w:val="20"/>
              </w:rPr>
            </w:pPr>
            <w:r>
              <w:rPr>
                <w:sz w:val="20"/>
                <w:szCs w:val="20"/>
              </w:rPr>
              <w:t xml:space="preserve">By </w:t>
            </w:r>
            <w:r w:rsidR="00F20A98" w:rsidRPr="00F443B3">
              <w:rPr>
                <w:sz w:val="20"/>
                <w:szCs w:val="20"/>
              </w:rPr>
              <w:t>June 2016</w:t>
            </w:r>
          </w:p>
        </w:tc>
        <w:tc>
          <w:tcPr>
            <w:tcW w:w="2070" w:type="dxa"/>
            <w:gridSpan w:val="3"/>
            <w:shd w:val="clear" w:color="auto" w:fill="auto"/>
          </w:tcPr>
          <w:p w:rsidR="00F20A98" w:rsidRPr="00F443B3" w:rsidRDefault="00F20A98" w:rsidP="0071676E">
            <w:pPr>
              <w:tabs>
                <w:tab w:val="left" w:pos="2880"/>
              </w:tabs>
              <w:rPr>
                <w:sz w:val="20"/>
                <w:szCs w:val="20"/>
              </w:rPr>
            </w:pPr>
          </w:p>
          <w:p w:rsidR="00F20A98" w:rsidRPr="00F443B3" w:rsidRDefault="00F20A98" w:rsidP="0071676E">
            <w:pPr>
              <w:tabs>
                <w:tab w:val="left" w:pos="2880"/>
              </w:tabs>
              <w:rPr>
                <w:sz w:val="20"/>
                <w:szCs w:val="20"/>
              </w:rPr>
            </w:pPr>
            <w:r w:rsidRPr="00F443B3">
              <w:rPr>
                <w:sz w:val="20"/>
                <w:szCs w:val="20"/>
              </w:rPr>
              <w:t>BPPS</w:t>
            </w:r>
          </w:p>
        </w:tc>
        <w:tc>
          <w:tcPr>
            <w:tcW w:w="1350" w:type="dxa"/>
            <w:gridSpan w:val="3"/>
            <w:shd w:val="clear" w:color="auto" w:fill="auto"/>
          </w:tcPr>
          <w:p w:rsidR="00F20A98" w:rsidRPr="00F443B3" w:rsidRDefault="00F20A98" w:rsidP="0071676E">
            <w:pPr>
              <w:tabs>
                <w:tab w:val="left" w:pos="2880"/>
              </w:tabs>
              <w:rPr>
                <w:sz w:val="20"/>
                <w:szCs w:val="20"/>
              </w:rPr>
            </w:pPr>
          </w:p>
        </w:tc>
        <w:tc>
          <w:tcPr>
            <w:tcW w:w="1620" w:type="dxa"/>
            <w:gridSpan w:val="3"/>
            <w:shd w:val="clear" w:color="auto" w:fill="auto"/>
          </w:tcPr>
          <w:p w:rsidR="00F20A98" w:rsidRPr="00F443B3" w:rsidRDefault="00F20A98" w:rsidP="0071676E">
            <w:pPr>
              <w:tabs>
                <w:tab w:val="left" w:pos="2880"/>
              </w:tabs>
              <w:rPr>
                <w:sz w:val="20"/>
                <w:szCs w:val="20"/>
              </w:rPr>
            </w:pPr>
          </w:p>
        </w:tc>
      </w:tr>
      <w:tr w:rsidR="00F20A98" w:rsidRPr="004074EE" w:rsidTr="00D5696B">
        <w:trPr>
          <w:gridAfter w:val="1"/>
          <w:wAfter w:w="67" w:type="dxa"/>
        </w:trPr>
        <w:tc>
          <w:tcPr>
            <w:tcW w:w="14423" w:type="dxa"/>
            <w:gridSpan w:val="13"/>
            <w:tcBorders>
              <w:bottom w:val="single" w:sz="4" w:space="0" w:color="auto"/>
            </w:tcBorders>
            <w:shd w:val="clear" w:color="auto" w:fill="E6E6E6"/>
          </w:tcPr>
          <w:p w:rsidR="00570335" w:rsidRPr="00570335" w:rsidRDefault="00570335" w:rsidP="00570335">
            <w:pPr>
              <w:pStyle w:val="normal2"/>
              <w:numPr>
                <w:ilvl w:val="0"/>
                <w:numId w:val="0"/>
              </w:numPr>
              <w:spacing w:before="0"/>
              <w:rPr>
                <w:b/>
              </w:rPr>
            </w:pPr>
            <w:r w:rsidRPr="00570335">
              <w:rPr>
                <w:b/>
                <w:u w:val="single"/>
              </w:rPr>
              <w:t>R</w:t>
            </w:r>
            <w:r w:rsidR="00F20A98" w:rsidRPr="00570335">
              <w:rPr>
                <w:b/>
                <w:u w:val="single"/>
              </w:rPr>
              <w:t>ecommendation</w:t>
            </w:r>
            <w:r w:rsidR="00F20A98" w:rsidRPr="004E0E75">
              <w:rPr>
                <w:b/>
                <w:u w:val="single"/>
              </w:rPr>
              <w:t xml:space="preserve"> 2</w:t>
            </w:r>
            <w:r w:rsidRPr="00570335">
              <w:rPr>
                <w:b/>
              </w:rPr>
              <w:t>.</w:t>
            </w:r>
            <w:r w:rsidR="00F20A98" w:rsidRPr="004E0E75">
              <w:rPr>
                <w:b/>
              </w:rPr>
              <w:t xml:space="preserve"> UNDP should further enhance its institutional capacity support services to </w:t>
            </w:r>
            <w:r w:rsidRPr="00570335">
              <w:rPr>
                <w:b/>
              </w:rPr>
              <w:t>Governments</w:t>
            </w:r>
            <w:r w:rsidR="00F20A98" w:rsidRPr="004E0E75">
              <w:rPr>
                <w:b/>
              </w:rPr>
              <w:t xml:space="preserve"> on mine action, building on lesson</w:t>
            </w:r>
            <w:r w:rsidR="00F20A98" w:rsidRPr="002C2572">
              <w:rPr>
                <w:b/>
              </w:rPr>
              <w:t>s from successful transitions to sustainable national ownership</w:t>
            </w:r>
            <w:r w:rsidR="00F20A98" w:rsidRPr="00DD11D6">
              <w:rPr>
                <w:b/>
              </w:rPr>
              <w:t xml:space="preserve"> and utili</w:t>
            </w:r>
            <w:r w:rsidR="00F20A98" w:rsidRPr="004E0E75">
              <w:rPr>
                <w:b/>
              </w:rPr>
              <w:t xml:space="preserve">zing </w:t>
            </w:r>
            <w:r w:rsidRPr="00570335">
              <w:rPr>
                <w:b/>
              </w:rPr>
              <w:t>South</w:t>
            </w:r>
            <w:r w:rsidR="00F20A98" w:rsidRPr="004E0E75">
              <w:rPr>
                <w:b/>
              </w:rPr>
              <w:t>-</w:t>
            </w:r>
            <w:r w:rsidRPr="00570335">
              <w:rPr>
                <w:b/>
              </w:rPr>
              <w:t xml:space="preserve">South </w:t>
            </w:r>
            <w:r w:rsidR="00F20A98" w:rsidRPr="004E0E75">
              <w:rPr>
                <w:b/>
              </w:rPr>
              <w:t xml:space="preserve">cooperation opportunities and closer engagement with </w:t>
            </w:r>
            <w:r w:rsidR="00F20A98" w:rsidRPr="00570335">
              <w:rPr>
                <w:b/>
              </w:rPr>
              <w:t>U</w:t>
            </w:r>
            <w:r w:rsidRPr="00570335">
              <w:rPr>
                <w:b/>
              </w:rPr>
              <w:t xml:space="preserve">nited </w:t>
            </w:r>
            <w:r w:rsidR="00F20A98" w:rsidRPr="00570335">
              <w:rPr>
                <w:b/>
              </w:rPr>
              <w:t>N</w:t>
            </w:r>
            <w:r w:rsidRPr="00570335">
              <w:rPr>
                <w:b/>
              </w:rPr>
              <w:t>ations</w:t>
            </w:r>
            <w:r w:rsidR="00F20A98" w:rsidRPr="004E0E75">
              <w:rPr>
                <w:b/>
              </w:rPr>
              <w:t xml:space="preserve"> and other international partners</w:t>
            </w:r>
            <w:r w:rsidRPr="00570335">
              <w:rPr>
                <w:b/>
              </w:rPr>
              <w:t>.</w:t>
            </w:r>
          </w:p>
          <w:p w:rsidR="00F20A98" w:rsidRPr="004074EE" w:rsidRDefault="00F20A98" w:rsidP="0071676E">
            <w:pPr>
              <w:tabs>
                <w:tab w:val="left" w:pos="2880"/>
              </w:tabs>
              <w:rPr>
                <w:b/>
                <w:sz w:val="20"/>
                <w:szCs w:val="20"/>
              </w:rPr>
            </w:pPr>
            <w:r w:rsidRPr="003D6C32">
              <w:rPr>
                <w:b/>
                <w:sz w:val="20"/>
                <w:szCs w:val="20"/>
              </w:rPr>
              <w:t xml:space="preserve"> </w:t>
            </w:r>
          </w:p>
        </w:tc>
      </w:tr>
      <w:tr w:rsidR="00F20A98" w:rsidRPr="004074EE" w:rsidTr="00D5696B">
        <w:trPr>
          <w:gridAfter w:val="1"/>
          <w:wAfter w:w="67" w:type="dxa"/>
        </w:trPr>
        <w:tc>
          <w:tcPr>
            <w:tcW w:w="14423" w:type="dxa"/>
            <w:gridSpan w:val="13"/>
            <w:tcBorders>
              <w:bottom w:val="single" w:sz="4" w:space="0" w:color="auto"/>
            </w:tcBorders>
            <w:shd w:val="clear" w:color="auto" w:fill="F3F3F3"/>
          </w:tcPr>
          <w:p w:rsidR="00570335" w:rsidRDefault="00F20A98" w:rsidP="0071676E">
            <w:pPr>
              <w:tabs>
                <w:tab w:val="left" w:pos="2880"/>
              </w:tabs>
              <w:rPr>
                <w:b/>
                <w:sz w:val="20"/>
                <w:szCs w:val="20"/>
              </w:rPr>
            </w:pPr>
            <w:r w:rsidRPr="003D6C32">
              <w:rPr>
                <w:b/>
                <w:sz w:val="20"/>
                <w:szCs w:val="20"/>
              </w:rPr>
              <w:t>Management response</w:t>
            </w:r>
            <w:r>
              <w:rPr>
                <w:b/>
                <w:sz w:val="20"/>
                <w:szCs w:val="20"/>
              </w:rPr>
              <w:t xml:space="preserve">  </w:t>
            </w:r>
          </w:p>
          <w:p w:rsidR="00F20A98" w:rsidRPr="003D6C32" w:rsidRDefault="00F20A98" w:rsidP="0071676E">
            <w:pPr>
              <w:tabs>
                <w:tab w:val="left" w:pos="2880"/>
              </w:tabs>
              <w:rPr>
                <w:sz w:val="20"/>
                <w:szCs w:val="20"/>
              </w:rPr>
            </w:pPr>
            <w:r w:rsidRPr="003D6C32">
              <w:rPr>
                <w:sz w:val="20"/>
                <w:szCs w:val="20"/>
              </w:rPr>
              <w:t xml:space="preserve">UNDP management agrees with the recommendation that UNDP should continue and enhance support to national </w:t>
            </w:r>
            <w:r w:rsidR="00570335">
              <w:rPr>
                <w:sz w:val="20"/>
                <w:szCs w:val="20"/>
              </w:rPr>
              <w:t>G</w:t>
            </w:r>
            <w:r w:rsidR="00570335" w:rsidRPr="003D6C32">
              <w:rPr>
                <w:sz w:val="20"/>
                <w:szCs w:val="20"/>
              </w:rPr>
              <w:t xml:space="preserve">overnments </w:t>
            </w:r>
            <w:r w:rsidRPr="003D6C32">
              <w:rPr>
                <w:sz w:val="20"/>
                <w:szCs w:val="20"/>
              </w:rPr>
              <w:t>in the following areas:</w:t>
            </w:r>
            <w:r w:rsidRPr="003D6C32">
              <w:rPr>
                <w:b/>
                <w:sz w:val="20"/>
                <w:szCs w:val="20"/>
              </w:rPr>
              <w:t xml:space="preserve"> </w:t>
            </w:r>
            <w:r w:rsidR="00570335">
              <w:rPr>
                <w:b/>
                <w:sz w:val="20"/>
                <w:szCs w:val="20"/>
              </w:rPr>
              <w:t>(</w:t>
            </w:r>
            <w:r w:rsidR="00570335">
              <w:rPr>
                <w:sz w:val="20"/>
                <w:szCs w:val="20"/>
              </w:rPr>
              <w:t>a</w:t>
            </w:r>
            <w:r w:rsidRPr="003D6C32">
              <w:rPr>
                <w:sz w:val="20"/>
                <w:szCs w:val="20"/>
              </w:rPr>
              <w:t>) institutional capacity assessment for mine action, including the use of relevant indicators;</w:t>
            </w:r>
            <w:r w:rsidR="00240C70">
              <w:rPr>
                <w:sz w:val="20"/>
                <w:szCs w:val="20"/>
              </w:rPr>
              <w:t xml:space="preserve"> </w:t>
            </w:r>
            <w:r w:rsidR="00AC29C2">
              <w:rPr>
                <w:sz w:val="20"/>
                <w:szCs w:val="20"/>
              </w:rPr>
              <w:t>(b</w:t>
            </w:r>
            <w:r w:rsidRPr="003D6C32">
              <w:rPr>
                <w:sz w:val="20"/>
                <w:szCs w:val="20"/>
              </w:rPr>
              <w:t xml:space="preserve">) development and management of comprehensive databases of suspect and released mine areas; </w:t>
            </w:r>
            <w:r w:rsidR="00AC29C2">
              <w:rPr>
                <w:sz w:val="20"/>
                <w:szCs w:val="20"/>
              </w:rPr>
              <w:t>(c</w:t>
            </w:r>
            <w:r w:rsidRPr="003D6C32">
              <w:rPr>
                <w:sz w:val="20"/>
                <w:szCs w:val="20"/>
              </w:rPr>
              <w:t xml:space="preserve">) land release prioritization; </w:t>
            </w:r>
            <w:r w:rsidR="00AC29C2">
              <w:rPr>
                <w:sz w:val="20"/>
                <w:szCs w:val="20"/>
              </w:rPr>
              <w:t>(d</w:t>
            </w:r>
            <w:r w:rsidRPr="003D6C32">
              <w:rPr>
                <w:sz w:val="20"/>
                <w:szCs w:val="20"/>
              </w:rPr>
              <w:t xml:space="preserve">) strategies </w:t>
            </w:r>
            <w:r w:rsidR="00AC29C2">
              <w:rPr>
                <w:sz w:val="20"/>
                <w:szCs w:val="20"/>
              </w:rPr>
              <w:t xml:space="preserve">for </w:t>
            </w:r>
            <w:r w:rsidR="00AC29C2" w:rsidRPr="003D6C32">
              <w:rPr>
                <w:sz w:val="20"/>
                <w:szCs w:val="20"/>
              </w:rPr>
              <w:t xml:space="preserve">transition </w:t>
            </w:r>
            <w:r w:rsidRPr="003D6C32">
              <w:rPr>
                <w:sz w:val="20"/>
                <w:szCs w:val="20"/>
              </w:rPr>
              <w:t xml:space="preserve">to national ownership of mine action programmes; </w:t>
            </w:r>
            <w:r w:rsidR="00AC29C2">
              <w:rPr>
                <w:sz w:val="20"/>
                <w:szCs w:val="20"/>
              </w:rPr>
              <w:t>(e</w:t>
            </w:r>
            <w:r w:rsidRPr="003D6C32">
              <w:rPr>
                <w:sz w:val="20"/>
                <w:szCs w:val="20"/>
              </w:rPr>
              <w:t xml:space="preserve">) mainstreaming mine action into broader development imperatives, with special emphasis on marginalized communities; </w:t>
            </w:r>
            <w:r w:rsidR="00AC29C2">
              <w:rPr>
                <w:sz w:val="20"/>
                <w:szCs w:val="20"/>
              </w:rPr>
              <w:t>(f</w:t>
            </w:r>
            <w:r w:rsidRPr="003D6C32">
              <w:rPr>
                <w:sz w:val="20"/>
                <w:szCs w:val="20"/>
              </w:rPr>
              <w:t xml:space="preserve">) taking gender aspects into account in mine action programming; </w:t>
            </w:r>
            <w:r w:rsidR="00AC29C2">
              <w:rPr>
                <w:sz w:val="20"/>
                <w:szCs w:val="20"/>
              </w:rPr>
              <w:t>(g</w:t>
            </w:r>
            <w:r w:rsidRPr="003D6C32">
              <w:rPr>
                <w:sz w:val="20"/>
                <w:szCs w:val="20"/>
              </w:rPr>
              <w:t xml:space="preserve">) linking victim assistance support, where it exists within mine action programmes, into broader support for </w:t>
            </w:r>
            <w:r w:rsidR="00AC29C2">
              <w:rPr>
                <w:sz w:val="20"/>
                <w:szCs w:val="20"/>
              </w:rPr>
              <w:t>persons with a disability</w:t>
            </w:r>
            <w:r w:rsidRPr="003D6C32">
              <w:rPr>
                <w:sz w:val="20"/>
                <w:szCs w:val="20"/>
              </w:rPr>
              <w:t xml:space="preserve">; </w:t>
            </w:r>
            <w:r w:rsidR="00AC29C2">
              <w:rPr>
                <w:sz w:val="20"/>
                <w:szCs w:val="20"/>
              </w:rPr>
              <w:t>(h</w:t>
            </w:r>
            <w:r w:rsidRPr="003D6C32">
              <w:rPr>
                <w:sz w:val="20"/>
                <w:szCs w:val="20"/>
              </w:rPr>
              <w:t xml:space="preserve">) efficiently </w:t>
            </w:r>
            <w:r w:rsidR="00233436" w:rsidRPr="003D6C32">
              <w:rPr>
                <w:sz w:val="20"/>
                <w:szCs w:val="20"/>
              </w:rPr>
              <w:t>channeling</w:t>
            </w:r>
            <w:r w:rsidRPr="003D6C32">
              <w:rPr>
                <w:sz w:val="20"/>
                <w:szCs w:val="20"/>
              </w:rPr>
              <w:t xml:space="preserve"> donor funding; and </w:t>
            </w:r>
            <w:r w:rsidR="00AC29C2">
              <w:rPr>
                <w:sz w:val="20"/>
                <w:szCs w:val="20"/>
              </w:rPr>
              <w:t>(i</w:t>
            </w:r>
            <w:r w:rsidRPr="003D6C32">
              <w:rPr>
                <w:sz w:val="20"/>
                <w:szCs w:val="20"/>
              </w:rPr>
              <w:t>) utilizing partnerships with other U</w:t>
            </w:r>
            <w:r w:rsidR="00AC29C2">
              <w:rPr>
                <w:sz w:val="20"/>
                <w:szCs w:val="20"/>
              </w:rPr>
              <w:t xml:space="preserve">nited </w:t>
            </w:r>
            <w:r w:rsidRPr="003D6C32">
              <w:rPr>
                <w:sz w:val="20"/>
                <w:szCs w:val="20"/>
              </w:rPr>
              <w:t>N</w:t>
            </w:r>
            <w:r w:rsidR="00AC29C2">
              <w:rPr>
                <w:sz w:val="20"/>
                <w:szCs w:val="20"/>
              </w:rPr>
              <w:t>ations</w:t>
            </w:r>
            <w:r w:rsidRPr="003D6C32">
              <w:rPr>
                <w:sz w:val="20"/>
                <w:szCs w:val="20"/>
              </w:rPr>
              <w:t xml:space="preserve"> agencies and international </w:t>
            </w:r>
            <w:r w:rsidR="00233436" w:rsidRPr="003D6C32">
              <w:rPr>
                <w:sz w:val="20"/>
                <w:szCs w:val="20"/>
              </w:rPr>
              <w:t>organizations</w:t>
            </w:r>
            <w:r w:rsidRPr="003D6C32">
              <w:rPr>
                <w:sz w:val="20"/>
                <w:szCs w:val="20"/>
              </w:rPr>
              <w:t xml:space="preserve">. </w:t>
            </w:r>
          </w:p>
          <w:p w:rsidR="00F20A98" w:rsidRDefault="00F20A98" w:rsidP="0071676E">
            <w:pPr>
              <w:tabs>
                <w:tab w:val="left" w:pos="2880"/>
              </w:tabs>
              <w:rPr>
                <w:sz w:val="20"/>
                <w:szCs w:val="20"/>
              </w:rPr>
            </w:pPr>
          </w:p>
          <w:p w:rsidR="00F20A98" w:rsidRPr="003D6C32" w:rsidRDefault="00F20A98" w:rsidP="0071676E">
            <w:pPr>
              <w:tabs>
                <w:tab w:val="left" w:pos="2880"/>
              </w:tabs>
              <w:rPr>
                <w:sz w:val="20"/>
                <w:szCs w:val="20"/>
              </w:rPr>
            </w:pPr>
            <w:r w:rsidRPr="003D6C32">
              <w:rPr>
                <w:sz w:val="20"/>
                <w:szCs w:val="20"/>
              </w:rPr>
              <w:t xml:space="preserve">UNDP will update its mine action programme guidance to clarify priorities, elaborate practical methods and utilize its roster of </w:t>
            </w:r>
            <w:r w:rsidR="00AC29C2">
              <w:rPr>
                <w:sz w:val="20"/>
                <w:szCs w:val="20"/>
              </w:rPr>
              <w:t>qualified</w:t>
            </w:r>
            <w:r w:rsidR="00AC29C2" w:rsidRPr="003D6C32">
              <w:rPr>
                <w:sz w:val="20"/>
                <w:szCs w:val="20"/>
              </w:rPr>
              <w:t xml:space="preserve"> </w:t>
            </w:r>
            <w:r w:rsidRPr="003D6C32">
              <w:rPr>
                <w:sz w:val="20"/>
                <w:szCs w:val="20"/>
              </w:rPr>
              <w:t xml:space="preserve">consultants for technical support and policy research in the above areas.   </w:t>
            </w:r>
          </w:p>
          <w:p w:rsidR="00F20A98" w:rsidRPr="003D6C32" w:rsidRDefault="00F20A98" w:rsidP="0071676E">
            <w:pPr>
              <w:tabs>
                <w:tab w:val="left" w:pos="2880"/>
              </w:tabs>
              <w:rPr>
                <w:sz w:val="20"/>
                <w:szCs w:val="20"/>
              </w:rPr>
            </w:pPr>
          </w:p>
          <w:p w:rsidR="00F60FE2" w:rsidRDefault="00F20A98" w:rsidP="00F60FE2">
            <w:pPr>
              <w:pStyle w:val="bulletnormal"/>
              <w:numPr>
                <w:ilvl w:val="0"/>
                <w:numId w:val="0"/>
              </w:numPr>
            </w:pPr>
            <w:r w:rsidRPr="003D6C32">
              <w:lastRenderedPageBreak/>
              <w:t xml:space="preserve">UNDP management also agrees that </w:t>
            </w:r>
            <w:r w:rsidR="00F60FE2">
              <w:t xml:space="preserve">a stronger </w:t>
            </w:r>
            <w:r w:rsidRPr="003D6C32">
              <w:t xml:space="preserve">focus on Strategic Objective 3 </w:t>
            </w:r>
            <w:r w:rsidR="00F60FE2">
              <w:t>is needed and will actively participate in the midterm evaluation of the Strategy of the United Nations on Mine Action, and advocated for greater emphasis within this Strategic Objective on the capacity development of national institutions with clearer indicators for measuring success.  It is</w:t>
            </w:r>
            <w:r w:rsidR="00240C70">
              <w:t>,</w:t>
            </w:r>
            <w:r w:rsidR="00F60FE2">
              <w:t xml:space="preserve"> however</w:t>
            </w:r>
            <w:r w:rsidR="00240C70">
              <w:t>,</w:t>
            </w:r>
            <w:r w:rsidR="00F60FE2">
              <w:t xml:space="preserve"> important to note</w:t>
            </w:r>
            <w:r w:rsidR="00F60FE2" w:rsidRPr="003D6C32">
              <w:t xml:space="preserve"> that UNDP</w:t>
            </w:r>
            <w:r w:rsidR="00F60FE2">
              <w:t>’s</w:t>
            </w:r>
            <w:r w:rsidR="00F60FE2" w:rsidRPr="003D6C32">
              <w:t xml:space="preserve"> </w:t>
            </w:r>
            <w:r w:rsidR="00F60FE2">
              <w:t xml:space="preserve">contribution is also </w:t>
            </w:r>
            <w:r w:rsidR="00F60FE2" w:rsidRPr="003D6C32">
              <w:t>key for Objective 1</w:t>
            </w:r>
            <w:r w:rsidR="00F60FE2">
              <w:t xml:space="preserve">, </w:t>
            </w:r>
            <w:r w:rsidR="00F60FE2" w:rsidRPr="003D6C32">
              <w:t>Reducing risks to individuals and socioeconomic impacts of mines and ERW</w:t>
            </w:r>
            <w:r w:rsidR="00535EE1">
              <w:t>, which is an important areas of focus for</w:t>
            </w:r>
            <w:r w:rsidR="00F60FE2" w:rsidRPr="003D6C32">
              <w:t xml:space="preserve"> UNDP</w:t>
            </w:r>
            <w:r w:rsidR="00535EE1">
              <w:t>’s</w:t>
            </w:r>
            <w:r w:rsidR="00F60FE2" w:rsidRPr="003D6C32">
              <w:t xml:space="preserve"> </w:t>
            </w:r>
            <w:r w:rsidR="00F60FE2">
              <w:t>d</w:t>
            </w:r>
            <w:r w:rsidR="00F60FE2" w:rsidRPr="003D6C32">
              <w:t xml:space="preserve">evelopment and </w:t>
            </w:r>
            <w:r w:rsidR="00F60FE2">
              <w:t>m</w:t>
            </w:r>
            <w:r w:rsidR="00F60FE2" w:rsidRPr="003D6C32">
              <w:t xml:space="preserve">ine </w:t>
            </w:r>
            <w:r w:rsidR="00F60FE2">
              <w:t>a</w:t>
            </w:r>
            <w:r w:rsidR="00F60FE2" w:rsidRPr="003D6C32">
              <w:t xml:space="preserve">ction </w:t>
            </w:r>
            <w:r w:rsidR="00535EE1">
              <w:t>work</w:t>
            </w:r>
            <w:r w:rsidR="00F60FE2" w:rsidRPr="003D6C32">
              <w:t>.</w:t>
            </w:r>
          </w:p>
          <w:p w:rsidR="00F20A98" w:rsidRPr="003D6C32" w:rsidRDefault="00F20A98" w:rsidP="0071676E">
            <w:pPr>
              <w:tabs>
                <w:tab w:val="left" w:pos="2880"/>
              </w:tabs>
              <w:rPr>
                <w:sz w:val="20"/>
                <w:szCs w:val="20"/>
              </w:rPr>
            </w:pPr>
          </w:p>
          <w:p w:rsidR="00F20A98" w:rsidRPr="003D6C32" w:rsidRDefault="00F20A98" w:rsidP="0071676E">
            <w:pPr>
              <w:tabs>
                <w:tab w:val="left" w:pos="2880"/>
              </w:tabs>
              <w:rPr>
                <w:sz w:val="20"/>
                <w:szCs w:val="20"/>
              </w:rPr>
            </w:pPr>
            <w:r w:rsidRPr="003D6C32">
              <w:rPr>
                <w:sz w:val="20"/>
                <w:szCs w:val="20"/>
              </w:rPr>
              <w:t xml:space="preserve">In early 2015, the UNDP Support Framework for Development and Mine Action was prepared and identified the following two </w:t>
            </w:r>
            <w:r w:rsidR="00AC29C2">
              <w:rPr>
                <w:sz w:val="20"/>
                <w:szCs w:val="20"/>
              </w:rPr>
              <w:t>a</w:t>
            </w:r>
            <w:r w:rsidR="00AC29C2" w:rsidRPr="003D6C32">
              <w:rPr>
                <w:sz w:val="20"/>
                <w:szCs w:val="20"/>
              </w:rPr>
              <w:t xml:space="preserve">reas </w:t>
            </w:r>
            <w:r w:rsidRPr="003D6C32">
              <w:rPr>
                <w:sz w:val="20"/>
                <w:szCs w:val="20"/>
              </w:rPr>
              <w:t xml:space="preserve">of </w:t>
            </w:r>
            <w:r w:rsidR="00AC29C2">
              <w:rPr>
                <w:sz w:val="20"/>
                <w:szCs w:val="20"/>
              </w:rPr>
              <w:t>f</w:t>
            </w:r>
            <w:r w:rsidR="00AC29C2" w:rsidRPr="003D6C32">
              <w:rPr>
                <w:sz w:val="20"/>
                <w:szCs w:val="20"/>
              </w:rPr>
              <w:t>ocus</w:t>
            </w:r>
            <w:r w:rsidRPr="003D6C32">
              <w:rPr>
                <w:sz w:val="20"/>
                <w:szCs w:val="20"/>
              </w:rPr>
              <w:t xml:space="preserve">: </w:t>
            </w:r>
          </w:p>
          <w:p w:rsidR="00F20A98" w:rsidRPr="003D6C32" w:rsidRDefault="00AC29C2" w:rsidP="0071676E">
            <w:pPr>
              <w:tabs>
                <w:tab w:val="left" w:pos="2880"/>
              </w:tabs>
              <w:ind w:left="720"/>
              <w:rPr>
                <w:sz w:val="20"/>
                <w:szCs w:val="20"/>
              </w:rPr>
            </w:pPr>
            <w:r>
              <w:rPr>
                <w:sz w:val="20"/>
                <w:szCs w:val="20"/>
              </w:rPr>
              <w:t>(a</w:t>
            </w:r>
            <w:r w:rsidR="00F20A98" w:rsidRPr="003D6C32">
              <w:rPr>
                <w:sz w:val="20"/>
                <w:szCs w:val="20"/>
              </w:rPr>
              <w:t xml:space="preserve">) </w:t>
            </w:r>
            <w:r>
              <w:rPr>
                <w:sz w:val="20"/>
                <w:szCs w:val="20"/>
              </w:rPr>
              <w:t>t</w:t>
            </w:r>
            <w:r w:rsidRPr="003D6C32">
              <w:rPr>
                <w:sz w:val="20"/>
                <w:szCs w:val="20"/>
              </w:rPr>
              <w:t xml:space="preserve">ranslating </w:t>
            </w:r>
            <w:r>
              <w:rPr>
                <w:sz w:val="20"/>
                <w:szCs w:val="20"/>
              </w:rPr>
              <w:t>m</w:t>
            </w:r>
            <w:r w:rsidRPr="003D6C32">
              <w:rPr>
                <w:sz w:val="20"/>
                <w:szCs w:val="20"/>
              </w:rPr>
              <w:t>ine</w:t>
            </w:r>
            <w:r w:rsidR="00F20A98" w:rsidRPr="003D6C32">
              <w:rPr>
                <w:sz w:val="20"/>
                <w:szCs w:val="20"/>
              </w:rPr>
              <w:t xml:space="preserve"> </w:t>
            </w:r>
            <w:r w:rsidR="00E9122C">
              <w:rPr>
                <w:sz w:val="20"/>
                <w:szCs w:val="20"/>
              </w:rPr>
              <w:t>a</w:t>
            </w:r>
            <w:r w:rsidR="00E9122C" w:rsidRPr="003D6C32">
              <w:rPr>
                <w:sz w:val="20"/>
                <w:szCs w:val="20"/>
              </w:rPr>
              <w:t xml:space="preserve">ction </w:t>
            </w:r>
            <w:r w:rsidR="00F20A98" w:rsidRPr="003D6C32">
              <w:rPr>
                <w:sz w:val="20"/>
                <w:szCs w:val="20"/>
              </w:rPr>
              <w:t xml:space="preserve">into sustainable development dividends in the form of jobs and livelihoods; </w:t>
            </w:r>
          </w:p>
          <w:p w:rsidR="00F20A98" w:rsidRPr="003D6C32" w:rsidRDefault="00AC29C2" w:rsidP="0071676E">
            <w:pPr>
              <w:tabs>
                <w:tab w:val="left" w:pos="2880"/>
              </w:tabs>
              <w:ind w:left="720"/>
              <w:rPr>
                <w:sz w:val="20"/>
                <w:szCs w:val="20"/>
              </w:rPr>
            </w:pPr>
            <w:r>
              <w:rPr>
                <w:sz w:val="20"/>
                <w:szCs w:val="20"/>
              </w:rPr>
              <w:t>(b</w:t>
            </w:r>
            <w:r w:rsidR="00F20A98" w:rsidRPr="003D6C32">
              <w:rPr>
                <w:sz w:val="20"/>
                <w:szCs w:val="20"/>
              </w:rPr>
              <w:t xml:space="preserve">) </w:t>
            </w:r>
            <w:r>
              <w:rPr>
                <w:sz w:val="20"/>
                <w:szCs w:val="20"/>
              </w:rPr>
              <w:t>s</w:t>
            </w:r>
            <w:r w:rsidRPr="003D6C32">
              <w:rPr>
                <w:sz w:val="20"/>
                <w:szCs w:val="20"/>
              </w:rPr>
              <w:t>trengthening</w:t>
            </w:r>
            <w:r w:rsidR="00F20A98" w:rsidRPr="003D6C32">
              <w:rPr>
                <w:sz w:val="20"/>
                <w:szCs w:val="20"/>
              </w:rPr>
              <w:t xml:space="preserve"> national institutions that accelerate development benefits, including livelihoods and human security.</w:t>
            </w:r>
          </w:p>
          <w:p w:rsidR="00F20A98" w:rsidRPr="003D6C32" w:rsidRDefault="00F20A98" w:rsidP="0071676E">
            <w:pPr>
              <w:tabs>
                <w:tab w:val="left" w:pos="2880"/>
              </w:tabs>
              <w:rPr>
                <w:sz w:val="20"/>
                <w:szCs w:val="20"/>
              </w:rPr>
            </w:pPr>
          </w:p>
          <w:p w:rsidR="00F20A98" w:rsidRPr="003D6C32" w:rsidRDefault="00F20A98" w:rsidP="0071676E">
            <w:pPr>
              <w:tabs>
                <w:tab w:val="left" w:pos="2880"/>
              </w:tabs>
              <w:rPr>
                <w:sz w:val="20"/>
                <w:szCs w:val="20"/>
              </w:rPr>
            </w:pPr>
            <w:r w:rsidRPr="003D6C32">
              <w:rPr>
                <w:sz w:val="20"/>
                <w:szCs w:val="20"/>
              </w:rPr>
              <w:t xml:space="preserve">In view of this and in the context of the UNDP Strategic Plan, a sharper focus on the </w:t>
            </w:r>
            <w:r w:rsidR="00AC29C2">
              <w:rPr>
                <w:sz w:val="20"/>
                <w:szCs w:val="20"/>
              </w:rPr>
              <w:t>d</w:t>
            </w:r>
            <w:r w:rsidR="00AC29C2" w:rsidRPr="003D6C32">
              <w:rPr>
                <w:sz w:val="20"/>
                <w:szCs w:val="20"/>
              </w:rPr>
              <w:t xml:space="preserve">evelopment </w:t>
            </w:r>
            <w:r w:rsidRPr="003D6C32">
              <w:rPr>
                <w:sz w:val="20"/>
                <w:szCs w:val="20"/>
              </w:rPr>
              <w:t xml:space="preserve">and </w:t>
            </w:r>
            <w:r w:rsidR="00AC29C2">
              <w:rPr>
                <w:sz w:val="20"/>
                <w:szCs w:val="20"/>
              </w:rPr>
              <w:t>m</w:t>
            </w:r>
            <w:r w:rsidR="00AC29C2" w:rsidRPr="003D6C32">
              <w:rPr>
                <w:sz w:val="20"/>
                <w:szCs w:val="20"/>
              </w:rPr>
              <w:t xml:space="preserve">ine </w:t>
            </w:r>
            <w:r w:rsidR="00AC29C2">
              <w:rPr>
                <w:sz w:val="20"/>
                <w:szCs w:val="20"/>
              </w:rPr>
              <w:t>a</w:t>
            </w:r>
            <w:r w:rsidR="00AC29C2" w:rsidRPr="003D6C32">
              <w:rPr>
                <w:sz w:val="20"/>
                <w:szCs w:val="20"/>
              </w:rPr>
              <w:t xml:space="preserve">ction </w:t>
            </w:r>
            <w:r w:rsidRPr="003D6C32">
              <w:rPr>
                <w:sz w:val="20"/>
                <w:szCs w:val="20"/>
              </w:rPr>
              <w:t xml:space="preserve">agenda will be pursued. This approach will follow three tracks: </w:t>
            </w:r>
          </w:p>
          <w:p w:rsidR="00F20A98" w:rsidRPr="003D6C32" w:rsidRDefault="00AC29C2" w:rsidP="0071676E">
            <w:pPr>
              <w:tabs>
                <w:tab w:val="left" w:pos="2880"/>
              </w:tabs>
              <w:ind w:left="720"/>
              <w:rPr>
                <w:sz w:val="20"/>
                <w:szCs w:val="20"/>
              </w:rPr>
            </w:pPr>
            <w:r>
              <w:rPr>
                <w:sz w:val="20"/>
                <w:szCs w:val="20"/>
              </w:rPr>
              <w:t>(a</w:t>
            </w:r>
            <w:r w:rsidR="00F20A98" w:rsidRPr="003D6C32">
              <w:rPr>
                <w:sz w:val="20"/>
                <w:szCs w:val="20"/>
              </w:rPr>
              <w:t xml:space="preserve">) </w:t>
            </w:r>
            <w:r>
              <w:rPr>
                <w:sz w:val="20"/>
                <w:szCs w:val="20"/>
              </w:rPr>
              <w:t>c</w:t>
            </w:r>
            <w:r w:rsidRPr="003D6C32">
              <w:rPr>
                <w:sz w:val="20"/>
                <w:szCs w:val="20"/>
              </w:rPr>
              <w:t>ontext</w:t>
            </w:r>
            <w:r w:rsidR="00F20A98" w:rsidRPr="003D6C32">
              <w:rPr>
                <w:sz w:val="20"/>
                <w:szCs w:val="20"/>
              </w:rPr>
              <w:t>/</w:t>
            </w:r>
            <w:r>
              <w:rPr>
                <w:sz w:val="20"/>
                <w:szCs w:val="20"/>
              </w:rPr>
              <w:t>a</w:t>
            </w:r>
            <w:r w:rsidRPr="003D6C32">
              <w:rPr>
                <w:sz w:val="20"/>
                <w:szCs w:val="20"/>
              </w:rPr>
              <w:t>ssessment</w:t>
            </w:r>
            <w:r w:rsidR="00F20A98" w:rsidRPr="003D6C32">
              <w:rPr>
                <w:sz w:val="20"/>
                <w:szCs w:val="20"/>
              </w:rPr>
              <w:t xml:space="preserve">: </w:t>
            </w:r>
            <w:r>
              <w:rPr>
                <w:sz w:val="20"/>
                <w:szCs w:val="20"/>
              </w:rPr>
              <w:t>e</w:t>
            </w:r>
            <w:r w:rsidRPr="003D6C32">
              <w:rPr>
                <w:sz w:val="20"/>
                <w:szCs w:val="20"/>
              </w:rPr>
              <w:t xml:space="preserve">nsuring </w:t>
            </w:r>
            <w:r w:rsidR="00F20A98" w:rsidRPr="003D6C32">
              <w:rPr>
                <w:sz w:val="20"/>
                <w:szCs w:val="20"/>
              </w:rPr>
              <w:t xml:space="preserve">that the impact of landmines/ERW </w:t>
            </w:r>
            <w:r>
              <w:rPr>
                <w:sz w:val="20"/>
                <w:szCs w:val="20"/>
              </w:rPr>
              <w:t>on</w:t>
            </w:r>
            <w:r w:rsidR="00F20A98" w:rsidRPr="003D6C32">
              <w:rPr>
                <w:sz w:val="20"/>
                <w:szCs w:val="20"/>
              </w:rPr>
              <w:t xml:space="preserve"> development is well understood and includes policy and institutional capacities required to enhance jobs and livelihoods through </w:t>
            </w:r>
            <w:r>
              <w:rPr>
                <w:sz w:val="20"/>
                <w:szCs w:val="20"/>
              </w:rPr>
              <w:t>m</w:t>
            </w:r>
            <w:r w:rsidRPr="003D6C32">
              <w:rPr>
                <w:sz w:val="20"/>
                <w:szCs w:val="20"/>
              </w:rPr>
              <w:t xml:space="preserve">ine </w:t>
            </w:r>
            <w:r>
              <w:rPr>
                <w:sz w:val="20"/>
                <w:szCs w:val="20"/>
              </w:rPr>
              <w:t>a</w:t>
            </w:r>
            <w:r w:rsidRPr="003D6C32">
              <w:rPr>
                <w:sz w:val="20"/>
                <w:szCs w:val="20"/>
              </w:rPr>
              <w:t>ction</w:t>
            </w:r>
            <w:r w:rsidR="00F20A98" w:rsidRPr="003D6C32">
              <w:rPr>
                <w:sz w:val="20"/>
                <w:szCs w:val="20"/>
              </w:rPr>
              <w:t xml:space="preserve"> programming; </w:t>
            </w:r>
          </w:p>
          <w:p w:rsidR="00F20A98" w:rsidRPr="003D6C32" w:rsidRDefault="00AC29C2" w:rsidP="0071676E">
            <w:pPr>
              <w:tabs>
                <w:tab w:val="left" w:pos="2880"/>
              </w:tabs>
              <w:ind w:left="720"/>
              <w:rPr>
                <w:sz w:val="20"/>
                <w:szCs w:val="20"/>
              </w:rPr>
            </w:pPr>
            <w:r>
              <w:rPr>
                <w:sz w:val="20"/>
                <w:szCs w:val="20"/>
              </w:rPr>
              <w:t>(b</w:t>
            </w:r>
            <w:r w:rsidR="00F20A98" w:rsidRPr="003D6C32">
              <w:rPr>
                <w:sz w:val="20"/>
                <w:szCs w:val="20"/>
              </w:rPr>
              <w:t xml:space="preserve">) </w:t>
            </w:r>
            <w:r>
              <w:rPr>
                <w:sz w:val="20"/>
                <w:szCs w:val="20"/>
              </w:rPr>
              <w:t>c</w:t>
            </w:r>
            <w:r w:rsidRPr="003D6C32">
              <w:rPr>
                <w:sz w:val="20"/>
                <w:szCs w:val="20"/>
              </w:rPr>
              <w:t>apacities</w:t>
            </w:r>
            <w:r w:rsidR="00F20A98" w:rsidRPr="003D6C32">
              <w:rPr>
                <w:sz w:val="20"/>
                <w:szCs w:val="20"/>
              </w:rPr>
              <w:t>/</w:t>
            </w:r>
            <w:r>
              <w:rPr>
                <w:sz w:val="20"/>
                <w:szCs w:val="20"/>
              </w:rPr>
              <w:t>a</w:t>
            </w:r>
            <w:r w:rsidRPr="003D6C32">
              <w:rPr>
                <w:sz w:val="20"/>
                <w:szCs w:val="20"/>
              </w:rPr>
              <w:t xml:space="preserve">reas </w:t>
            </w:r>
            <w:r w:rsidR="00F20A98" w:rsidRPr="003D6C32">
              <w:rPr>
                <w:sz w:val="20"/>
                <w:szCs w:val="20"/>
              </w:rPr>
              <w:t xml:space="preserve">of </w:t>
            </w:r>
            <w:r>
              <w:rPr>
                <w:sz w:val="20"/>
                <w:szCs w:val="20"/>
              </w:rPr>
              <w:t>f</w:t>
            </w:r>
            <w:r w:rsidRPr="003D6C32">
              <w:rPr>
                <w:sz w:val="20"/>
                <w:szCs w:val="20"/>
              </w:rPr>
              <w:t>ocus</w:t>
            </w:r>
            <w:r w:rsidR="00F20A98" w:rsidRPr="003D6C32">
              <w:rPr>
                <w:sz w:val="20"/>
                <w:szCs w:val="20"/>
              </w:rPr>
              <w:t xml:space="preserve">: </w:t>
            </w:r>
            <w:r w:rsidR="005374E7">
              <w:rPr>
                <w:sz w:val="20"/>
                <w:szCs w:val="20"/>
              </w:rPr>
              <w:t>t</w:t>
            </w:r>
            <w:r w:rsidR="005374E7" w:rsidRPr="003D6C32">
              <w:rPr>
                <w:sz w:val="20"/>
                <w:szCs w:val="20"/>
              </w:rPr>
              <w:t xml:space="preserve">he </w:t>
            </w:r>
            <w:r w:rsidR="00F20A98" w:rsidRPr="003D6C32">
              <w:rPr>
                <w:sz w:val="20"/>
                <w:szCs w:val="20"/>
              </w:rPr>
              <w:t xml:space="preserve">selection of the </w:t>
            </w:r>
            <w:r w:rsidR="005374E7">
              <w:rPr>
                <w:sz w:val="20"/>
                <w:szCs w:val="20"/>
              </w:rPr>
              <w:t>a</w:t>
            </w:r>
            <w:r w:rsidR="005374E7" w:rsidRPr="003D6C32">
              <w:rPr>
                <w:sz w:val="20"/>
                <w:szCs w:val="20"/>
              </w:rPr>
              <w:t xml:space="preserve">reas </w:t>
            </w:r>
            <w:r w:rsidR="00F20A98" w:rsidRPr="003D6C32">
              <w:rPr>
                <w:sz w:val="20"/>
                <w:szCs w:val="20"/>
              </w:rPr>
              <w:t xml:space="preserve">of </w:t>
            </w:r>
            <w:r w:rsidR="005374E7">
              <w:rPr>
                <w:sz w:val="20"/>
                <w:szCs w:val="20"/>
              </w:rPr>
              <w:t>f</w:t>
            </w:r>
            <w:r w:rsidR="005374E7" w:rsidRPr="003D6C32">
              <w:rPr>
                <w:sz w:val="20"/>
                <w:szCs w:val="20"/>
              </w:rPr>
              <w:t xml:space="preserve">ocus </w:t>
            </w:r>
            <w:r w:rsidR="00F20A98" w:rsidRPr="003D6C32">
              <w:rPr>
                <w:sz w:val="20"/>
                <w:szCs w:val="20"/>
              </w:rPr>
              <w:t>will be informed by the assessment/analysis;</w:t>
            </w:r>
          </w:p>
          <w:p w:rsidR="00F20A98" w:rsidRPr="003D6C32" w:rsidRDefault="005374E7" w:rsidP="0071676E">
            <w:pPr>
              <w:tabs>
                <w:tab w:val="left" w:pos="2880"/>
              </w:tabs>
              <w:ind w:left="720"/>
              <w:rPr>
                <w:sz w:val="20"/>
                <w:szCs w:val="20"/>
              </w:rPr>
            </w:pPr>
            <w:r>
              <w:rPr>
                <w:sz w:val="20"/>
                <w:szCs w:val="20"/>
              </w:rPr>
              <w:t>(c</w:t>
            </w:r>
            <w:r w:rsidR="00F20A98" w:rsidRPr="003D6C32">
              <w:rPr>
                <w:sz w:val="20"/>
                <w:szCs w:val="20"/>
              </w:rPr>
              <w:t xml:space="preserve">) </w:t>
            </w:r>
            <w:r w:rsidR="00EF3C13">
              <w:rPr>
                <w:sz w:val="20"/>
                <w:szCs w:val="20"/>
              </w:rPr>
              <w:t xml:space="preserve">development </w:t>
            </w:r>
            <w:r>
              <w:rPr>
                <w:sz w:val="20"/>
                <w:szCs w:val="20"/>
              </w:rPr>
              <w:t>o</w:t>
            </w:r>
            <w:r w:rsidRPr="003D6C32">
              <w:rPr>
                <w:sz w:val="20"/>
                <w:szCs w:val="20"/>
              </w:rPr>
              <w:t>utcomes</w:t>
            </w:r>
            <w:r w:rsidR="00F20A98" w:rsidRPr="003D6C32">
              <w:rPr>
                <w:sz w:val="20"/>
                <w:szCs w:val="20"/>
              </w:rPr>
              <w:t xml:space="preserve">: </w:t>
            </w:r>
            <w:r>
              <w:rPr>
                <w:sz w:val="20"/>
                <w:szCs w:val="20"/>
              </w:rPr>
              <w:t>d</w:t>
            </w:r>
            <w:r w:rsidRPr="003D6C32">
              <w:rPr>
                <w:sz w:val="20"/>
                <w:szCs w:val="20"/>
              </w:rPr>
              <w:t xml:space="preserve">evelopment </w:t>
            </w:r>
            <w:r>
              <w:rPr>
                <w:sz w:val="20"/>
                <w:szCs w:val="20"/>
              </w:rPr>
              <w:t>o</w:t>
            </w:r>
            <w:r w:rsidRPr="003D6C32">
              <w:rPr>
                <w:sz w:val="20"/>
                <w:szCs w:val="20"/>
              </w:rPr>
              <w:t>utcomes</w:t>
            </w:r>
            <w:r w:rsidR="00F20A98" w:rsidRPr="003D6C32">
              <w:rPr>
                <w:sz w:val="20"/>
                <w:szCs w:val="20"/>
              </w:rPr>
              <w:t xml:space="preserve"> will be measured either directly or indirectly through jobs/livelihoods generated, particularly for women and marginalized groups; hectares of land cultivated, </w:t>
            </w:r>
            <w:r w:rsidR="00EF3C13">
              <w:rPr>
                <w:sz w:val="20"/>
                <w:szCs w:val="20"/>
              </w:rPr>
              <w:t xml:space="preserve">human security, </w:t>
            </w:r>
            <w:r w:rsidR="00F20A98" w:rsidRPr="003D6C32">
              <w:rPr>
                <w:sz w:val="20"/>
                <w:szCs w:val="20"/>
              </w:rPr>
              <w:t>etc</w:t>
            </w:r>
            <w:r w:rsidR="00A04AB5" w:rsidRPr="003D6C32">
              <w:rPr>
                <w:sz w:val="20"/>
                <w:szCs w:val="20"/>
              </w:rPr>
              <w:t>.</w:t>
            </w:r>
          </w:p>
          <w:p w:rsidR="00F20A98" w:rsidRPr="003D6C32" w:rsidRDefault="00F20A98" w:rsidP="0071676E">
            <w:pPr>
              <w:tabs>
                <w:tab w:val="left" w:pos="2880"/>
              </w:tabs>
              <w:ind w:left="720"/>
              <w:rPr>
                <w:sz w:val="20"/>
                <w:szCs w:val="20"/>
              </w:rPr>
            </w:pPr>
          </w:p>
          <w:p w:rsidR="00F20A98" w:rsidRPr="004074EE" w:rsidRDefault="00F20A98" w:rsidP="00694C0E">
            <w:pPr>
              <w:tabs>
                <w:tab w:val="left" w:pos="2880"/>
              </w:tabs>
              <w:rPr>
                <w:b/>
                <w:sz w:val="20"/>
                <w:szCs w:val="20"/>
              </w:rPr>
            </w:pPr>
            <w:r w:rsidRPr="003D6C32">
              <w:rPr>
                <w:sz w:val="20"/>
                <w:szCs w:val="20"/>
              </w:rPr>
              <w:t xml:space="preserve">Under </w:t>
            </w:r>
            <w:r w:rsidR="005374E7">
              <w:rPr>
                <w:sz w:val="20"/>
                <w:szCs w:val="20"/>
              </w:rPr>
              <w:t>the first a</w:t>
            </w:r>
            <w:r w:rsidR="005374E7" w:rsidRPr="003D6C32">
              <w:rPr>
                <w:sz w:val="20"/>
                <w:szCs w:val="20"/>
              </w:rPr>
              <w:t xml:space="preserve">rea </w:t>
            </w:r>
            <w:r w:rsidRPr="003D6C32">
              <w:rPr>
                <w:sz w:val="20"/>
                <w:szCs w:val="20"/>
              </w:rPr>
              <w:t xml:space="preserve">of </w:t>
            </w:r>
            <w:r w:rsidR="005374E7">
              <w:rPr>
                <w:sz w:val="20"/>
                <w:szCs w:val="20"/>
              </w:rPr>
              <w:t>f</w:t>
            </w:r>
            <w:r w:rsidR="005374E7" w:rsidRPr="003D6C32">
              <w:rPr>
                <w:sz w:val="20"/>
                <w:szCs w:val="20"/>
              </w:rPr>
              <w:t>ocus</w:t>
            </w:r>
            <w:r w:rsidRPr="003D6C32">
              <w:rPr>
                <w:sz w:val="20"/>
                <w:szCs w:val="20"/>
              </w:rPr>
              <w:t xml:space="preserve">, UNDP </w:t>
            </w:r>
            <w:r w:rsidR="005374E7">
              <w:rPr>
                <w:sz w:val="20"/>
                <w:szCs w:val="20"/>
              </w:rPr>
              <w:t>m</w:t>
            </w:r>
            <w:r w:rsidR="005374E7" w:rsidRPr="003D6C32">
              <w:rPr>
                <w:sz w:val="20"/>
                <w:szCs w:val="20"/>
              </w:rPr>
              <w:t xml:space="preserve">ine </w:t>
            </w:r>
            <w:r w:rsidR="005374E7">
              <w:rPr>
                <w:sz w:val="20"/>
                <w:szCs w:val="20"/>
              </w:rPr>
              <w:t>a</w:t>
            </w:r>
            <w:r w:rsidR="005374E7" w:rsidRPr="003D6C32">
              <w:rPr>
                <w:sz w:val="20"/>
                <w:szCs w:val="20"/>
              </w:rPr>
              <w:t xml:space="preserve">ction </w:t>
            </w:r>
            <w:r w:rsidRPr="003D6C32">
              <w:rPr>
                <w:sz w:val="20"/>
                <w:szCs w:val="20"/>
              </w:rPr>
              <w:t xml:space="preserve">programmes will concentrate on three themes: </w:t>
            </w:r>
            <w:r w:rsidR="005374E7">
              <w:rPr>
                <w:sz w:val="20"/>
                <w:szCs w:val="20"/>
              </w:rPr>
              <w:t>p</w:t>
            </w:r>
            <w:r w:rsidR="005374E7" w:rsidRPr="003D6C32">
              <w:rPr>
                <w:sz w:val="20"/>
                <w:szCs w:val="20"/>
              </w:rPr>
              <w:t xml:space="preserve">rotecting </w:t>
            </w:r>
            <w:r w:rsidR="005374E7">
              <w:rPr>
                <w:sz w:val="20"/>
                <w:szCs w:val="20"/>
              </w:rPr>
              <w:t>l</w:t>
            </w:r>
            <w:r w:rsidR="005374E7" w:rsidRPr="003D6C32">
              <w:rPr>
                <w:sz w:val="20"/>
                <w:szCs w:val="20"/>
              </w:rPr>
              <w:t>ives</w:t>
            </w:r>
            <w:r w:rsidRPr="003D6C32">
              <w:rPr>
                <w:sz w:val="20"/>
                <w:szCs w:val="20"/>
              </w:rPr>
              <w:t xml:space="preserve">; </w:t>
            </w:r>
            <w:r w:rsidR="005374E7">
              <w:rPr>
                <w:sz w:val="20"/>
                <w:szCs w:val="20"/>
              </w:rPr>
              <w:t>r</w:t>
            </w:r>
            <w:r w:rsidR="005374E7" w:rsidRPr="003D6C32">
              <w:rPr>
                <w:sz w:val="20"/>
                <w:szCs w:val="20"/>
              </w:rPr>
              <w:t xml:space="preserve">estoring </w:t>
            </w:r>
            <w:r w:rsidR="005374E7">
              <w:rPr>
                <w:sz w:val="20"/>
                <w:szCs w:val="20"/>
              </w:rPr>
              <w:t>l</w:t>
            </w:r>
            <w:r w:rsidR="005374E7" w:rsidRPr="003D6C32">
              <w:rPr>
                <w:sz w:val="20"/>
                <w:szCs w:val="20"/>
              </w:rPr>
              <w:t>ivelihoods</w:t>
            </w:r>
            <w:r w:rsidRPr="003D6C32">
              <w:rPr>
                <w:sz w:val="20"/>
                <w:szCs w:val="20"/>
              </w:rPr>
              <w:t xml:space="preserve">; and </w:t>
            </w:r>
            <w:r w:rsidR="005374E7">
              <w:rPr>
                <w:sz w:val="20"/>
                <w:szCs w:val="20"/>
              </w:rPr>
              <w:t>s</w:t>
            </w:r>
            <w:r w:rsidR="005374E7" w:rsidRPr="003D6C32">
              <w:rPr>
                <w:sz w:val="20"/>
                <w:szCs w:val="20"/>
              </w:rPr>
              <w:t xml:space="preserve">upporting </w:t>
            </w:r>
            <w:r w:rsidR="005374E7">
              <w:rPr>
                <w:sz w:val="20"/>
                <w:szCs w:val="20"/>
              </w:rPr>
              <w:t>r</w:t>
            </w:r>
            <w:r w:rsidR="005374E7" w:rsidRPr="003D6C32">
              <w:rPr>
                <w:sz w:val="20"/>
                <w:szCs w:val="20"/>
              </w:rPr>
              <w:t xml:space="preserve">ecovery </w:t>
            </w:r>
            <w:r w:rsidRPr="003D6C32">
              <w:rPr>
                <w:sz w:val="20"/>
                <w:szCs w:val="20"/>
              </w:rPr>
              <w:t xml:space="preserve">and </w:t>
            </w:r>
            <w:r w:rsidR="005374E7">
              <w:rPr>
                <w:sz w:val="20"/>
                <w:szCs w:val="20"/>
              </w:rPr>
              <w:t>d</w:t>
            </w:r>
            <w:r w:rsidR="005374E7" w:rsidRPr="003D6C32">
              <w:rPr>
                <w:sz w:val="20"/>
                <w:szCs w:val="20"/>
              </w:rPr>
              <w:t>evelopment</w:t>
            </w:r>
            <w:r w:rsidRPr="003D6C32">
              <w:rPr>
                <w:sz w:val="20"/>
                <w:szCs w:val="20"/>
              </w:rPr>
              <w:t xml:space="preserve">. Under the </w:t>
            </w:r>
            <w:r w:rsidR="005374E7">
              <w:rPr>
                <w:sz w:val="20"/>
                <w:szCs w:val="20"/>
              </w:rPr>
              <w:t>second a</w:t>
            </w:r>
            <w:r w:rsidR="005374E7" w:rsidRPr="003D6C32">
              <w:rPr>
                <w:sz w:val="20"/>
                <w:szCs w:val="20"/>
              </w:rPr>
              <w:t xml:space="preserve">rea </w:t>
            </w:r>
            <w:r w:rsidRPr="003D6C32">
              <w:rPr>
                <w:sz w:val="20"/>
                <w:szCs w:val="20"/>
              </w:rPr>
              <w:t xml:space="preserve">of </w:t>
            </w:r>
            <w:r w:rsidR="005374E7">
              <w:rPr>
                <w:sz w:val="20"/>
                <w:szCs w:val="20"/>
              </w:rPr>
              <w:t>f</w:t>
            </w:r>
            <w:r w:rsidR="005374E7" w:rsidRPr="003D6C32">
              <w:rPr>
                <w:sz w:val="20"/>
                <w:szCs w:val="20"/>
              </w:rPr>
              <w:t>ocus</w:t>
            </w:r>
            <w:r w:rsidR="005374E7">
              <w:rPr>
                <w:sz w:val="20"/>
                <w:szCs w:val="20"/>
              </w:rPr>
              <w:t>,</w:t>
            </w:r>
            <w:r w:rsidRPr="003D6C32">
              <w:rPr>
                <w:sz w:val="20"/>
                <w:szCs w:val="20"/>
              </w:rPr>
              <w:t xml:space="preserve"> UNDP will concentrate on </w:t>
            </w:r>
            <w:r w:rsidR="005374E7">
              <w:rPr>
                <w:sz w:val="20"/>
                <w:szCs w:val="20"/>
              </w:rPr>
              <w:t>s</w:t>
            </w:r>
            <w:r w:rsidR="005374E7" w:rsidRPr="003D6C32">
              <w:rPr>
                <w:sz w:val="20"/>
                <w:szCs w:val="20"/>
              </w:rPr>
              <w:t xml:space="preserve">trengthening </w:t>
            </w:r>
            <w:r w:rsidRPr="003D6C32">
              <w:rPr>
                <w:sz w:val="20"/>
                <w:szCs w:val="20"/>
              </w:rPr>
              <w:t>national institutions that accelerate development benefits, e.g.</w:t>
            </w:r>
            <w:r w:rsidR="005374E7">
              <w:rPr>
                <w:sz w:val="20"/>
                <w:szCs w:val="20"/>
              </w:rPr>
              <w:t>,</w:t>
            </w:r>
            <w:r w:rsidRPr="003D6C32">
              <w:rPr>
                <w:sz w:val="20"/>
                <w:szCs w:val="20"/>
              </w:rPr>
              <w:t xml:space="preserve"> human security</w:t>
            </w:r>
            <w:r w:rsidR="005374E7">
              <w:rPr>
                <w:sz w:val="20"/>
                <w:szCs w:val="20"/>
              </w:rPr>
              <w:t xml:space="preserve"> or</w:t>
            </w:r>
            <w:r w:rsidR="005374E7" w:rsidRPr="003D6C32">
              <w:rPr>
                <w:sz w:val="20"/>
                <w:szCs w:val="20"/>
              </w:rPr>
              <w:t xml:space="preserve"> </w:t>
            </w:r>
            <w:r w:rsidRPr="003D6C32">
              <w:rPr>
                <w:sz w:val="20"/>
                <w:szCs w:val="20"/>
              </w:rPr>
              <w:t xml:space="preserve">other opportunities. Links to </w:t>
            </w:r>
            <w:r w:rsidR="005374E7">
              <w:rPr>
                <w:sz w:val="20"/>
                <w:szCs w:val="20"/>
              </w:rPr>
              <w:t xml:space="preserve">the </w:t>
            </w:r>
            <w:r w:rsidRPr="003D6C32">
              <w:rPr>
                <w:sz w:val="20"/>
                <w:szCs w:val="20"/>
              </w:rPr>
              <w:t>UNDP Strategic Plan</w:t>
            </w:r>
            <w:r w:rsidR="005374E7">
              <w:rPr>
                <w:sz w:val="20"/>
                <w:szCs w:val="20"/>
              </w:rPr>
              <w:t>,</w:t>
            </w:r>
            <w:r w:rsidRPr="003D6C32">
              <w:rPr>
                <w:sz w:val="20"/>
                <w:szCs w:val="20"/>
              </w:rPr>
              <w:t xml:space="preserve"> 2014-2017 will be ensured through </w:t>
            </w:r>
            <w:r w:rsidR="005374E7">
              <w:rPr>
                <w:sz w:val="20"/>
                <w:szCs w:val="20"/>
              </w:rPr>
              <w:t>alignment of m</w:t>
            </w:r>
            <w:r w:rsidR="005374E7" w:rsidRPr="003D6C32">
              <w:rPr>
                <w:sz w:val="20"/>
                <w:szCs w:val="20"/>
              </w:rPr>
              <w:t xml:space="preserve">ine </w:t>
            </w:r>
            <w:r w:rsidR="005374E7">
              <w:rPr>
                <w:sz w:val="20"/>
                <w:szCs w:val="20"/>
              </w:rPr>
              <w:t>a</w:t>
            </w:r>
            <w:r w:rsidR="005374E7" w:rsidRPr="003D6C32">
              <w:rPr>
                <w:sz w:val="20"/>
                <w:szCs w:val="20"/>
              </w:rPr>
              <w:t xml:space="preserve">ction </w:t>
            </w:r>
            <w:r w:rsidRPr="003D6C32">
              <w:rPr>
                <w:sz w:val="20"/>
                <w:szCs w:val="20"/>
              </w:rPr>
              <w:t xml:space="preserve">with </w:t>
            </w:r>
            <w:r w:rsidR="005374E7">
              <w:rPr>
                <w:sz w:val="20"/>
                <w:szCs w:val="20"/>
              </w:rPr>
              <w:t>the plan's</w:t>
            </w:r>
            <w:r w:rsidRPr="003D6C32">
              <w:rPr>
                <w:sz w:val="20"/>
                <w:szCs w:val="20"/>
              </w:rPr>
              <w:t xml:space="preserve"> Outcome 1 (Growth and development are inclusive and sustainable, incorporating productive capacities that create employment and livelihoods for the poor and excluded) and Outcome 3 (Countries have strengthened institutions to progressively deliver universal access to basic services). </w:t>
            </w:r>
          </w:p>
        </w:tc>
      </w:tr>
      <w:tr w:rsidR="00F20A98" w:rsidRPr="004074EE" w:rsidTr="003D74A2">
        <w:trPr>
          <w:gridAfter w:val="1"/>
          <w:wAfter w:w="67" w:type="dxa"/>
        </w:trPr>
        <w:tc>
          <w:tcPr>
            <w:tcW w:w="8219" w:type="dxa"/>
            <w:gridSpan w:val="3"/>
            <w:tcBorders>
              <w:bottom w:val="single" w:sz="4" w:space="0" w:color="auto"/>
            </w:tcBorders>
            <w:shd w:val="clear" w:color="auto" w:fill="auto"/>
          </w:tcPr>
          <w:p w:rsidR="00F20A98" w:rsidRPr="00C63BC0" w:rsidRDefault="005374E7" w:rsidP="00C63BC0">
            <w:pPr>
              <w:tabs>
                <w:tab w:val="left" w:pos="2880"/>
              </w:tabs>
              <w:rPr>
                <w:b/>
              </w:rPr>
            </w:pPr>
            <w:r w:rsidRPr="004074EE">
              <w:rPr>
                <w:sz w:val="20"/>
                <w:szCs w:val="20"/>
              </w:rPr>
              <w:lastRenderedPageBreak/>
              <w:t>2.1</w:t>
            </w:r>
            <w:r>
              <w:rPr>
                <w:sz w:val="20"/>
                <w:szCs w:val="20"/>
              </w:rPr>
              <w:t xml:space="preserve"> Review and f</w:t>
            </w:r>
            <w:r w:rsidRPr="004074EE">
              <w:rPr>
                <w:sz w:val="20"/>
                <w:szCs w:val="20"/>
              </w:rPr>
              <w:t xml:space="preserve">inalize UNDP Strategic Framework on Mine Action with inputs from </w:t>
            </w:r>
            <w:r>
              <w:rPr>
                <w:sz w:val="20"/>
                <w:szCs w:val="20"/>
              </w:rPr>
              <w:t>key partners, regional bureaux, regional hubs and c</w:t>
            </w:r>
            <w:r w:rsidRPr="004074EE">
              <w:rPr>
                <w:sz w:val="20"/>
                <w:szCs w:val="20"/>
              </w:rPr>
              <w:t xml:space="preserve">ountry </w:t>
            </w:r>
            <w:r>
              <w:rPr>
                <w:sz w:val="20"/>
                <w:szCs w:val="20"/>
              </w:rPr>
              <w:t>o</w:t>
            </w:r>
            <w:r w:rsidRPr="004074EE">
              <w:rPr>
                <w:sz w:val="20"/>
                <w:szCs w:val="20"/>
              </w:rPr>
              <w:t>ffices.</w:t>
            </w:r>
          </w:p>
        </w:tc>
        <w:tc>
          <w:tcPr>
            <w:tcW w:w="1486" w:type="dxa"/>
            <w:gridSpan w:val="3"/>
            <w:tcBorders>
              <w:bottom w:val="single" w:sz="4" w:space="0" w:color="auto"/>
            </w:tcBorders>
            <w:shd w:val="clear" w:color="auto" w:fill="auto"/>
          </w:tcPr>
          <w:p w:rsidR="005374E7" w:rsidRDefault="005374E7" w:rsidP="0071676E">
            <w:pPr>
              <w:tabs>
                <w:tab w:val="left" w:pos="2880"/>
              </w:tabs>
              <w:rPr>
                <w:sz w:val="20"/>
                <w:szCs w:val="20"/>
              </w:rPr>
            </w:pPr>
            <w:r>
              <w:rPr>
                <w:sz w:val="20"/>
                <w:szCs w:val="20"/>
              </w:rPr>
              <w:t>By March 2016</w:t>
            </w:r>
          </w:p>
        </w:tc>
        <w:tc>
          <w:tcPr>
            <w:tcW w:w="2445" w:type="dxa"/>
            <w:gridSpan w:val="3"/>
            <w:tcBorders>
              <w:bottom w:val="single" w:sz="4" w:space="0" w:color="auto"/>
            </w:tcBorders>
            <w:shd w:val="clear" w:color="auto" w:fill="auto"/>
          </w:tcPr>
          <w:p w:rsidR="005374E7" w:rsidRPr="004074EE" w:rsidRDefault="005374E7" w:rsidP="003D74A2">
            <w:pPr>
              <w:tabs>
                <w:tab w:val="left" w:pos="2880"/>
              </w:tabs>
              <w:rPr>
                <w:sz w:val="20"/>
                <w:szCs w:val="20"/>
              </w:rPr>
            </w:pPr>
            <w:r w:rsidRPr="004074EE">
              <w:rPr>
                <w:sz w:val="20"/>
                <w:szCs w:val="20"/>
              </w:rPr>
              <w:t xml:space="preserve">BPPS in cooperation with respective </w:t>
            </w:r>
            <w:r>
              <w:rPr>
                <w:sz w:val="20"/>
                <w:szCs w:val="20"/>
              </w:rPr>
              <w:t>r</w:t>
            </w:r>
            <w:r w:rsidRPr="004074EE">
              <w:rPr>
                <w:sz w:val="20"/>
                <w:szCs w:val="20"/>
              </w:rPr>
              <w:t xml:space="preserve">egional </w:t>
            </w:r>
            <w:r>
              <w:rPr>
                <w:sz w:val="20"/>
                <w:szCs w:val="20"/>
              </w:rPr>
              <w:t>hubs</w:t>
            </w:r>
            <w:r w:rsidRPr="004074EE">
              <w:rPr>
                <w:sz w:val="20"/>
                <w:szCs w:val="20"/>
              </w:rPr>
              <w:t xml:space="preserve">, </w:t>
            </w:r>
            <w:r w:rsidR="003D74A2">
              <w:rPr>
                <w:sz w:val="20"/>
                <w:szCs w:val="20"/>
              </w:rPr>
              <w:t>r</w:t>
            </w:r>
            <w:r w:rsidR="00535EE1">
              <w:rPr>
                <w:sz w:val="20"/>
                <w:szCs w:val="20"/>
              </w:rPr>
              <w:t xml:space="preserve">egional </w:t>
            </w:r>
            <w:r w:rsidR="003D74A2">
              <w:rPr>
                <w:sz w:val="20"/>
                <w:szCs w:val="20"/>
              </w:rPr>
              <w:t>b</w:t>
            </w:r>
            <w:r w:rsidR="00535EE1" w:rsidRPr="004074EE">
              <w:rPr>
                <w:sz w:val="20"/>
                <w:szCs w:val="20"/>
              </w:rPr>
              <w:t>ureau</w:t>
            </w:r>
            <w:r w:rsidR="00535EE1">
              <w:rPr>
                <w:sz w:val="20"/>
                <w:szCs w:val="20"/>
              </w:rPr>
              <w:t>x</w:t>
            </w:r>
            <w:r w:rsidRPr="004074EE">
              <w:rPr>
                <w:sz w:val="20"/>
                <w:szCs w:val="20"/>
              </w:rPr>
              <w:t xml:space="preserve"> and </w:t>
            </w:r>
            <w:r>
              <w:rPr>
                <w:sz w:val="20"/>
                <w:szCs w:val="20"/>
              </w:rPr>
              <w:t>country office</w:t>
            </w:r>
            <w:r w:rsidRPr="004074EE">
              <w:rPr>
                <w:sz w:val="20"/>
                <w:szCs w:val="20"/>
              </w:rPr>
              <w:t>s</w:t>
            </w:r>
          </w:p>
        </w:tc>
        <w:tc>
          <w:tcPr>
            <w:tcW w:w="1220" w:type="dxa"/>
            <w:gridSpan w:val="3"/>
            <w:tcBorders>
              <w:bottom w:val="single" w:sz="4" w:space="0" w:color="auto"/>
            </w:tcBorders>
            <w:shd w:val="clear" w:color="auto" w:fill="auto"/>
          </w:tcPr>
          <w:p w:rsidR="005374E7" w:rsidRPr="004074EE" w:rsidRDefault="005374E7" w:rsidP="0071676E">
            <w:pPr>
              <w:tabs>
                <w:tab w:val="left" w:pos="2880"/>
              </w:tabs>
              <w:rPr>
                <w:sz w:val="20"/>
                <w:szCs w:val="20"/>
              </w:rPr>
            </w:pPr>
          </w:p>
        </w:tc>
        <w:tc>
          <w:tcPr>
            <w:tcW w:w="1053" w:type="dxa"/>
            <w:tcBorders>
              <w:bottom w:val="single" w:sz="4" w:space="0" w:color="auto"/>
            </w:tcBorders>
            <w:shd w:val="clear" w:color="auto" w:fill="auto"/>
          </w:tcPr>
          <w:p w:rsidR="005374E7" w:rsidRPr="004074EE" w:rsidRDefault="005374E7" w:rsidP="0071676E">
            <w:pPr>
              <w:tabs>
                <w:tab w:val="left" w:pos="2880"/>
              </w:tabs>
              <w:rPr>
                <w:sz w:val="20"/>
                <w:szCs w:val="20"/>
              </w:rPr>
            </w:pPr>
          </w:p>
        </w:tc>
      </w:tr>
      <w:tr w:rsidR="00F20A98" w:rsidRPr="004074EE" w:rsidTr="003D74A2">
        <w:trPr>
          <w:gridAfter w:val="1"/>
          <w:wAfter w:w="67" w:type="dxa"/>
        </w:trPr>
        <w:tc>
          <w:tcPr>
            <w:tcW w:w="8219" w:type="dxa"/>
            <w:gridSpan w:val="3"/>
            <w:shd w:val="clear" w:color="auto" w:fill="auto"/>
          </w:tcPr>
          <w:p w:rsidR="00D254B0" w:rsidRPr="004074EE" w:rsidRDefault="005374E7" w:rsidP="00E9122C">
            <w:pPr>
              <w:tabs>
                <w:tab w:val="left" w:pos="2880"/>
              </w:tabs>
              <w:rPr>
                <w:sz w:val="20"/>
                <w:szCs w:val="20"/>
              </w:rPr>
            </w:pPr>
            <w:r w:rsidRPr="00220C0D">
              <w:rPr>
                <w:sz w:val="20"/>
                <w:szCs w:val="20"/>
              </w:rPr>
              <w:br w:type="page"/>
              <w:t>2.2. Provide capacity</w:t>
            </w:r>
            <w:r>
              <w:rPr>
                <w:sz w:val="20"/>
                <w:szCs w:val="20"/>
              </w:rPr>
              <w:t>-</w:t>
            </w:r>
            <w:r w:rsidRPr="00220C0D">
              <w:rPr>
                <w:sz w:val="20"/>
                <w:szCs w:val="20"/>
              </w:rPr>
              <w:t xml:space="preserve">building and advisory support to </w:t>
            </w:r>
            <w:r>
              <w:rPr>
                <w:sz w:val="20"/>
                <w:szCs w:val="20"/>
              </w:rPr>
              <w:t>c</w:t>
            </w:r>
            <w:r w:rsidRPr="00220C0D">
              <w:rPr>
                <w:sz w:val="20"/>
                <w:szCs w:val="20"/>
              </w:rPr>
              <w:t xml:space="preserve">ountry </w:t>
            </w:r>
            <w:r>
              <w:rPr>
                <w:sz w:val="20"/>
                <w:szCs w:val="20"/>
              </w:rPr>
              <w:t>o</w:t>
            </w:r>
            <w:r w:rsidRPr="00220C0D">
              <w:rPr>
                <w:sz w:val="20"/>
                <w:szCs w:val="20"/>
              </w:rPr>
              <w:t xml:space="preserve">ffices to ensure </w:t>
            </w:r>
            <w:r>
              <w:rPr>
                <w:sz w:val="20"/>
                <w:szCs w:val="20"/>
              </w:rPr>
              <w:t xml:space="preserve">that </w:t>
            </w:r>
            <w:r w:rsidRPr="00220C0D">
              <w:rPr>
                <w:sz w:val="20"/>
                <w:szCs w:val="20"/>
              </w:rPr>
              <w:t xml:space="preserve">they can align current </w:t>
            </w:r>
            <w:r>
              <w:rPr>
                <w:sz w:val="20"/>
                <w:szCs w:val="20"/>
              </w:rPr>
              <w:t>m</w:t>
            </w:r>
            <w:r w:rsidRPr="00220C0D">
              <w:rPr>
                <w:sz w:val="20"/>
                <w:szCs w:val="20"/>
              </w:rPr>
              <w:t xml:space="preserve">ine </w:t>
            </w:r>
            <w:r>
              <w:rPr>
                <w:sz w:val="20"/>
                <w:szCs w:val="20"/>
              </w:rPr>
              <w:t>a</w:t>
            </w:r>
            <w:r w:rsidRPr="00220C0D">
              <w:rPr>
                <w:sz w:val="20"/>
                <w:szCs w:val="20"/>
              </w:rPr>
              <w:t xml:space="preserve">ction programmes to the </w:t>
            </w:r>
            <w:r>
              <w:rPr>
                <w:sz w:val="20"/>
                <w:szCs w:val="20"/>
              </w:rPr>
              <w:t>d</w:t>
            </w:r>
            <w:r w:rsidRPr="00220C0D">
              <w:rPr>
                <w:sz w:val="20"/>
                <w:szCs w:val="20"/>
              </w:rPr>
              <w:t xml:space="preserve">evelopment and </w:t>
            </w:r>
            <w:r>
              <w:rPr>
                <w:sz w:val="20"/>
                <w:szCs w:val="20"/>
              </w:rPr>
              <w:t>m</w:t>
            </w:r>
            <w:r w:rsidRPr="00220C0D">
              <w:rPr>
                <w:sz w:val="20"/>
                <w:szCs w:val="20"/>
              </w:rPr>
              <w:t xml:space="preserve">ine </w:t>
            </w:r>
            <w:r>
              <w:rPr>
                <w:sz w:val="20"/>
                <w:szCs w:val="20"/>
              </w:rPr>
              <w:t>a</w:t>
            </w:r>
            <w:r w:rsidRPr="00220C0D">
              <w:rPr>
                <w:sz w:val="20"/>
                <w:szCs w:val="20"/>
              </w:rPr>
              <w:t xml:space="preserve">ction </w:t>
            </w:r>
            <w:r>
              <w:rPr>
                <w:sz w:val="20"/>
                <w:szCs w:val="20"/>
              </w:rPr>
              <w:t>a</w:t>
            </w:r>
            <w:r w:rsidRPr="00220C0D">
              <w:rPr>
                <w:sz w:val="20"/>
                <w:szCs w:val="20"/>
              </w:rPr>
              <w:t xml:space="preserve">reas of </w:t>
            </w:r>
            <w:r>
              <w:rPr>
                <w:sz w:val="20"/>
                <w:szCs w:val="20"/>
              </w:rPr>
              <w:t>f</w:t>
            </w:r>
            <w:r w:rsidRPr="00220C0D">
              <w:rPr>
                <w:sz w:val="20"/>
                <w:szCs w:val="20"/>
              </w:rPr>
              <w:t xml:space="preserve">ocus, as articulated in the UNDP Support Framework for </w:t>
            </w:r>
            <w:r w:rsidRPr="00CC0FAA">
              <w:rPr>
                <w:sz w:val="20"/>
                <w:szCs w:val="20"/>
              </w:rPr>
              <w:t xml:space="preserve">Development </w:t>
            </w:r>
            <w:r w:rsidR="00E9122C">
              <w:rPr>
                <w:sz w:val="20"/>
                <w:szCs w:val="20"/>
              </w:rPr>
              <w:t xml:space="preserve">and Mine Action </w:t>
            </w:r>
            <w:r w:rsidRPr="00CC0FAA">
              <w:rPr>
                <w:sz w:val="20"/>
                <w:szCs w:val="20"/>
              </w:rPr>
              <w:t xml:space="preserve">including areas highlighted under Recommendation 2 of this </w:t>
            </w:r>
            <w:r w:rsidR="00E9122C">
              <w:rPr>
                <w:sz w:val="20"/>
                <w:szCs w:val="20"/>
              </w:rPr>
              <w:t>e</w:t>
            </w:r>
            <w:r w:rsidR="00E9122C" w:rsidRPr="00CC0FAA">
              <w:rPr>
                <w:sz w:val="20"/>
                <w:szCs w:val="20"/>
              </w:rPr>
              <w:t xml:space="preserve">valuation </w:t>
            </w:r>
            <w:r w:rsidRPr="00CC0FAA">
              <w:rPr>
                <w:sz w:val="20"/>
                <w:szCs w:val="20"/>
              </w:rPr>
              <w:t xml:space="preserve">report, </w:t>
            </w:r>
            <w:r w:rsidRPr="00D054E1">
              <w:rPr>
                <w:sz w:val="20"/>
                <w:szCs w:val="20"/>
              </w:rPr>
              <w:t>in particular</w:t>
            </w:r>
            <w:r w:rsidR="00D054E1">
              <w:rPr>
                <w:color w:val="FFFFFF"/>
                <w:sz w:val="20"/>
                <w:szCs w:val="20"/>
              </w:rPr>
              <w:t>(</w:t>
            </w:r>
            <w:r w:rsidR="00D054E1">
              <w:rPr>
                <w:sz w:val="20"/>
                <w:szCs w:val="20"/>
              </w:rPr>
              <w:t xml:space="preserve">(a) </w:t>
            </w:r>
            <w:r w:rsidRPr="00D054E1">
              <w:rPr>
                <w:sz w:val="20"/>
                <w:szCs w:val="20"/>
              </w:rPr>
              <w:t xml:space="preserve">institutional capacity assessment for mine action, including the use of relevant indicators; </w:t>
            </w:r>
            <w:r w:rsidR="00D054E1">
              <w:rPr>
                <w:sz w:val="20"/>
                <w:szCs w:val="20"/>
              </w:rPr>
              <w:t>(b</w:t>
            </w:r>
            <w:r w:rsidRPr="00D054E1">
              <w:rPr>
                <w:sz w:val="20"/>
                <w:szCs w:val="20"/>
              </w:rPr>
              <w:t xml:space="preserve">) development and management of comprehensive databases of suspect and released mine areas; </w:t>
            </w:r>
            <w:r w:rsidR="00D054E1">
              <w:rPr>
                <w:sz w:val="20"/>
                <w:szCs w:val="20"/>
              </w:rPr>
              <w:t>(c</w:t>
            </w:r>
            <w:r w:rsidRPr="00D054E1">
              <w:rPr>
                <w:sz w:val="20"/>
                <w:szCs w:val="20"/>
              </w:rPr>
              <w:t xml:space="preserve">) land release prioritization; </w:t>
            </w:r>
            <w:r w:rsidR="00D054E1">
              <w:rPr>
                <w:sz w:val="20"/>
                <w:szCs w:val="20"/>
              </w:rPr>
              <w:t>(d</w:t>
            </w:r>
            <w:r w:rsidRPr="00D054E1">
              <w:rPr>
                <w:sz w:val="20"/>
                <w:szCs w:val="20"/>
              </w:rPr>
              <w:t xml:space="preserve">) strategies </w:t>
            </w:r>
            <w:r w:rsidR="00D054E1">
              <w:rPr>
                <w:sz w:val="20"/>
                <w:szCs w:val="20"/>
              </w:rPr>
              <w:t xml:space="preserve">for the </w:t>
            </w:r>
            <w:r w:rsidR="00D054E1" w:rsidRPr="00D054E1">
              <w:rPr>
                <w:sz w:val="20"/>
                <w:szCs w:val="20"/>
              </w:rPr>
              <w:t xml:space="preserve">transition </w:t>
            </w:r>
            <w:r w:rsidRPr="00D054E1">
              <w:rPr>
                <w:sz w:val="20"/>
                <w:szCs w:val="20"/>
              </w:rPr>
              <w:t xml:space="preserve">to national ownership of mine action programmes; </w:t>
            </w:r>
            <w:r w:rsidR="00D054E1">
              <w:rPr>
                <w:sz w:val="20"/>
                <w:szCs w:val="20"/>
              </w:rPr>
              <w:t>(e</w:t>
            </w:r>
            <w:r w:rsidRPr="00D054E1">
              <w:rPr>
                <w:sz w:val="20"/>
                <w:szCs w:val="20"/>
              </w:rPr>
              <w:t xml:space="preserve">) mainstreaming mine action into broader development imperatives, with special emphasis on marginalized communities; </w:t>
            </w:r>
            <w:r w:rsidR="00D054E1">
              <w:rPr>
                <w:sz w:val="20"/>
                <w:szCs w:val="20"/>
              </w:rPr>
              <w:t>(f</w:t>
            </w:r>
            <w:r w:rsidRPr="00D054E1">
              <w:rPr>
                <w:sz w:val="20"/>
                <w:szCs w:val="20"/>
              </w:rPr>
              <w:t xml:space="preserve">) taking gender aspects into account in mine action programming; </w:t>
            </w:r>
            <w:r w:rsidR="00D054E1">
              <w:rPr>
                <w:sz w:val="20"/>
                <w:szCs w:val="20"/>
              </w:rPr>
              <w:t>(g</w:t>
            </w:r>
            <w:r w:rsidRPr="00D054E1">
              <w:rPr>
                <w:sz w:val="20"/>
                <w:szCs w:val="20"/>
              </w:rPr>
              <w:t xml:space="preserve">) linking victim assistance support, where it exists within mine action programmes, into broader support for </w:t>
            </w:r>
            <w:r w:rsidR="00D054E1">
              <w:rPr>
                <w:sz w:val="20"/>
                <w:szCs w:val="20"/>
              </w:rPr>
              <w:t>persons with a disability</w:t>
            </w:r>
            <w:r w:rsidRPr="00D054E1">
              <w:rPr>
                <w:sz w:val="20"/>
                <w:szCs w:val="20"/>
              </w:rPr>
              <w:t xml:space="preserve">; </w:t>
            </w:r>
            <w:r w:rsidR="00D054E1">
              <w:rPr>
                <w:sz w:val="20"/>
                <w:szCs w:val="20"/>
              </w:rPr>
              <w:t>and (h</w:t>
            </w:r>
            <w:r w:rsidRPr="00D054E1">
              <w:rPr>
                <w:sz w:val="20"/>
                <w:szCs w:val="20"/>
              </w:rPr>
              <w:t>) efficiently channeling donor funding.</w:t>
            </w:r>
            <w:r w:rsidRPr="00D054E1">
              <w:rPr>
                <w:color w:val="FFFFFF"/>
                <w:sz w:val="18"/>
                <w:szCs w:val="18"/>
              </w:rPr>
              <w:t xml:space="preserve"> </w:t>
            </w:r>
            <w:r w:rsidRPr="00220C0D">
              <w:rPr>
                <w:i/>
                <w:color w:val="FFFFFF"/>
                <w:sz w:val="18"/>
                <w:szCs w:val="18"/>
              </w:rPr>
              <w:t>Action</w:t>
            </w:r>
            <w:r w:rsidRPr="00CC0FAA">
              <w:rPr>
                <w:i/>
                <w:color w:val="FFFFFF"/>
                <w:sz w:val="20"/>
                <w:szCs w:val="20"/>
              </w:rPr>
              <w:t>.</w:t>
            </w:r>
          </w:p>
        </w:tc>
        <w:tc>
          <w:tcPr>
            <w:tcW w:w="1486" w:type="dxa"/>
            <w:gridSpan w:val="3"/>
            <w:shd w:val="clear" w:color="auto" w:fill="auto"/>
          </w:tcPr>
          <w:p w:rsidR="005374E7" w:rsidRDefault="005374E7" w:rsidP="0071676E">
            <w:pPr>
              <w:tabs>
                <w:tab w:val="left" w:pos="2880"/>
              </w:tabs>
              <w:rPr>
                <w:sz w:val="20"/>
                <w:szCs w:val="20"/>
              </w:rPr>
            </w:pPr>
            <w:r w:rsidRPr="004074EE">
              <w:rPr>
                <w:sz w:val="20"/>
                <w:szCs w:val="20"/>
              </w:rPr>
              <w:t>In the course of 2016-2017</w:t>
            </w:r>
          </w:p>
        </w:tc>
        <w:tc>
          <w:tcPr>
            <w:tcW w:w="2445" w:type="dxa"/>
            <w:gridSpan w:val="3"/>
            <w:shd w:val="clear" w:color="auto" w:fill="auto"/>
          </w:tcPr>
          <w:p w:rsidR="005374E7" w:rsidRPr="004074EE" w:rsidRDefault="005374E7" w:rsidP="0071676E">
            <w:pPr>
              <w:tabs>
                <w:tab w:val="left" w:pos="2880"/>
              </w:tabs>
              <w:rPr>
                <w:sz w:val="20"/>
                <w:szCs w:val="20"/>
              </w:rPr>
            </w:pPr>
            <w:r w:rsidRPr="004074EE">
              <w:rPr>
                <w:sz w:val="20"/>
                <w:szCs w:val="20"/>
              </w:rPr>
              <w:t>BPPS and regional service centres</w:t>
            </w:r>
          </w:p>
        </w:tc>
        <w:tc>
          <w:tcPr>
            <w:tcW w:w="1220" w:type="dxa"/>
            <w:gridSpan w:val="3"/>
            <w:shd w:val="clear" w:color="auto" w:fill="auto"/>
          </w:tcPr>
          <w:p w:rsidR="005374E7" w:rsidRPr="004074EE" w:rsidRDefault="005374E7" w:rsidP="0071676E">
            <w:pPr>
              <w:tabs>
                <w:tab w:val="left" w:pos="2880"/>
              </w:tabs>
              <w:rPr>
                <w:sz w:val="20"/>
                <w:szCs w:val="20"/>
              </w:rPr>
            </w:pPr>
          </w:p>
        </w:tc>
        <w:tc>
          <w:tcPr>
            <w:tcW w:w="1053" w:type="dxa"/>
            <w:shd w:val="clear" w:color="auto" w:fill="auto"/>
          </w:tcPr>
          <w:p w:rsidR="005374E7" w:rsidRPr="004074EE" w:rsidRDefault="005374E7" w:rsidP="0071676E">
            <w:pPr>
              <w:tabs>
                <w:tab w:val="left" w:pos="2880"/>
              </w:tabs>
              <w:rPr>
                <w:sz w:val="20"/>
                <w:szCs w:val="20"/>
              </w:rPr>
            </w:pPr>
          </w:p>
        </w:tc>
      </w:tr>
      <w:tr w:rsidR="004E0E75" w:rsidRPr="004074EE" w:rsidTr="00D5696B">
        <w:trPr>
          <w:gridAfter w:val="1"/>
          <w:wAfter w:w="67" w:type="dxa"/>
        </w:trPr>
        <w:tc>
          <w:tcPr>
            <w:tcW w:w="8219" w:type="dxa"/>
            <w:gridSpan w:val="3"/>
            <w:shd w:val="clear" w:color="auto" w:fill="auto"/>
          </w:tcPr>
          <w:p w:rsidR="00F20A98" w:rsidRPr="004074EE" w:rsidRDefault="005374E7" w:rsidP="0071676E">
            <w:pPr>
              <w:tabs>
                <w:tab w:val="left" w:pos="2880"/>
              </w:tabs>
              <w:rPr>
                <w:sz w:val="20"/>
                <w:szCs w:val="20"/>
              </w:rPr>
            </w:pPr>
            <w:r w:rsidRPr="00220C0D">
              <w:rPr>
                <w:sz w:val="20"/>
                <w:szCs w:val="20"/>
              </w:rPr>
              <w:t xml:space="preserve">2.3  Provide continuous policy, programme and technical support to national </w:t>
            </w:r>
            <w:r w:rsidR="00D054E1">
              <w:rPr>
                <w:sz w:val="20"/>
                <w:szCs w:val="20"/>
              </w:rPr>
              <w:t>G</w:t>
            </w:r>
            <w:r w:rsidR="00D054E1" w:rsidRPr="00220C0D">
              <w:rPr>
                <w:sz w:val="20"/>
                <w:szCs w:val="20"/>
              </w:rPr>
              <w:t xml:space="preserve">overnments </w:t>
            </w:r>
            <w:r w:rsidRPr="00220C0D">
              <w:rPr>
                <w:sz w:val="20"/>
                <w:szCs w:val="20"/>
              </w:rPr>
              <w:t xml:space="preserve">in the </w:t>
            </w:r>
            <w:r w:rsidRPr="00CC0FAA">
              <w:rPr>
                <w:sz w:val="20"/>
                <w:szCs w:val="20"/>
              </w:rPr>
              <w:t xml:space="preserve">areas highlighted under Recommendation 2 of this </w:t>
            </w:r>
            <w:r w:rsidR="00D054E1">
              <w:rPr>
                <w:sz w:val="20"/>
                <w:szCs w:val="20"/>
              </w:rPr>
              <w:t>e</w:t>
            </w:r>
            <w:r w:rsidR="00D054E1" w:rsidRPr="00CC0FAA">
              <w:rPr>
                <w:sz w:val="20"/>
                <w:szCs w:val="20"/>
              </w:rPr>
              <w:t xml:space="preserve">valuation </w:t>
            </w:r>
            <w:r w:rsidRPr="00CC0FAA">
              <w:rPr>
                <w:sz w:val="20"/>
                <w:szCs w:val="20"/>
              </w:rPr>
              <w:t>report (see areas under 2.2 above);</w:t>
            </w:r>
            <w:r w:rsidR="00E9122C">
              <w:rPr>
                <w:sz w:val="20"/>
                <w:szCs w:val="20"/>
              </w:rPr>
              <w:t>.</w:t>
            </w:r>
            <w:r w:rsidRPr="00CC0FAA">
              <w:rPr>
                <w:sz w:val="20"/>
                <w:szCs w:val="20"/>
              </w:rPr>
              <w:t xml:space="preserve"> This will include a focus on </w:t>
            </w:r>
            <w:r w:rsidRPr="00220C0D">
              <w:rPr>
                <w:sz w:val="20"/>
                <w:szCs w:val="20"/>
              </w:rPr>
              <w:t xml:space="preserve">strategies </w:t>
            </w:r>
            <w:r w:rsidR="00D054E1">
              <w:rPr>
                <w:sz w:val="20"/>
                <w:szCs w:val="20"/>
              </w:rPr>
              <w:t xml:space="preserve">for </w:t>
            </w:r>
            <w:r w:rsidR="00D054E1" w:rsidRPr="00CC0FAA">
              <w:rPr>
                <w:sz w:val="20"/>
                <w:szCs w:val="20"/>
              </w:rPr>
              <w:t>transition</w:t>
            </w:r>
            <w:r w:rsidR="00D054E1" w:rsidRPr="00220C0D">
              <w:rPr>
                <w:sz w:val="20"/>
                <w:szCs w:val="20"/>
              </w:rPr>
              <w:t xml:space="preserve"> </w:t>
            </w:r>
            <w:r w:rsidRPr="00220C0D">
              <w:rPr>
                <w:sz w:val="20"/>
                <w:szCs w:val="20"/>
              </w:rPr>
              <w:t xml:space="preserve">to full national ownership, taking into account </w:t>
            </w:r>
            <w:r w:rsidR="00D054E1">
              <w:rPr>
                <w:sz w:val="20"/>
                <w:szCs w:val="20"/>
              </w:rPr>
              <w:lastRenderedPageBreak/>
              <w:t xml:space="preserve">both </w:t>
            </w:r>
            <w:r w:rsidRPr="00220C0D">
              <w:rPr>
                <w:sz w:val="20"/>
                <w:szCs w:val="20"/>
              </w:rPr>
              <w:t xml:space="preserve">government </w:t>
            </w:r>
            <w:r w:rsidR="00D054E1" w:rsidRPr="00220C0D">
              <w:rPr>
                <w:sz w:val="20"/>
                <w:szCs w:val="20"/>
              </w:rPr>
              <w:t>capacit</w:t>
            </w:r>
            <w:r w:rsidR="00D054E1">
              <w:rPr>
                <w:sz w:val="20"/>
                <w:szCs w:val="20"/>
              </w:rPr>
              <w:t>ies</w:t>
            </w:r>
            <w:r w:rsidRPr="00220C0D">
              <w:rPr>
                <w:sz w:val="20"/>
                <w:szCs w:val="20"/>
              </w:rPr>
              <w:t xml:space="preserve"> </w:t>
            </w:r>
            <w:r w:rsidR="00D054E1">
              <w:rPr>
                <w:sz w:val="20"/>
                <w:szCs w:val="20"/>
              </w:rPr>
              <w:t xml:space="preserve">and </w:t>
            </w:r>
            <w:r w:rsidRPr="00220C0D">
              <w:rPr>
                <w:sz w:val="20"/>
                <w:szCs w:val="20"/>
              </w:rPr>
              <w:t xml:space="preserve">practical needs when completing and closing down land mine programmes, </w:t>
            </w:r>
            <w:r w:rsidR="00E9122C">
              <w:rPr>
                <w:sz w:val="20"/>
                <w:szCs w:val="20"/>
              </w:rPr>
              <w:t xml:space="preserve">in order </w:t>
            </w:r>
            <w:r w:rsidRPr="00220C0D">
              <w:rPr>
                <w:sz w:val="20"/>
                <w:szCs w:val="20"/>
              </w:rPr>
              <w:t xml:space="preserve">to maintain a residual capacity for response and to support future development projects on </w:t>
            </w:r>
            <w:r w:rsidR="00D054E1">
              <w:rPr>
                <w:sz w:val="20"/>
                <w:szCs w:val="20"/>
              </w:rPr>
              <w:t xml:space="preserve">land </w:t>
            </w:r>
            <w:r w:rsidRPr="00220C0D">
              <w:rPr>
                <w:sz w:val="20"/>
                <w:szCs w:val="20"/>
              </w:rPr>
              <w:t xml:space="preserve">previously affected </w:t>
            </w:r>
            <w:r w:rsidR="00D054E1">
              <w:rPr>
                <w:sz w:val="20"/>
                <w:szCs w:val="20"/>
              </w:rPr>
              <w:t>by mines</w:t>
            </w:r>
            <w:r>
              <w:rPr>
                <w:sz w:val="20"/>
                <w:szCs w:val="20"/>
              </w:rPr>
              <w:t>.</w:t>
            </w:r>
            <w:r w:rsidRPr="00220C0D">
              <w:rPr>
                <w:color w:val="FFFFFF"/>
                <w:sz w:val="20"/>
                <w:szCs w:val="20"/>
              </w:rPr>
              <w:t>.</w:t>
            </w:r>
          </w:p>
        </w:tc>
        <w:tc>
          <w:tcPr>
            <w:tcW w:w="1486" w:type="dxa"/>
            <w:gridSpan w:val="3"/>
            <w:shd w:val="clear" w:color="auto" w:fill="auto"/>
          </w:tcPr>
          <w:p w:rsidR="00F20A98" w:rsidRPr="004074EE" w:rsidRDefault="00F20A98" w:rsidP="0071676E">
            <w:pPr>
              <w:tabs>
                <w:tab w:val="left" w:pos="2880"/>
              </w:tabs>
              <w:rPr>
                <w:sz w:val="20"/>
                <w:szCs w:val="20"/>
              </w:rPr>
            </w:pPr>
            <w:r w:rsidRPr="004074EE">
              <w:rPr>
                <w:sz w:val="20"/>
                <w:szCs w:val="20"/>
              </w:rPr>
              <w:lastRenderedPageBreak/>
              <w:t>In the course of 2016-2017</w:t>
            </w:r>
          </w:p>
        </w:tc>
        <w:tc>
          <w:tcPr>
            <w:tcW w:w="2445" w:type="dxa"/>
            <w:gridSpan w:val="3"/>
            <w:shd w:val="clear" w:color="auto" w:fill="auto"/>
          </w:tcPr>
          <w:p w:rsidR="00F20A98" w:rsidRPr="004074EE" w:rsidRDefault="005374E7" w:rsidP="00E9122C">
            <w:pPr>
              <w:tabs>
                <w:tab w:val="left" w:pos="2880"/>
              </w:tabs>
              <w:rPr>
                <w:sz w:val="20"/>
                <w:szCs w:val="20"/>
              </w:rPr>
            </w:pPr>
            <w:r>
              <w:rPr>
                <w:sz w:val="20"/>
                <w:szCs w:val="20"/>
              </w:rPr>
              <w:t xml:space="preserve">UNDP </w:t>
            </w:r>
            <w:r w:rsidR="00D054E1">
              <w:rPr>
                <w:sz w:val="20"/>
                <w:szCs w:val="20"/>
              </w:rPr>
              <w:t xml:space="preserve">country </w:t>
            </w:r>
            <w:r w:rsidR="00E9122C">
              <w:rPr>
                <w:sz w:val="20"/>
                <w:szCs w:val="20"/>
              </w:rPr>
              <w:t>offices</w:t>
            </w:r>
            <w:r w:rsidR="00D054E1">
              <w:rPr>
                <w:sz w:val="20"/>
                <w:szCs w:val="20"/>
              </w:rPr>
              <w:t xml:space="preserve">, supported </w:t>
            </w:r>
            <w:r>
              <w:rPr>
                <w:sz w:val="20"/>
                <w:szCs w:val="20"/>
              </w:rPr>
              <w:t>by BPPS</w:t>
            </w:r>
          </w:p>
        </w:tc>
        <w:tc>
          <w:tcPr>
            <w:tcW w:w="1220" w:type="dxa"/>
            <w:gridSpan w:val="3"/>
            <w:shd w:val="clear" w:color="auto" w:fill="auto"/>
          </w:tcPr>
          <w:p w:rsidR="00F20A98" w:rsidRPr="004074EE" w:rsidRDefault="00F20A98" w:rsidP="0071676E">
            <w:pPr>
              <w:tabs>
                <w:tab w:val="left" w:pos="2880"/>
              </w:tabs>
              <w:rPr>
                <w:sz w:val="20"/>
                <w:szCs w:val="20"/>
              </w:rPr>
            </w:pPr>
          </w:p>
        </w:tc>
        <w:tc>
          <w:tcPr>
            <w:tcW w:w="1053" w:type="dxa"/>
            <w:shd w:val="clear" w:color="auto" w:fill="auto"/>
          </w:tcPr>
          <w:p w:rsidR="00F20A98" w:rsidRPr="004074EE" w:rsidRDefault="00F20A98" w:rsidP="0071676E">
            <w:pPr>
              <w:tabs>
                <w:tab w:val="left" w:pos="2880"/>
              </w:tabs>
              <w:rPr>
                <w:sz w:val="20"/>
                <w:szCs w:val="20"/>
              </w:rPr>
            </w:pPr>
          </w:p>
        </w:tc>
      </w:tr>
      <w:tr w:rsidR="005374E7" w:rsidRPr="004074EE" w:rsidTr="00D5696B">
        <w:trPr>
          <w:gridAfter w:val="1"/>
          <w:wAfter w:w="67" w:type="dxa"/>
        </w:trPr>
        <w:tc>
          <w:tcPr>
            <w:tcW w:w="8219" w:type="dxa"/>
            <w:gridSpan w:val="3"/>
            <w:shd w:val="clear" w:color="auto" w:fill="auto"/>
          </w:tcPr>
          <w:p w:rsidR="005374E7" w:rsidRPr="004074EE" w:rsidRDefault="005374E7" w:rsidP="00E9122C">
            <w:pPr>
              <w:pStyle w:val="normal2"/>
              <w:numPr>
                <w:ilvl w:val="0"/>
                <w:numId w:val="0"/>
              </w:numPr>
              <w:spacing w:before="0"/>
            </w:pPr>
            <w:r>
              <w:lastRenderedPageBreak/>
              <w:t>2.4  Support national and local governments</w:t>
            </w:r>
            <w:r w:rsidR="00D054E1">
              <w:t>,</w:t>
            </w:r>
            <w:r>
              <w:t xml:space="preserve"> including national mine action authorities</w:t>
            </w:r>
            <w:r w:rsidR="00D054E1">
              <w:t>,</w:t>
            </w:r>
            <w:r>
              <w:t xml:space="preserve"> to develop comprehensive databases of all sites that were ever suspect or demined in order to properly plan for future land use and development projects; </w:t>
            </w:r>
            <w:r w:rsidR="00E9122C">
              <w:t xml:space="preserve">ensure </w:t>
            </w:r>
            <w:r>
              <w:t xml:space="preserve">that data </w:t>
            </w:r>
            <w:r w:rsidR="00D054E1">
              <w:t xml:space="preserve">are </w:t>
            </w:r>
            <w:r>
              <w:t xml:space="preserve">captured and shared with appropriate government entities. </w:t>
            </w:r>
          </w:p>
        </w:tc>
        <w:tc>
          <w:tcPr>
            <w:tcW w:w="1486" w:type="dxa"/>
            <w:gridSpan w:val="3"/>
            <w:shd w:val="clear" w:color="auto" w:fill="auto"/>
          </w:tcPr>
          <w:p w:rsidR="005374E7" w:rsidRDefault="005374E7" w:rsidP="0071676E">
            <w:pPr>
              <w:tabs>
                <w:tab w:val="left" w:pos="2880"/>
              </w:tabs>
              <w:rPr>
                <w:sz w:val="20"/>
                <w:szCs w:val="20"/>
              </w:rPr>
            </w:pPr>
            <w:r>
              <w:rPr>
                <w:sz w:val="20"/>
                <w:szCs w:val="20"/>
              </w:rPr>
              <w:t>Ongoing</w:t>
            </w:r>
          </w:p>
          <w:p w:rsidR="005374E7" w:rsidRDefault="005374E7" w:rsidP="0071676E">
            <w:pPr>
              <w:tabs>
                <w:tab w:val="left" w:pos="2880"/>
              </w:tabs>
              <w:rPr>
                <w:sz w:val="20"/>
                <w:szCs w:val="20"/>
              </w:rPr>
            </w:pPr>
            <w:r>
              <w:rPr>
                <w:sz w:val="20"/>
                <w:szCs w:val="20"/>
              </w:rPr>
              <w:t>By March 2017</w:t>
            </w:r>
          </w:p>
          <w:p w:rsidR="005374E7" w:rsidRPr="004074EE" w:rsidRDefault="005374E7" w:rsidP="0071676E">
            <w:pPr>
              <w:tabs>
                <w:tab w:val="left" w:pos="2880"/>
              </w:tabs>
              <w:rPr>
                <w:sz w:val="20"/>
                <w:szCs w:val="20"/>
              </w:rPr>
            </w:pPr>
          </w:p>
        </w:tc>
        <w:tc>
          <w:tcPr>
            <w:tcW w:w="2445" w:type="dxa"/>
            <w:gridSpan w:val="3"/>
            <w:shd w:val="clear" w:color="auto" w:fill="auto"/>
          </w:tcPr>
          <w:p w:rsidR="005374E7" w:rsidRPr="004074EE" w:rsidRDefault="005374E7" w:rsidP="00D054E1">
            <w:pPr>
              <w:tabs>
                <w:tab w:val="left" w:pos="2880"/>
              </w:tabs>
              <w:rPr>
                <w:sz w:val="20"/>
                <w:szCs w:val="20"/>
              </w:rPr>
            </w:pPr>
            <w:r w:rsidRPr="004074EE">
              <w:rPr>
                <w:sz w:val="20"/>
                <w:szCs w:val="20"/>
              </w:rPr>
              <w:t xml:space="preserve">BPPS, </w:t>
            </w:r>
            <w:r w:rsidR="00D054E1">
              <w:rPr>
                <w:sz w:val="20"/>
                <w:szCs w:val="20"/>
              </w:rPr>
              <w:t>r</w:t>
            </w:r>
            <w:r w:rsidR="00D054E1" w:rsidRPr="004074EE">
              <w:rPr>
                <w:sz w:val="20"/>
                <w:szCs w:val="20"/>
              </w:rPr>
              <w:t xml:space="preserve">egional </w:t>
            </w:r>
            <w:r w:rsidR="00D054E1">
              <w:rPr>
                <w:sz w:val="20"/>
                <w:szCs w:val="20"/>
              </w:rPr>
              <w:t>hubs</w:t>
            </w:r>
          </w:p>
        </w:tc>
        <w:tc>
          <w:tcPr>
            <w:tcW w:w="1220" w:type="dxa"/>
            <w:gridSpan w:val="3"/>
            <w:shd w:val="clear" w:color="auto" w:fill="auto"/>
          </w:tcPr>
          <w:p w:rsidR="005374E7" w:rsidRPr="004074EE" w:rsidRDefault="005374E7" w:rsidP="0071676E">
            <w:pPr>
              <w:tabs>
                <w:tab w:val="left" w:pos="2880"/>
              </w:tabs>
              <w:rPr>
                <w:sz w:val="20"/>
                <w:szCs w:val="20"/>
              </w:rPr>
            </w:pPr>
          </w:p>
        </w:tc>
        <w:tc>
          <w:tcPr>
            <w:tcW w:w="1053" w:type="dxa"/>
            <w:shd w:val="clear" w:color="auto" w:fill="auto"/>
          </w:tcPr>
          <w:p w:rsidR="005374E7" w:rsidRPr="004074EE" w:rsidRDefault="005374E7" w:rsidP="0071676E">
            <w:pPr>
              <w:tabs>
                <w:tab w:val="left" w:pos="2880"/>
              </w:tabs>
              <w:rPr>
                <w:sz w:val="20"/>
                <w:szCs w:val="20"/>
              </w:rPr>
            </w:pPr>
          </w:p>
        </w:tc>
      </w:tr>
      <w:tr w:rsidR="004E0E75" w:rsidRPr="004074EE" w:rsidTr="00D5696B">
        <w:trPr>
          <w:gridAfter w:val="1"/>
          <w:wAfter w:w="67" w:type="dxa"/>
        </w:trPr>
        <w:tc>
          <w:tcPr>
            <w:tcW w:w="8219" w:type="dxa"/>
            <w:gridSpan w:val="3"/>
            <w:shd w:val="clear" w:color="auto" w:fill="auto"/>
          </w:tcPr>
          <w:p w:rsidR="00F20A98" w:rsidRPr="004074EE" w:rsidRDefault="005374E7" w:rsidP="00535EE1">
            <w:pPr>
              <w:tabs>
                <w:tab w:val="left" w:pos="2880"/>
              </w:tabs>
              <w:rPr>
                <w:sz w:val="20"/>
                <w:szCs w:val="20"/>
              </w:rPr>
            </w:pPr>
            <w:r w:rsidRPr="004074EE">
              <w:rPr>
                <w:sz w:val="20"/>
                <w:szCs w:val="20"/>
              </w:rPr>
              <w:t>2.</w:t>
            </w:r>
            <w:r>
              <w:rPr>
                <w:sz w:val="20"/>
                <w:szCs w:val="20"/>
              </w:rPr>
              <w:t>5</w:t>
            </w:r>
            <w:r w:rsidRPr="004074EE">
              <w:rPr>
                <w:sz w:val="20"/>
                <w:szCs w:val="20"/>
              </w:rPr>
              <w:t>. Promote South-South cooperation and cross-fertilization of best practices across different regions</w:t>
            </w:r>
            <w:r>
              <w:rPr>
                <w:sz w:val="20"/>
                <w:szCs w:val="20"/>
              </w:rPr>
              <w:t>.</w:t>
            </w:r>
          </w:p>
        </w:tc>
        <w:tc>
          <w:tcPr>
            <w:tcW w:w="1486" w:type="dxa"/>
            <w:gridSpan w:val="3"/>
            <w:shd w:val="clear" w:color="auto" w:fill="auto"/>
          </w:tcPr>
          <w:p w:rsidR="00F20A98" w:rsidRPr="004074EE" w:rsidRDefault="00F20A98" w:rsidP="0071676E">
            <w:pPr>
              <w:tabs>
                <w:tab w:val="left" w:pos="2880"/>
              </w:tabs>
              <w:rPr>
                <w:sz w:val="20"/>
                <w:szCs w:val="20"/>
              </w:rPr>
            </w:pPr>
            <w:r w:rsidRPr="004074EE">
              <w:rPr>
                <w:sz w:val="20"/>
                <w:szCs w:val="20"/>
              </w:rPr>
              <w:t>In the course of 2016-2017</w:t>
            </w:r>
          </w:p>
        </w:tc>
        <w:tc>
          <w:tcPr>
            <w:tcW w:w="2445" w:type="dxa"/>
            <w:gridSpan w:val="3"/>
            <w:shd w:val="clear" w:color="auto" w:fill="auto"/>
          </w:tcPr>
          <w:p w:rsidR="00F20A98" w:rsidRPr="004074EE" w:rsidRDefault="005374E7" w:rsidP="0071676E">
            <w:pPr>
              <w:tabs>
                <w:tab w:val="left" w:pos="2880"/>
              </w:tabs>
              <w:rPr>
                <w:sz w:val="20"/>
                <w:szCs w:val="20"/>
              </w:rPr>
            </w:pPr>
            <w:r w:rsidRPr="004074EE">
              <w:rPr>
                <w:sz w:val="20"/>
                <w:szCs w:val="20"/>
              </w:rPr>
              <w:t xml:space="preserve">BPPS, regional service centres, </w:t>
            </w:r>
            <w:r w:rsidR="00D054E1">
              <w:rPr>
                <w:sz w:val="20"/>
                <w:szCs w:val="20"/>
              </w:rPr>
              <w:t>country offices</w:t>
            </w:r>
            <w:r w:rsidR="00D054E1" w:rsidRPr="004074EE">
              <w:rPr>
                <w:sz w:val="20"/>
                <w:szCs w:val="20"/>
              </w:rPr>
              <w:t xml:space="preserve"> </w:t>
            </w:r>
            <w:r w:rsidRPr="004074EE">
              <w:rPr>
                <w:sz w:val="20"/>
                <w:szCs w:val="20"/>
              </w:rPr>
              <w:t xml:space="preserve">and </w:t>
            </w:r>
            <w:r w:rsidR="00D054E1">
              <w:rPr>
                <w:sz w:val="20"/>
                <w:szCs w:val="20"/>
              </w:rPr>
              <w:t>regional bureaux</w:t>
            </w:r>
          </w:p>
        </w:tc>
        <w:tc>
          <w:tcPr>
            <w:tcW w:w="1220" w:type="dxa"/>
            <w:gridSpan w:val="3"/>
            <w:shd w:val="clear" w:color="auto" w:fill="auto"/>
          </w:tcPr>
          <w:p w:rsidR="00F20A98" w:rsidRPr="004074EE" w:rsidRDefault="00F20A98" w:rsidP="0071676E">
            <w:pPr>
              <w:tabs>
                <w:tab w:val="left" w:pos="2880"/>
              </w:tabs>
              <w:rPr>
                <w:sz w:val="20"/>
                <w:szCs w:val="20"/>
              </w:rPr>
            </w:pPr>
          </w:p>
        </w:tc>
        <w:tc>
          <w:tcPr>
            <w:tcW w:w="1053" w:type="dxa"/>
            <w:shd w:val="clear" w:color="auto" w:fill="auto"/>
          </w:tcPr>
          <w:p w:rsidR="00F20A98" w:rsidRPr="004074EE" w:rsidRDefault="00F20A98" w:rsidP="0071676E">
            <w:pPr>
              <w:tabs>
                <w:tab w:val="left" w:pos="2880"/>
              </w:tabs>
              <w:rPr>
                <w:sz w:val="20"/>
                <w:szCs w:val="20"/>
              </w:rPr>
            </w:pPr>
          </w:p>
        </w:tc>
      </w:tr>
      <w:tr w:rsidR="00535EE1" w:rsidRPr="00F443B3" w:rsidTr="00D5696B">
        <w:trPr>
          <w:gridAfter w:val="1"/>
          <w:wAfter w:w="67" w:type="dxa"/>
        </w:trPr>
        <w:tc>
          <w:tcPr>
            <w:tcW w:w="8219" w:type="dxa"/>
            <w:gridSpan w:val="3"/>
            <w:shd w:val="clear" w:color="auto" w:fill="auto"/>
          </w:tcPr>
          <w:p w:rsidR="00535EE1" w:rsidRPr="00F443B3" w:rsidRDefault="00535EE1" w:rsidP="00535EE1">
            <w:pPr>
              <w:tabs>
                <w:tab w:val="left" w:pos="2880"/>
              </w:tabs>
              <w:rPr>
                <w:sz w:val="20"/>
                <w:szCs w:val="20"/>
              </w:rPr>
            </w:pPr>
            <w:r>
              <w:rPr>
                <w:sz w:val="20"/>
                <w:szCs w:val="20"/>
              </w:rPr>
              <w:t>2</w:t>
            </w:r>
            <w:r w:rsidRPr="00F443B3">
              <w:rPr>
                <w:sz w:val="20"/>
                <w:szCs w:val="20"/>
              </w:rPr>
              <w:t>.</w:t>
            </w:r>
            <w:r>
              <w:rPr>
                <w:sz w:val="20"/>
                <w:szCs w:val="20"/>
              </w:rPr>
              <w:t>6</w:t>
            </w:r>
            <w:r w:rsidRPr="00F443B3">
              <w:rPr>
                <w:sz w:val="20"/>
                <w:szCs w:val="20"/>
              </w:rPr>
              <w:t xml:space="preserve"> Design and implement </w:t>
            </w:r>
            <w:r>
              <w:rPr>
                <w:sz w:val="20"/>
                <w:szCs w:val="20"/>
              </w:rPr>
              <w:t>m</w:t>
            </w:r>
            <w:r w:rsidRPr="00F443B3">
              <w:rPr>
                <w:sz w:val="20"/>
                <w:szCs w:val="20"/>
              </w:rPr>
              <w:t xml:space="preserve">onitoring and </w:t>
            </w:r>
            <w:r>
              <w:rPr>
                <w:sz w:val="20"/>
                <w:szCs w:val="20"/>
              </w:rPr>
              <w:t>e</w:t>
            </w:r>
            <w:r w:rsidRPr="00F443B3">
              <w:rPr>
                <w:sz w:val="20"/>
                <w:szCs w:val="20"/>
              </w:rPr>
              <w:t xml:space="preserve">valuation </w:t>
            </w:r>
            <w:r>
              <w:rPr>
                <w:sz w:val="20"/>
                <w:szCs w:val="20"/>
              </w:rPr>
              <w:t>s</w:t>
            </w:r>
            <w:r w:rsidRPr="00F443B3">
              <w:rPr>
                <w:sz w:val="20"/>
                <w:szCs w:val="20"/>
              </w:rPr>
              <w:t xml:space="preserve">ystems that </w:t>
            </w:r>
            <w:r>
              <w:rPr>
                <w:sz w:val="20"/>
                <w:szCs w:val="20"/>
              </w:rPr>
              <w:t>take into account the</w:t>
            </w:r>
            <w:r w:rsidRPr="00F443B3">
              <w:rPr>
                <w:sz w:val="20"/>
                <w:szCs w:val="20"/>
              </w:rPr>
              <w:t xml:space="preserve"> capacit</w:t>
            </w:r>
            <w:r>
              <w:rPr>
                <w:sz w:val="20"/>
                <w:szCs w:val="20"/>
              </w:rPr>
              <w:t>ies of</w:t>
            </w:r>
            <w:r w:rsidRPr="00F443B3">
              <w:rPr>
                <w:sz w:val="20"/>
                <w:szCs w:val="20"/>
              </w:rPr>
              <w:t xml:space="preserve"> the government and other national counterparts</w:t>
            </w:r>
            <w:r>
              <w:rPr>
                <w:sz w:val="20"/>
                <w:szCs w:val="20"/>
              </w:rPr>
              <w:t>, including additional M&amp;E training where needed.</w:t>
            </w:r>
          </w:p>
        </w:tc>
        <w:tc>
          <w:tcPr>
            <w:tcW w:w="1486" w:type="dxa"/>
            <w:gridSpan w:val="3"/>
            <w:shd w:val="clear" w:color="auto" w:fill="auto"/>
          </w:tcPr>
          <w:p w:rsidR="00535EE1" w:rsidRPr="00F443B3" w:rsidRDefault="00535EE1" w:rsidP="006C052B">
            <w:pPr>
              <w:tabs>
                <w:tab w:val="left" w:pos="2880"/>
              </w:tabs>
              <w:rPr>
                <w:sz w:val="20"/>
                <w:szCs w:val="20"/>
              </w:rPr>
            </w:pPr>
            <w:r>
              <w:rPr>
                <w:sz w:val="20"/>
                <w:szCs w:val="20"/>
              </w:rPr>
              <w:t xml:space="preserve">By </w:t>
            </w:r>
            <w:r w:rsidRPr="00F443B3">
              <w:rPr>
                <w:sz w:val="20"/>
                <w:szCs w:val="20"/>
              </w:rPr>
              <w:t>December 2016</w:t>
            </w:r>
          </w:p>
        </w:tc>
        <w:tc>
          <w:tcPr>
            <w:tcW w:w="2445" w:type="dxa"/>
            <w:gridSpan w:val="3"/>
            <w:shd w:val="clear" w:color="auto" w:fill="auto"/>
          </w:tcPr>
          <w:p w:rsidR="00535EE1" w:rsidRPr="00F443B3" w:rsidRDefault="00535EE1" w:rsidP="006C052B">
            <w:pPr>
              <w:tabs>
                <w:tab w:val="left" w:pos="2880"/>
              </w:tabs>
              <w:rPr>
                <w:sz w:val="20"/>
                <w:szCs w:val="20"/>
              </w:rPr>
            </w:pPr>
            <w:r w:rsidRPr="00F443B3">
              <w:rPr>
                <w:sz w:val="20"/>
                <w:szCs w:val="20"/>
              </w:rPr>
              <w:t xml:space="preserve">UNDP </w:t>
            </w:r>
            <w:r>
              <w:rPr>
                <w:sz w:val="20"/>
                <w:szCs w:val="20"/>
              </w:rPr>
              <w:t>c</w:t>
            </w:r>
            <w:r w:rsidRPr="00F443B3">
              <w:rPr>
                <w:sz w:val="20"/>
                <w:szCs w:val="20"/>
              </w:rPr>
              <w:t xml:space="preserve">ountry </w:t>
            </w:r>
            <w:r>
              <w:rPr>
                <w:sz w:val="20"/>
                <w:szCs w:val="20"/>
              </w:rPr>
              <w:t>o</w:t>
            </w:r>
            <w:r w:rsidRPr="00F443B3">
              <w:rPr>
                <w:sz w:val="20"/>
                <w:szCs w:val="20"/>
              </w:rPr>
              <w:t>ffices</w:t>
            </w:r>
            <w:r>
              <w:rPr>
                <w:sz w:val="20"/>
                <w:szCs w:val="20"/>
              </w:rPr>
              <w:t>,</w:t>
            </w:r>
            <w:r w:rsidRPr="00F443B3">
              <w:rPr>
                <w:sz w:val="20"/>
                <w:szCs w:val="20"/>
              </w:rPr>
              <w:t xml:space="preserve"> </w:t>
            </w:r>
            <w:r>
              <w:rPr>
                <w:sz w:val="20"/>
                <w:szCs w:val="20"/>
              </w:rPr>
              <w:t>s</w:t>
            </w:r>
            <w:r w:rsidRPr="00F443B3">
              <w:rPr>
                <w:sz w:val="20"/>
                <w:szCs w:val="20"/>
              </w:rPr>
              <w:t>upported by BPPS</w:t>
            </w:r>
          </w:p>
        </w:tc>
        <w:tc>
          <w:tcPr>
            <w:tcW w:w="1220" w:type="dxa"/>
            <w:gridSpan w:val="3"/>
            <w:shd w:val="clear" w:color="auto" w:fill="auto"/>
          </w:tcPr>
          <w:p w:rsidR="00535EE1" w:rsidRPr="00F443B3" w:rsidRDefault="00535EE1" w:rsidP="006C052B">
            <w:pPr>
              <w:tabs>
                <w:tab w:val="left" w:pos="2880"/>
              </w:tabs>
              <w:rPr>
                <w:sz w:val="20"/>
                <w:szCs w:val="20"/>
              </w:rPr>
            </w:pPr>
          </w:p>
        </w:tc>
        <w:tc>
          <w:tcPr>
            <w:tcW w:w="1053" w:type="dxa"/>
            <w:shd w:val="clear" w:color="auto" w:fill="auto"/>
          </w:tcPr>
          <w:p w:rsidR="00535EE1" w:rsidRPr="00F443B3" w:rsidRDefault="00535EE1" w:rsidP="006C052B">
            <w:pPr>
              <w:tabs>
                <w:tab w:val="left" w:pos="2880"/>
              </w:tabs>
              <w:rPr>
                <w:sz w:val="20"/>
                <w:szCs w:val="20"/>
              </w:rPr>
            </w:pPr>
          </w:p>
        </w:tc>
      </w:tr>
      <w:tr w:rsidR="00535EE1" w:rsidRPr="00F443B3" w:rsidTr="00D5696B">
        <w:trPr>
          <w:gridAfter w:val="1"/>
          <w:wAfter w:w="67" w:type="dxa"/>
        </w:trPr>
        <w:tc>
          <w:tcPr>
            <w:tcW w:w="8219" w:type="dxa"/>
            <w:gridSpan w:val="3"/>
            <w:shd w:val="clear" w:color="auto" w:fill="auto"/>
          </w:tcPr>
          <w:p w:rsidR="00535EE1" w:rsidRPr="00F443B3" w:rsidRDefault="00535EE1" w:rsidP="00535EE1">
            <w:pPr>
              <w:tabs>
                <w:tab w:val="left" w:pos="2880"/>
              </w:tabs>
              <w:rPr>
                <w:sz w:val="20"/>
                <w:szCs w:val="20"/>
              </w:rPr>
            </w:pPr>
            <w:r>
              <w:rPr>
                <w:sz w:val="20"/>
                <w:szCs w:val="20"/>
              </w:rPr>
              <w:t>2</w:t>
            </w:r>
            <w:r w:rsidRPr="00F443B3">
              <w:rPr>
                <w:sz w:val="20"/>
                <w:szCs w:val="20"/>
              </w:rPr>
              <w:t>.</w:t>
            </w:r>
            <w:r>
              <w:rPr>
                <w:sz w:val="20"/>
                <w:szCs w:val="20"/>
              </w:rPr>
              <w:t>7</w:t>
            </w:r>
            <w:r w:rsidRPr="00F443B3">
              <w:rPr>
                <w:sz w:val="20"/>
                <w:szCs w:val="20"/>
              </w:rPr>
              <w:t xml:space="preserve"> </w:t>
            </w:r>
            <w:r>
              <w:rPr>
                <w:sz w:val="20"/>
                <w:szCs w:val="20"/>
              </w:rPr>
              <w:t>Participate f</w:t>
            </w:r>
            <w:r w:rsidRPr="00F443B3">
              <w:rPr>
                <w:sz w:val="20"/>
                <w:szCs w:val="20"/>
              </w:rPr>
              <w:t xml:space="preserve">ully in the upcoming midterm review of the Strategy </w:t>
            </w:r>
            <w:r>
              <w:rPr>
                <w:sz w:val="20"/>
                <w:szCs w:val="20"/>
              </w:rPr>
              <w:t xml:space="preserve">of the United Nations </w:t>
            </w:r>
            <w:r w:rsidRPr="00F443B3">
              <w:rPr>
                <w:sz w:val="20"/>
                <w:szCs w:val="20"/>
              </w:rPr>
              <w:t>on Mine Action 2013-2018</w:t>
            </w:r>
            <w:r>
              <w:rPr>
                <w:sz w:val="20"/>
                <w:szCs w:val="20"/>
              </w:rPr>
              <w:t>,</w:t>
            </w:r>
            <w:r w:rsidRPr="00F443B3">
              <w:rPr>
                <w:sz w:val="20"/>
                <w:szCs w:val="20"/>
              </w:rPr>
              <w:t xml:space="preserve"> </w:t>
            </w:r>
            <w:r>
              <w:rPr>
                <w:sz w:val="20"/>
                <w:szCs w:val="20"/>
              </w:rPr>
              <w:t xml:space="preserve"> advocating greater emphasis on, and strengthening indicators for </w:t>
            </w:r>
            <w:r w:rsidRPr="00F443B3">
              <w:rPr>
                <w:sz w:val="20"/>
                <w:szCs w:val="20"/>
              </w:rPr>
              <w:t>developing sustainable</w:t>
            </w:r>
            <w:r>
              <w:rPr>
                <w:sz w:val="20"/>
                <w:szCs w:val="20"/>
              </w:rPr>
              <w:t xml:space="preserve"> national management capacities as a core feature of </w:t>
            </w:r>
            <w:r w:rsidRPr="00F443B3">
              <w:rPr>
                <w:sz w:val="20"/>
                <w:szCs w:val="20"/>
              </w:rPr>
              <w:t>Strategic Objective 3 (development of national capacity)</w:t>
            </w:r>
            <w:r>
              <w:rPr>
                <w:sz w:val="20"/>
                <w:szCs w:val="20"/>
              </w:rPr>
              <w:t>;</w:t>
            </w:r>
            <w:r w:rsidRPr="00F443B3">
              <w:rPr>
                <w:sz w:val="20"/>
                <w:szCs w:val="20"/>
              </w:rPr>
              <w:t xml:space="preserve"> </w:t>
            </w:r>
            <w:r>
              <w:rPr>
                <w:sz w:val="20"/>
                <w:szCs w:val="20"/>
              </w:rPr>
              <w:t xml:space="preserve"> </w:t>
            </w:r>
          </w:p>
        </w:tc>
        <w:tc>
          <w:tcPr>
            <w:tcW w:w="1486" w:type="dxa"/>
            <w:gridSpan w:val="3"/>
            <w:shd w:val="clear" w:color="auto" w:fill="auto"/>
          </w:tcPr>
          <w:p w:rsidR="00535EE1" w:rsidRPr="00F443B3" w:rsidRDefault="00535EE1" w:rsidP="006C052B">
            <w:pPr>
              <w:tabs>
                <w:tab w:val="left" w:pos="2880"/>
              </w:tabs>
              <w:rPr>
                <w:sz w:val="20"/>
                <w:szCs w:val="20"/>
              </w:rPr>
            </w:pPr>
            <w:r>
              <w:rPr>
                <w:sz w:val="20"/>
                <w:szCs w:val="20"/>
              </w:rPr>
              <w:t xml:space="preserve">By </w:t>
            </w:r>
            <w:r w:rsidRPr="00F443B3">
              <w:rPr>
                <w:sz w:val="20"/>
                <w:szCs w:val="20"/>
              </w:rPr>
              <w:t>December 2016</w:t>
            </w:r>
          </w:p>
        </w:tc>
        <w:tc>
          <w:tcPr>
            <w:tcW w:w="2445" w:type="dxa"/>
            <w:gridSpan w:val="3"/>
            <w:shd w:val="clear" w:color="auto" w:fill="auto"/>
          </w:tcPr>
          <w:p w:rsidR="00535EE1" w:rsidRPr="00F443B3" w:rsidRDefault="00535EE1" w:rsidP="006C052B">
            <w:pPr>
              <w:tabs>
                <w:tab w:val="left" w:pos="2880"/>
              </w:tabs>
              <w:rPr>
                <w:sz w:val="20"/>
                <w:szCs w:val="20"/>
              </w:rPr>
            </w:pPr>
            <w:r w:rsidRPr="00F443B3">
              <w:rPr>
                <w:sz w:val="20"/>
                <w:szCs w:val="20"/>
              </w:rPr>
              <w:t>BPPS</w:t>
            </w:r>
          </w:p>
        </w:tc>
        <w:tc>
          <w:tcPr>
            <w:tcW w:w="1220" w:type="dxa"/>
            <w:gridSpan w:val="3"/>
            <w:shd w:val="clear" w:color="auto" w:fill="auto"/>
          </w:tcPr>
          <w:p w:rsidR="00535EE1" w:rsidRPr="00F443B3" w:rsidRDefault="00535EE1" w:rsidP="006C052B">
            <w:pPr>
              <w:tabs>
                <w:tab w:val="left" w:pos="2880"/>
              </w:tabs>
              <w:rPr>
                <w:sz w:val="20"/>
                <w:szCs w:val="20"/>
              </w:rPr>
            </w:pPr>
          </w:p>
        </w:tc>
        <w:tc>
          <w:tcPr>
            <w:tcW w:w="1053" w:type="dxa"/>
            <w:shd w:val="clear" w:color="auto" w:fill="auto"/>
          </w:tcPr>
          <w:p w:rsidR="00535EE1" w:rsidRPr="00F443B3" w:rsidRDefault="00535EE1" w:rsidP="006C052B">
            <w:pPr>
              <w:tabs>
                <w:tab w:val="left" w:pos="2880"/>
              </w:tabs>
              <w:rPr>
                <w:sz w:val="20"/>
                <w:szCs w:val="20"/>
              </w:rPr>
            </w:pPr>
          </w:p>
        </w:tc>
      </w:tr>
      <w:tr w:rsidR="004E0E75" w:rsidRPr="004074EE" w:rsidTr="00D5696B">
        <w:trPr>
          <w:gridAfter w:val="1"/>
          <w:wAfter w:w="67" w:type="dxa"/>
        </w:trPr>
        <w:tc>
          <w:tcPr>
            <w:tcW w:w="8219" w:type="dxa"/>
            <w:gridSpan w:val="3"/>
            <w:shd w:val="clear" w:color="auto" w:fill="auto"/>
          </w:tcPr>
          <w:p w:rsidR="00F20A98" w:rsidRPr="004074EE" w:rsidRDefault="005374E7" w:rsidP="00535EE1">
            <w:pPr>
              <w:tabs>
                <w:tab w:val="left" w:pos="2880"/>
              </w:tabs>
              <w:rPr>
                <w:sz w:val="20"/>
                <w:szCs w:val="20"/>
              </w:rPr>
            </w:pPr>
            <w:r w:rsidRPr="004074EE">
              <w:rPr>
                <w:sz w:val="20"/>
                <w:szCs w:val="20"/>
              </w:rPr>
              <w:t>2.</w:t>
            </w:r>
            <w:r w:rsidR="00535EE1">
              <w:rPr>
                <w:sz w:val="20"/>
                <w:szCs w:val="20"/>
              </w:rPr>
              <w:t>8</w:t>
            </w:r>
            <w:r w:rsidRPr="004074EE">
              <w:rPr>
                <w:sz w:val="20"/>
                <w:szCs w:val="20"/>
              </w:rPr>
              <w:t xml:space="preserve">. Document lessons learned, best practices and experiences on </w:t>
            </w:r>
            <w:r w:rsidR="00D054E1">
              <w:rPr>
                <w:sz w:val="20"/>
                <w:szCs w:val="20"/>
              </w:rPr>
              <w:t>g</w:t>
            </w:r>
            <w:r w:rsidR="00D054E1" w:rsidRPr="004074EE">
              <w:rPr>
                <w:sz w:val="20"/>
                <w:szCs w:val="20"/>
              </w:rPr>
              <w:t xml:space="preserve">ender </w:t>
            </w:r>
            <w:r w:rsidRPr="004074EE">
              <w:rPr>
                <w:sz w:val="20"/>
                <w:szCs w:val="20"/>
              </w:rPr>
              <w:t xml:space="preserve">and </w:t>
            </w:r>
            <w:r w:rsidR="00D054E1">
              <w:rPr>
                <w:sz w:val="20"/>
                <w:szCs w:val="20"/>
              </w:rPr>
              <w:t>m</w:t>
            </w:r>
            <w:r w:rsidR="00D054E1" w:rsidRPr="004074EE">
              <w:rPr>
                <w:sz w:val="20"/>
                <w:szCs w:val="20"/>
              </w:rPr>
              <w:t xml:space="preserve">ine </w:t>
            </w:r>
            <w:r w:rsidR="00D054E1">
              <w:rPr>
                <w:sz w:val="20"/>
                <w:szCs w:val="20"/>
              </w:rPr>
              <w:t>a</w:t>
            </w:r>
            <w:r w:rsidR="00D054E1" w:rsidRPr="004074EE">
              <w:rPr>
                <w:sz w:val="20"/>
                <w:szCs w:val="20"/>
              </w:rPr>
              <w:t>ction</w:t>
            </w:r>
            <w:r w:rsidRPr="004074EE">
              <w:rPr>
                <w:sz w:val="20"/>
                <w:szCs w:val="20"/>
              </w:rPr>
              <w:t xml:space="preserve">; develop knowledge products and circulate for </w:t>
            </w:r>
            <w:r w:rsidR="00D054E1">
              <w:rPr>
                <w:sz w:val="20"/>
                <w:szCs w:val="20"/>
              </w:rPr>
              <w:t xml:space="preserve">replication of </w:t>
            </w:r>
            <w:r w:rsidRPr="004074EE">
              <w:rPr>
                <w:sz w:val="20"/>
                <w:szCs w:val="20"/>
              </w:rPr>
              <w:t>best practices.</w:t>
            </w:r>
          </w:p>
        </w:tc>
        <w:tc>
          <w:tcPr>
            <w:tcW w:w="1486" w:type="dxa"/>
            <w:gridSpan w:val="3"/>
            <w:shd w:val="clear" w:color="auto" w:fill="auto"/>
          </w:tcPr>
          <w:p w:rsidR="00F20A98" w:rsidRPr="004074EE" w:rsidRDefault="00F20A98" w:rsidP="0071676E">
            <w:pPr>
              <w:tabs>
                <w:tab w:val="left" w:pos="2880"/>
              </w:tabs>
              <w:rPr>
                <w:sz w:val="20"/>
                <w:szCs w:val="20"/>
              </w:rPr>
            </w:pPr>
            <w:r w:rsidRPr="004074EE">
              <w:rPr>
                <w:sz w:val="20"/>
                <w:szCs w:val="20"/>
              </w:rPr>
              <w:t>By December 2017</w:t>
            </w:r>
          </w:p>
        </w:tc>
        <w:tc>
          <w:tcPr>
            <w:tcW w:w="2445" w:type="dxa"/>
            <w:gridSpan w:val="3"/>
            <w:shd w:val="clear" w:color="auto" w:fill="auto"/>
          </w:tcPr>
          <w:p w:rsidR="00F20A98" w:rsidRPr="004074EE" w:rsidRDefault="00F20A98" w:rsidP="0071676E">
            <w:pPr>
              <w:tabs>
                <w:tab w:val="left" w:pos="2880"/>
              </w:tabs>
              <w:rPr>
                <w:sz w:val="20"/>
                <w:szCs w:val="20"/>
              </w:rPr>
            </w:pPr>
            <w:r w:rsidRPr="004074EE">
              <w:rPr>
                <w:sz w:val="20"/>
                <w:szCs w:val="20"/>
              </w:rPr>
              <w:t xml:space="preserve">BPPS, </w:t>
            </w:r>
            <w:r w:rsidR="00D054E1">
              <w:rPr>
                <w:sz w:val="20"/>
                <w:szCs w:val="20"/>
              </w:rPr>
              <w:t>r</w:t>
            </w:r>
            <w:r w:rsidR="00D054E1" w:rsidRPr="004074EE">
              <w:rPr>
                <w:sz w:val="20"/>
                <w:szCs w:val="20"/>
              </w:rPr>
              <w:t xml:space="preserve">egional </w:t>
            </w:r>
            <w:r w:rsidR="00D054E1">
              <w:rPr>
                <w:sz w:val="20"/>
                <w:szCs w:val="20"/>
              </w:rPr>
              <w:t xml:space="preserve">hubs </w:t>
            </w:r>
            <w:r w:rsidRPr="004074EE">
              <w:rPr>
                <w:sz w:val="20"/>
                <w:szCs w:val="20"/>
              </w:rPr>
              <w:t xml:space="preserve">and </w:t>
            </w:r>
            <w:r w:rsidR="00D054E1">
              <w:rPr>
                <w:sz w:val="20"/>
                <w:szCs w:val="20"/>
              </w:rPr>
              <w:t>country offices</w:t>
            </w:r>
          </w:p>
        </w:tc>
        <w:tc>
          <w:tcPr>
            <w:tcW w:w="1220" w:type="dxa"/>
            <w:gridSpan w:val="3"/>
            <w:shd w:val="clear" w:color="auto" w:fill="auto"/>
          </w:tcPr>
          <w:p w:rsidR="00F20A98" w:rsidRPr="004074EE" w:rsidRDefault="00F20A98" w:rsidP="0071676E">
            <w:pPr>
              <w:tabs>
                <w:tab w:val="left" w:pos="2880"/>
              </w:tabs>
              <w:rPr>
                <w:sz w:val="20"/>
                <w:szCs w:val="20"/>
              </w:rPr>
            </w:pPr>
          </w:p>
        </w:tc>
        <w:tc>
          <w:tcPr>
            <w:tcW w:w="1053" w:type="dxa"/>
            <w:shd w:val="clear" w:color="auto" w:fill="auto"/>
          </w:tcPr>
          <w:p w:rsidR="00F20A98" w:rsidRPr="004074EE" w:rsidRDefault="00F20A98" w:rsidP="0071676E">
            <w:pPr>
              <w:tabs>
                <w:tab w:val="left" w:pos="2880"/>
              </w:tabs>
              <w:rPr>
                <w:sz w:val="20"/>
                <w:szCs w:val="20"/>
              </w:rPr>
            </w:pPr>
          </w:p>
        </w:tc>
      </w:tr>
      <w:tr w:rsidR="00F20A98" w:rsidRPr="004074EE" w:rsidTr="00D5696B">
        <w:tc>
          <w:tcPr>
            <w:tcW w:w="14490" w:type="dxa"/>
            <w:gridSpan w:val="14"/>
            <w:tcBorders>
              <w:bottom w:val="single" w:sz="4" w:space="0" w:color="auto"/>
            </w:tcBorders>
            <w:shd w:val="clear" w:color="auto" w:fill="E6E6E6"/>
          </w:tcPr>
          <w:p w:rsidR="009F3DD9" w:rsidRPr="004074EE" w:rsidRDefault="00D054E1" w:rsidP="005809C6">
            <w:pPr>
              <w:pStyle w:val="normal2"/>
              <w:numPr>
                <w:ilvl w:val="0"/>
                <w:numId w:val="0"/>
              </w:numPr>
              <w:spacing w:before="0"/>
              <w:rPr>
                <w:b/>
              </w:rPr>
            </w:pPr>
            <w:r>
              <w:rPr>
                <w:b/>
                <w:u w:val="single"/>
              </w:rPr>
              <w:t>R</w:t>
            </w:r>
            <w:r w:rsidR="00F20A98" w:rsidRPr="004074EE">
              <w:rPr>
                <w:b/>
                <w:u w:val="single"/>
              </w:rPr>
              <w:t>ecommendation 3</w:t>
            </w:r>
            <w:r>
              <w:rPr>
                <w:b/>
              </w:rPr>
              <w:t xml:space="preserve">. </w:t>
            </w:r>
            <w:r w:rsidR="00F20A98" w:rsidRPr="00455D46">
              <w:rPr>
                <w:b/>
              </w:rPr>
              <w:t xml:space="preserve">In the near term, most of the requests for UNDP support on mine action will focus on mature national programmes in non-conflict circumstances, where the residual mine problems are located in poor rural areas.  This suggests an important development need that UNDP is well suited to </w:t>
            </w:r>
            <w:r w:rsidR="005809C6">
              <w:rPr>
                <w:b/>
              </w:rPr>
              <w:t xml:space="preserve">support by providing strategies and techniques for </w:t>
            </w:r>
            <w:r w:rsidR="00F20A98" w:rsidRPr="00455D46">
              <w:rPr>
                <w:b/>
              </w:rPr>
              <w:t>job creation and market development</w:t>
            </w:r>
            <w:r w:rsidR="005809C6">
              <w:rPr>
                <w:b/>
              </w:rPr>
              <w:t>,</w:t>
            </w:r>
            <w:r w:rsidR="00F20A98" w:rsidRPr="00455D46">
              <w:rPr>
                <w:b/>
              </w:rPr>
              <w:t xml:space="preserve"> and </w:t>
            </w:r>
            <w:r w:rsidR="005809C6">
              <w:rPr>
                <w:b/>
              </w:rPr>
              <w:t>by</w:t>
            </w:r>
            <w:r w:rsidR="005809C6" w:rsidRPr="00455D46">
              <w:rPr>
                <w:b/>
              </w:rPr>
              <w:t xml:space="preserve"> </w:t>
            </w:r>
            <w:r w:rsidR="00F20A98" w:rsidRPr="00455D46">
              <w:rPr>
                <w:b/>
              </w:rPr>
              <w:t>channel</w:t>
            </w:r>
            <w:r w:rsidR="005809C6">
              <w:rPr>
                <w:b/>
              </w:rPr>
              <w:t>ling</w:t>
            </w:r>
            <w:r w:rsidR="00F20A98" w:rsidRPr="00455D46">
              <w:rPr>
                <w:b/>
              </w:rPr>
              <w:t xml:space="preserve"> targeted donor support towards improving the socioeconomic conditions in mine-affected communities</w:t>
            </w:r>
            <w:r w:rsidR="00F20A98">
              <w:t>.</w:t>
            </w:r>
            <w:r w:rsidR="009F3DD9">
              <w:t xml:space="preserve"> </w:t>
            </w:r>
          </w:p>
        </w:tc>
      </w:tr>
      <w:tr w:rsidR="00F20A98" w:rsidRPr="004074EE" w:rsidTr="00D5696B">
        <w:tc>
          <w:tcPr>
            <w:tcW w:w="14490" w:type="dxa"/>
            <w:gridSpan w:val="14"/>
            <w:shd w:val="clear" w:color="auto" w:fill="F3F3F3"/>
          </w:tcPr>
          <w:p w:rsidR="00F20A98" w:rsidRPr="004074EE" w:rsidRDefault="00F20A98" w:rsidP="0071676E">
            <w:pPr>
              <w:tabs>
                <w:tab w:val="left" w:pos="2880"/>
              </w:tabs>
              <w:rPr>
                <w:b/>
                <w:sz w:val="20"/>
                <w:szCs w:val="20"/>
              </w:rPr>
            </w:pPr>
            <w:r w:rsidRPr="004074EE">
              <w:rPr>
                <w:b/>
                <w:sz w:val="20"/>
                <w:szCs w:val="20"/>
              </w:rPr>
              <w:t>Management response</w:t>
            </w:r>
          </w:p>
          <w:p w:rsidR="00F20A98" w:rsidRDefault="00F20A98" w:rsidP="0071676E">
            <w:pPr>
              <w:pStyle w:val="normal2"/>
              <w:numPr>
                <w:ilvl w:val="0"/>
                <w:numId w:val="0"/>
              </w:numPr>
              <w:spacing w:before="0"/>
            </w:pPr>
            <w:r w:rsidRPr="004074EE">
              <w:t xml:space="preserve">UNDP management </w:t>
            </w:r>
            <w:r>
              <w:t xml:space="preserve">fully </w:t>
            </w:r>
            <w:r w:rsidRPr="004074EE">
              <w:t xml:space="preserve">agrees that </w:t>
            </w:r>
            <w:r>
              <w:t xml:space="preserve">the </w:t>
            </w:r>
            <w:r w:rsidR="005809C6">
              <w:t xml:space="preserve">capacities </w:t>
            </w:r>
            <w:r>
              <w:t>of rural communities, especially poor ones, to improve standards of living is dependent on many factors such as access to labour, credit and markets.</w:t>
            </w:r>
            <w:bookmarkStart w:id="0" w:name="_GoBack"/>
            <w:bookmarkEnd w:id="0"/>
            <w:r>
              <w:t xml:space="preserve"> In nearly every community impacted by landmines</w:t>
            </w:r>
            <w:r w:rsidR="005809C6">
              <w:t>,</w:t>
            </w:r>
            <w:r>
              <w:t xml:space="preserve"> the lives and livelihoods of </w:t>
            </w:r>
            <w:r w:rsidR="005809C6">
              <w:t xml:space="preserve">the </w:t>
            </w:r>
            <w:r>
              <w:t xml:space="preserve">communities and citizens are improved as a result of demining and land release. </w:t>
            </w:r>
            <w:r w:rsidR="005809C6">
              <w:t xml:space="preserve">Management agrees </w:t>
            </w:r>
            <w:r>
              <w:t xml:space="preserve">that </w:t>
            </w:r>
            <w:r w:rsidR="005809C6">
              <w:t xml:space="preserve">UNDP should do </w:t>
            </w:r>
            <w:r>
              <w:t xml:space="preserve">far more </w:t>
            </w:r>
            <w:r w:rsidR="005809C6">
              <w:t>to</w:t>
            </w:r>
            <w:r>
              <w:t xml:space="preserve"> support national and subnational authorities</w:t>
            </w:r>
            <w:r w:rsidR="005809C6">
              <w:t xml:space="preserve"> and affected </w:t>
            </w:r>
            <w:r>
              <w:t xml:space="preserve">communities in stimulating the local economy. The clearance of landmines should not be seen as an end result, but rather as an initial step in a much longer development effort.   </w:t>
            </w:r>
          </w:p>
          <w:p w:rsidR="00F20A98" w:rsidRDefault="00F20A98" w:rsidP="0071676E">
            <w:pPr>
              <w:tabs>
                <w:tab w:val="left" w:pos="2880"/>
              </w:tabs>
              <w:rPr>
                <w:sz w:val="20"/>
                <w:szCs w:val="20"/>
              </w:rPr>
            </w:pPr>
          </w:p>
          <w:p w:rsidR="00F20A98" w:rsidRDefault="00F20A98" w:rsidP="0071676E">
            <w:pPr>
              <w:tabs>
                <w:tab w:val="left" w:pos="2880"/>
              </w:tabs>
              <w:rPr>
                <w:sz w:val="20"/>
                <w:szCs w:val="20"/>
              </w:rPr>
            </w:pPr>
            <w:r>
              <w:rPr>
                <w:sz w:val="20"/>
                <w:szCs w:val="20"/>
              </w:rPr>
              <w:t xml:space="preserve">Moving forward, one of the main objectives of </w:t>
            </w:r>
            <w:r w:rsidRPr="004074EE">
              <w:rPr>
                <w:sz w:val="20"/>
                <w:szCs w:val="20"/>
              </w:rPr>
              <w:t xml:space="preserve">UNDP initiatives </w:t>
            </w:r>
            <w:r>
              <w:rPr>
                <w:sz w:val="20"/>
                <w:szCs w:val="20"/>
              </w:rPr>
              <w:t>should be the attainment of</w:t>
            </w:r>
            <w:r w:rsidRPr="004074EE">
              <w:rPr>
                <w:sz w:val="20"/>
                <w:szCs w:val="20"/>
              </w:rPr>
              <w:t xml:space="preserve"> socioeconomic</w:t>
            </w:r>
            <w:r>
              <w:rPr>
                <w:sz w:val="20"/>
                <w:szCs w:val="20"/>
              </w:rPr>
              <w:t xml:space="preserve"> benefits</w:t>
            </w:r>
            <w:r w:rsidRPr="004074EE">
              <w:rPr>
                <w:sz w:val="20"/>
                <w:szCs w:val="20"/>
              </w:rPr>
              <w:t xml:space="preserve">. </w:t>
            </w:r>
            <w:r>
              <w:rPr>
                <w:sz w:val="20"/>
                <w:szCs w:val="20"/>
              </w:rPr>
              <w:t xml:space="preserve">In essence, </w:t>
            </w:r>
            <w:r w:rsidRPr="004074EE">
              <w:rPr>
                <w:sz w:val="20"/>
                <w:szCs w:val="20"/>
              </w:rPr>
              <w:t xml:space="preserve">project developers and implementers will need to ensure that </w:t>
            </w:r>
            <w:r w:rsidR="005809C6">
              <w:rPr>
                <w:sz w:val="20"/>
                <w:szCs w:val="20"/>
              </w:rPr>
              <w:t xml:space="preserve">released </w:t>
            </w:r>
            <w:r w:rsidRPr="004074EE">
              <w:rPr>
                <w:sz w:val="20"/>
                <w:szCs w:val="20"/>
              </w:rPr>
              <w:t xml:space="preserve">land is used for socioeconomic development. In order to pursue this strategy and overcome all possible bottlenecks, the UNDP approach to </w:t>
            </w:r>
            <w:r w:rsidR="001A299C">
              <w:rPr>
                <w:sz w:val="20"/>
                <w:szCs w:val="20"/>
              </w:rPr>
              <w:t>m</w:t>
            </w:r>
            <w:r w:rsidR="005809C6" w:rsidRPr="004074EE">
              <w:rPr>
                <w:sz w:val="20"/>
                <w:szCs w:val="20"/>
              </w:rPr>
              <w:t xml:space="preserve">ine </w:t>
            </w:r>
            <w:r w:rsidR="005809C6">
              <w:rPr>
                <w:sz w:val="20"/>
                <w:szCs w:val="20"/>
              </w:rPr>
              <w:t xml:space="preserve">action </w:t>
            </w:r>
            <w:r>
              <w:rPr>
                <w:sz w:val="20"/>
                <w:szCs w:val="20"/>
              </w:rPr>
              <w:t xml:space="preserve">will follow three tracks, as identified </w:t>
            </w:r>
            <w:r w:rsidR="005809C6">
              <w:rPr>
                <w:sz w:val="20"/>
                <w:szCs w:val="20"/>
              </w:rPr>
              <w:t xml:space="preserve">above </w:t>
            </w:r>
            <w:r>
              <w:rPr>
                <w:sz w:val="20"/>
                <w:szCs w:val="20"/>
              </w:rPr>
              <w:t xml:space="preserve">in the </w:t>
            </w:r>
            <w:r w:rsidR="005809C6">
              <w:rPr>
                <w:sz w:val="20"/>
                <w:szCs w:val="20"/>
              </w:rPr>
              <w:t xml:space="preserve">management </w:t>
            </w:r>
            <w:r>
              <w:rPr>
                <w:sz w:val="20"/>
                <w:szCs w:val="20"/>
              </w:rPr>
              <w:t>response to Recommendation 2:</w:t>
            </w:r>
          </w:p>
          <w:p w:rsidR="00F20A98" w:rsidRDefault="002B135A" w:rsidP="0071676E">
            <w:pPr>
              <w:ind w:left="934" w:hanging="426"/>
              <w:rPr>
                <w:rFonts w:eastAsia="Calibri"/>
                <w:sz w:val="20"/>
                <w:szCs w:val="20"/>
              </w:rPr>
            </w:pPr>
            <w:r>
              <w:rPr>
                <w:rFonts w:eastAsia="Calibri"/>
                <w:sz w:val="20"/>
                <w:szCs w:val="20"/>
              </w:rPr>
              <w:t>(a)</w:t>
            </w:r>
            <w:r w:rsidR="00F20A98">
              <w:rPr>
                <w:rFonts w:eastAsia="Calibri"/>
                <w:sz w:val="20"/>
                <w:szCs w:val="20"/>
              </w:rPr>
              <w:t xml:space="preserve">   </w:t>
            </w:r>
            <w:r>
              <w:rPr>
                <w:rFonts w:eastAsia="Calibri"/>
                <w:sz w:val="20"/>
                <w:szCs w:val="20"/>
              </w:rPr>
              <w:t xml:space="preserve"> c</w:t>
            </w:r>
            <w:r w:rsidRPr="004F4764">
              <w:rPr>
                <w:rFonts w:eastAsia="Calibri"/>
                <w:sz w:val="20"/>
                <w:szCs w:val="20"/>
              </w:rPr>
              <w:t xml:space="preserve">ontext </w:t>
            </w:r>
            <w:r w:rsidR="00F20A98" w:rsidRPr="004F4764">
              <w:rPr>
                <w:rFonts w:eastAsia="Calibri"/>
                <w:sz w:val="20"/>
                <w:szCs w:val="20"/>
              </w:rPr>
              <w:t>ana</w:t>
            </w:r>
            <w:r w:rsidR="00F20A98">
              <w:rPr>
                <w:rFonts w:eastAsia="Calibri"/>
                <w:sz w:val="20"/>
                <w:szCs w:val="20"/>
              </w:rPr>
              <w:t>ly</w:t>
            </w:r>
            <w:r w:rsidR="00F20A98" w:rsidRPr="004F4764">
              <w:rPr>
                <w:rFonts w:eastAsia="Calibri"/>
                <w:sz w:val="20"/>
                <w:szCs w:val="20"/>
              </w:rPr>
              <w:t>sis and needs assessment</w:t>
            </w:r>
            <w:r>
              <w:rPr>
                <w:rFonts w:eastAsia="Calibri"/>
                <w:sz w:val="20"/>
                <w:szCs w:val="20"/>
              </w:rPr>
              <w:t>.</w:t>
            </w:r>
            <w:r w:rsidRPr="004F4764">
              <w:rPr>
                <w:rFonts w:eastAsia="Calibri"/>
                <w:sz w:val="20"/>
                <w:szCs w:val="20"/>
              </w:rPr>
              <w:t xml:space="preserve"> </w:t>
            </w:r>
            <w:r w:rsidR="00F20A98" w:rsidRPr="004F4764">
              <w:rPr>
                <w:rFonts w:eastAsia="Calibri"/>
                <w:sz w:val="20"/>
                <w:szCs w:val="20"/>
              </w:rPr>
              <w:t xml:space="preserve">This </w:t>
            </w:r>
            <w:r w:rsidR="00F20A98">
              <w:rPr>
                <w:rFonts w:eastAsia="Calibri"/>
                <w:sz w:val="20"/>
                <w:szCs w:val="20"/>
              </w:rPr>
              <w:t>will help to</w:t>
            </w:r>
            <w:r w:rsidR="00F20A98" w:rsidRPr="004F4764">
              <w:rPr>
                <w:rFonts w:eastAsia="Calibri"/>
                <w:sz w:val="20"/>
                <w:szCs w:val="20"/>
              </w:rPr>
              <w:t xml:space="preserve"> ensure that the impact of landmines/ERW </w:t>
            </w:r>
            <w:r>
              <w:rPr>
                <w:rFonts w:eastAsia="Calibri"/>
                <w:sz w:val="20"/>
                <w:szCs w:val="20"/>
              </w:rPr>
              <w:t>on</w:t>
            </w:r>
            <w:r w:rsidRPr="004F4764">
              <w:rPr>
                <w:rFonts w:eastAsia="Calibri"/>
                <w:sz w:val="20"/>
                <w:szCs w:val="20"/>
              </w:rPr>
              <w:t xml:space="preserve"> </w:t>
            </w:r>
            <w:r w:rsidR="00F20A98" w:rsidRPr="004F4764">
              <w:rPr>
                <w:rFonts w:eastAsia="Calibri"/>
                <w:sz w:val="20"/>
                <w:szCs w:val="20"/>
              </w:rPr>
              <w:t xml:space="preserve">development is </w:t>
            </w:r>
            <w:r w:rsidR="00F20A98">
              <w:rPr>
                <w:rFonts w:eastAsia="Calibri"/>
                <w:sz w:val="20"/>
                <w:szCs w:val="20"/>
              </w:rPr>
              <w:t xml:space="preserve">well </w:t>
            </w:r>
            <w:r w:rsidR="00F20A98" w:rsidRPr="004F4764">
              <w:rPr>
                <w:rFonts w:eastAsia="Calibri"/>
                <w:sz w:val="20"/>
                <w:szCs w:val="20"/>
              </w:rPr>
              <w:t xml:space="preserve">known </w:t>
            </w:r>
            <w:r w:rsidR="00F20A98">
              <w:rPr>
                <w:rFonts w:eastAsia="Calibri"/>
                <w:sz w:val="20"/>
                <w:szCs w:val="20"/>
              </w:rPr>
              <w:t xml:space="preserve">and understood, </w:t>
            </w:r>
            <w:r w:rsidR="00F20A98" w:rsidRPr="004F4764">
              <w:rPr>
                <w:rFonts w:eastAsia="Calibri"/>
                <w:sz w:val="20"/>
                <w:szCs w:val="20"/>
              </w:rPr>
              <w:t xml:space="preserve">and that this information is factored into the selection of recovery and development priorities. The assessment </w:t>
            </w:r>
            <w:r w:rsidR="00F20A98">
              <w:rPr>
                <w:rFonts w:eastAsia="Calibri"/>
                <w:sz w:val="20"/>
                <w:szCs w:val="20"/>
              </w:rPr>
              <w:t xml:space="preserve">will </w:t>
            </w:r>
            <w:r w:rsidR="00F20A98" w:rsidRPr="004F4764">
              <w:rPr>
                <w:rFonts w:eastAsia="Calibri"/>
                <w:sz w:val="20"/>
                <w:szCs w:val="20"/>
              </w:rPr>
              <w:t xml:space="preserve">also cover </w:t>
            </w:r>
            <w:r w:rsidR="00F20A98">
              <w:rPr>
                <w:rFonts w:eastAsia="Calibri"/>
                <w:sz w:val="20"/>
                <w:szCs w:val="20"/>
              </w:rPr>
              <w:t xml:space="preserve">the </w:t>
            </w:r>
            <w:r w:rsidR="00F20A98" w:rsidRPr="004F4764">
              <w:rPr>
                <w:rFonts w:eastAsia="Calibri"/>
                <w:sz w:val="20"/>
                <w:szCs w:val="20"/>
              </w:rPr>
              <w:t xml:space="preserve">policy and institutional capacities required to enhance jobs and livelihoods through </w:t>
            </w:r>
            <w:r>
              <w:rPr>
                <w:rFonts w:eastAsia="Calibri"/>
                <w:sz w:val="20"/>
                <w:szCs w:val="20"/>
              </w:rPr>
              <w:t>m</w:t>
            </w:r>
            <w:r w:rsidRPr="004F4764">
              <w:rPr>
                <w:rFonts w:eastAsia="Calibri"/>
                <w:sz w:val="20"/>
                <w:szCs w:val="20"/>
              </w:rPr>
              <w:t xml:space="preserve">ine </w:t>
            </w:r>
            <w:r>
              <w:rPr>
                <w:rFonts w:eastAsia="Calibri"/>
                <w:sz w:val="20"/>
                <w:szCs w:val="20"/>
              </w:rPr>
              <w:t>a</w:t>
            </w:r>
            <w:r w:rsidRPr="004F4764">
              <w:rPr>
                <w:rFonts w:eastAsia="Calibri"/>
                <w:sz w:val="20"/>
                <w:szCs w:val="20"/>
              </w:rPr>
              <w:t xml:space="preserve">ction </w:t>
            </w:r>
            <w:r w:rsidR="00F20A98" w:rsidRPr="004F4764">
              <w:rPr>
                <w:rFonts w:eastAsia="Calibri"/>
                <w:sz w:val="20"/>
                <w:szCs w:val="20"/>
              </w:rPr>
              <w:t>programming</w:t>
            </w:r>
            <w:r>
              <w:rPr>
                <w:rFonts w:eastAsia="Calibri"/>
                <w:sz w:val="20"/>
                <w:szCs w:val="20"/>
              </w:rPr>
              <w:t>;</w:t>
            </w:r>
          </w:p>
          <w:p w:rsidR="00F20A98" w:rsidRDefault="002B135A" w:rsidP="0071676E">
            <w:pPr>
              <w:ind w:left="934" w:hanging="426"/>
              <w:rPr>
                <w:rFonts w:eastAsia="Calibri"/>
                <w:sz w:val="20"/>
                <w:szCs w:val="20"/>
              </w:rPr>
            </w:pPr>
            <w:r>
              <w:rPr>
                <w:rFonts w:eastAsia="Calibri"/>
                <w:sz w:val="20"/>
                <w:szCs w:val="20"/>
              </w:rPr>
              <w:t xml:space="preserve">(b) </w:t>
            </w:r>
            <w:r w:rsidR="00F20A98">
              <w:rPr>
                <w:rFonts w:eastAsia="Calibri"/>
                <w:sz w:val="20"/>
                <w:szCs w:val="20"/>
              </w:rPr>
              <w:t xml:space="preserve">   </w:t>
            </w:r>
            <w:r w:rsidR="00E9122C">
              <w:rPr>
                <w:rFonts w:eastAsia="Calibri"/>
                <w:sz w:val="20"/>
                <w:szCs w:val="20"/>
              </w:rPr>
              <w:t>c</w:t>
            </w:r>
            <w:r w:rsidR="00E9122C" w:rsidRPr="0087098A">
              <w:rPr>
                <w:rFonts w:eastAsia="Calibri"/>
                <w:sz w:val="20"/>
                <w:szCs w:val="20"/>
              </w:rPr>
              <w:t xml:space="preserve">areful </w:t>
            </w:r>
            <w:r w:rsidR="00F20A98" w:rsidRPr="0087098A">
              <w:rPr>
                <w:rFonts w:eastAsia="Calibri"/>
                <w:sz w:val="20"/>
                <w:szCs w:val="20"/>
              </w:rPr>
              <w:t xml:space="preserve">selection of the </w:t>
            </w:r>
            <w:r>
              <w:rPr>
                <w:rFonts w:eastAsia="Calibri"/>
                <w:sz w:val="20"/>
                <w:szCs w:val="20"/>
              </w:rPr>
              <w:t>a</w:t>
            </w:r>
            <w:r w:rsidRPr="0087098A">
              <w:rPr>
                <w:rFonts w:eastAsia="Calibri"/>
                <w:sz w:val="20"/>
                <w:szCs w:val="20"/>
              </w:rPr>
              <w:t xml:space="preserve">reas </w:t>
            </w:r>
            <w:r w:rsidR="00F20A98" w:rsidRPr="0087098A">
              <w:rPr>
                <w:rFonts w:eastAsia="Calibri"/>
                <w:sz w:val="20"/>
                <w:szCs w:val="20"/>
              </w:rPr>
              <w:t xml:space="preserve">of </w:t>
            </w:r>
            <w:r>
              <w:rPr>
                <w:rFonts w:eastAsia="Calibri"/>
                <w:sz w:val="20"/>
                <w:szCs w:val="20"/>
              </w:rPr>
              <w:t>f</w:t>
            </w:r>
            <w:r w:rsidRPr="0087098A">
              <w:rPr>
                <w:rFonts w:eastAsia="Calibri"/>
                <w:sz w:val="20"/>
                <w:szCs w:val="20"/>
              </w:rPr>
              <w:t>ocus</w:t>
            </w:r>
            <w:r>
              <w:rPr>
                <w:rFonts w:eastAsia="Calibri"/>
                <w:sz w:val="20"/>
                <w:szCs w:val="20"/>
              </w:rPr>
              <w:t>.</w:t>
            </w:r>
            <w:r w:rsidRPr="0087098A">
              <w:rPr>
                <w:rFonts w:eastAsia="Calibri"/>
                <w:sz w:val="20"/>
                <w:szCs w:val="20"/>
              </w:rPr>
              <w:t xml:space="preserve"> </w:t>
            </w:r>
            <w:r w:rsidR="00F20A98" w:rsidRPr="0087098A">
              <w:rPr>
                <w:rFonts w:eastAsia="Calibri"/>
                <w:sz w:val="20"/>
                <w:szCs w:val="20"/>
              </w:rPr>
              <w:t xml:space="preserve">The selection and packaging of the </w:t>
            </w:r>
            <w:r>
              <w:rPr>
                <w:rFonts w:eastAsia="Calibri"/>
                <w:sz w:val="20"/>
                <w:szCs w:val="20"/>
              </w:rPr>
              <w:t>a</w:t>
            </w:r>
            <w:r w:rsidRPr="0087098A">
              <w:rPr>
                <w:rFonts w:eastAsia="Calibri"/>
                <w:sz w:val="20"/>
                <w:szCs w:val="20"/>
              </w:rPr>
              <w:t xml:space="preserve">reas </w:t>
            </w:r>
            <w:r w:rsidR="00F20A98" w:rsidRPr="0087098A">
              <w:rPr>
                <w:rFonts w:eastAsia="Calibri"/>
                <w:sz w:val="20"/>
                <w:szCs w:val="20"/>
              </w:rPr>
              <w:t xml:space="preserve">of </w:t>
            </w:r>
            <w:r>
              <w:rPr>
                <w:rFonts w:eastAsia="Calibri"/>
                <w:sz w:val="20"/>
                <w:szCs w:val="20"/>
              </w:rPr>
              <w:t>f</w:t>
            </w:r>
            <w:r w:rsidRPr="0087098A">
              <w:rPr>
                <w:rFonts w:eastAsia="Calibri"/>
                <w:sz w:val="20"/>
                <w:szCs w:val="20"/>
              </w:rPr>
              <w:t xml:space="preserve">ocus </w:t>
            </w:r>
            <w:r w:rsidR="00F20A98" w:rsidRPr="0087098A">
              <w:rPr>
                <w:rFonts w:eastAsia="Calibri"/>
                <w:sz w:val="20"/>
                <w:szCs w:val="20"/>
              </w:rPr>
              <w:t>will be informed by the assessment/analysis and guided by their relevance to and synergy with related focus areas of the UNDP Strategic Plan</w:t>
            </w:r>
            <w:r>
              <w:rPr>
                <w:rFonts w:eastAsia="Calibri"/>
                <w:sz w:val="20"/>
                <w:szCs w:val="20"/>
              </w:rPr>
              <w:t>;</w:t>
            </w:r>
          </w:p>
          <w:p w:rsidR="00F20A98" w:rsidRPr="00620350" w:rsidRDefault="002B135A" w:rsidP="0071676E">
            <w:pPr>
              <w:ind w:left="934" w:hanging="426"/>
              <w:rPr>
                <w:sz w:val="20"/>
                <w:szCs w:val="20"/>
                <w:lang w:val="en-GB"/>
              </w:rPr>
            </w:pPr>
            <w:r>
              <w:rPr>
                <w:rFonts w:eastAsia="Calibri"/>
                <w:sz w:val="20"/>
                <w:szCs w:val="20"/>
              </w:rPr>
              <w:t>(c)</w:t>
            </w:r>
            <w:r w:rsidR="00F20A98">
              <w:rPr>
                <w:rFonts w:eastAsia="Calibri"/>
                <w:sz w:val="20"/>
                <w:szCs w:val="20"/>
              </w:rPr>
              <w:t xml:space="preserve">    </w:t>
            </w:r>
            <w:r>
              <w:rPr>
                <w:rFonts w:eastAsia="Calibri"/>
                <w:sz w:val="20"/>
                <w:szCs w:val="20"/>
              </w:rPr>
              <w:t xml:space="preserve">emphasis </w:t>
            </w:r>
            <w:r w:rsidR="00F20A98">
              <w:rPr>
                <w:rFonts w:eastAsia="Calibri"/>
                <w:sz w:val="20"/>
                <w:szCs w:val="20"/>
              </w:rPr>
              <w:t xml:space="preserve">on </w:t>
            </w:r>
            <w:r w:rsidR="00F20A98" w:rsidRPr="004F4764">
              <w:rPr>
                <w:rFonts w:eastAsia="Calibri"/>
                <w:sz w:val="20"/>
                <w:szCs w:val="20"/>
              </w:rPr>
              <w:t>results</w:t>
            </w:r>
            <w:r w:rsidR="00F20A98">
              <w:rPr>
                <w:rFonts w:eastAsia="Calibri"/>
                <w:sz w:val="20"/>
                <w:szCs w:val="20"/>
              </w:rPr>
              <w:t xml:space="preserve"> and outcomes</w:t>
            </w:r>
            <w:r>
              <w:rPr>
                <w:rFonts w:eastAsia="Calibri"/>
                <w:sz w:val="20"/>
                <w:szCs w:val="20"/>
              </w:rPr>
              <w:t xml:space="preserve">. </w:t>
            </w:r>
            <w:r w:rsidR="00F20A98">
              <w:rPr>
                <w:rFonts w:eastAsia="Calibri"/>
                <w:sz w:val="20"/>
                <w:szCs w:val="20"/>
              </w:rPr>
              <w:t>R</w:t>
            </w:r>
            <w:r w:rsidR="00F20A98" w:rsidRPr="004F4764">
              <w:rPr>
                <w:rFonts w:eastAsia="Calibri"/>
                <w:sz w:val="20"/>
                <w:szCs w:val="20"/>
              </w:rPr>
              <w:t xml:space="preserve">esults </w:t>
            </w:r>
            <w:r w:rsidR="00F20A98">
              <w:rPr>
                <w:rFonts w:eastAsia="Calibri"/>
                <w:sz w:val="20"/>
                <w:szCs w:val="20"/>
              </w:rPr>
              <w:t xml:space="preserve">achieved </w:t>
            </w:r>
            <w:r w:rsidR="00F20A98" w:rsidRPr="004F4764">
              <w:rPr>
                <w:rFonts w:eastAsia="Calibri"/>
                <w:sz w:val="20"/>
                <w:szCs w:val="20"/>
              </w:rPr>
              <w:t>will be measurable contributions to development outcomes</w:t>
            </w:r>
            <w:r w:rsidR="00F20A98">
              <w:rPr>
                <w:rFonts w:eastAsia="Calibri"/>
                <w:sz w:val="20"/>
                <w:szCs w:val="20"/>
              </w:rPr>
              <w:t>,</w:t>
            </w:r>
            <w:r w:rsidR="00F20A98" w:rsidRPr="004F4764">
              <w:rPr>
                <w:rFonts w:eastAsia="Calibri"/>
                <w:sz w:val="20"/>
                <w:szCs w:val="20"/>
              </w:rPr>
              <w:t xml:space="preserve"> and will </w:t>
            </w:r>
            <w:r w:rsidR="00F20A98">
              <w:rPr>
                <w:rFonts w:eastAsia="Calibri"/>
                <w:sz w:val="20"/>
                <w:szCs w:val="20"/>
              </w:rPr>
              <w:t>contribute</w:t>
            </w:r>
            <w:r w:rsidR="00F20A98" w:rsidRPr="004F4764">
              <w:rPr>
                <w:rFonts w:eastAsia="Calibri"/>
                <w:sz w:val="20"/>
                <w:szCs w:val="20"/>
              </w:rPr>
              <w:t xml:space="preserve"> either directly or indirectly </w:t>
            </w:r>
            <w:r w:rsidR="00F20A98">
              <w:rPr>
                <w:rFonts w:eastAsia="Calibri"/>
                <w:sz w:val="20"/>
                <w:szCs w:val="20"/>
              </w:rPr>
              <w:t xml:space="preserve">to </w:t>
            </w:r>
            <w:r w:rsidR="00F20A98" w:rsidRPr="004F4764">
              <w:rPr>
                <w:rFonts w:eastAsia="Calibri"/>
                <w:sz w:val="20"/>
                <w:szCs w:val="20"/>
              </w:rPr>
              <w:t>jobs created</w:t>
            </w:r>
            <w:r w:rsidR="00F20A98">
              <w:rPr>
                <w:rFonts w:eastAsia="Calibri"/>
                <w:sz w:val="20"/>
                <w:szCs w:val="20"/>
              </w:rPr>
              <w:t>, l</w:t>
            </w:r>
            <w:r w:rsidR="00F20A98" w:rsidRPr="004F4764">
              <w:rPr>
                <w:rFonts w:eastAsia="Calibri"/>
                <w:sz w:val="20"/>
                <w:szCs w:val="20"/>
              </w:rPr>
              <w:t>ivelihoods restored</w:t>
            </w:r>
            <w:r w:rsidR="00F20A98">
              <w:rPr>
                <w:rFonts w:eastAsia="Calibri"/>
                <w:sz w:val="20"/>
                <w:szCs w:val="20"/>
              </w:rPr>
              <w:t xml:space="preserve"> and </w:t>
            </w:r>
            <w:r w:rsidR="00F20A98" w:rsidRPr="00620350">
              <w:rPr>
                <w:sz w:val="20"/>
                <w:szCs w:val="20"/>
                <w:lang w:val="en-GB"/>
              </w:rPr>
              <w:t xml:space="preserve">other social and environmental indicators </w:t>
            </w:r>
            <w:r w:rsidR="00F20A98">
              <w:rPr>
                <w:sz w:val="20"/>
                <w:szCs w:val="20"/>
                <w:lang w:val="en-GB"/>
              </w:rPr>
              <w:t>(</w:t>
            </w:r>
            <w:r w:rsidR="00F20A98" w:rsidRPr="00620350">
              <w:rPr>
                <w:sz w:val="20"/>
                <w:szCs w:val="20"/>
                <w:lang w:val="en-GB"/>
              </w:rPr>
              <w:t xml:space="preserve">depending on the focus of </w:t>
            </w:r>
            <w:r w:rsidR="00F20A98">
              <w:rPr>
                <w:sz w:val="20"/>
                <w:szCs w:val="20"/>
                <w:lang w:val="en-GB"/>
              </w:rPr>
              <w:t>any particular</w:t>
            </w:r>
            <w:r w:rsidR="00F20A98" w:rsidRPr="00620350">
              <w:rPr>
                <w:sz w:val="20"/>
                <w:szCs w:val="20"/>
                <w:lang w:val="en-GB"/>
              </w:rPr>
              <w:t xml:space="preserve"> mine action intervention</w:t>
            </w:r>
            <w:r w:rsidR="00F20A98">
              <w:rPr>
                <w:sz w:val="20"/>
                <w:szCs w:val="20"/>
                <w:lang w:val="en-GB"/>
              </w:rPr>
              <w:t>)</w:t>
            </w:r>
            <w:r w:rsidR="00F20A98" w:rsidRPr="00620350">
              <w:rPr>
                <w:sz w:val="20"/>
                <w:szCs w:val="20"/>
                <w:lang w:val="en-GB"/>
              </w:rPr>
              <w:t>.</w:t>
            </w:r>
          </w:p>
          <w:p w:rsidR="00E7775B" w:rsidRDefault="00E7775B" w:rsidP="00E7775B">
            <w:pPr>
              <w:tabs>
                <w:tab w:val="left" w:pos="2880"/>
              </w:tabs>
              <w:rPr>
                <w:sz w:val="20"/>
                <w:szCs w:val="20"/>
                <w:lang w:val="en-GB"/>
              </w:rPr>
            </w:pPr>
          </w:p>
          <w:p w:rsidR="00D254B0" w:rsidRPr="004074EE" w:rsidRDefault="00F20A98" w:rsidP="00E7775B">
            <w:pPr>
              <w:tabs>
                <w:tab w:val="left" w:pos="2880"/>
              </w:tabs>
              <w:rPr>
                <w:sz w:val="20"/>
                <w:szCs w:val="20"/>
              </w:rPr>
            </w:pPr>
            <w:r w:rsidRPr="004074EE">
              <w:rPr>
                <w:sz w:val="20"/>
                <w:szCs w:val="20"/>
                <w:lang w:val="en-GB"/>
              </w:rPr>
              <w:lastRenderedPageBreak/>
              <w:t xml:space="preserve">In the context of partnering with national institutions, UNDP </w:t>
            </w:r>
            <w:r w:rsidR="000506DD">
              <w:rPr>
                <w:sz w:val="20"/>
                <w:szCs w:val="20"/>
                <w:lang w:val="en-GB"/>
              </w:rPr>
              <w:t xml:space="preserve">will </w:t>
            </w:r>
            <w:r>
              <w:rPr>
                <w:sz w:val="20"/>
                <w:szCs w:val="20"/>
                <w:lang w:val="en-GB"/>
              </w:rPr>
              <w:t xml:space="preserve">work </w:t>
            </w:r>
            <w:r w:rsidRPr="004074EE">
              <w:rPr>
                <w:sz w:val="20"/>
                <w:szCs w:val="20"/>
                <w:lang w:val="en-GB"/>
              </w:rPr>
              <w:t>not only</w:t>
            </w:r>
            <w:r>
              <w:rPr>
                <w:sz w:val="20"/>
                <w:szCs w:val="20"/>
                <w:lang w:val="en-GB"/>
              </w:rPr>
              <w:t xml:space="preserve"> with</w:t>
            </w:r>
            <w:r w:rsidRPr="004074EE">
              <w:rPr>
                <w:sz w:val="20"/>
                <w:szCs w:val="20"/>
                <w:lang w:val="en-GB"/>
              </w:rPr>
              <w:t xml:space="preserve"> </w:t>
            </w:r>
            <w:r>
              <w:rPr>
                <w:sz w:val="20"/>
                <w:szCs w:val="20"/>
                <w:lang w:val="en-GB"/>
              </w:rPr>
              <w:t>n</w:t>
            </w:r>
            <w:r w:rsidRPr="004074EE">
              <w:rPr>
                <w:sz w:val="20"/>
                <w:szCs w:val="20"/>
                <w:lang w:val="en-GB"/>
              </w:rPr>
              <w:t xml:space="preserve">ational </w:t>
            </w:r>
            <w:r w:rsidR="000506DD">
              <w:rPr>
                <w:sz w:val="20"/>
                <w:szCs w:val="20"/>
                <w:lang w:val="en-GB"/>
              </w:rPr>
              <w:t>m</w:t>
            </w:r>
            <w:r w:rsidR="000506DD" w:rsidRPr="004074EE">
              <w:rPr>
                <w:sz w:val="20"/>
                <w:szCs w:val="20"/>
                <w:lang w:val="en-GB"/>
              </w:rPr>
              <w:t xml:space="preserve">ine </w:t>
            </w:r>
            <w:r w:rsidR="000506DD">
              <w:rPr>
                <w:sz w:val="20"/>
                <w:szCs w:val="20"/>
                <w:lang w:val="en-GB"/>
              </w:rPr>
              <w:t>a</w:t>
            </w:r>
            <w:r w:rsidR="000506DD" w:rsidRPr="004074EE">
              <w:rPr>
                <w:sz w:val="20"/>
                <w:szCs w:val="20"/>
                <w:lang w:val="en-GB"/>
              </w:rPr>
              <w:t xml:space="preserve">ction </w:t>
            </w:r>
            <w:r>
              <w:rPr>
                <w:sz w:val="20"/>
                <w:szCs w:val="20"/>
                <w:lang w:val="en-GB"/>
              </w:rPr>
              <w:t>a</w:t>
            </w:r>
            <w:r w:rsidRPr="004074EE">
              <w:rPr>
                <w:sz w:val="20"/>
                <w:szCs w:val="20"/>
                <w:lang w:val="en-GB"/>
              </w:rPr>
              <w:t xml:space="preserve">uthorities but also </w:t>
            </w:r>
            <w:r w:rsidR="000506DD">
              <w:rPr>
                <w:sz w:val="20"/>
                <w:szCs w:val="20"/>
                <w:lang w:val="en-GB"/>
              </w:rPr>
              <w:t xml:space="preserve">with </w:t>
            </w:r>
            <w:r w:rsidRPr="004074EE">
              <w:rPr>
                <w:sz w:val="20"/>
                <w:szCs w:val="20"/>
                <w:lang w:val="en-GB"/>
              </w:rPr>
              <w:t xml:space="preserve">relevant ministries for sector-led development. A key focus for UNDP will be to strengthen </w:t>
            </w:r>
            <w:r w:rsidR="000506DD">
              <w:rPr>
                <w:sz w:val="20"/>
                <w:szCs w:val="20"/>
                <w:lang w:val="en-GB"/>
              </w:rPr>
              <w:t xml:space="preserve">the </w:t>
            </w:r>
            <w:r w:rsidR="000506DD" w:rsidRPr="004074EE">
              <w:rPr>
                <w:sz w:val="20"/>
                <w:szCs w:val="20"/>
                <w:lang w:val="en-GB"/>
              </w:rPr>
              <w:t>capacit</w:t>
            </w:r>
            <w:r w:rsidR="000506DD">
              <w:rPr>
                <w:sz w:val="20"/>
                <w:szCs w:val="20"/>
                <w:lang w:val="en-GB"/>
              </w:rPr>
              <w:t>ies</w:t>
            </w:r>
            <w:r w:rsidR="000506DD" w:rsidRPr="004074EE">
              <w:rPr>
                <w:sz w:val="20"/>
                <w:szCs w:val="20"/>
                <w:lang w:val="en-GB"/>
              </w:rPr>
              <w:t xml:space="preserve"> </w:t>
            </w:r>
            <w:r w:rsidRPr="004074EE">
              <w:rPr>
                <w:sz w:val="20"/>
                <w:szCs w:val="20"/>
                <w:lang w:val="en-GB"/>
              </w:rPr>
              <w:t xml:space="preserve">of civil society organizations that enable people’s participation in development planning and acceleration of peace and development dividends, in particular livelihoods in </w:t>
            </w:r>
            <w:r w:rsidR="000506DD">
              <w:rPr>
                <w:sz w:val="20"/>
                <w:szCs w:val="20"/>
                <w:lang w:val="en-GB"/>
              </w:rPr>
              <w:t xml:space="preserve">areas </w:t>
            </w:r>
            <w:r w:rsidRPr="004074EE">
              <w:rPr>
                <w:sz w:val="20"/>
                <w:szCs w:val="20"/>
                <w:lang w:val="en-GB"/>
              </w:rPr>
              <w:t xml:space="preserve">previously affected </w:t>
            </w:r>
            <w:r w:rsidR="000506DD">
              <w:rPr>
                <w:sz w:val="20"/>
                <w:szCs w:val="20"/>
                <w:lang w:val="en-GB"/>
              </w:rPr>
              <w:t>by mines</w:t>
            </w:r>
            <w:r w:rsidRPr="004074EE">
              <w:rPr>
                <w:sz w:val="20"/>
                <w:szCs w:val="20"/>
                <w:lang w:val="en-GB"/>
              </w:rPr>
              <w:t>. UNDP will work with other development actors, in particular the private sector and national public service institutions</w:t>
            </w:r>
            <w:r w:rsidR="000506DD">
              <w:rPr>
                <w:sz w:val="20"/>
                <w:szCs w:val="20"/>
                <w:lang w:val="en-GB"/>
              </w:rPr>
              <w:t>,</w:t>
            </w:r>
            <w:r w:rsidRPr="004074EE">
              <w:rPr>
                <w:sz w:val="20"/>
                <w:szCs w:val="20"/>
                <w:lang w:val="en-GB"/>
              </w:rPr>
              <w:t xml:space="preserve"> to ensure </w:t>
            </w:r>
            <w:r w:rsidR="000506DD">
              <w:rPr>
                <w:sz w:val="20"/>
                <w:szCs w:val="20"/>
                <w:lang w:val="en-GB"/>
              </w:rPr>
              <w:t xml:space="preserve">that </w:t>
            </w:r>
            <w:r w:rsidRPr="004074EE">
              <w:rPr>
                <w:sz w:val="20"/>
                <w:szCs w:val="20"/>
                <w:lang w:val="en-GB"/>
              </w:rPr>
              <w:t xml:space="preserve">planning is done for development. In addition, UNDP will maintain its role of initiator and nurture </w:t>
            </w:r>
            <w:r w:rsidR="000506DD" w:rsidRPr="004074EE">
              <w:rPr>
                <w:sz w:val="20"/>
                <w:szCs w:val="20"/>
                <w:lang w:val="en-GB"/>
              </w:rPr>
              <w:t>South</w:t>
            </w:r>
            <w:r w:rsidR="000506DD">
              <w:rPr>
                <w:sz w:val="20"/>
                <w:szCs w:val="20"/>
                <w:lang w:val="en-GB"/>
              </w:rPr>
              <w:t>-</w:t>
            </w:r>
            <w:r w:rsidRPr="004074EE">
              <w:rPr>
                <w:sz w:val="20"/>
                <w:szCs w:val="20"/>
                <w:lang w:val="en-GB"/>
              </w:rPr>
              <w:t>South</w:t>
            </w:r>
            <w:r w:rsidR="000506DD">
              <w:rPr>
                <w:sz w:val="20"/>
                <w:szCs w:val="20"/>
                <w:lang w:val="en-GB"/>
              </w:rPr>
              <w:t xml:space="preserve"> and </w:t>
            </w:r>
            <w:r w:rsidRPr="004074EE">
              <w:rPr>
                <w:sz w:val="20"/>
                <w:szCs w:val="20"/>
                <w:lang w:val="en-GB"/>
              </w:rPr>
              <w:t>triangular collaboration, includ</w:t>
            </w:r>
            <w:r>
              <w:rPr>
                <w:sz w:val="20"/>
                <w:szCs w:val="20"/>
                <w:lang w:val="en-GB"/>
              </w:rPr>
              <w:t xml:space="preserve">ing </w:t>
            </w:r>
            <w:r w:rsidR="000506DD">
              <w:rPr>
                <w:sz w:val="20"/>
                <w:szCs w:val="20"/>
                <w:lang w:val="en-GB"/>
              </w:rPr>
              <w:t xml:space="preserve">with </w:t>
            </w:r>
            <w:r>
              <w:rPr>
                <w:sz w:val="20"/>
                <w:szCs w:val="20"/>
                <w:lang w:val="en-GB"/>
              </w:rPr>
              <w:t xml:space="preserve">a wide range of </w:t>
            </w:r>
            <w:r w:rsidRPr="004074EE">
              <w:rPr>
                <w:sz w:val="20"/>
                <w:szCs w:val="20"/>
                <w:lang w:val="en-GB"/>
              </w:rPr>
              <w:t xml:space="preserve">development practitioners and </w:t>
            </w:r>
            <w:r>
              <w:rPr>
                <w:sz w:val="20"/>
                <w:szCs w:val="20"/>
                <w:lang w:val="en-GB"/>
              </w:rPr>
              <w:t>focusing on the creation of</w:t>
            </w:r>
            <w:r w:rsidRPr="004074EE">
              <w:rPr>
                <w:sz w:val="20"/>
                <w:szCs w:val="20"/>
                <w:lang w:val="en-GB"/>
              </w:rPr>
              <w:t xml:space="preserve"> development benefits for affected women, men</w:t>
            </w:r>
            <w:r>
              <w:rPr>
                <w:sz w:val="20"/>
                <w:szCs w:val="20"/>
                <w:lang w:val="en-GB"/>
              </w:rPr>
              <w:t>,</w:t>
            </w:r>
            <w:r w:rsidRPr="004074EE">
              <w:rPr>
                <w:sz w:val="20"/>
                <w:szCs w:val="20"/>
                <w:lang w:val="en-GB"/>
              </w:rPr>
              <w:t xml:space="preserve"> and communities</w:t>
            </w:r>
            <w:r>
              <w:rPr>
                <w:sz w:val="20"/>
                <w:szCs w:val="20"/>
                <w:lang w:val="en-GB"/>
              </w:rPr>
              <w:t>.</w:t>
            </w:r>
            <w:r w:rsidRPr="004074EE">
              <w:rPr>
                <w:sz w:val="20"/>
                <w:szCs w:val="20"/>
              </w:rPr>
              <w:t xml:space="preserve"> </w:t>
            </w:r>
          </w:p>
        </w:tc>
      </w:tr>
      <w:tr w:rsidR="0019361C" w:rsidRPr="004074EE" w:rsidTr="00D5696B">
        <w:tc>
          <w:tcPr>
            <w:tcW w:w="7583" w:type="dxa"/>
            <w:gridSpan w:val="2"/>
            <w:shd w:val="clear" w:color="auto" w:fill="auto"/>
          </w:tcPr>
          <w:p w:rsidR="0019361C" w:rsidRPr="004074EE" w:rsidRDefault="0019361C" w:rsidP="000506DD">
            <w:pPr>
              <w:tabs>
                <w:tab w:val="left" w:pos="2880"/>
              </w:tabs>
              <w:rPr>
                <w:sz w:val="20"/>
                <w:szCs w:val="20"/>
              </w:rPr>
            </w:pPr>
            <w:r w:rsidRPr="004074EE">
              <w:rPr>
                <w:sz w:val="20"/>
                <w:szCs w:val="20"/>
              </w:rPr>
              <w:lastRenderedPageBreak/>
              <w:t>3.1. Provide capacity</w:t>
            </w:r>
            <w:r>
              <w:rPr>
                <w:sz w:val="20"/>
                <w:szCs w:val="20"/>
              </w:rPr>
              <w:t>-</w:t>
            </w:r>
            <w:r w:rsidRPr="004074EE">
              <w:rPr>
                <w:sz w:val="20"/>
                <w:szCs w:val="20"/>
              </w:rPr>
              <w:t xml:space="preserve">building and advisory support to </w:t>
            </w:r>
            <w:r>
              <w:rPr>
                <w:sz w:val="20"/>
                <w:szCs w:val="20"/>
              </w:rPr>
              <w:t>c</w:t>
            </w:r>
            <w:r w:rsidRPr="004074EE">
              <w:rPr>
                <w:sz w:val="20"/>
                <w:szCs w:val="20"/>
              </w:rPr>
              <w:t xml:space="preserve">ountry </w:t>
            </w:r>
            <w:r>
              <w:rPr>
                <w:sz w:val="20"/>
                <w:szCs w:val="20"/>
              </w:rPr>
              <w:t>o</w:t>
            </w:r>
            <w:r w:rsidRPr="004074EE">
              <w:rPr>
                <w:sz w:val="20"/>
                <w:szCs w:val="20"/>
              </w:rPr>
              <w:t xml:space="preserve">ffice </w:t>
            </w:r>
            <w:r>
              <w:rPr>
                <w:sz w:val="20"/>
                <w:szCs w:val="20"/>
              </w:rPr>
              <w:t>staff (</w:t>
            </w:r>
            <w:r w:rsidRPr="004074EE">
              <w:rPr>
                <w:sz w:val="20"/>
                <w:szCs w:val="20"/>
              </w:rPr>
              <w:t>international and national staff</w:t>
            </w:r>
            <w:r>
              <w:rPr>
                <w:sz w:val="20"/>
                <w:szCs w:val="20"/>
              </w:rPr>
              <w:t>)</w:t>
            </w:r>
            <w:r w:rsidRPr="004074EE">
              <w:rPr>
                <w:sz w:val="20"/>
                <w:szCs w:val="20"/>
              </w:rPr>
              <w:t xml:space="preserve">, </w:t>
            </w:r>
            <w:r>
              <w:rPr>
                <w:sz w:val="20"/>
                <w:szCs w:val="20"/>
              </w:rPr>
              <w:t>technical advisers and</w:t>
            </w:r>
            <w:r w:rsidRPr="004074EE">
              <w:rPr>
                <w:sz w:val="20"/>
                <w:szCs w:val="20"/>
              </w:rPr>
              <w:t xml:space="preserve"> project staff on how to support national efforts by following </w:t>
            </w:r>
            <w:r>
              <w:rPr>
                <w:sz w:val="20"/>
                <w:szCs w:val="20"/>
              </w:rPr>
              <w:t>three</w:t>
            </w:r>
            <w:r w:rsidRPr="004074EE">
              <w:rPr>
                <w:sz w:val="20"/>
                <w:szCs w:val="20"/>
              </w:rPr>
              <w:t xml:space="preserve"> tracks in </w:t>
            </w:r>
            <w:r>
              <w:rPr>
                <w:sz w:val="20"/>
                <w:szCs w:val="20"/>
              </w:rPr>
              <w:t>d</w:t>
            </w:r>
            <w:r w:rsidRPr="004074EE">
              <w:rPr>
                <w:sz w:val="20"/>
                <w:szCs w:val="20"/>
              </w:rPr>
              <w:t>evelopment</w:t>
            </w:r>
            <w:r>
              <w:rPr>
                <w:sz w:val="20"/>
                <w:szCs w:val="20"/>
              </w:rPr>
              <w:t xml:space="preserve"> and</w:t>
            </w:r>
            <w:r w:rsidRPr="004074EE">
              <w:rPr>
                <w:sz w:val="20"/>
                <w:szCs w:val="20"/>
              </w:rPr>
              <w:t xml:space="preserve"> </w:t>
            </w:r>
            <w:r>
              <w:rPr>
                <w:sz w:val="20"/>
                <w:szCs w:val="20"/>
              </w:rPr>
              <w:t>m</w:t>
            </w:r>
            <w:r w:rsidRPr="004074EE">
              <w:rPr>
                <w:sz w:val="20"/>
                <w:szCs w:val="20"/>
              </w:rPr>
              <w:t xml:space="preserve">ine </w:t>
            </w:r>
            <w:r>
              <w:rPr>
                <w:sz w:val="20"/>
                <w:szCs w:val="20"/>
              </w:rPr>
              <w:t>a</w:t>
            </w:r>
            <w:r w:rsidRPr="004074EE">
              <w:rPr>
                <w:sz w:val="20"/>
                <w:szCs w:val="20"/>
              </w:rPr>
              <w:t xml:space="preserve">ction programming, and </w:t>
            </w:r>
            <w:r w:rsidR="00535EE1">
              <w:rPr>
                <w:sz w:val="20"/>
                <w:szCs w:val="20"/>
              </w:rPr>
              <w:t xml:space="preserve">by </w:t>
            </w:r>
            <w:r w:rsidRPr="004074EE">
              <w:rPr>
                <w:sz w:val="20"/>
                <w:szCs w:val="20"/>
              </w:rPr>
              <w:t>focus</w:t>
            </w:r>
            <w:r w:rsidR="00535EE1">
              <w:rPr>
                <w:sz w:val="20"/>
                <w:szCs w:val="20"/>
              </w:rPr>
              <w:t>ing</w:t>
            </w:r>
            <w:r w:rsidRPr="004074EE">
              <w:rPr>
                <w:sz w:val="20"/>
                <w:szCs w:val="20"/>
              </w:rPr>
              <w:t xml:space="preserve"> on socioeconomic impact.</w:t>
            </w:r>
          </w:p>
        </w:tc>
        <w:tc>
          <w:tcPr>
            <w:tcW w:w="1890" w:type="dxa"/>
            <w:gridSpan w:val="3"/>
            <w:shd w:val="clear" w:color="auto" w:fill="auto"/>
          </w:tcPr>
          <w:p w:rsidR="0019361C" w:rsidRPr="004074EE" w:rsidRDefault="0019361C" w:rsidP="0071676E">
            <w:pPr>
              <w:tabs>
                <w:tab w:val="left" w:pos="2880"/>
              </w:tabs>
              <w:rPr>
                <w:sz w:val="20"/>
                <w:szCs w:val="20"/>
              </w:rPr>
            </w:pPr>
            <w:r w:rsidRPr="004074EE">
              <w:rPr>
                <w:sz w:val="20"/>
                <w:szCs w:val="20"/>
              </w:rPr>
              <w:t>In the course of 2016-2017</w:t>
            </w:r>
          </w:p>
        </w:tc>
        <w:tc>
          <w:tcPr>
            <w:tcW w:w="2070" w:type="dxa"/>
            <w:gridSpan w:val="3"/>
            <w:shd w:val="clear" w:color="auto" w:fill="auto"/>
          </w:tcPr>
          <w:p w:rsidR="0019361C" w:rsidRPr="004074EE" w:rsidRDefault="0019361C" w:rsidP="000506DD">
            <w:pPr>
              <w:tabs>
                <w:tab w:val="left" w:pos="2880"/>
              </w:tabs>
              <w:rPr>
                <w:sz w:val="20"/>
                <w:szCs w:val="20"/>
              </w:rPr>
            </w:pPr>
            <w:r>
              <w:rPr>
                <w:sz w:val="20"/>
                <w:szCs w:val="20"/>
              </w:rPr>
              <w:t>BPPS and re</w:t>
            </w:r>
            <w:r w:rsidRPr="004074EE">
              <w:rPr>
                <w:sz w:val="20"/>
                <w:szCs w:val="20"/>
              </w:rPr>
              <w:t xml:space="preserve">gional </w:t>
            </w:r>
            <w:r>
              <w:rPr>
                <w:sz w:val="20"/>
                <w:szCs w:val="20"/>
              </w:rPr>
              <w:t>hubs</w:t>
            </w:r>
          </w:p>
        </w:tc>
        <w:tc>
          <w:tcPr>
            <w:tcW w:w="1530" w:type="dxa"/>
            <w:gridSpan w:val="3"/>
            <w:shd w:val="clear" w:color="auto" w:fill="auto"/>
          </w:tcPr>
          <w:p w:rsidR="0019361C" w:rsidRPr="004074EE" w:rsidRDefault="0019361C" w:rsidP="0071676E">
            <w:pPr>
              <w:tabs>
                <w:tab w:val="left" w:pos="2880"/>
              </w:tabs>
              <w:rPr>
                <w:sz w:val="20"/>
                <w:szCs w:val="20"/>
              </w:rPr>
            </w:pPr>
          </w:p>
        </w:tc>
        <w:tc>
          <w:tcPr>
            <w:tcW w:w="1417" w:type="dxa"/>
            <w:gridSpan w:val="3"/>
            <w:shd w:val="clear" w:color="auto" w:fill="auto"/>
          </w:tcPr>
          <w:p w:rsidR="0019361C" w:rsidRPr="004074EE" w:rsidRDefault="0019361C" w:rsidP="0071676E">
            <w:pPr>
              <w:tabs>
                <w:tab w:val="left" w:pos="2880"/>
              </w:tabs>
              <w:rPr>
                <w:sz w:val="20"/>
                <w:szCs w:val="20"/>
              </w:rPr>
            </w:pPr>
          </w:p>
        </w:tc>
      </w:tr>
      <w:tr w:rsidR="0019361C" w:rsidRPr="004074EE" w:rsidTr="00D5696B">
        <w:tc>
          <w:tcPr>
            <w:tcW w:w="7583" w:type="dxa"/>
            <w:gridSpan w:val="2"/>
            <w:shd w:val="clear" w:color="auto" w:fill="auto"/>
          </w:tcPr>
          <w:p w:rsidR="0019361C" w:rsidRPr="004074EE" w:rsidRDefault="0019361C" w:rsidP="00E9122C">
            <w:pPr>
              <w:tabs>
                <w:tab w:val="left" w:pos="2880"/>
              </w:tabs>
              <w:rPr>
                <w:sz w:val="20"/>
                <w:szCs w:val="20"/>
              </w:rPr>
            </w:pPr>
            <w:r w:rsidRPr="004074EE">
              <w:rPr>
                <w:sz w:val="20"/>
                <w:szCs w:val="20"/>
              </w:rPr>
              <w:t>3.2. Provide capacity</w:t>
            </w:r>
            <w:r>
              <w:rPr>
                <w:sz w:val="20"/>
                <w:szCs w:val="20"/>
              </w:rPr>
              <w:t>-</w:t>
            </w:r>
            <w:r w:rsidRPr="004074EE">
              <w:rPr>
                <w:sz w:val="20"/>
                <w:szCs w:val="20"/>
              </w:rPr>
              <w:t xml:space="preserve">building support to </w:t>
            </w:r>
            <w:r>
              <w:rPr>
                <w:sz w:val="20"/>
                <w:szCs w:val="20"/>
              </w:rPr>
              <w:t>g</w:t>
            </w:r>
            <w:r w:rsidRPr="004074EE">
              <w:rPr>
                <w:sz w:val="20"/>
                <w:szCs w:val="20"/>
              </w:rPr>
              <w:t xml:space="preserve">overnment authorities on prioritizing and planning </w:t>
            </w:r>
            <w:r>
              <w:rPr>
                <w:sz w:val="20"/>
                <w:szCs w:val="20"/>
              </w:rPr>
              <w:t>d</w:t>
            </w:r>
            <w:r w:rsidRPr="004074EE">
              <w:rPr>
                <w:sz w:val="20"/>
                <w:szCs w:val="20"/>
              </w:rPr>
              <w:t xml:space="preserve">evelopment and </w:t>
            </w:r>
            <w:r>
              <w:rPr>
                <w:sz w:val="20"/>
                <w:szCs w:val="20"/>
              </w:rPr>
              <w:t>m</w:t>
            </w:r>
            <w:r w:rsidRPr="004074EE">
              <w:rPr>
                <w:sz w:val="20"/>
                <w:szCs w:val="20"/>
              </w:rPr>
              <w:t xml:space="preserve">ine </w:t>
            </w:r>
            <w:r>
              <w:rPr>
                <w:sz w:val="20"/>
                <w:szCs w:val="20"/>
              </w:rPr>
              <w:t>a</w:t>
            </w:r>
            <w:r w:rsidRPr="004074EE">
              <w:rPr>
                <w:sz w:val="20"/>
                <w:szCs w:val="20"/>
              </w:rPr>
              <w:t xml:space="preserve">ction efforts, using cross-sectoral approaches and ensuring cooperation between the different </w:t>
            </w:r>
            <w:r>
              <w:rPr>
                <w:sz w:val="20"/>
                <w:szCs w:val="20"/>
              </w:rPr>
              <w:t>m</w:t>
            </w:r>
            <w:r w:rsidRPr="004074EE">
              <w:rPr>
                <w:sz w:val="20"/>
                <w:szCs w:val="20"/>
              </w:rPr>
              <w:t xml:space="preserve">inistries and other relevant institutions. </w:t>
            </w:r>
          </w:p>
        </w:tc>
        <w:tc>
          <w:tcPr>
            <w:tcW w:w="1890" w:type="dxa"/>
            <w:gridSpan w:val="3"/>
            <w:shd w:val="clear" w:color="auto" w:fill="auto"/>
          </w:tcPr>
          <w:p w:rsidR="0019361C" w:rsidRPr="004074EE" w:rsidRDefault="0019361C" w:rsidP="0071676E">
            <w:pPr>
              <w:tabs>
                <w:tab w:val="left" w:pos="2880"/>
              </w:tabs>
              <w:rPr>
                <w:sz w:val="20"/>
                <w:szCs w:val="20"/>
              </w:rPr>
            </w:pPr>
            <w:r w:rsidRPr="004074EE">
              <w:rPr>
                <w:sz w:val="20"/>
                <w:szCs w:val="20"/>
              </w:rPr>
              <w:t>In the course of 2016-2017</w:t>
            </w:r>
          </w:p>
        </w:tc>
        <w:tc>
          <w:tcPr>
            <w:tcW w:w="2070" w:type="dxa"/>
            <w:gridSpan w:val="3"/>
            <w:shd w:val="clear" w:color="auto" w:fill="auto"/>
          </w:tcPr>
          <w:p w:rsidR="0019361C" w:rsidRPr="004074EE" w:rsidRDefault="0019361C" w:rsidP="000506DD">
            <w:pPr>
              <w:tabs>
                <w:tab w:val="left" w:pos="2880"/>
              </w:tabs>
              <w:rPr>
                <w:sz w:val="20"/>
                <w:szCs w:val="20"/>
              </w:rPr>
            </w:pPr>
            <w:r w:rsidRPr="004074EE">
              <w:rPr>
                <w:sz w:val="20"/>
                <w:szCs w:val="20"/>
              </w:rPr>
              <w:t xml:space="preserve">BPPS and </w:t>
            </w:r>
            <w:r>
              <w:rPr>
                <w:sz w:val="20"/>
                <w:szCs w:val="20"/>
              </w:rPr>
              <w:t>re</w:t>
            </w:r>
            <w:r w:rsidRPr="004074EE">
              <w:rPr>
                <w:sz w:val="20"/>
                <w:szCs w:val="20"/>
              </w:rPr>
              <w:t xml:space="preserve">gional </w:t>
            </w:r>
            <w:r>
              <w:rPr>
                <w:sz w:val="20"/>
                <w:szCs w:val="20"/>
              </w:rPr>
              <w:t>hubs</w:t>
            </w:r>
            <w:r w:rsidRPr="004074EE">
              <w:rPr>
                <w:sz w:val="20"/>
                <w:szCs w:val="20"/>
              </w:rPr>
              <w:t xml:space="preserve"> </w:t>
            </w:r>
          </w:p>
        </w:tc>
        <w:tc>
          <w:tcPr>
            <w:tcW w:w="1530" w:type="dxa"/>
            <w:gridSpan w:val="3"/>
            <w:shd w:val="clear" w:color="auto" w:fill="auto"/>
          </w:tcPr>
          <w:p w:rsidR="0019361C" w:rsidRPr="004074EE" w:rsidRDefault="0019361C" w:rsidP="0071676E">
            <w:pPr>
              <w:tabs>
                <w:tab w:val="left" w:pos="2880"/>
              </w:tabs>
              <w:rPr>
                <w:sz w:val="20"/>
                <w:szCs w:val="20"/>
              </w:rPr>
            </w:pPr>
          </w:p>
        </w:tc>
        <w:tc>
          <w:tcPr>
            <w:tcW w:w="1417" w:type="dxa"/>
            <w:gridSpan w:val="3"/>
            <w:shd w:val="clear" w:color="auto" w:fill="auto"/>
          </w:tcPr>
          <w:p w:rsidR="0019361C" w:rsidRPr="004074EE" w:rsidRDefault="0019361C" w:rsidP="0071676E">
            <w:pPr>
              <w:tabs>
                <w:tab w:val="left" w:pos="2880"/>
              </w:tabs>
              <w:rPr>
                <w:sz w:val="20"/>
                <w:szCs w:val="20"/>
              </w:rPr>
            </w:pPr>
          </w:p>
        </w:tc>
      </w:tr>
      <w:tr w:rsidR="0019361C" w:rsidRPr="004074EE" w:rsidTr="00D5696B">
        <w:tc>
          <w:tcPr>
            <w:tcW w:w="7583" w:type="dxa"/>
            <w:gridSpan w:val="2"/>
            <w:shd w:val="clear" w:color="auto" w:fill="auto"/>
          </w:tcPr>
          <w:p w:rsidR="0019361C" w:rsidRPr="004074EE" w:rsidRDefault="0019361C" w:rsidP="000506DD">
            <w:pPr>
              <w:tabs>
                <w:tab w:val="left" w:pos="2880"/>
              </w:tabs>
              <w:rPr>
                <w:sz w:val="20"/>
                <w:szCs w:val="20"/>
              </w:rPr>
            </w:pPr>
            <w:r w:rsidRPr="004074EE">
              <w:rPr>
                <w:sz w:val="20"/>
                <w:szCs w:val="20"/>
              </w:rPr>
              <w:t xml:space="preserve">3.3 Ensure realignment of current </w:t>
            </w:r>
            <w:r>
              <w:rPr>
                <w:sz w:val="20"/>
                <w:szCs w:val="20"/>
              </w:rPr>
              <w:t>m</w:t>
            </w:r>
            <w:r w:rsidRPr="004074EE">
              <w:rPr>
                <w:sz w:val="20"/>
                <w:szCs w:val="20"/>
              </w:rPr>
              <w:t xml:space="preserve">ine </w:t>
            </w:r>
            <w:r>
              <w:rPr>
                <w:sz w:val="20"/>
                <w:szCs w:val="20"/>
              </w:rPr>
              <w:t>a</w:t>
            </w:r>
            <w:r w:rsidRPr="004074EE">
              <w:rPr>
                <w:sz w:val="20"/>
                <w:szCs w:val="20"/>
              </w:rPr>
              <w:t xml:space="preserve">ction programmes with </w:t>
            </w:r>
            <w:r>
              <w:rPr>
                <w:sz w:val="20"/>
                <w:szCs w:val="20"/>
              </w:rPr>
              <w:t xml:space="preserve">the </w:t>
            </w:r>
            <w:r w:rsidRPr="004074EE">
              <w:rPr>
                <w:sz w:val="20"/>
                <w:szCs w:val="20"/>
              </w:rPr>
              <w:t>UNDP Strategic Plan</w:t>
            </w:r>
            <w:r>
              <w:rPr>
                <w:sz w:val="20"/>
                <w:szCs w:val="20"/>
              </w:rPr>
              <w:t>,</w:t>
            </w:r>
            <w:r w:rsidRPr="004074EE">
              <w:rPr>
                <w:sz w:val="20"/>
                <w:szCs w:val="20"/>
              </w:rPr>
              <w:t xml:space="preserve"> 2014-2017</w:t>
            </w:r>
            <w:r>
              <w:rPr>
                <w:sz w:val="20"/>
                <w:szCs w:val="20"/>
              </w:rPr>
              <w:t xml:space="preserve"> and with the UNDP Support Framework on Development and Mine Action</w:t>
            </w:r>
            <w:r w:rsidRPr="004074EE">
              <w:rPr>
                <w:sz w:val="20"/>
                <w:szCs w:val="20"/>
              </w:rPr>
              <w:t xml:space="preserve">. </w:t>
            </w:r>
          </w:p>
        </w:tc>
        <w:tc>
          <w:tcPr>
            <w:tcW w:w="1890" w:type="dxa"/>
            <w:gridSpan w:val="3"/>
            <w:shd w:val="clear" w:color="auto" w:fill="auto"/>
          </w:tcPr>
          <w:p w:rsidR="0019361C" w:rsidRPr="004074EE" w:rsidRDefault="0019361C" w:rsidP="0071676E">
            <w:pPr>
              <w:tabs>
                <w:tab w:val="left" w:pos="2880"/>
              </w:tabs>
              <w:rPr>
                <w:sz w:val="20"/>
                <w:szCs w:val="20"/>
              </w:rPr>
            </w:pPr>
            <w:r w:rsidRPr="004074EE">
              <w:rPr>
                <w:sz w:val="20"/>
                <w:szCs w:val="20"/>
              </w:rPr>
              <w:t>By the end of December 2017</w:t>
            </w:r>
          </w:p>
        </w:tc>
        <w:tc>
          <w:tcPr>
            <w:tcW w:w="2070" w:type="dxa"/>
            <w:gridSpan w:val="3"/>
            <w:shd w:val="clear" w:color="auto" w:fill="auto"/>
          </w:tcPr>
          <w:p w:rsidR="0019361C" w:rsidRPr="004074EE" w:rsidRDefault="0019361C" w:rsidP="000506DD">
            <w:pPr>
              <w:tabs>
                <w:tab w:val="left" w:pos="2880"/>
              </w:tabs>
              <w:rPr>
                <w:sz w:val="20"/>
                <w:szCs w:val="20"/>
              </w:rPr>
            </w:pPr>
            <w:r w:rsidRPr="004074EE">
              <w:rPr>
                <w:sz w:val="20"/>
                <w:szCs w:val="20"/>
              </w:rPr>
              <w:t xml:space="preserve">BPPS, </w:t>
            </w:r>
            <w:r>
              <w:rPr>
                <w:sz w:val="20"/>
                <w:szCs w:val="20"/>
              </w:rPr>
              <w:t>r</w:t>
            </w:r>
            <w:r w:rsidRPr="004074EE">
              <w:rPr>
                <w:sz w:val="20"/>
                <w:szCs w:val="20"/>
              </w:rPr>
              <w:t xml:space="preserve">egional </w:t>
            </w:r>
            <w:r>
              <w:rPr>
                <w:sz w:val="20"/>
                <w:szCs w:val="20"/>
              </w:rPr>
              <w:t>hubs</w:t>
            </w:r>
            <w:r w:rsidRPr="004074EE">
              <w:rPr>
                <w:sz w:val="20"/>
                <w:szCs w:val="20"/>
              </w:rPr>
              <w:t xml:space="preserve"> and </w:t>
            </w:r>
            <w:r>
              <w:rPr>
                <w:sz w:val="20"/>
                <w:szCs w:val="20"/>
              </w:rPr>
              <w:t>country offices</w:t>
            </w:r>
          </w:p>
        </w:tc>
        <w:tc>
          <w:tcPr>
            <w:tcW w:w="1530" w:type="dxa"/>
            <w:gridSpan w:val="3"/>
            <w:shd w:val="clear" w:color="auto" w:fill="auto"/>
          </w:tcPr>
          <w:p w:rsidR="0019361C" w:rsidRPr="004074EE" w:rsidRDefault="0019361C" w:rsidP="0071676E">
            <w:pPr>
              <w:tabs>
                <w:tab w:val="left" w:pos="2880"/>
              </w:tabs>
              <w:rPr>
                <w:sz w:val="20"/>
                <w:szCs w:val="20"/>
              </w:rPr>
            </w:pPr>
          </w:p>
        </w:tc>
        <w:tc>
          <w:tcPr>
            <w:tcW w:w="1417" w:type="dxa"/>
            <w:gridSpan w:val="3"/>
            <w:shd w:val="clear" w:color="auto" w:fill="auto"/>
          </w:tcPr>
          <w:p w:rsidR="0019361C" w:rsidRPr="004074EE" w:rsidRDefault="0019361C" w:rsidP="0071676E">
            <w:pPr>
              <w:tabs>
                <w:tab w:val="left" w:pos="2880"/>
              </w:tabs>
              <w:rPr>
                <w:sz w:val="20"/>
                <w:szCs w:val="20"/>
              </w:rPr>
            </w:pPr>
          </w:p>
        </w:tc>
      </w:tr>
      <w:tr w:rsidR="0019361C" w:rsidRPr="004074EE" w:rsidTr="00D5696B">
        <w:tc>
          <w:tcPr>
            <w:tcW w:w="7583" w:type="dxa"/>
            <w:gridSpan w:val="2"/>
            <w:shd w:val="clear" w:color="auto" w:fill="auto"/>
          </w:tcPr>
          <w:p w:rsidR="0019361C" w:rsidRPr="004074EE" w:rsidRDefault="0019361C" w:rsidP="000506DD">
            <w:pPr>
              <w:tabs>
                <w:tab w:val="left" w:pos="2880"/>
              </w:tabs>
              <w:rPr>
                <w:sz w:val="20"/>
                <w:szCs w:val="20"/>
              </w:rPr>
            </w:pPr>
            <w:r w:rsidRPr="004074EE">
              <w:rPr>
                <w:sz w:val="20"/>
                <w:szCs w:val="20"/>
              </w:rPr>
              <w:t xml:space="preserve">3.4 Prepare and circulate the </w:t>
            </w:r>
            <w:r>
              <w:rPr>
                <w:sz w:val="20"/>
                <w:szCs w:val="20"/>
              </w:rPr>
              <w:t>knowledge product on l</w:t>
            </w:r>
            <w:r w:rsidRPr="004074EE">
              <w:rPr>
                <w:sz w:val="20"/>
                <w:szCs w:val="20"/>
              </w:rPr>
              <w:t xml:space="preserve">essons </w:t>
            </w:r>
            <w:r>
              <w:rPr>
                <w:sz w:val="20"/>
                <w:szCs w:val="20"/>
              </w:rPr>
              <w:t>l</w:t>
            </w:r>
            <w:r w:rsidRPr="004074EE">
              <w:rPr>
                <w:sz w:val="20"/>
                <w:szCs w:val="20"/>
              </w:rPr>
              <w:t xml:space="preserve">earned related to </w:t>
            </w:r>
            <w:r>
              <w:rPr>
                <w:sz w:val="20"/>
                <w:szCs w:val="20"/>
              </w:rPr>
              <w:t>m</w:t>
            </w:r>
            <w:r w:rsidRPr="004074EE">
              <w:rPr>
                <w:sz w:val="20"/>
                <w:szCs w:val="20"/>
              </w:rPr>
              <w:t xml:space="preserve">ine </w:t>
            </w:r>
            <w:r>
              <w:rPr>
                <w:sz w:val="20"/>
                <w:szCs w:val="20"/>
              </w:rPr>
              <w:t>a</w:t>
            </w:r>
            <w:r w:rsidRPr="004074EE">
              <w:rPr>
                <w:sz w:val="20"/>
                <w:szCs w:val="20"/>
              </w:rPr>
              <w:t>ction programming</w:t>
            </w:r>
            <w:r>
              <w:rPr>
                <w:sz w:val="20"/>
                <w:szCs w:val="20"/>
              </w:rPr>
              <w:t xml:space="preserve"> for use by countries, the c</w:t>
            </w:r>
            <w:r w:rsidRPr="005B2307">
              <w:rPr>
                <w:sz w:val="20"/>
                <w:szCs w:val="20"/>
              </w:rPr>
              <w:t>ommunit</w:t>
            </w:r>
            <w:r>
              <w:rPr>
                <w:sz w:val="20"/>
                <w:szCs w:val="20"/>
              </w:rPr>
              <w:t>y</w:t>
            </w:r>
            <w:r w:rsidRPr="005B2307">
              <w:rPr>
                <w:sz w:val="20"/>
                <w:szCs w:val="20"/>
              </w:rPr>
              <w:t xml:space="preserve"> of </w:t>
            </w:r>
            <w:r>
              <w:rPr>
                <w:sz w:val="20"/>
                <w:szCs w:val="20"/>
              </w:rPr>
              <w:t>p</w:t>
            </w:r>
            <w:r w:rsidRPr="005B2307">
              <w:rPr>
                <w:sz w:val="20"/>
                <w:szCs w:val="20"/>
              </w:rPr>
              <w:t xml:space="preserve">ractice on </w:t>
            </w:r>
            <w:r>
              <w:rPr>
                <w:sz w:val="20"/>
                <w:szCs w:val="20"/>
              </w:rPr>
              <w:t>d</w:t>
            </w:r>
            <w:r w:rsidRPr="005B2307">
              <w:rPr>
                <w:sz w:val="20"/>
                <w:szCs w:val="20"/>
              </w:rPr>
              <w:t xml:space="preserve">evelopment and </w:t>
            </w:r>
            <w:r>
              <w:rPr>
                <w:sz w:val="20"/>
                <w:szCs w:val="20"/>
              </w:rPr>
              <w:t>m</w:t>
            </w:r>
            <w:r w:rsidRPr="005B2307">
              <w:rPr>
                <w:sz w:val="20"/>
                <w:szCs w:val="20"/>
              </w:rPr>
              <w:t xml:space="preserve">ine </w:t>
            </w:r>
            <w:r>
              <w:rPr>
                <w:sz w:val="20"/>
                <w:szCs w:val="20"/>
              </w:rPr>
              <w:t>a</w:t>
            </w:r>
            <w:r w:rsidRPr="005B2307">
              <w:rPr>
                <w:sz w:val="20"/>
                <w:szCs w:val="20"/>
              </w:rPr>
              <w:t xml:space="preserve">ction </w:t>
            </w:r>
            <w:r>
              <w:rPr>
                <w:sz w:val="20"/>
                <w:szCs w:val="20"/>
              </w:rPr>
              <w:t xml:space="preserve">and partners </w:t>
            </w:r>
            <w:r w:rsidRPr="004074EE">
              <w:rPr>
                <w:sz w:val="20"/>
                <w:szCs w:val="20"/>
              </w:rPr>
              <w:t>for replication and South-South cooperation.</w:t>
            </w:r>
          </w:p>
        </w:tc>
        <w:tc>
          <w:tcPr>
            <w:tcW w:w="1890" w:type="dxa"/>
            <w:gridSpan w:val="3"/>
            <w:shd w:val="clear" w:color="auto" w:fill="auto"/>
          </w:tcPr>
          <w:p w:rsidR="0019361C" w:rsidRPr="004074EE" w:rsidRDefault="0019361C" w:rsidP="0071676E">
            <w:pPr>
              <w:tabs>
                <w:tab w:val="left" w:pos="2880"/>
              </w:tabs>
              <w:rPr>
                <w:sz w:val="20"/>
                <w:szCs w:val="20"/>
              </w:rPr>
            </w:pPr>
            <w:r w:rsidRPr="004074EE">
              <w:rPr>
                <w:sz w:val="20"/>
                <w:szCs w:val="20"/>
              </w:rPr>
              <w:t>By the end of December 2017</w:t>
            </w:r>
          </w:p>
        </w:tc>
        <w:tc>
          <w:tcPr>
            <w:tcW w:w="2070" w:type="dxa"/>
            <w:gridSpan w:val="3"/>
            <w:shd w:val="clear" w:color="auto" w:fill="auto"/>
          </w:tcPr>
          <w:p w:rsidR="0019361C" w:rsidRPr="004074EE" w:rsidRDefault="0019361C" w:rsidP="000506DD">
            <w:pPr>
              <w:tabs>
                <w:tab w:val="left" w:pos="2880"/>
              </w:tabs>
              <w:rPr>
                <w:sz w:val="20"/>
                <w:szCs w:val="20"/>
              </w:rPr>
            </w:pPr>
            <w:r w:rsidRPr="004074EE">
              <w:rPr>
                <w:sz w:val="20"/>
                <w:szCs w:val="20"/>
              </w:rPr>
              <w:t xml:space="preserve">BPPS, </w:t>
            </w:r>
            <w:r>
              <w:rPr>
                <w:sz w:val="20"/>
                <w:szCs w:val="20"/>
              </w:rPr>
              <w:t>r</w:t>
            </w:r>
            <w:r w:rsidRPr="004074EE">
              <w:rPr>
                <w:sz w:val="20"/>
                <w:szCs w:val="20"/>
              </w:rPr>
              <w:t xml:space="preserve">egional </w:t>
            </w:r>
            <w:r>
              <w:rPr>
                <w:sz w:val="20"/>
                <w:szCs w:val="20"/>
              </w:rPr>
              <w:t xml:space="preserve">hubs </w:t>
            </w:r>
            <w:r w:rsidRPr="004074EE">
              <w:rPr>
                <w:sz w:val="20"/>
                <w:szCs w:val="20"/>
              </w:rPr>
              <w:t xml:space="preserve">and </w:t>
            </w:r>
            <w:r>
              <w:rPr>
                <w:sz w:val="20"/>
                <w:szCs w:val="20"/>
              </w:rPr>
              <w:t>country offices</w:t>
            </w:r>
          </w:p>
        </w:tc>
        <w:tc>
          <w:tcPr>
            <w:tcW w:w="1530" w:type="dxa"/>
            <w:gridSpan w:val="3"/>
            <w:shd w:val="clear" w:color="auto" w:fill="auto"/>
          </w:tcPr>
          <w:p w:rsidR="0019361C" w:rsidRPr="004074EE" w:rsidRDefault="0019361C" w:rsidP="0071676E">
            <w:pPr>
              <w:tabs>
                <w:tab w:val="left" w:pos="2880"/>
              </w:tabs>
              <w:rPr>
                <w:sz w:val="20"/>
                <w:szCs w:val="20"/>
              </w:rPr>
            </w:pPr>
          </w:p>
        </w:tc>
        <w:tc>
          <w:tcPr>
            <w:tcW w:w="1417" w:type="dxa"/>
            <w:gridSpan w:val="3"/>
            <w:shd w:val="clear" w:color="auto" w:fill="auto"/>
          </w:tcPr>
          <w:p w:rsidR="0019361C" w:rsidRPr="004074EE" w:rsidRDefault="0019361C" w:rsidP="0071676E">
            <w:pPr>
              <w:tabs>
                <w:tab w:val="left" w:pos="2880"/>
              </w:tabs>
              <w:rPr>
                <w:sz w:val="20"/>
                <w:szCs w:val="20"/>
              </w:rPr>
            </w:pPr>
          </w:p>
        </w:tc>
      </w:tr>
    </w:tbl>
    <w:p w:rsidR="0019361C" w:rsidRDefault="0019361C" w:rsidP="000506DD">
      <w:pPr>
        <w:rPr>
          <w:sz w:val="20"/>
          <w:szCs w:val="20"/>
        </w:rPr>
      </w:pPr>
    </w:p>
    <w:p w:rsidR="00F20A98" w:rsidRDefault="00F20A98" w:rsidP="00F20A98">
      <w:pPr>
        <w:rPr>
          <w:sz w:val="20"/>
          <w:szCs w:val="20"/>
        </w:rPr>
      </w:pPr>
      <w:r w:rsidRPr="00F52D34">
        <w:rPr>
          <w:sz w:val="20"/>
          <w:szCs w:val="20"/>
        </w:rPr>
        <w:t xml:space="preserve">* The implementation status is tracked in the </w:t>
      </w:r>
      <w:r>
        <w:rPr>
          <w:sz w:val="20"/>
          <w:szCs w:val="20"/>
        </w:rPr>
        <w:t>Evaluation Resource Centre</w:t>
      </w:r>
      <w:r w:rsidRPr="00F52D34">
        <w:rPr>
          <w:sz w:val="20"/>
          <w:szCs w:val="20"/>
        </w:rPr>
        <w:t xml:space="preserve">. </w:t>
      </w:r>
    </w:p>
    <w:p w:rsidR="00A80449" w:rsidRDefault="00A80449" w:rsidP="00F20A98">
      <w:pPr>
        <w:rPr>
          <w:sz w:val="20"/>
          <w:szCs w:val="20"/>
        </w:rPr>
      </w:pPr>
    </w:p>
    <w:p w:rsidR="00A80449" w:rsidRPr="00F20A98" w:rsidRDefault="00A80449" w:rsidP="00A80449">
      <w:pPr>
        <w:jc w:val="center"/>
        <w:rPr>
          <w:lang w:val="en-GB"/>
        </w:rPr>
      </w:pPr>
      <w:r w:rsidRPr="00A80449">
        <w:rPr>
          <w:rFonts w:ascii="Calibri" w:hAnsi="Calibri"/>
          <w:noProof/>
          <w:lang w:bidi="en-US"/>
        </w:rPr>
        <w:drawing>
          <wp:inline distT="0" distB="0" distL="0" distR="0" wp14:anchorId="271EFD10" wp14:editId="6ADF0BF4">
            <wp:extent cx="942975" cy="285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A80449" w:rsidRPr="00F20A98" w:rsidSect="00C75E86">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1195" w:right="1474" w:bottom="1134" w:left="1474" w:header="540" w:footer="10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FA" w:rsidRDefault="00830CFA">
      <w:r>
        <w:separator/>
      </w:r>
    </w:p>
  </w:endnote>
  <w:endnote w:type="continuationSeparator" w:id="0">
    <w:p w:rsidR="00830CFA" w:rsidRDefault="00830CFA">
      <w:r>
        <w:continuationSeparator/>
      </w:r>
    </w:p>
  </w:endnote>
  <w:endnote w:type="continuationNotice" w:id="1">
    <w:p w:rsidR="00830CFA" w:rsidRDefault="00830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duster">
    <w:charset w:val="00"/>
    <w:family w:val="auto"/>
    <w:pitch w:val="variable"/>
    <w:sig w:usb0="80000023" w:usb1="00000000" w:usb2="00000000" w:usb3="00000000" w:csb0="00000001" w:csb1="00000000"/>
  </w:font>
  <w:font w:name="Whitney-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63BC0" w:rsidTr="00C63BC0">
      <w:tc>
        <w:tcPr>
          <w:tcW w:w="5033" w:type="dxa"/>
          <w:vAlign w:val="bottom"/>
        </w:tcPr>
        <w:p w:rsidR="00C63BC0" w:rsidRDefault="00C63BC0">
          <w:pPr>
            <w:pStyle w:val="Footer"/>
          </w:pPr>
          <w:r>
            <w:fldChar w:fldCharType="begin"/>
          </w:r>
          <w:r>
            <w:instrText xml:space="preserve"> PAGE  \* MERGEFORMAT </w:instrText>
          </w:r>
          <w:r>
            <w:fldChar w:fldCharType="separate"/>
          </w:r>
          <w:r>
            <w:rPr>
              <w:noProof/>
            </w:rPr>
            <w:t>4</w:t>
          </w:r>
          <w:r>
            <w:fldChar w:fldCharType="end"/>
          </w:r>
        </w:p>
      </w:tc>
      <w:tc>
        <w:tcPr>
          <w:tcW w:w="5033" w:type="dxa"/>
          <w:vAlign w:val="bottom"/>
        </w:tcPr>
        <w:p w:rsidR="00C63BC0" w:rsidRDefault="00C63BC0">
          <w:pPr>
            <w:pStyle w:val="Footer"/>
            <w:jc w:val="right"/>
          </w:pPr>
        </w:p>
      </w:tc>
    </w:tr>
  </w:tbl>
  <w:p w:rsidR="00C63BC0" w:rsidRDefault="00C63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C63BC0" w:rsidTr="00C63BC0">
      <w:tc>
        <w:tcPr>
          <w:tcW w:w="5033" w:type="dxa"/>
          <w:vAlign w:val="bottom"/>
        </w:tcPr>
        <w:p w:rsidR="00C63BC0" w:rsidRDefault="00C63BC0">
          <w:pPr>
            <w:pStyle w:val="Footer"/>
          </w:pPr>
        </w:p>
      </w:tc>
      <w:tc>
        <w:tcPr>
          <w:tcW w:w="5033" w:type="dxa"/>
          <w:vAlign w:val="bottom"/>
        </w:tcPr>
        <w:p w:rsidR="00C63BC0" w:rsidRDefault="00C63BC0">
          <w:pPr>
            <w:pStyle w:val="Footer"/>
            <w:jc w:val="right"/>
          </w:pPr>
          <w:r>
            <w:fldChar w:fldCharType="begin"/>
          </w:r>
          <w:r>
            <w:instrText xml:space="preserve"> PAGE  \* MERGEFORMAT </w:instrText>
          </w:r>
          <w:r>
            <w:fldChar w:fldCharType="separate"/>
          </w:r>
          <w:r>
            <w:rPr>
              <w:noProof/>
            </w:rPr>
            <w:t>3</w:t>
          </w:r>
          <w:r>
            <w:fldChar w:fldCharType="end"/>
          </w:r>
        </w:p>
      </w:tc>
    </w:tr>
  </w:tbl>
  <w:p w:rsidR="00C63BC0" w:rsidRDefault="00C63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C63BC0" w:rsidTr="006F4285">
      <w:tc>
        <w:tcPr>
          <w:tcW w:w="5033" w:type="dxa"/>
          <w:shd w:val="clear" w:color="auto" w:fill="auto"/>
        </w:tcPr>
        <w:p w:rsidR="00C63BC0" w:rsidRPr="002929FA" w:rsidRDefault="00C63BC0" w:rsidP="00621D8E">
          <w:pPr>
            <w:pStyle w:val="Footer"/>
            <w:spacing w:before="80" w:line="210" w:lineRule="exact"/>
            <w:rPr>
              <w:rFonts w:ascii="Barcode 3 of 9 by request" w:hAnsi="Barcode 3 of 9 by request"/>
            </w:rPr>
          </w:pPr>
        </w:p>
      </w:tc>
      <w:tc>
        <w:tcPr>
          <w:tcW w:w="3686" w:type="dxa"/>
          <w:shd w:val="clear" w:color="auto" w:fill="auto"/>
        </w:tcPr>
        <w:p w:rsidR="00C63BC0" w:rsidRDefault="00C63BC0" w:rsidP="002929FA">
          <w:pPr>
            <w:pStyle w:val="Footer"/>
            <w:spacing w:line="240" w:lineRule="atLeast"/>
            <w:jc w:val="right"/>
          </w:pPr>
        </w:p>
      </w:tc>
    </w:tr>
  </w:tbl>
  <w:p w:rsidR="00C63BC0" w:rsidRPr="002929FA" w:rsidRDefault="00C63BC0" w:rsidP="002929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C0" w:rsidRPr="002979FA" w:rsidRDefault="00C63BC0">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2F179A">
      <w:rPr>
        <w:b/>
        <w:noProof/>
        <w:sz w:val="17"/>
        <w:szCs w:val="17"/>
      </w:rPr>
      <w:t>6</w:t>
    </w:r>
    <w:r w:rsidRPr="002979FA">
      <w:rPr>
        <w:b/>
        <w:noProof/>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C0" w:rsidRPr="002979FA" w:rsidRDefault="00C63BC0" w:rsidP="002979FA">
    <w:pPr>
      <w:pStyle w:val="Footer"/>
      <w:jc w:val="right"/>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2F179A">
      <w:rPr>
        <w:b/>
        <w:noProof/>
        <w:sz w:val="17"/>
        <w:szCs w:val="17"/>
      </w:rPr>
      <w:t>5</w:t>
    </w:r>
    <w:r w:rsidRPr="002979FA">
      <w:rPr>
        <w:b/>
        <w:noProof/>
        <w:sz w:val="17"/>
        <w:szCs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C0" w:rsidRPr="002979FA" w:rsidRDefault="00C63BC0" w:rsidP="00EF4A33">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2F179A">
      <w:rPr>
        <w:b/>
        <w:noProof/>
        <w:sz w:val="17"/>
        <w:szCs w:val="17"/>
      </w:rPr>
      <w:t>10</w:t>
    </w:r>
    <w:r w:rsidRPr="002979FA">
      <w:rPr>
        <w:b/>
        <w:noProof/>
        <w:sz w:val="17"/>
        <w:szCs w:val="1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C0" w:rsidRPr="00F22912" w:rsidRDefault="00C63BC0" w:rsidP="00F22912">
    <w:pPr>
      <w:pStyle w:val="Footer"/>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sidR="00240C70">
      <w:rPr>
        <w:b/>
        <w:noProof/>
        <w:sz w:val="17"/>
        <w:szCs w:val="17"/>
      </w:rPr>
      <w:t>9</w:t>
    </w:r>
    <w:r w:rsidRPr="00F22912">
      <w:rPr>
        <w:b/>
        <w:noProof/>
        <w:sz w:val="17"/>
        <w:szCs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C0" w:rsidRPr="002979FA" w:rsidRDefault="00C63BC0" w:rsidP="00EF4A33">
    <w:pPr>
      <w:pStyle w:val="Footer"/>
      <w:ind w:right="-849"/>
      <w:jc w:val="right"/>
      <w:rPr>
        <w:b/>
        <w:sz w:val="17"/>
        <w:szCs w:val="17"/>
      </w:rPr>
    </w:pPr>
    <w:r w:rsidRPr="002979FA">
      <w:rPr>
        <w:rStyle w:val="PageNumber"/>
        <w:b/>
        <w:sz w:val="17"/>
        <w:szCs w:val="17"/>
      </w:rPr>
      <w:fldChar w:fldCharType="begin"/>
    </w:r>
    <w:r w:rsidRPr="002979FA">
      <w:rPr>
        <w:rStyle w:val="PageNumber"/>
        <w:b/>
        <w:sz w:val="17"/>
        <w:szCs w:val="17"/>
      </w:rPr>
      <w:instrText xml:space="preserve"> PAGE </w:instrText>
    </w:r>
    <w:r w:rsidRPr="002979FA">
      <w:rPr>
        <w:rStyle w:val="PageNumber"/>
        <w:b/>
        <w:sz w:val="17"/>
        <w:szCs w:val="17"/>
      </w:rPr>
      <w:fldChar w:fldCharType="separate"/>
    </w:r>
    <w:r w:rsidR="00240C70">
      <w:rPr>
        <w:rStyle w:val="PageNumber"/>
        <w:b/>
        <w:noProof/>
        <w:sz w:val="17"/>
        <w:szCs w:val="17"/>
      </w:rPr>
      <w:t>7</w:t>
    </w:r>
    <w:r w:rsidRPr="002979FA">
      <w:rPr>
        <w:rStyle w:val="PageNumbe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FA" w:rsidRDefault="00830CFA">
      <w:r>
        <w:separator/>
      </w:r>
    </w:p>
  </w:footnote>
  <w:footnote w:type="continuationSeparator" w:id="0">
    <w:p w:rsidR="00830CFA" w:rsidRDefault="00830CFA">
      <w:r>
        <w:continuationSeparator/>
      </w:r>
    </w:p>
  </w:footnote>
  <w:footnote w:type="continuationNotice" w:id="1">
    <w:p w:rsidR="00830CFA" w:rsidRDefault="00830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C0" w:rsidRDefault="005340B7">
    <w:pPr>
      <w:pStyle w:val="Header"/>
    </w:pPr>
    <w:r>
      <w:rPr>
        <w:noProof/>
      </w:rPr>
      <mc:AlternateContent>
        <mc:Choice Requires="wps">
          <w:drawing>
            <wp:anchor distT="0" distB="0" distL="114300" distR="114300" simplePos="0" relativeHeight="251658240" behindDoc="0" locked="0" layoutInCell="0" allowOverlap="1" wp14:anchorId="5DE9EFDE" wp14:editId="72A3F83A">
              <wp:simplePos x="0" y="0"/>
              <wp:positionH relativeFrom="column">
                <wp:posOffset>-73025</wp:posOffset>
              </wp:positionH>
              <wp:positionV relativeFrom="paragraph">
                <wp:posOffset>0</wp:posOffset>
              </wp:positionV>
              <wp:extent cx="6400800" cy="6400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63BC0">
                            <w:trPr>
                              <w:trHeight w:hRule="exact" w:val="864"/>
                            </w:trPr>
                            <w:tc>
                              <w:tcPr>
                                <w:tcW w:w="4838" w:type="dxa"/>
                                <w:vAlign w:val="bottom"/>
                              </w:tcPr>
                              <w:p w:rsidR="00C63BC0" w:rsidRDefault="00C63BC0">
                                <w:pPr>
                                  <w:pStyle w:val="Header"/>
                                  <w:spacing w:after="80"/>
                                  <w:rPr>
                                    <w:b/>
                                  </w:rPr>
                                </w:pPr>
                                <w:r>
                                  <w:rPr>
                                    <w:b/>
                                  </w:rPr>
                                  <w:t>DP/2006/xx</w:t>
                                </w:r>
                              </w:p>
                            </w:tc>
                            <w:tc>
                              <w:tcPr>
                                <w:tcW w:w="5047" w:type="dxa"/>
                                <w:vAlign w:val="bottom"/>
                              </w:tcPr>
                              <w:p w:rsidR="00C63BC0" w:rsidRDefault="00C63BC0">
                                <w:pPr>
                                  <w:pStyle w:val="Header"/>
                                </w:pPr>
                              </w:p>
                            </w:tc>
                          </w:tr>
                        </w:tbl>
                        <w:p w:rsidR="00C63BC0" w:rsidRDefault="00C63BC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DE9EFDE" id="_x0000_t202" coordsize="21600,21600" o:spt="202" path="m,l,21600r21600,l21600,xe">
              <v:stroke joinstyle="miter"/>
              <v:path gradientshapeok="t" o:connecttype="rect"/>
            </v:shapetype>
            <v:shape id="Text Box 8"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pR3E9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63BC0">
                      <w:trPr>
                        <w:trHeight w:hRule="exact" w:val="864"/>
                      </w:trPr>
                      <w:tc>
                        <w:tcPr>
                          <w:tcW w:w="4838" w:type="dxa"/>
                          <w:vAlign w:val="bottom"/>
                        </w:tcPr>
                        <w:p w:rsidR="00C63BC0" w:rsidRDefault="00C63BC0">
                          <w:pPr>
                            <w:pStyle w:val="Header"/>
                            <w:spacing w:after="80"/>
                            <w:rPr>
                              <w:b/>
                            </w:rPr>
                          </w:pPr>
                          <w:r>
                            <w:rPr>
                              <w:b/>
                            </w:rPr>
                            <w:t>DP/2006/xx</w:t>
                          </w:r>
                        </w:p>
                      </w:tc>
                      <w:tc>
                        <w:tcPr>
                          <w:tcW w:w="5047" w:type="dxa"/>
                          <w:vAlign w:val="bottom"/>
                        </w:tcPr>
                        <w:p w:rsidR="00C63BC0" w:rsidRDefault="00C63BC0">
                          <w:pPr>
                            <w:pStyle w:val="Header"/>
                          </w:pPr>
                        </w:p>
                      </w:tc>
                    </w:tr>
                  </w:tbl>
                  <w:p w:rsidR="00C63BC0" w:rsidRDefault="00C63BC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C0" w:rsidRDefault="005340B7">
    <w:pPr>
      <w:pStyle w:val="Header"/>
    </w:pPr>
    <w:r>
      <w:rPr>
        <w:noProof/>
      </w:rPr>
      <mc:AlternateContent>
        <mc:Choice Requires="wps">
          <w:drawing>
            <wp:anchor distT="0" distB="0" distL="114300" distR="114300" simplePos="0" relativeHeight="251657216" behindDoc="0" locked="0" layoutInCell="0" allowOverlap="1" wp14:anchorId="1776CE72" wp14:editId="43DAAB2E">
              <wp:simplePos x="0" y="0"/>
              <wp:positionH relativeFrom="column">
                <wp:posOffset>-73025</wp:posOffset>
              </wp:positionH>
              <wp:positionV relativeFrom="paragraph">
                <wp:posOffset>0</wp:posOffset>
              </wp:positionV>
              <wp:extent cx="6400800" cy="6400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63BC0">
                            <w:trPr>
                              <w:trHeight w:hRule="exact" w:val="864"/>
                            </w:trPr>
                            <w:tc>
                              <w:tcPr>
                                <w:tcW w:w="4838" w:type="dxa"/>
                                <w:vAlign w:val="bottom"/>
                              </w:tcPr>
                              <w:p w:rsidR="00C63BC0" w:rsidRDefault="00C63BC0">
                                <w:pPr>
                                  <w:pStyle w:val="Header"/>
                                </w:pPr>
                              </w:p>
                            </w:tc>
                            <w:tc>
                              <w:tcPr>
                                <w:tcW w:w="5047" w:type="dxa"/>
                                <w:vAlign w:val="bottom"/>
                              </w:tcPr>
                              <w:p w:rsidR="00C63BC0" w:rsidRDefault="00C63BC0">
                                <w:pPr>
                                  <w:pStyle w:val="Header"/>
                                  <w:spacing w:after="80"/>
                                  <w:jc w:val="right"/>
                                  <w:rPr>
                                    <w:b/>
                                  </w:rPr>
                                </w:pPr>
                                <w:r>
                                  <w:rPr>
                                    <w:b/>
                                  </w:rPr>
                                  <w:t>DP/2006/xx</w:t>
                                </w:r>
                              </w:p>
                            </w:tc>
                          </w:tr>
                        </w:tbl>
                        <w:p w:rsidR="00C63BC0" w:rsidRDefault="00C63BC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776CE72" id="_x0000_t202" coordsize="21600,21600" o:spt="202" path="m,l,21600r21600,l21600,xe">
              <v:stroke joinstyle="miter"/>
              <v:path gradientshapeok="t" o:connecttype="rect"/>
            </v:shapetype>
            <v:shape id="Text Box 7" o:spid="_x0000_s1027" type="#_x0000_t202" style="position:absolute;margin-left:-5.75pt;margin-top:0;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63BC0">
                      <w:trPr>
                        <w:trHeight w:hRule="exact" w:val="864"/>
                      </w:trPr>
                      <w:tc>
                        <w:tcPr>
                          <w:tcW w:w="4838" w:type="dxa"/>
                          <w:vAlign w:val="bottom"/>
                        </w:tcPr>
                        <w:p w:rsidR="00C63BC0" w:rsidRDefault="00C63BC0">
                          <w:pPr>
                            <w:pStyle w:val="Header"/>
                          </w:pPr>
                        </w:p>
                      </w:tc>
                      <w:tc>
                        <w:tcPr>
                          <w:tcW w:w="5047" w:type="dxa"/>
                          <w:vAlign w:val="bottom"/>
                        </w:tcPr>
                        <w:p w:rsidR="00C63BC0" w:rsidRDefault="00C63BC0">
                          <w:pPr>
                            <w:pStyle w:val="Header"/>
                            <w:spacing w:after="80"/>
                            <w:jc w:val="right"/>
                            <w:rPr>
                              <w:b/>
                            </w:rPr>
                          </w:pPr>
                          <w:r>
                            <w:rPr>
                              <w:b/>
                            </w:rPr>
                            <w:t>DP/2006/xx</w:t>
                          </w:r>
                        </w:p>
                      </w:tc>
                    </w:tr>
                  </w:tbl>
                  <w:p w:rsidR="00C63BC0" w:rsidRDefault="00C63BC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71"/>
    </w:tblGrid>
    <w:tr w:rsidR="00C63BC0" w:rsidRPr="001E66BA" w:rsidTr="00693DFF">
      <w:trPr>
        <w:trHeight w:hRule="exact" w:val="864"/>
      </w:trPr>
      <w:tc>
        <w:tcPr>
          <w:tcW w:w="1267" w:type="dxa"/>
          <w:tcBorders>
            <w:bottom w:val="single" w:sz="4" w:space="0" w:color="auto"/>
          </w:tcBorders>
          <w:shd w:val="clear" w:color="auto" w:fill="auto"/>
          <w:vAlign w:val="bottom"/>
        </w:tcPr>
        <w:p w:rsidR="00C63BC0" w:rsidRDefault="00C63BC0" w:rsidP="006861F9">
          <w:pPr>
            <w:pStyle w:val="Header"/>
            <w:spacing w:after="120"/>
          </w:pPr>
        </w:p>
      </w:tc>
      <w:tc>
        <w:tcPr>
          <w:tcW w:w="1872" w:type="dxa"/>
          <w:tcBorders>
            <w:bottom w:val="single" w:sz="4" w:space="0" w:color="auto"/>
          </w:tcBorders>
          <w:shd w:val="clear" w:color="auto" w:fill="auto"/>
          <w:vAlign w:val="bottom"/>
        </w:tcPr>
        <w:p w:rsidR="00C63BC0" w:rsidRPr="0015223D" w:rsidRDefault="00C63BC0" w:rsidP="006861F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63BC0" w:rsidRDefault="00C63BC0" w:rsidP="006861F9">
          <w:pPr>
            <w:pStyle w:val="Header"/>
            <w:spacing w:after="120"/>
          </w:pPr>
        </w:p>
      </w:tc>
      <w:tc>
        <w:tcPr>
          <w:tcW w:w="6426" w:type="dxa"/>
          <w:gridSpan w:val="3"/>
          <w:tcBorders>
            <w:bottom w:val="single" w:sz="4" w:space="0" w:color="auto"/>
          </w:tcBorders>
          <w:shd w:val="clear" w:color="auto" w:fill="auto"/>
          <w:vAlign w:val="bottom"/>
        </w:tcPr>
        <w:p w:rsidR="00C63BC0" w:rsidRPr="001E66BA" w:rsidRDefault="00C63BC0" w:rsidP="000B4535">
          <w:pPr>
            <w:spacing w:after="80"/>
            <w:jc w:val="right"/>
            <w:rPr>
              <w:position w:val="-4"/>
              <w:highlight w:val="yellow"/>
            </w:rPr>
          </w:pPr>
          <w:r w:rsidRPr="002260D4">
            <w:rPr>
              <w:position w:val="-4"/>
              <w:sz w:val="40"/>
            </w:rPr>
            <w:t>DP</w:t>
          </w:r>
          <w:r w:rsidRPr="002260D4">
            <w:rPr>
              <w:position w:val="-4"/>
            </w:rPr>
            <w:t>/201</w:t>
          </w:r>
          <w:r>
            <w:rPr>
              <w:position w:val="-4"/>
            </w:rPr>
            <w:t>6</w:t>
          </w:r>
          <w:r w:rsidRPr="002260D4">
            <w:rPr>
              <w:position w:val="-4"/>
            </w:rPr>
            <w:t>/</w:t>
          </w:r>
          <w:r>
            <w:rPr>
              <w:position w:val="-4"/>
            </w:rPr>
            <w:t>5</w:t>
          </w:r>
        </w:p>
      </w:tc>
    </w:tr>
    <w:tr w:rsidR="00C63BC0" w:rsidRPr="0015223D" w:rsidTr="00693DFF">
      <w:trPr>
        <w:trHeight w:hRule="exact" w:val="2880"/>
      </w:trPr>
      <w:tc>
        <w:tcPr>
          <w:tcW w:w="1267" w:type="dxa"/>
          <w:tcBorders>
            <w:top w:val="single" w:sz="4" w:space="0" w:color="auto"/>
            <w:bottom w:val="single" w:sz="12" w:space="0" w:color="auto"/>
          </w:tcBorders>
          <w:shd w:val="clear" w:color="auto" w:fill="auto"/>
        </w:tcPr>
        <w:p w:rsidR="00C63BC0" w:rsidRDefault="00C63BC0" w:rsidP="006861F9">
          <w:pPr>
            <w:pStyle w:val="Header"/>
            <w:spacing w:before="109"/>
          </w:pPr>
          <w:r>
            <w:t xml:space="preserve"> </w:t>
          </w:r>
          <w:r w:rsidR="005340B7">
            <w:rPr>
              <w:noProof/>
            </w:rPr>
            <w:drawing>
              <wp:inline distT="0" distB="0" distL="0" distR="0" wp14:anchorId="36E5CD4B" wp14:editId="290177F6">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rsidR="00C63BC0" w:rsidRPr="0015223D" w:rsidRDefault="00C63BC0" w:rsidP="006861F9">
          <w:pPr>
            <w:pStyle w:val="Header"/>
            <w:spacing w:before="109"/>
          </w:pPr>
        </w:p>
      </w:tc>
      <w:tc>
        <w:tcPr>
          <w:tcW w:w="5227" w:type="dxa"/>
          <w:gridSpan w:val="3"/>
          <w:tcBorders>
            <w:top w:val="single" w:sz="4" w:space="0" w:color="auto"/>
            <w:bottom w:val="single" w:sz="12" w:space="0" w:color="auto"/>
          </w:tcBorders>
          <w:shd w:val="clear" w:color="auto" w:fill="auto"/>
        </w:tcPr>
        <w:p w:rsidR="00C63BC0" w:rsidRPr="0015223D" w:rsidRDefault="00C63BC0" w:rsidP="006861F9">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w:t>
          </w:r>
          <w:r w:rsidRPr="0087600D">
            <w:rPr>
              <w:sz w:val="34"/>
            </w:rPr>
            <w:t xml:space="preserve">Fund and the </w:t>
          </w:r>
          <w:r>
            <w:rPr>
              <w:sz w:val="34"/>
            </w:rPr>
            <w:br/>
          </w:r>
          <w:r w:rsidRPr="0087600D">
            <w:rPr>
              <w:sz w:val="34"/>
            </w:rPr>
            <w:t xml:space="preserve">United Nations Office for </w:t>
          </w:r>
          <w:r>
            <w:rPr>
              <w:sz w:val="34"/>
            </w:rPr>
            <w:br/>
          </w:r>
          <w:r w:rsidRPr="0087600D">
            <w:rPr>
              <w:sz w:val="34"/>
            </w:rPr>
            <w:t>Project Services</w:t>
          </w:r>
        </w:p>
      </w:tc>
      <w:tc>
        <w:tcPr>
          <w:tcW w:w="245" w:type="dxa"/>
          <w:tcBorders>
            <w:top w:val="single" w:sz="4" w:space="0" w:color="auto"/>
            <w:bottom w:val="single" w:sz="12" w:space="0" w:color="auto"/>
          </w:tcBorders>
          <w:shd w:val="clear" w:color="auto" w:fill="auto"/>
        </w:tcPr>
        <w:p w:rsidR="00C63BC0" w:rsidRPr="009D4DD7" w:rsidRDefault="00C63BC0" w:rsidP="006861F9">
          <w:pPr>
            <w:pStyle w:val="Header"/>
            <w:spacing w:before="109"/>
            <w:rPr>
              <w:sz w:val="20"/>
              <w:szCs w:val="20"/>
            </w:rPr>
          </w:pPr>
        </w:p>
      </w:tc>
      <w:tc>
        <w:tcPr>
          <w:tcW w:w="3071" w:type="dxa"/>
          <w:tcBorders>
            <w:top w:val="single" w:sz="4" w:space="0" w:color="auto"/>
            <w:bottom w:val="single" w:sz="12" w:space="0" w:color="auto"/>
          </w:tcBorders>
          <w:shd w:val="clear" w:color="auto" w:fill="auto"/>
        </w:tcPr>
        <w:p w:rsidR="00C63BC0" w:rsidRPr="009D4DD7" w:rsidRDefault="00C63BC0" w:rsidP="006861F9">
          <w:pPr>
            <w:spacing w:before="240"/>
            <w:rPr>
              <w:sz w:val="20"/>
              <w:szCs w:val="20"/>
            </w:rPr>
          </w:pPr>
          <w:r w:rsidRPr="009D4DD7">
            <w:rPr>
              <w:sz w:val="20"/>
              <w:szCs w:val="20"/>
            </w:rPr>
            <w:t>Distr.: General</w:t>
          </w:r>
        </w:p>
        <w:p w:rsidR="00C63BC0" w:rsidRPr="009D4DD7" w:rsidRDefault="00D03D96" w:rsidP="006861F9">
          <w:pPr>
            <w:rPr>
              <w:sz w:val="20"/>
              <w:szCs w:val="20"/>
            </w:rPr>
          </w:pPr>
          <w:r>
            <w:rPr>
              <w:sz w:val="20"/>
              <w:szCs w:val="20"/>
            </w:rPr>
            <w:t xml:space="preserve">5 January </w:t>
          </w:r>
          <w:r w:rsidR="00C63BC0">
            <w:rPr>
              <w:sz w:val="20"/>
              <w:szCs w:val="20"/>
            </w:rPr>
            <w:t>2016</w:t>
          </w:r>
        </w:p>
        <w:p w:rsidR="00D03D96" w:rsidRDefault="00D03D96" w:rsidP="006861F9">
          <w:pPr>
            <w:rPr>
              <w:sz w:val="20"/>
              <w:szCs w:val="20"/>
            </w:rPr>
          </w:pPr>
        </w:p>
        <w:p w:rsidR="00C63BC0" w:rsidRPr="009D4DD7" w:rsidRDefault="00C63BC0" w:rsidP="006861F9">
          <w:pPr>
            <w:rPr>
              <w:sz w:val="20"/>
              <w:szCs w:val="20"/>
            </w:rPr>
          </w:pPr>
          <w:r w:rsidRPr="009D4DD7">
            <w:rPr>
              <w:sz w:val="20"/>
              <w:szCs w:val="20"/>
            </w:rPr>
            <w:t>Original: English</w:t>
          </w:r>
        </w:p>
      </w:tc>
    </w:tr>
  </w:tbl>
  <w:p w:rsidR="00C63BC0" w:rsidRDefault="00C63BC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63BC0" w:rsidRPr="00014977" w:rsidTr="00693DFF">
      <w:trPr>
        <w:trHeight w:hRule="exact" w:val="864"/>
      </w:trPr>
      <w:tc>
        <w:tcPr>
          <w:tcW w:w="4838" w:type="dxa"/>
          <w:shd w:val="clear" w:color="auto" w:fill="auto"/>
          <w:vAlign w:val="bottom"/>
        </w:tcPr>
        <w:p w:rsidR="00C63BC0" w:rsidRPr="00014977" w:rsidRDefault="00C63BC0" w:rsidP="006F4285">
          <w:pPr>
            <w:tabs>
              <w:tab w:val="center" w:pos="4320"/>
              <w:tab w:val="right" w:pos="8640"/>
            </w:tabs>
            <w:spacing w:after="80"/>
            <w:rPr>
              <w:b/>
              <w:noProof/>
              <w:sz w:val="17"/>
              <w:szCs w:val="20"/>
            </w:rPr>
          </w:pPr>
          <w:r w:rsidRPr="00014977">
            <w:rPr>
              <w:b/>
              <w:noProof/>
              <w:sz w:val="17"/>
              <w:szCs w:val="20"/>
            </w:rPr>
            <w:t>D</w:t>
          </w:r>
          <w:r>
            <w:rPr>
              <w:b/>
              <w:noProof/>
              <w:sz w:val="17"/>
              <w:szCs w:val="20"/>
            </w:rPr>
            <w:t>P/2016/5</w:t>
          </w:r>
        </w:p>
      </w:tc>
      <w:tc>
        <w:tcPr>
          <w:tcW w:w="5033" w:type="dxa"/>
          <w:shd w:val="clear" w:color="auto" w:fill="auto"/>
          <w:vAlign w:val="bottom"/>
        </w:tcPr>
        <w:p w:rsidR="00C63BC0" w:rsidRPr="00014977" w:rsidRDefault="00C63BC0" w:rsidP="001E7A10">
          <w:pPr>
            <w:tabs>
              <w:tab w:val="center" w:pos="4320"/>
              <w:tab w:val="right" w:pos="8640"/>
            </w:tabs>
            <w:rPr>
              <w:noProof/>
              <w:sz w:val="17"/>
              <w:szCs w:val="20"/>
            </w:rPr>
          </w:pPr>
        </w:p>
      </w:tc>
    </w:tr>
  </w:tbl>
  <w:p w:rsidR="00C63BC0" w:rsidRPr="001E7A10" w:rsidRDefault="00C63BC0">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63BC0" w:rsidRPr="00014977" w:rsidTr="00693DFF">
      <w:trPr>
        <w:trHeight w:hRule="exact" w:val="864"/>
      </w:trPr>
      <w:tc>
        <w:tcPr>
          <w:tcW w:w="4838" w:type="dxa"/>
          <w:shd w:val="clear" w:color="auto" w:fill="auto"/>
          <w:vAlign w:val="bottom"/>
        </w:tcPr>
        <w:p w:rsidR="00C63BC0" w:rsidRPr="00014977" w:rsidRDefault="00C63BC0" w:rsidP="00323042">
          <w:pPr>
            <w:tabs>
              <w:tab w:val="center" w:pos="4320"/>
              <w:tab w:val="right" w:pos="8640"/>
            </w:tabs>
            <w:rPr>
              <w:noProof/>
              <w:sz w:val="17"/>
              <w:szCs w:val="20"/>
            </w:rPr>
          </w:pPr>
        </w:p>
      </w:tc>
      <w:tc>
        <w:tcPr>
          <w:tcW w:w="5033" w:type="dxa"/>
          <w:shd w:val="clear" w:color="auto" w:fill="auto"/>
          <w:vAlign w:val="bottom"/>
        </w:tcPr>
        <w:p w:rsidR="00C63BC0" w:rsidRPr="00014977" w:rsidRDefault="00C63BC0" w:rsidP="006F4285">
          <w:pPr>
            <w:tabs>
              <w:tab w:val="center" w:pos="4320"/>
              <w:tab w:val="right" w:pos="8640"/>
            </w:tabs>
            <w:spacing w:after="80"/>
            <w:jc w:val="right"/>
            <w:rPr>
              <w:b/>
              <w:noProof/>
              <w:sz w:val="17"/>
              <w:szCs w:val="20"/>
              <w:highlight w:val="yellow"/>
            </w:rPr>
          </w:pPr>
          <w:r w:rsidRPr="00014977">
            <w:rPr>
              <w:b/>
              <w:noProof/>
              <w:sz w:val="17"/>
              <w:szCs w:val="20"/>
            </w:rPr>
            <w:t>DP/201</w:t>
          </w:r>
          <w:r>
            <w:rPr>
              <w:b/>
              <w:noProof/>
              <w:sz w:val="17"/>
              <w:szCs w:val="20"/>
            </w:rPr>
            <w:t>6</w:t>
          </w:r>
          <w:r w:rsidRPr="00014977">
            <w:rPr>
              <w:b/>
              <w:noProof/>
              <w:sz w:val="17"/>
              <w:szCs w:val="20"/>
            </w:rPr>
            <w:t>/</w:t>
          </w:r>
          <w:r>
            <w:rPr>
              <w:b/>
              <w:noProof/>
              <w:sz w:val="17"/>
              <w:szCs w:val="20"/>
            </w:rPr>
            <w:t>5</w:t>
          </w:r>
        </w:p>
      </w:tc>
    </w:tr>
  </w:tbl>
  <w:p w:rsidR="00C63BC0" w:rsidRPr="00323042" w:rsidRDefault="00C63BC0">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10" w:type="dxa"/>
      <w:tblInd w:w="-8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472"/>
    </w:tblGrid>
    <w:tr w:rsidR="00C63BC0" w:rsidRPr="00014977" w:rsidTr="00782088">
      <w:trPr>
        <w:trHeight w:hRule="exact" w:val="864"/>
      </w:trPr>
      <w:tc>
        <w:tcPr>
          <w:tcW w:w="4838" w:type="dxa"/>
          <w:shd w:val="clear" w:color="auto" w:fill="auto"/>
          <w:vAlign w:val="bottom"/>
        </w:tcPr>
        <w:p w:rsidR="00C63BC0" w:rsidRPr="00014977" w:rsidRDefault="00C63BC0" w:rsidP="0047713F">
          <w:pPr>
            <w:tabs>
              <w:tab w:val="center" w:pos="4320"/>
              <w:tab w:val="right" w:pos="8640"/>
            </w:tabs>
            <w:spacing w:after="80"/>
            <w:ind w:left="-270" w:firstLine="270"/>
            <w:rPr>
              <w:b/>
              <w:noProof/>
              <w:sz w:val="17"/>
              <w:szCs w:val="20"/>
            </w:rPr>
          </w:pPr>
          <w:r w:rsidRPr="00014977">
            <w:rPr>
              <w:b/>
              <w:noProof/>
              <w:sz w:val="17"/>
              <w:szCs w:val="20"/>
            </w:rPr>
            <w:t>D</w:t>
          </w:r>
          <w:r>
            <w:rPr>
              <w:b/>
              <w:noProof/>
              <w:sz w:val="17"/>
              <w:szCs w:val="20"/>
            </w:rPr>
            <w:t>P/201</w:t>
          </w:r>
          <w:r w:rsidR="0047713F">
            <w:rPr>
              <w:b/>
              <w:noProof/>
              <w:sz w:val="17"/>
              <w:szCs w:val="20"/>
            </w:rPr>
            <w:t>6</w:t>
          </w:r>
          <w:r>
            <w:rPr>
              <w:b/>
              <w:noProof/>
              <w:sz w:val="17"/>
              <w:szCs w:val="20"/>
            </w:rPr>
            <w:t>/</w:t>
          </w:r>
          <w:r w:rsidR="0047713F">
            <w:rPr>
              <w:b/>
              <w:noProof/>
              <w:sz w:val="17"/>
              <w:szCs w:val="20"/>
            </w:rPr>
            <w:t>5</w:t>
          </w:r>
        </w:p>
      </w:tc>
      <w:tc>
        <w:tcPr>
          <w:tcW w:w="9472" w:type="dxa"/>
          <w:shd w:val="clear" w:color="auto" w:fill="auto"/>
          <w:vAlign w:val="bottom"/>
        </w:tcPr>
        <w:p w:rsidR="00C63BC0" w:rsidRPr="00014977" w:rsidRDefault="00C63BC0" w:rsidP="00694C0E">
          <w:pPr>
            <w:tabs>
              <w:tab w:val="center" w:pos="4320"/>
            </w:tabs>
            <w:rPr>
              <w:noProof/>
              <w:sz w:val="17"/>
              <w:szCs w:val="20"/>
            </w:rPr>
          </w:pPr>
        </w:p>
      </w:tc>
    </w:tr>
  </w:tbl>
  <w:p w:rsidR="00C63BC0" w:rsidRPr="00323042" w:rsidRDefault="00C63BC0">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82" w:type="dxa"/>
      <w:tblInd w:w="-89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C63BC0" w:rsidRPr="00776DCF" w:rsidTr="00323042">
      <w:trPr>
        <w:trHeight w:hRule="exact" w:val="864"/>
      </w:trPr>
      <w:tc>
        <w:tcPr>
          <w:tcW w:w="4838" w:type="dxa"/>
          <w:vAlign w:val="bottom"/>
        </w:tcPr>
        <w:p w:rsidR="00C63BC0" w:rsidRPr="00776DCF" w:rsidRDefault="00C63BC0" w:rsidP="00F22912">
          <w:pPr>
            <w:pStyle w:val="Header"/>
            <w:rPr>
              <w:sz w:val="17"/>
              <w:szCs w:val="17"/>
            </w:rPr>
          </w:pPr>
        </w:p>
      </w:tc>
      <w:tc>
        <w:tcPr>
          <w:tcW w:w="9544" w:type="dxa"/>
          <w:vAlign w:val="bottom"/>
        </w:tcPr>
        <w:p w:rsidR="00C63BC0" w:rsidRPr="00776DCF" w:rsidRDefault="00C63BC0" w:rsidP="0047713F">
          <w:pPr>
            <w:pStyle w:val="Header"/>
            <w:spacing w:after="80"/>
            <w:jc w:val="right"/>
            <w:rPr>
              <w:b/>
              <w:sz w:val="17"/>
              <w:szCs w:val="17"/>
            </w:rPr>
          </w:pPr>
          <w:r w:rsidRPr="00776DCF">
            <w:rPr>
              <w:b/>
              <w:sz w:val="17"/>
              <w:szCs w:val="17"/>
            </w:rPr>
            <w:t>DP/201</w:t>
          </w:r>
          <w:r w:rsidR="0047713F">
            <w:rPr>
              <w:b/>
              <w:sz w:val="17"/>
              <w:szCs w:val="17"/>
            </w:rPr>
            <w:t>6</w:t>
          </w:r>
          <w:r>
            <w:rPr>
              <w:b/>
              <w:sz w:val="17"/>
              <w:szCs w:val="17"/>
            </w:rPr>
            <w:t>/</w:t>
          </w:r>
          <w:r w:rsidR="0047713F">
            <w:rPr>
              <w:b/>
              <w:sz w:val="17"/>
              <w:szCs w:val="17"/>
            </w:rPr>
            <w:t>5</w:t>
          </w:r>
        </w:p>
      </w:tc>
    </w:tr>
  </w:tbl>
  <w:p w:rsidR="00C63BC0" w:rsidRDefault="00C63B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82" w:type="dxa"/>
      <w:tblInd w:w="-89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C63BC0" w:rsidRPr="00776DCF" w:rsidTr="00323042">
      <w:trPr>
        <w:trHeight w:hRule="exact" w:val="864"/>
      </w:trPr>
      <w:tc>
        <w:tcPr>
          <w:tcW w:w="4838" w:type="dxa"/>
          <w:vAlign w:val="bottom"/>
        </w:tcPr>
        <w:p w:rsidR="00C63BC0" w:rsidRPr="00776DCF" w:rsidRDefault="00C63BC0" w:rsidP="00323042">
          <w:pPr>
            <w:pStyle w:val="Header"/>
            <w:rPr>
              <w:sz w:val="17"/>
              <w:szCs w:val="17"/>
            </w:rPr>
          </w:pPr>
        </w:p>
      </w:tc>
      <w:tc>
        <w:tcPr>
          <w:tcW w:w="9544" w:type="dxa"/>
          <w:vAlign w:val="bottom"/>
        </w:tcPr>
        <w:p w:rsidR="00C63BC0" w:rsidRPr="00776DCF" w:rsidRDefault="0047713F" w:rsidP="0047713F">
          <w:pPr>
            <w:pStyle w:val="Header"/>
            <w:spacing w:after="80"/>
            <w:jc w:val="right"/>
            <w:rPr>
              <w:b/>
              <w:sz w:val="17"/>
              <w:szCs w:val="17"/>
            </w:rPr>
          </w:pPr>
          <w:r>
            <w:rPr>
              <w:b/>
              <w:sz w:val="17"/>
              <w:szCs w:val="17"/>
            </w:rPr>
            <w:t>DP/2016</w:t>
          </w:r>
          <w:r w:rsidR="00C63BC0">
            <w:rPr>
              <w:b/>
              <w:sz w:val="17"/>
              <w:szCs w:val="17"/>
            </w:rPr>
            <w:t>/</w:t>
          </w:r>
          <w:r>
            <w:rPr>
              <w:b/>
              <w:sz w:val="17"/>
              <w:szCs w:val="17"/>
            </w:rPr>
            <w:t>5</w:t>
          </w:r>
        </w:p>
      </w:tc>
    </w:tr>
  </w:tbl>
  <w:p w:rsidR="00C63BC0" w:rsidRDefault="00C63BC0" w:rsidP="00EF4A33">
    <w:pPr>
      <w:pStyle w:val="Header"/>
      <w:ind w:right="-1209"/>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EEB99E"/>
    <w:lvl w:ilvl="0">
      <w:start w:val="1"/>
      <w:numFmt w:val="bullet"/>
      <w:lvlText w:val=""/>
      <w:lvlJc w:val="left"/>
      <w:pPr>
        <w:tabs>
          <w:tab w:val="num" w:pos="5490"/>
        </w:tabs>
        <w:ind w:left="5490" w:firstLine="0"/>
      </w:pPr>
      <w:rPr>
        <w:rFonts w:ascii="Symbol" w:hAnsi="Symbol" w:hint="default"/>
      </w:rPr>
    </w:lvl>
    <w:lvl w:ilvl="1">
      <w:start w:val="1"/>
      <w:numFmt w:val="bullet"/>
      <w:lvlText w:val=""/>
      <w:lvlJc w:val="left"/>
      <w:pPr>
        <w:tabs>
          <w:tab w:val="num" w:pos="6210"/>
        </w:tabs>
        <w:ind w:left="6570" w:hanging="360"/>
      </w:pPr>
      <w:rPr>
        <w:rFonts w:ascii="Symbol" w:hAnsi="Symbol" w:hint="default"/>
      </w:rPr>
    </w:lvl>
    <w:lvl w:ilvl="2">
      <w:start w:val="1"/>
      <w:numFmt w:val="bullet"/>
      <w:lvlText w:val="o"/>
      <w:lvlJc w:val="left"/>
      <w:pPr>
        <w:tabs>
          <w:tab w:val="num" w:pos="6930"/>
        </w:tabs>
        <w:ind w:left="7290" w:hanging="360"/>
      </w:pPr>
      <w:rPr>
        <w:rFonts w:ascii="Courier New" w:hAnsi="Courier New" w:cs="Courier New" w:hint="default"/>
      </w:rPr>
    </w:lvl>
    <w:lvl w:ilvl="3">
      <w:start w:val="1"/>
      <w:numFmt w:val="bullet"/>
      <w:lvlText w:val=""/>
      <w:lvlJc w:val="left"/>
      <w:pPr>
        <w:tabs>
          <w:tab w:val="num" w:pos="7650"/>
        </w:tabs>
        <w:ind w:left="8010" w:hanging="360"/>
      </w:pPr>
      <w:rPr>
        <w:rFonts w:ascii="Wingdings" w:hAnsi="Wingdings" w:hint="default"/>
      </w:rPr>
    </w:lvl>
    <w:lvl w:ilvl="4">
      <w:start w:val="1"/>
      <w:numFmt w:val="bullet"/>
      <w:lvlText w:val=""/>
      <w:lvlJc w:val="left"/>
      <w:pPr>
        <w:tabs>
          <w:tab w:val="num" w:pos="8370"/>
        </w:tabs>
        <w:ind w:left="8730" w:hanging="360"/>
      </w:pPr>
      <w:rPr>
        <w:rFonts w:ascii="Wingdings" w:hAnsi="Wingdings" w:hint="default"/>
      </w:rPr>
    </w:lvl>
    <w:lvl w:ilvl="5">
      <w:start w:val="1"/>
      <w:numFmt w:val="bullet"/>
      <w:lvlText w:val=""/>
      <w:lvlJc w:val="left"/>
      <w:pPr>
        <w:tabs>
          <w:tab w:val="num" w:pos="9090"/>
        </w:tabs>
        <w:ind w:left="9450" w:hanging="360"/>
      </w:pPr>
      <w:rPr>
        <w:rFonts w:ascii="Symbol" w:hAnsi="Symbol" w:hint="default"/>
      </w:rPr>
    </w:lvl>
    <w:lvl w:ilvl="6">
      <w:start w:val="1"/>
      <w:numFmt w:val="bullet"/>
      <w:lvlText w:val="o"/>
      <w:lvlJc w:val="left"/>
      <w:pPr>
        <w:tabs>
          <w:tab w:val="num" w:pos="9810"/>
        </w:tabs>
        <w:ind w:left="10170" w:hanging="360"/>
      </w:pPr>
      <w:rPr>
        <w:rFonts w:ascii="Courier New" w:hAnsi="Courier New" w:cs="Courier New" w:hint="default"/>
      </w:rPr>
    </w:lvl>
    <w:lvl w:ilvl="7">
      <w:start w:val="1"/>
      <w:numFmt w:val="bullet"/>
      <w:lvlText w:val=""/>
      <w:lvlJc w:val="left"/>
      <w:pPr>
        <w:tabs>
          <w:tab w:val="num" w:pos="10530"/>
        </w:tabs>
        <w:ind w:left="10890" w:hanging="360"/>
      </w:pPr>
      <w:rPr>
        <w:rFonts w:ascii="Wingdings" w:hAnsi="Wingdings" w:hint="default"/>
      </w:rPr>
    </w:lvl>
    <w:lvl w:ilvl="8">
      <w:start w:val="1"/>
      <w:numFmt w:val="bullet"/>
      <w:lvlText w:val=""/>
      <w:lvlJc w:val="left"/>
      <w:pPr>
        <w:tabs>
          <w:tab w:val="num" w:pos="11250"/>
        </w:tabs>
        <w:ind w:left="11610" w:hanging="360"/>
      </w:pPr>
      <w:rPr>
        <w:rFonts w:ascii="Wingdings" w:hAnsi="Wingdings" w:hint="default"/>
      </w:rPr>
    </w:lvl>
  </w:abstractNum>
  <w:abstractNum w:abstractNumId="1" w15:restartNumberingAfterBreak="0">
    <w:nsid w:val="02AD5BF5"/>
    <w:multiLevelType w:val="hybridMultilevel"/>
    <w:tmpl w:val="A36E2674"/>
    <w:lvl w:ilvl="0" w:tplc="EB50F00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3" w15:restartNumberingAfterBreak="0">
    <w:nsid w:val="09D565E4"/>
    <w:multiLevelType w:val="hybridMultilevel"/>
    <w:tmpl w:val="474E0DF8"/>
    <w:lvl w:ilvl="0" w:tplc="EB50F00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71C6C"/>
    <w:multiLevelType w:val="hybridMultilevel"/>
    <w:tmpl w:val="72EC5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625FA"/>
    <w:multiLevelType w:val="hybridMultilevel"/>
    <w:tmpl w:val="4B14B70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3B5D8E"/>
    <w:multiLevelType w:val="hybridMultilevel"/>
    <w:tmpl w:val="F62EE1EA"/>
    <w:lvl w:ilvl="0" w:tplc="6CA46B0C">
      <w:start w:val="1"/>
      <w:numFmt w:val="bullet"/>
      <w:lvlText w:val=""/>
      <w:lvlJc w:val="left"/>
      <w:pPr>
        <w:ind w:left="360" w:hanging="360"/>
      </w:pPr>
      <w:rPr>
        <w:rFonts w:ascii="Wingdings" w:hAnsi="Wingdings" w:hint="default"/>
        <w:color w:val="auto"/>
      </w:rPr>
    </w:lvl>
    <w:lvl w:ilvl="1" w:tplc="28F0EC30">
      <w:numFmt w:val="bullet"/>
      <w:lvlText w:val="•"/>
      <w:lvlJc w:val="left"/>
      <w:pPr>
        <w:ind w:left="1440" w:hanging="72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5570E6"/>
    <w:multiLevelType w:val="hybridMultilevel"/>
    <w:tmpl w:val="D5687E94"/>
    <w:lvl w:ilvl="0" w:tplc="721C1404">
      <w:numFmt w:val="bullet"/>
      <w:lvlText w:val="-"/>
      <w:lvlJc w:val="left"/>
      <w:pPr>
        <w:ind w:left="360" w:hanging="360"/>
      </w:pPr>
      <w:rPr>
        <w:rFonts w:ascii="Times New Roman" w:eastAsia="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F14A43"/>
    <w:multiLevelType w:val="hybridMultilevel"/>
    <w:tmpl w:val="79CAC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3033C6"/>
    <w:multiLevelType w:val="multilevel"/>
    <w:tmpl w:val="E4201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D41FB4"/>
    <w:multiLevelType w:val="hybridMultilevel"/>
    <w:tmpl w:val="6330C2CC"/>
    <w:lvl w:ilvl="0" w:tplc="29E8FB52">
      <w:start w:val="1"/>
      <w:numFmt w:val="lowerLetter"/>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28701D64"/>
    <w:multiLevelType w:val="hybridMultilevel"/>
    <w:tmpl w:val="9A9256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872C0"/>
    <w:multiLevelType w:val="hybridMultilevel"/>
    <w:tmpl w:val="EF448B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B4AF9"/>
    <w:multiLevelType w:val="hybridMultilevel"/>
    <w:tmpl w:val="CF52146A"/>
    <w:lvl w:ilvl="0" w:tplc="721C14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63998"/>
    <w:multiLevelType w:val="hybridMultilevel"/>
    <w:tmpl w:val="6C42B94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5143C5"/>
    <w:multiLevelType w:val="hybridMultilevel"/>
    <w:tmpl w:val="F9F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505CB"/>
    <w:multiLevelType w:val="hybridMultilevel"/>
    <w:tmpl w:val="ED0A2E2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704A4"/>
    <w:multiLevelType w:val="hybridMultilevel"/>
    <w:tmpl w:val="4914F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00D55"/>
    <w:multiLevelType w:val="hybridMultilevel"/>
    <w:tmpl w:val="4A2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778EA"/>
    <w:multiLevelType w:val="hybridMultilevel"/>
    <w:tmpl w:val="01289E64"/>
    <w:lvl w:ilvl="0" w:tplc="04090005">
      <w:start w:val="1"/>
      <w:numFmt w:val="bullet"/>
      <w:lvlText w:val=""/>
      <w:lvlJc w:val="left"/>
      <w:pPr>
        <w:tabs>
          <w:tab w:val="num" w:pos="720"/>
        </w:tabs>
        <w:ind w:left="720" w:hanging="360"/>
      </w:pPr>
      <w:rPr>
        <w:rFonts w:ascii="Wingdings" w:hAnsi="Wingdings" w:hint="default"/>
      </w:rPr>
    </w:lvl>
    <w:lvl w:ilvl="1" w:tplc="99746CDA" w:tentative="1">
      <w:start w:val="1"/>
      <w:numFmt w:val="bullet"/>
      <w:lvlText w:val=""/>
      <w:lvlJc w:val="left"/>
      <w:pPr>
        <w:tabs>
          <w:tab w:val="num" w:pos="1440"/>
        </w:tabs>
        <w:ind w:left="1440" w:hanging="360"/>
      </w:pPr>
      <w:rPr>
        <w:rFonts w:ascii="Wingdings" w:hAnsi="Wingdings" w:hint="default"/>
      </w:rPr>
    </w:lvl>
    <w:lvl w:ilvl="2" w:tplc="7D2C85E2" w:tentative="1">
      <w:start w:val="1"/>
      <w:numFmt w:val="bullet"/>
      <w:lvlText w:val=""/>
      <w:lvlJc w:val="left"/>
      <w:pPr>
        <w:tabs>
          <w:tab w:val="num" w:pos="2160"/>
        </w:tabs>
        <w:ind w:left="2160" w:hanging="360"/>
      </w:pPr>
      <w:rPr>
        <w:rFonts w:ascii="Wingdings" w:hAnsi="Wingdings" w:hint="default"/>
      </w:rPr>
    </w:lvl>
    <w:lvl w:ilvl="3" w:tplc="BF640DE4" w:tentative="1">
      <w:start w:val="1"/>
      <w:numFmt w:val="bullet"/>
      <w:lvlText w:val=""/>
      <w:lvlJc w:val="left"/>
      <w:pPr>
        <w:tabs>
          <w:tab w:val="num" w:pos="2880"/>
        </w:tabs>
        <w:ind w:left="2880" w:hanging="360"/>
      </w:pPr>
      <w:rPr>
        <w:rFonts w:ascii="Wingdings" w:hAnsi="Wingdings" w:hint="default"/>
      </w:rPr>
    </w:lvl>
    <w:lvl w:ilvl="4" w:tplc="414A2208" w:tentative="1">
      <w:start w:val="1"/>
      <w:numFmt w:val="bullet"/>
      <w:lvlText w:val=""/>
      <w:lvlJc w:val="left"/>
      <w:pPr>
        <w:tabs>
          <w:tab w:val="num" w:pos="3600"/>
        </w:tabs>
        <w:ind w:left="3600" w:hanging="360"/>
      </w:pPr>
      <w:rPr>
        <w:rFonts w:ascii="Wingdings" w:hAnsi="Wingdings" w:hint="default"/>
      </w:rPr>
    </w:lvl>
    <w:lvl w:ilvl="5" w:tplc="129C3FFA" w:tentative="1">
      <w:start w:val="1"/>
      <w:numFmt w:val="bullet"/>
      <w:lvlText w:val=""/>
      <w:lvlJc w:val="left"/>
      <w:pPr>
        <w:tabs>
          <w:tab w:val="num" w:pos="4320"/>
        </w:tabs>
        <w:ind w:left="4320" w:hanging="360"/>
      </w:pPr>
      <w:rPr>
        <w:rFonts w:ascii="Wingdings" w:hAnsi="Wingdings" w:hint="default"/>
      </w:rPr>
    </w:lvl>
    <w:lvl w:ilvl="6" w:tplc="C90A2096" w:tentative="1">
      <w:start w:val="1"/>
      <w:numFmt w:val="bullet"/>
      <w:lvlText w:val=""/>
      <w:lvlJc w:val="left"/>
      <w:pPr>
        <w:tabs>
          <w:tab w:val="num" w:pos="5040"/>
        </w:tabs>
        <w:ind w:left="5040" w:hanging="360"/>
      </w:pPr>
      <w:rPr>
        <w:rFonts w:ascii="Wingdings" w:hAnsi="Wingdings" w:hint="default"/>
      </w:rPr>
    </w:lvl>
    <w:lvl w:ilvl="7" w:tplc="6922A428" w:tentative="1">
      <w:start w:val="1"/>
      <w:numFmt w:val="bullet"/>
      <w:lvlText w:val=""/>
      <w:lvlJc w:val="left"/>
      <w:pPr>
        <w:tabs>
          <w:tab w:val="num" w:pos="5760"/>
        </w:tabs>
        <w:ind w:left="5760" w:hanging="360"/>
      </w:pPr>
      <w:rPr>
        <w:rFonts w:ascii="Wingdings" w:hAnsi="Wingdings" w:hint="default"/>
      </w:rPr>
    </w:lvl>
    <w:lvl w:ilvl="8" w:tplc="FBB630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C1E1B"/>
    <w:multiLevelType w:val="hybridMultilevel"/>
    <w:tmpl w:val="D4263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A75B16"/>
    <w:multiLevelType w:val="hybridMultilevel"/>
    <w:tmpl w:val="750CB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B04DDC"/>
    <w:multiLevelType w:val="multilevel"/>
    <w:tmpl w:val="77208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DD71F3"/>
    <w:multiLevelType w:val="hybridMultilevel"/>
    <w:tmpl w:val="A508A020"/>
    <w:lvl w:ilvl="0" w:tplc="EB50F00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311C8D"/>
    <w:multiLevelType w:val="hybridMultilevel"/>
    <w:tmpl w:val="044E6960"/>
    <w:lvl w:ilvl="0" w:tplc="721C140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C33EE"/>
    <w:multiLevelType w:val="hybridMultilevel"/>
    <w:tmpl w:val="5336A6EC"/>
    <w:lvl w:ilvl="0" w:tplc="721C14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460D1"/>
    <w:multiLevelType w:val="hybridMultilevel"/>
    <w:tmpl w:val="F56272D6"/>
    <w:lvl w:ilvl="0" w:tplc="29E8FB52">
      <w:start w:val="1"/>
      <w:numFmt w:val="lowerLetter"/>
      <w:lvlText w:val="(%1)"/>
      <w:lvlJc w:val="left"/>
      <w:pPr>
        <w:ind w:left="1987" w:hanging="360"/>
      </w:pPr>
      <w:rPr>
        <w:rFonts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8" w15:restartNumberingAfterBreak="0">
    <w:nsid w:val="48970FB0"/>
    <w:multiLevelType w:val="hybridMultilevel"/>
    <w:tmpl w:val="FE48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00FD7"/>
    <w:multiLevelType w:val="hybridMultilevel"/>
    <w:tmpl w:val="D65C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43768"/>
    <w:multiLevelType w:val="multilevel"/>
    <w:tmpl w:val="78F0F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CC27F18"/>
    <w:multiLevelType w:val="hybridMultilevel"/>
    <w:tmpl w:val="3A60BD4E"/>
    <w:lvl w:ilvl="0" w:tplc="721C140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028CD"/>
    <w:multiLevelType w:val="hybridMultilevel"/>
    <w:tmpl w:val="06DEF054"/>
    <w:lvl w:ilvl="0" w:tplc="0409000F">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3" w15:restartNumberingAfterBreak="0">
    <w:nsid w:val="51BE2413"/>
    <w:multiLevelType w:val="hybridMultilevel"/>
    <w:tmpl w:val="59C673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F3C19"/>
    <w:multiLevelType w:val="hybridMultilevel"/>
    <w:tmpl w:val="908CEF9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8C642F"/>
    <w:multiLevelType w:val="hybridMultilevel"/>
    <w:tmpl w:val="13D04EC2"/>
    <w:lvl w:ilvl="0" w:tplc="936C3DCC">
      <w:start w:val="1"/>
      <w:numFmt w:val="decimal"/>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5B93667B"/>
    <w:multiLevelType w:val="hybridMultilevel"/>
    <w:tmpl w:val="A17A2E30"/>
    <w:lvl w:ilvl="0" w:tplc="EB50F00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55245"/>
    <w:multiLevelType w:val="hybridMultilevel"/>
    <w:tmpl w:val="958A5B0C"/>
    <w:lvl w:ilvl="0" w:tplc="BF883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67DAA"/>
    <w:multiLevelType w:val="hybridMultilevel"/>
    <w:tmpl w:val="FB3CFA46"/>
    <w:lvl w:ilvl="0" w:tplc="F3745C4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A658A"/>
    <w:multiLevelType w:val="hybridMultilevel"/>
    <w:tmpl w:val="99967E6E"/>
    <w:lvl w:ilvl="0" w:tplc="B70272EA">
      <w:start w:val="1"/>
      <w:numFmt w:val="bullet"/>
      <w:lvlText w:val=""/>
      <w:lvlJc w:val="left"/>
      <w:pPr>
        <w:ind w:left="2340" w:hanging="360"/>
      </w:pPr>
      <w:rPr>
        <w:rFonts w:ascii="Chalkduster" w:hAnsi="Chalkduster" w:hint="default"/>
        <w:b w:val="0"/>
        <w:bCs w:val="0"/>
        <w:i w:val="0"/>
        <w:iCs w:val="0"/>
        <w:color w:val="000000"/>
        <w:sz w:val="20"/>
        <w:szCs w:val="20"/>
      </w:rPr>
    </w:lvl>
    <w:lvl w:ilvl="1" w:tplc="04090019">
      <w:start w:val="1"/>
      <w:numFmt w:val="lowerLetter"/>
      <w:lvlText w:val="%2."/>
      <w:lvlJc w:val="left"/>
      <w:pPr>
        <w:ind w:left="3060" w:hanging="360"/>
      </w:pPr>
    </w:lvl>
    <w:lvl w:ilvl="2" w:tplc="160E95A6">
      <w:start w:val="1"/>
      <w:numFmt w:val="decimal"/>
      <w:lvlText w:val="%3)"/>
      <w:lvlJc w:val="left"/>
      <w:pPr>
        <w:ind w:left="3960" w:hanging="360"/>
      </w:pPr>
      <w:rPr>
        <w:rFonts w:hint="default"/>
      </w:rPr>
    </w:lvl>
    <w:lvl w:ilvl="3" w:tplc="D250C752">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703381C"/>
    <w:multiLevelType w:val="hybridMultilevel"/>
    <w:tmpl w:val="719C0F60"/>
    <w:lvl w:ilvl="0" w:tplc="04090001">
      <w:start w:val="1"/>
      <w:numFmt w:val="bullet"/>
      <w:lvlText w:val=""/>
      <w:lvlJc w:val="left"/>
      <w:pPr>
        <w:ind w:left="1440" w:hanging="360"/>
      </w:pPr>
      <w:rPr>
        <w:rFonts w:ascii="Symbol" w:hAnsi="Symbol" w:hint="default"/>
      </w:rPr>
    </w:lvl>
    <w:lvl w:ilvl="1" w:tplc="BEFC7ED4">
      <w:numFmt w:val="bullet"/>
      <w:lvlText w:val="•"/>
      <w:lvlJc w:val="left"/>
      <w:pPr>
        <w:ind w:left="2160" w:hanging="360"/>
      </w:pPr>
      <w:rPr>
        <w:rFonts w:ascii="Whitney-Book" w:eastAsia="Calibri" w:hAnsi="Whitney-Book" w:cs="Whitney-Book" w:hint="default"/>
        <w:color w:val="00AEF0"/>
        <w:sz w:val="28"/>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8FA1D71"/>
    <w:multiLevelType w:val="multilevel"/>
    <w:tmpl w:val="21D66D9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914049"/>
    <w:multiLevelType w:val="hybridMultilevel"/>
    <w:tmpl w:val="FC04ABB8"/>
    <w:lvl w:ilvl="0" w:tplc="04090013">
      <w:start w:val="1"/>
      <w:numFmt w:val="upp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3" w15:restartNumberingAfterBreak="0">
    <w:nsid w:val="6B2C3312"/>
    <w:multiLevelType w:val="hybridMultilevel"/>
    <w:tmpl w:val="B42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703A5"/>
    <w:multiLevelType w:val="hybridMultilevel"/>
    <w:tmpl w:val="8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246CA8"/>
    <w:multiLevelType w:val="hybridMultilevel"/>
    <w:tmpl w:val="E42AB032"/>
    <w:lvl w:ilvl="0" w:tplc="721C14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E65850"/>
    <w:multiLevelType w:val="multilevel"/>
    <w:tmpl w:val="79A637C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24D3F41"/>
    <w:multiLevelType w:val="multilevel"/>
    <w:tmpl w:val="D68A0A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26C66DA"/>
    <w:multiLevelType w:val="hybridMultilevel"/>
    <w:tmpl w:val="79A637CA"/>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F821F9"/>
    <w:multiLevelType w:val="hybridMultilevel"/>
    <w:tmpl w:val="2E7E1918"/>
    <w:lvl w:ilvl="0" w:tplc="0409000B">
      <w:start w:val="1"/>
      <w:numFmt w:val="bullet"/>
      <w:lvlText w:val=""/>
      <w:lvlJc w:val="left"/>
      <w:pPr>
        <w:tabs>
          <w:tab w:val="num" w:pos="1560"/>
        </w:tabs>
        <w:ind w:left="1560" w:hanging="360"/>
      </w:pPr>
      <w:rPr>
        <w:rFonts w:ascii="Wingdings" w:hAnsi="Wingding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0" w15:restartNumberingAfterBreak="0">
    <w:nsid w:val="753F5057"/>
    <w:multiLevelType w:val="hybridMultilevel"/>
    <w:tmpl w:val="B6DCC46C"/>
    <w:lvl w:ilvl="0" w:tplc="721C140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50597E"/>
    <w:multiLevelType w:val="hybridMultilevel"/>
    <w:tmpl w:val="60309A4E"/>
    <w:lvl w:ilvl="0" w:tplc="4E7C80D2">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2" w15:restartNumberingAfterBreak="0">
    <w:nsid w:val="76DA6D1E"/>
    <w:multiLevelType w:val="hybridMultilevel"/>
    <w:tmpl w:val="DBF86CFC"/>
    <w:lvl w:ilvl="0" w:tplc="B88688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A8044F"/>
    <w:multiLevelType w:val="hybridMultilevel"/>
    <w:tmpl w:val="4F36276E"/>
    <w:lvl w:ilvl="0" w:tplc="9FDEAED2">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260120"/>
    <w:multiLevelType w:val="hybridMultilevel"/>
    <w:tmpl w:val="109A6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9EF0AAA"/>
    <w:multiLevelType w:val="hybridMultilevel"/>
    <w:tmpl w:val="BA7C9B64"/>
    <w:lvl w:ilvl="0" w:tplc="0409000F">
      <w:start w:val="1"/>
      <w:numFmt w:val="decimal"/>
      <w:lvlText w:val="%1."/>
      <w:lvlJc w:val="left"/>
      <w:pPr>
        <w:ind w:left="771" w:hanging="360"/>
      </w:pPr>
      <w:rPr>
        <w:rFont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6" w15:restartNumberingAfterBreak="0">
    <w:nsid w:val="7A560DB0"/>
    <w:multiLevelType w:val="hybridMultilevel"/>
    <w:tmpl w:val="7A2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B41EAE"/>
    <w:multiLevelType w:val="hybridMultilevel"/>
    <w:tmpl w:val="73CE0D04"/>
    <w:lvl w:ilvl="0" w:tplc="0409000F">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58" w15:restartNumberingAfterBreak="0">
    <w:nsid w:val="7FD61B40"/>
    <w:multiLevelType w:val="hybridMultilevel"/>
    <w:tmpl w:val="35DCAB1A"/>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9" w15:restartNumberingAfterBreak="0">
    <w:nsid w:val="7FEE232F"/>
    <w:multiLevelType w:val="hybridMultilevel"/>
    <w:tmpl w:val="7CE2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8"/>
  </w:num>
  <w:num w:numId="4">
    <w:abstractNumId w:val="3"/>
  </w:num>
  <w:num w:numId="5">
    <w:abstractNumId w:val="22"/>
  </w:num>
  <w:num w:numId="6">
    <w:abstractNumId w:val="46"/>
  </w:num>
  <w:num w:numId="7">
    <w:abstractNumId w:val="49"/>
  </w:num>
  <w:num w:numId="8">
    <w:abstractNumId w:val="12"/>
  </w:num>
  <w:num w:numId="9">
    <w:abstractNumId w:val="51"/>
  </w:num>
  <w:num w:numId="10">
    <w:abstractNumId w:val="28"/>
  </w:num>
  <w:num w:numId="11">
    <w:abstractNumId w:val="43"/>
  </w:num>
  <w:num w:numId="12">
    <w:abstractNumId w:val="44"/>
  </w:num>
  <w:num w:numId="13">
    <w:abstractNumId w:val="0"/>
  </w:num>
  <w:num w:numId="14">
    <w:abstractNumId w:val="56"/>
  </w:num>
  <w:num w:numId="15">
    <w:abstractNumId w:val="16"/>
  </w:num>
  <w:num w:numId="16">
    <w:abstractNumId w:val="59"/>
  </w:num>
  <w:num w:numId="17">
    <w:abstractNumId w:val="29"/>
  </w:num>
  <w:num w:numId="18">
    <w:abstractNumId w:val="36"/>
  </w:num>
  <w:num w:numId="19">
    <w:abstractNumId w:val="10"/>
  </w:num>
  <w:num w:numId="20">
    <w:abstractNumId w:val="19"/>
  </w:num>
  <w:num w:numId="21">
    <w:abstractNumId w:val="7"/>
  </w:num>
  <w:num w:numId="22">
    <w:abstractNumId w:val="20"/>
  </w:num>
  <w:num w:numId="23">
    <w:abstractNumId w:val="13"/>
  </w:num>
  <w:num w:numId="24">
    <w:abstractNumId w:val="55"/>
  </w:num>
  <w:num w:numId="25">
    <w:abstractNumId w:val="38"/>
  </w:num>
  <w:num w:numId="26">
    <w:abstractNumId w:val="33"/>
  </w:num>
  <w:num w:numId="27">
    <w:abstractNumId w:val="17"/>
  </w:num>
  <w:num w:numId="28">
    <w:abstractNumId w:val="30"/>
  </w:num>
  <w:num w:numId="29">
    <w:abstractNumId w:val="15"/>
  </w:num>
  <w:num w:numId="30">
    <w:abstractNumId w:val="34"/>
  </w:num>
  <w:num w:numId="31">
    <w:abstractNumId w:val="37"/>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1"/>
  </w:num>
  <w:num w:numId="35">
    <w:abstractNumId w:val="41"/>
  </w:num>
  <w:num w:numId="36">
    <w:abstractNumId w:val="31"/>
  </w:num>
  <w:num w:numId="37">
    <w:abstractNumId w:val="47"/>
  </w:num>
  <w:num w:numId="38">
    <w:abstractNumId w:val="23"/>
  </w:num>
  <w:num w:numId="39">
    <w:abstractNumId w:val="50"/>
  </w:num>
  <w:num w:numId="40">
    <w:abstractNumId w:val="45"/>
  </w:num>
  <w:num w:numId="41">
    <w:abstractNumId w:val="14"/>
  </w:num>
  <w:num w:numId="42">
    <w:abstractNumId w:val="25"/>
  </w:num>
  <w:num w:numId="43">
    <w:abstractNumId w:val="8"/>
  </w:num>
  <w:num w:numId="44">
    <w:abstractNumId w:val="26"/>
  </w:num>
  <w:num w:numId="45">
    <w:abstractNumId w:val="53"/>
  </w:num>
  <w:num w:numId="46">
    <w:abstractNumId w:val="4"/>
  </w:num>
  <w:num w:numId="47">
    <w:abstractNumId w:val="35"/>
  </w:num>
  <w:num w:numId="48">
    <w:abstractNumId w:val="58"/>
  </w:num>
  <w:num w:numId="49">
    <w:abstractNumId w:val="42"/>
  </w:num>
  <w:num w:numId="50">
    <w:abstractNumId w:val="5"/>
  </w:num>
  <w:num w:numId="51">
    <w:abstractNumId w:val="39"/>
  </w:num>
  <w:num w:numId="52">
    <w:abstractNumId w:val="18"/>
  </w:num>
  <w:num w:numId="53">
    <w:abstractNumId w:val="9"/>
  </w:num>
  <w:num w:numId="54">
    <w:abstractNumId w:val="21"/>
  </w:num>
  <w:num w:numId="55">
    <w:abstractNumId w:val="57"/>
  </w:num>
  <w:num w:numId="56">
    <w:abstractNumId w:val="32"/>
  </w:num>
  <w:num w:numId="57">
    <w:abstractNumId w:val="27"/>
  </w:num>
  <w:num w:numId="58">
    <w:abstractNumId w:val="2"/>
  </w:num>
  <w:num w:numId="59">
    <w:abstractNumId w:val="6"/>
  </w:num>
  <w:num w:numId="60">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D9"/>
    <w:rsid w:val="0000053B"/>
    <w:rsid w:val="00000D28"/>
    <w:rsid w:val="00000E95"/>
    <w:rsid w:val="0000129D"/>
    <w:rsid w:val="0000277B"/>
    <w:rsid w:val="0000359C"/>
    <w:rsid w:val="00007AD0"/>
    <w:rsid w:val="00010993"/>
    <w:rsid w:val="00011288"/>
    <w:rsid w:val="000115A9"/>
    <w:rsid w:val="00014B3D"/>
    <w:rsid w:val="00016027"/>
    <w:rsid w:val="000202C2"/>
    <w:rsid w:val="00020626"/>
    <w:rsid w:val="0002223F"/>
    <w:rsid w:val="00022D0E"/>
    <w:rsid w:val="0002392B"/>
    <w:rsid w:val="000249F1"/>
    <w:rsid w:val="00025811"/>
    <w:rsid w:val="0002606D"/>
    <w:rsid w:val="000268A2"/>
    <w:rsid w:val="00026BC9"/>
    <w:rsid w:val="00030C4D"/>
    <w:rsid w:val="00032F0E"/>
    <w:rsid w:val="00033872"/>
    <w:rsid w:val="0003733C"/>
    <w:rsid w:val="00037D6A"/>
    <w:rsid w:val="00042E60"/>
    <w:rsid w:val="00043209"/>
    <w:rsid w:val="000452B1"/>
    <w:rsid w:val="000476AC"/>
    <w:rsid w:val="000506DD"/>
    <w:rsid w:val="0005113F"/>
    <w:rsid w:val="00051310"/>
    <w:rsid w:val="000514CD"/>
    <w:rsid w:val="000515B7"/>
    <w:rsid w:val="00052CDC"/>
    <w:rsid w:val="000546E4"/>
    <w:rsid w:val="00055CBF"/>
    <w:rsid w:val="0006000B"/>
    <w:rsid w:val="00060627"/>
    <w:rsid w:val="00066F0C"/>
    <w:rsid w:val="000677A9"/>
    <w:rsid w:val="000701BE"/>
    <w:rsid w:val="000702F2"/>
    <w:rsid w:val="00073A09"/>
    <w:rsid w:val="0007653F"/>
    <w:rsid w:val="00080E48"/>
    <w:rsid w:val="000816E1"/>
    <w:rsid w:val="000824D3"/>
    <w:rsid w:val="00082854"/>
    <w:rsid w:val="0008299C"/>
    <w:rsid w:val="000846C9"/>
    <w:rsid w:val="00087652"/>
    <w:rsid w:val="00090D25"/>
    <w:rsid w:val="000910FB"/>
    <w:rsid w:val="00091256"/>
    <w:rsid w:val="0009202B"/>
    <w:rsid w:val="00092C16"/>
    <w:rsid w:val="00094192"/>
    <w:rsid w:val="000960DE"/>
    <w:rsid w:val="000A0780"/>
    <w:rsid w:val="000A1680"/>
    <w:rsid w:val="000A1939"/>
    <w:rsid w:val="000A3615"/>
    <w:rsid w:val="000A38E3"/>
    <w:rsid w:val="000A419E"/>
    <w:rsid w:val="000A43F3"/>
    <w:rsid w:val="000A74EB"/>
    <w:rsid w:val="000A7C33"/>
    <w:rsid w:val="000B17F6"/>
    <w:rsid w:val="000B2E77"/>
    <w:rsid w:val="000B328F"/>
    <w:rsid w:val="000B382E"/>
    <w:rsid w:val="000B4535"/>
    <w:rsid w:val="000B64A2"/>
    <w:rsid w:val="000C0C40"/>
    <w:rsid w:val="000C0FE0"/>
    <w:rsid w:val="000C6A65"/>
    <w:rsid w:val="000C7680"/>
    <w:rsid w:val="000C7F70"/>
    <w:rsid w:val="000D0835"/>
    <w:rsid w:val="000D107C"/>
    <w:rsid w:val="000D26A3"/>
    <w:rsid w:val="000D345E"/>
    <w:rsid w:val="000D48DF"/>
    <w:rsid w:val="000D53FA"/>
    <w:rsid w:val="000D55F9"/>
    <w:rsid w:val="000D5C40"/>
    <w:rsid w:val="000D5C8F"/>
    <w:rsid w:val="000D7238"/>
    <w:rsid w:val="000E0E4F"/>
    <w:rsid w:val="000E3674"/>
    <w:rsid w:val="000E3E59"/>
    <w:rsid w:val="000E4EF9"/>
    <w:rsid w:val="000E4F67"/>
    <w:rsid w:val="000E5F18"/>
    <w:rsid w:val="000E6A47"/>
    <w:rsid w:val="000E6DA2"/>
    <w:rsid w:val="000F0356"/>
    <w:rsid w:val="000F32D6"/>
    <w:rsid w:val="000F4AE7"/>
    <w:rsid w:val="000F56DD"/>
    <w:rsid w:val="000F6294"/>
    <w:rsid w:val="000F6EB1"/>
    <w:rsid w:val="000F73B7"/>
    <w:rsid w:val="000F7448"/>
    <w:rsid w:val="0010035C"/>
    <w:rsid w:val="00100C88"/>
    <w:rsid w:val="001019A3"/>
    <w:rsid w:val="00101BA4"/>
    <w:rsid w:val="00103914"/>
    <w:rsid w:val="001046C3"/>
    <w:rsid w:val="0010486E"/>
    <w:rsid w:val="001105D8"/>
    <w:rsid w:val="00111095"/>
    <w:rsid w:val="0011134E"/>
    <w:rsid w:val="00111C05"/>
    <w:rsid w:val="001130E3"/>
    <w:rsid w:val="00121652"/>
    <w:rsid w:val="001216F3"/>
    <w:rsid w:val="0012252D"/>
    <w:rsid w:val="00125260"/>
    <w:rsid w:val="0012578E"/>
    <w:rsid w:val="00127335"/>
    <w:rsid w:val="00131B81"/>
    <w:rsid w:val="00132097"/>
    <w:rsid w:val="00135924"/>
    <w:rsid w:val="00137B09"/>
    <w:rsid w:val="001418AF"/>
    <w:rsid w:val="00141C51"/>
    <w:rsid w:val="00143DC1"/>
    <w:rsid w:val="00144802"/>
    <w:rsid w:val="00144D25"/>
    <w:rsid w:val="00145399"/>
    <w:rsid w:val="001516BF"/>
    <w:rsid w:val="00151C87"/>
    <w:rsid w:val="00153622"/>
    <w:rsid w:val="001540A4"/>
    <w:rsid w:val="00154D6A"/>
    <w:rsid w:val="00154DB4"/>
    <w:rsid w:val="00156549"/>
    <w:rsid w:val="00156EEB"/>
    <w:rsid w:val="001605CB"/>
    <w:rsid w:val="00161927"/>
    <w:rsid w:val="00162CD1"/>
    <w:rsid w:val="001634A8"/>
    <w:rsid w:val="0016387D"/>
    <w:rsid w:val="00164099"/>
    <w:rsid w:val="00167112"/>
    <w:rsid w:val="00167577"/>
    <w:rsid w:val="001704D6"/>
    <w:rsid w:val="00171957"/>
    <w:rsid w:val="0017256C"/>
    <w:rsid w:val="00174BC7"/>
    <w:rsid w:val="001802AF"/>
    <w:rsid w:val="001806B4"/>
    <w:rsid w:val="001809FF"/>
    <w:rsid w:val="001811FB"/>
    <w:rsid w:val="00182781"/>
    <w:rsid w:val="00182842"/>
    <w:rsid w:val="00182C30"/>
    <w:rsid w:val="0018344B"/>
    <w:rsid w:val="00183F13"/>
    <w:rsid w:val="00184B99"/>
    <w:rsid w:val="0018647A"/>
    <w:rsid w:val="001870DA"/>
    <w:rsid w:val="00190523"/>
    <w:rsid w:val="00193403"/>
    <w:rsid w:val="0019361C"/>
    <w:rsid w:val="001939CA"/>
    <w:rsid w:val="00194524"/>
    <w:rsid w:val="001946AD"/>
    <w:rsid w:val="00196D1C"/>
    <w:rsid w:val="00197886"/>
    <w:rsid w:val="001A0309"/>
    <w:rsid w:val="001A0469"/>
    <w:rsid w:val="001A0A7D"/>
    <w:rsid w:val="001A0E1A"/>
    <w:rsid w:val="001A19E1"/>
    <w:rsid w:val="001A299C"/>
    <w:rsid w:val="001A3460"/>
    <w:rsid w:val="001A54D7"/>
    <w:rsid w:val="001A5719"/>
    <w:rsid w:val="001A583B"/>
    <w:rsid w:val="001A65E2"/>
    <w:rsid w:val="001A69C1"/>
    <w:rsid w:val="001A7077"/>
    <w:rsid w:val="001B14C2"/>
    <w:rsid w:val="001B3E05"/>
    <w:rsid w:val="001B5761"/>
    <w:rsid w:val="001B6802"/>
    <w:rsid w:val="001B76E1"/>
    <w:rsid w:val="001C0001"/>
    <w:rsid w:val="001C032A"/>
    <w:rsid w:val="001C4D25"/>
    <w:rsid w:val="001C5887"/>
    <w:rsid w:val="001C61E7"/>
    <w:rsid w:val="001C6701"/>
    <w:rsid w:val="001C6751"/>
    <w:rsid w:val="001C79F6"/>
    <w:rsid w:val="001D2882"/>
    <w:rsid w:val="001D391A"/>
    <w:rsid w:val="001D4D44"/>
    <w:rsid w:val="001D4EDB"/>
    <w:rsid w:val="001D5932"/>
    <w:rsid w:val="001D6489"/>
    <w:rsid w:val="001D79C8"/>
    <w:rsid w:val="001E096E"/>
    <w:rsid w:val="001E0FD5"/>
    <w:rsid w:val="001E359F"/>
    <w:rsid w:val="001E37AB"/>
    <w:rsid w:val="001E3C16"/>
    <w:rsid w:val="001E4335"/>
    <w:rsid w:val="001E68D3"/>
    <w:rsid w:val="001E7A10"/>
    <w:rsid w:val="001E7EC8"/>
    <w:rsid w:val="001F0ACB"/>
    <w:rsid w:val="001F0F71"/>
    <w:rsid w:val="001F1D99"/>
    <w:rsid w:val="001F4594"/>
    <w:rsid w:val="001F59DD"/>
    <w:rsid w:val="001F5B59"/>
    <w:rsid w:val="001F5FCA"/>
    <w:rsid w:val="001F6B82"/>
    <w:rsid w:val="00203BA6"/>
    <w:rsid w:val="00203FFD"/>
    <w:rsid w:val="00204409"/>
    <w:rsid w:val="002076C5"/>
    <w:rsid w:val="00207C63"/>
    <w:rsid w:val="0021148A"/>
    <w:rsid w:val="00211858"/>
    <w:rsid w:val="002129B6"/>
    <w:rsid w:val="0021375B"/>
    <w:rsid w:val="0021592A"/>
    <w:rsid w:val="00217094"/>
    <w:rsid w:val="00221FE1"/>
    <w:rsid w:val="00224ED6"/>
    <w:rsid w:val="00225210"/>
    <w:rsid w:val="0022648D"/>
    <w:rsid w:val="0022756D"/>
    <w:rsid w:val="00231951"/>
    <w:rsid w:val="00231A5B"/>
    <w:rsid w:val="00231FCC"/>
    <w:rsid w:val="00233436"/>
    <w:rsid w:val="00233D01"/>
    <w:rsid w:val="00233F12"/>
    <w:rsid w:val="00234932"/>
    <w:rsid w:val="00236286"/>
    <w:rsid w:val="0023638A"/>
    <w:rsid w:val="00236924"/>
    <w:rsid w:val="0023752C"/>
    <w:rsid w:val="002376A4"/>
    <w:rsid w:val="00237E55"/>
    <w:rsid w:val="00240C70"/>
    <w:rsid w:val="002417CE"/>
    <w:rsid w:val="00242026"/>
    <w:rsid w:val="00242154"/>
    <w:rsid w:val="00242400"/>
    <w:rsid w:val="00245A73"/>
    <w:rsid w:val="002462DD"/>
    <w:rsid w:val="002475CB"/>
    <w:rsid w:val="00250443"/>
    <w:rsid w:val="0025094F"/>
    <w:rsid w:val="002515F1"/>
    <w:rsid w:val="00252589"/>
    <w:rsid w:val="00252C21"/>
    <w:rsid w:val="00253D75"/>
    <w:rsid w:val="002561A8"/>
    <w:rsid w:val="00260855"/>
    <w:rsid w:val="00261471"/>
    <w:rsid w:val="00262141"/>
    <w:rsid w:val="00264881"/>
    <w:rsid w:val="00265B3F"/>
    <w:rsid w:val="002667C3"/>
    <w:rsid w:val="00271B37"/>
    <w:rsid w:val="00273CB3"/>
    <w:rsid w:val="002756B9"/>
    <w:rsid w:val="0028007C"/>
    <w:rsid w:val="00283170"/>
    <w:rsid w:val="002854AE"/>
    <w:rsid w:val="00286468"/>
    <w:rsid w:val="002905EA"/>
    <w:rsid w:val="00291A7C"/>
    <w:rsid w:val="002929FA"/>
    <w:rsid w:val="002935C3"/>
    <w:rsid w:val="002938B1"/>
    <w:rsid w:val="00297413"/>
    <w:rsid w:val="002979FA"/>
    <w:rsid w:val="002A00F5"/>
    <w:rsid w:val="002A0300"/>
    <w:rsid w:val="002A21C1"/>
    <w:rsid w:val="002A3E79"/>
    <w:rsid w:val="002A4946"/>
    <w:rsid w:val="002A650F"/>
    <w:rsid w:val="002A66D5"/>
    <w:rsid w:val="002B05CD"/>
    <w:rsid w:val="002B135A"/>
    <w:rsid w:val="002B342B"/>
    <w:rsid w:val="002B5B16"/>
    <w:rsid w:val="002B67B9"/>
    <w:rsid w:val="002C0D38"/>
    <w:rsid w:val="002C1B13"/>
    <w:rsid w:val="002C1F5A"/>
    <w:rsid w:val="002C2572"/>
    <w:rsid w:val="002C3186"/>
    <w:rsid w:val="002C66EE"/>
    <w:rsid w:val="002C7F7B"/>
    <w:rsid w:val="002D09E0"/>
    <w:rsid w:val="002D102B"/>
    <w:rsid w:val="002D1991"/>
    <w:rsid w:val="002D2153"/>
    <w:rsid w:val="002D28FE"/>
    <w:rsid w:val="002D31DA"/>
    <w:rsid w:val="002D3B3C"/>
    <w:rsid w:val="002D4140"/>
    <w:rsid w:val="002D421E"/>
    <w:rsid w:val="002D7799"/>
    <w:rsid w:val="002E0037"/>
    <w:rsid w:val="002E0774"/>
    <w:rsid w:val="002E0B54"/>
    <w:rsid w:val="002E0D9A"/>
    <w:rsid w:val="002E229A"/>
    <w:rsid w:val="002E2602"/>
    <w:rsid w:val="002E37AE"/>
    <w:rsid w:val="002E6179"/>
    <w:rsid w:val="002F179A"/>
    <w:rsid w:val="002F385D"/>
    <w:rsid w:val="002F4D2B"/>
    <w:rsid w:val="002F737F"/>
    <w:rsid w:val="00301A0E"/>
    <w:rsid w:val="00301A23"/>
    <w:rsid w:val="00302484"/>
    <w:rsid w:val="00302DA2"/>
    <w:rsid w:val="003049E8"/>
    <w:rsid w:val="00310C69"/>
    <w:rsid w:val="0031238B"/>
    <w:rsid w:val="00313B54"/>
    <w:rsid w:val="00314977"/>
    <w:rsid w:val="00314C5A"/>
    <w:rsid w:val="00314D37"/>
    <w:rsid w:val="00315596"/>
    <w:rsid w:val="003162DB"/>
    <w:rsid w:val="00317DED"/>
    <w:rsid w:val="00317E48"/>
    <w:rsid w:val="00323042"/>
    <w:rsid w:val="00324EE4"/>
    <w:rsid w:val="00325A84"/>
    <w:rsid w:val="00325F8B"/>
    <w:rsid w:val="0032742E"/>
    <w:rsid w:val="00330EE6"/>
    <w:rsid w:val="00332562"/>
    <w:rsid w:val="00332DFB"/>
    <w:rsid w:val="00334A23"/>
    <w:rsid w:val="00337EE7"/>
    <w:rsid w:val="003420D5"/>
    <w:rsid w:val="00342AB1"/>
    <w:rsid w:val="00343431"/>
    <w:rsid w:val="00345171"/>
    <w:rsid w:val="00346F69"/>
    <w:rsid w:val="0035036D"/>
    <w:rsid w:val="00350920"/>
    <w:rsid w:val="00350E14"/>
    <w:rsid w:val="0035249C"/>
    <w:rsid w:val="003531F9"/>
    <w:rsid w:val="00354195"/>
    <w:rsid w:val="00354A1F"/>
    <w:rsid w:val="00355DC4"/>
    <w:rsid w:val="003568B2"/>
    <w:rsid w:val="00360129"/>
    <w:rsid w:val="00360EB7"/>
    <w:rsid w:val="00362254"/>
    <w:rsid w:val="003635B9"/>
    <w:rsid w:val="003648E3"/>
    <w:rsid w:val="00366956"/>
    <w:rsid w:val="00366F55"/>
    <w:rsid w:val="00367076"/>
    <w:rsid w:val="00367FF3"/>
    <w:rsid w:val="00370174"/>
    <w:rsid w:val="00372943"/>
    <w:rsid w:val="0037786D"/>
    <w:rsid w:val="00382036"/>
    <w:rsid w:val="0038304A"/>
    <w:rsid w:val="00383FC9"/>
    <w:rsid w:val="0038413E"/>
    <w:rsid w:val="00384A81"/>
    <w:rsid w:val="00385550"/>
    <w:rsid w:val="00390DC7"/>
    <w:rsid w:val="003912BF"/>
    <w:rsid w:val="00391CBC"/>
    <w:rsid w:val="00394DCD"/>
    <w:rsid w:val="00395924"/>
    <w:rsid w:val="00397497"/>
    <w:rsid w:val="003A0238"/>
    <w:rsid w:val="003A0868"/>
    <w:rsid w:val="003A15BA"/>
    <w:rsid w:val="003A1872"/>
    <w:rsid w:val="003A1A77"/>
    <w:rsid w:val="003A3060"/>
    <w:rsid w:val="003A30F0"/>
    <w:rsid w:val="003A65A9"/>
    <w:rsid w:val="003A66AA"/>
    <w:rsid w:val="003B148E"/>
    <w:rsid w:val="003B1EB7"/>
    <w:rsid w:val="003B6B34"/>
    <w:rsid w:val="003B76F4"/>
    <w:rsid w:val="003B7882"/>
    <w:rsid w:val="003C08C7"/>
    <w:rsid w:val="003C1A1B"/>
    <w:rsid w:val="003C2393"/>
    <w:rsid w:val="003C3D4C"/>
    <w:rsid w:val="003C3EAA"/>
    <w:rsid w:val="003C611F"/>
    <w:rsid w:val="003C69C7"/>
    <w:rsid w:val="003D0A35"/>
    <w:rsid w:val="003D1922"/>
    <w:rsid w:val="003D1E3B"/>
    <w:rsid w:val="003D2D96"/>
    <w:rsid w:val="003D6767"/>
    <w:rsid w:val="003D74A2"/>
    <w:rsid w:val="003E0E0F"/>
    <w:rsid w:val="003E14ED"/>
    <w:rsid w:val="003E17F1"/>
    <w:rsid w:val="003E2447"/>
    <w:rsid w:val="003E76C9"/>
    <w:rsid w:val="003E7FCA"/>
    <w:rsid w:val="003F26F5"/>
    <w:rsid w:val="003F3EE8"/>
    <w:rsid w:val="00401324"/>
    <w:rsid w:val="00401725"/>
    <w:rsid w:val="00402081"/>
    <w:rsid w:val="004025A4"/>
    <w:rsid w:val="00404614"/>
    <w:rsid w:val="004074EE"/>
    <w:rsid w:val="0041032E"/>
    <w:rsid w:val="0041262D"/>
    <w:rsid w:val="00420DBF"/>
    <w:rsid w:val="004219C9"/>
    <w:rsid w:val="00423032"/>
    <w:rsid w:val="00423622"/>
    <w:rsid w:val="004244EB"/>
    <w:rsid w:val="004249E5"/>
    <w:rsid w:val="00425521"/>
    <w:rsid w:val="004270C5"/>
    <w:rsid w:val="004279AD"/>
    <w:rsid w:val="004307CB"/>
    <w:rsid w:val="004316DA"/>
    <w:rsid w:val="0043352C"/>
    <w:rsid w:val="00436A23"/>
    <w:rsid w:val="00440543"/>
    <w:rsid w:val="00440E78"/>
    <w:rsid w:val="00442421"/>
    <w:rsid w:val="0044474D"/>
    <w:rsid w:val="004455DE"/>
    <w:rsid w:val="0044704B"/>
    <w:rsid w:val="00447D6B"/>
    <w:rsid w:val="004507FA"/>
    <w:rsid w:val="004510F4"/>
    <w:rsid w:val="00451C0C"/>
    <w:rsid w:val="00452536"/>
    <w:rsid w:val="00453F42"/>
    <w:rsid w:val="00454881"/>
    <w:rsid w:val="004615E9"/>
    <w:rsid w:val="00463644"/>
    <w:rsid w:val="00464184"/>
    <w:rsid w:val="0046584B"/>
    <w:rsid w:val="00465CF0"/>
    <w:rsid w:val="004662DD"/>
    <w:rsid w:val="00466336"/>
    <w:rsid w:val="00467528"/>
    <w:rsid w:val="00467D53"/>
    <w:rsid w:val="004700A0"/>
    <w:rsid w:val="0047376B"/>
    <w:rsid w:val="0047461D"/>
    <w:rsid w:val="00474E2E"/>
    <w:rsid w:val="0047713F"/>
    <w:rsid w:val="00477635"/>
    <w:rsid w:val="00480D4E"/>
    <w:rsid w:val="004814C6"/>
    <w:rsid w:val="00481633"/>
    <w:rsid w:val="00482067"/>
    <w:rsid w:val="00482DE1"/>
    <w:rsid w:val="00484266"/>
    <w:rsid w:val="00484A1A"/>
    <w:rsid w:val="0048528C"/>
    <w:rsid w:val="004873B4"/>
    <w:rsid w:val="00487890"/>
    <w:rsid w:val="004910BC"/>
    <w:rsid w:val="004914D3"/>
    <w:rsid w:val="0049187B"/>
    <w:rsid w:val="00492ABE"/>
    <w:rsid w:val="00493182"/>
    <w:rsid w:val="0049426A"/>
    <w:rsid w:val="004942F1"/>
    <w:rsid w:val="004942FB"/>
    <w:rsid w:val="004977AD"/>
    <w:rsid w:val="004A0765"/>
    <w:rsid w:val="004A122C"/>
    <w:rsid w:val="004A3319"/>
    <w:rsid w:val="004A41FF"/>
    <w:rsid w:val="004A4256"/>
    <w:rsid w:val="004A4B88"/>
    <w:rsid w:val="004A4E1B"/>
    <w:rsid w:val="004A573D"/>
    <w:rsid w:val="004A6345"/>
    <w:rsid w:val="004A6787"/>
    <w:rsid w:val="004A6D78"/>
    <w:rsid w:val="004B4D11"/>
    <w:rsid w:val="004B4F46"/>
    <w:rsid w:val="004B65D3"/>
    <w:rsid w:val="004B6DE7"/>
    <w:rsid w:val="004C0092"/>
    <w:rsid w:val="004C0667"/>
    <w:rsid w:val="004C5D24"/>
    <w:rsid w:val="004C620F"/>
    <w:rsid w:val="004C6718"/>
    <w:rsid w:val="004C7797"/>
    <w:rsid w:val="004D039D"/>
    <w:rsid w:val="004D1ABD"/>
    <w:rsid w:val="004D27F3"/>
    <w:rsid w:val="004D4586"/>
    <w:rsid w:val="004D466D"/>
    <w:rsid w:val="004D48DD"/>
    <w:rsid w:val="004D5AAE"/>
    <w:rsid w:val="004D5E0A"/>
    <w:rsid w:val="004D6BB1"/>
    <w:rsid w:val="004E01C8"/>
    <w:rsid w:val="004E0A78"/>
    <w:rsid w:val="004E0E75"/>
    <w:rsid w:val="004E0EE6"/>
    <w:rsid w:val="004E1B88"/>
    <w:rsid w:val="004E20FF"/>
    <w:rsid w:val="004E3FD8"/>
    <w:rsid w:val="004F0C20"/>
    <w:rsid w:val="004F123C"/>
    <w:rsid w:val="004F4650"/>
    <w:rsid w:val="004F4764"/>
    <w:rsid w:val="004F4BEA"/>
    <w:rsid w:val="004F5AD7"/>
    <w:rsid w:val="004F74B6"/>
    <w:rsid w:val="004F7E94"/>
    <w:rsid w:val="00501A91"/>
    <w:rsid w:val="0050200D"/>
    <w:rsid w:val="00502194"/>
    <w:rsid w:val="005028E4"/>
    <w:rsid w:val="005039A5"/>
    <w:rsid w:val="00503E8F"/>
    <w:rsid w:val="00505952"/>
    <w:rsid w:val="0050732C"/>
    <w:rsid w:val="0050765A"/>
    <w:rsid w:val="005108DD"/>
    <w:rsid w:val="00512F50"/>
    <w:rsid w:val="00515EDF"/>
    <w:rsid w:val="0051749C"/>
    <w:rsid w:val="00517D02"/>
    <w:rsid w:val="00520F28"/>
    <w:rsid w:val="0052141E"/>
    <w:rsid w:val="005228AE"/>
    <w:rsid w:val="00522B4A"/>
    <w:rsid w:val="00523579"/>
    <w:rsid w:val="005236FB"/>
    <w:rsid w:val="00524242"/>
    <w:rsid w:val="00527D43"/>
    <w:rsid w:val="00527D6F"/>
    <w:rsid w:val="00533EEA"/>
    <w:rsid w:val="005340B7"/>
    <w:rsid w:val="00534280"/>
    <w:rsid w:val="00535291"/>
    <w:rsid w:val="005356DD"/>
    <w:rsid w:val="00535EE1"/>
    <w:rsid w:val="005374E7"/>
    <w:rsid w:val="005411C2"/>
    <w:rsid w:val="005414C8"/>
    <w:rsid w:val="0054156A"/>
    <w:rsid w:val="00546396"/>
    <w:rsid w:val="00551CD2"/>
    <w:rsid w:val="00552907"/>
    <w:rsid w:val="00552E3F"/>
    <w:rsid w:val="00554125"/>
    <w:rsid w:val="00554DAF"/>
    <w:rsid w:val="00554ECE"/>
    <w:rsid w:val="00560C21"/>
    <w:rsid w:val="005632AE"/>
    <w:rsid w:val="005638EA"/>
    <w:rsid w:val="0056618C"/>
    <w:rsid w:val="00567561"/>
    <w:rsid w:val="00570335"/>
    <w:rsid w:val="0057092A"/>
    <w:rsid w:val="00574E44"/>
    <w:rsid w:val="00574FE4"/>
    <w:rsid w:val="005750CF"/>
    <w:rsid w:val="005758E5"/>
    <w:rsid w:val="00576701"/>
    <w:rsid w:val="00576EF9"/>
    <w:rsid w:val="005809C6"/>
    <w:rsid w:val="00581071"/>
    <w:rsid w:val="0058279C"/>
    <w:rsid w:val="005830BF"/>
    <w:rsid w:val="005833E3"/>
    <w:rsid w:val="00583549"/>
    <w:rsid w:val="00584393"/>
    <w:rsid w:val="00584BD6"/>
    <w:rsid w:val="00585977"/>
    <w:rsid w:val="00585C64"/>
    <w:rsid w:val="005901A4"/>
    <w:rsid w:val="0059147C"/>
    <w:rsid w:val="00593DC7"/>
    <w:rsid w:val="00594F0F"/>
    <w:rsid w:val="0059505A"/>
    <w:rsid w:val="005A4012"/>
    <w:rsid w:val="005A4638"/>
    <w:rsid w:val="005A5176"/>
    <w:rsid w:val="005A79CF"/>
    <w:rsid w:val="005B2307"/>
    <w:rsid w:val="005B2956"/>
    <w:rsid w:val="005B4227"/>
    <w:rsid w:val="005C002E"/>
    <w:rsid w:val="005C13F6"/>
    <w:rsid w:val="005C1742"/>
    <w:rsid w:val="005C2162"/>
    <w:rsid w:val="005C220C"/>
    <w:rsid w:val="005C6D62"/>
    <w:rsid w:val="005C7787"/>
    <w:rsid w:val="005C78B2"/>
    <w:rsid w:val="005D02CA"/>
    <w:rsid w:val="005D3CF9"/>
    <w:rsid w:val="005D41B6"/>
    <w:rsid w:val="005D47FB"/>
    <w:rsid w:val="005D5601"/>
    <w:rsid w:val="005D5CEA"/>
    <w:rsid w:val="005D7722"/>
    <w:rsid w:val="005D7C02"/>
    <w:rsid w:val="005D7C9B"/>
    <w:rsid w:val="005D7F95"/>
    <w:rsid w:val="005E119D"/>
    <w:rsid w:val="005E18ED"/>
    <w:rsid w:val="005E1D62"/>
    <w:rsid w:val="005E20B9"/>
    <w:rsid w:val="005E2A0E"/>
    <w:rsid w:val="005E4133"/>
    <w:rsid w:val="005E54A4"/>
    <w:rsid w:val="005E6A24"/>
    <w:rsid w:val="005F2D49"/>
    <w:rsid w:val="005F3031"/>
    <w:rsid w:val="005F7D7E"/>
    <w:rsid w:val="00601594"/>
    <w:rsid w:val="00602F74"/>
    <w:rsid w:val="00604C53"/>
    <w:rsid w:val="00605C25"/>
    <w:rsid w:val="00607240"/>
    <w:rsid w:val="0061020B"/>
    <w:rsid w:val="0061099D"/>
    <w:rsid w:val="0061177E"/>
    <w:rsid w:val="006174AF"/>
    <w:rsid w:val="00620350"/>
    <w:rsid w:val="006206F3"/>
    <w:rsid w:val="00621D8E"/>
    <w:rsid w:val="006223EE"/>
    <w:rsid w:val="00623167"/>
    <w:rsid w:val="00624C83"/>
    <w:rsid w:val="0062568D"/>
    <w:rsid w:val="00630347"/>
    <w:rsid w:val="00632FEA"/>
    <w:rsid w:val="00634DA1"/>
    <w:rsid w:val="006354F5"/>
    <w:rsid w:val="0063637E"/>
    <w:rsid w:val="006369DF"/>
    <w:rsid w:val="00636FCE"/>
    <w:rsid w:val="00637E83"/>
    <w:rsid w:val="0064150C"/>
    <w:rsid w:val="00641D72"/>
    <w:rsid w:val="00642455"/>
    <w:rsid w:val="00643518"/>
    <w:rsid w:val="0064478B"/>
    <w:rsid w:val="006453A7"/>
    <w:rsid w:val="006476E2"/>
    <w:rsid w:val="00647C87"/>
    <w:rsid w:val="00647F99"/>
    <w:rsid w:val="00651C9B"/>
    <w:rsid w:val="0065219C"/>
    <w:rsid w:val="00652721"/>
    <w:rsid w:val="00654F2D"/>
    <w:rsid w:val="006566EC"/>
    <w:rsid w:val="0066029F"/>
    <w:rsid w:val="00661158"/>
    <w:rsid w:val="006615CA"/>
    <w:rsid w:val="00662D4B"/>
    <w:rsid w:val="00663381"/>
    <w:rsid w:val="0066512C"/>
    <w:rsid w:val="00667D46"/>
    <w:rsid w:val="006704BF"/>
    <w:rsid w:val="00671157"/>
    <w:rsid w:val="00671694"/>
    <w:rsid w:val="00672645"/>
    <w:rsid w:val="00672746"/>
    <w:rsid w:val="006743AF"/>
    <w:rsid w:val="006743B6"/>
    <w:rsid w:val="006758BA"/>
    <w:rsid w:val="006777DF"/>
    <w:rsid w:val="006861F9"/>
    <w:rsid w:val="00687D9D"/>
    <w:rsid w:val="00690AD6"/>
    <w:rsid w:val="00692739"/>
    <w:rsid w:val="00692E50"/>
    <w:rsid w:val="00693ADE"/>
    <w:rsid w:val="00693DFF"/>
    <w:rsid w:val="0069413C"/>
    <w:rsid w:val="00694C0E"/>
    <w:rsid w:val="00695B8D"/>
    <w:rsid w:val="006967ED"/>
    <w:rsid w:val="0069713C"/>
    <w:rsid w:val="006A11A6"/>
    <w:rsid w:val="006A1BAD"/>
    <w:rsid w:val="006A2A71"/>
    <w:rsid w:val="006A2EDB"/>
    <w:rsid w:val="006A6B2C"/>
    <w:rsid w:val="006A73C8"/>
    <w:rsid w:val="006B0350"/>
    <w:rsid w:val="006B0EA6"/>
    <w:rsid w:val="006B1083"/>
    <w:rsid w:val="006B2CB1"/>
    <w:rsid w:val="006B71F7"/>
    <w:rsid w:val="006B7303"/>
    <w:rsid w:val="006C182F"/>
    <w:rsid w:val="006C19F6"/>
    <w:rsid w:val="006C35FA"/>
    <w:rsid w:val="006C4247"/>
    <w:rsid w:val="006C75B1"/>
    <w:rsid w:val="006D1262"/>
    <w:rsid w:val="006D1FA2"/>
    <w:rsid w:val="006D21F5"/>
    <w:rsid w:val="006D23A4"/>
    <w:rsid w:val="006D2D6C"/>
    <w:rsid w:val="006D2E1D"/>
    <w:rsid w:val="006D5500"/>
    <w:rsid w:val="006D58F7"/>
    <w:rsid w:val="006E1611"/>
    <w:rsid w:val="006E1C07"/>
    <w:rsid w:val="006E1D68"/>
    <w:rsid w:val="006E32DC"/>
    <w:rsid w:val="006E33F8"/>
    <w:rsid w:val="006E3A99"/>
    <w:rsid w:val="006E49C0"/>
    <w:rsid w:val="006F07BF"/>
    <w:rsid w:val="006F0C92"/>
    <w:rsid w:val="006F0D60"/>
    <w:rsid w:val="006F13AB"/>
    <w:rsid w:val="006F17D1"/>
    <w:rsid w:val="006F2819"/>
    <w:rsid w:val="006F2DC2"/>
    <w:rsid w:val="006F4285"/>
    <w:rsid w:val="006F532F"/>
    <w:rsid w:val="006F5831"/>
    <w:rsid w:val="006F5ABA"/>
    <w:rsid w:val="006F7920"/>
    <w:rsid w:val="00700865"/>
    <w:rsid w:val="00701EA0"/>
    <w:rsid w:val="00702CFF"/>
    <w:rsid w:val="00706EE3"/>
    <w:rsid w:val="0070726B"/>
    <w:rsid w:val="00713167"/>
    <w:rsid w:val="007147A2"/>
    <w:rsid w:val="00714AC2"/>
    <w:rsid w:val="00714C57"/>
    <w:rsid w:val="00715683"/>
    <w:rsid w:val="0071676E"/>
    <w:rsid w:val="00716E01"/>
    <w:rsid w:val="00721247"/>
    <w:rsid w:val="007212F7"/>
    <w:rsid w:val="007217A0"/>
    <w:rsid w:val="00722CAB"/>
    <w:rsid w:val="00723074"/>
    <w:rsid w:val="007243A0"/>
    <w:rsid w:val="0072571A"/>
    <w:rsid w:val="00730438"/>
    <w:rsid w:val="00731AAF"/>
    <w:rsid w:val="00731C4E"/>
    <w:rsid w:val="00733F10"/>
    <w:rsid w:val="00740474"/>
    <w:rsid w:val="00740D68"/>
    <w:rsid w:val="00742D68"/>
    <w:rsid w:val="00742E0F"/>
    <w:rsid w:val="0075077B"/>
    <w:rsid w:val="0075250D"/>
    <w:rsid w:val="00752D09"/>
    <w:rsid w:val="00752EC9"/>
    <w:rsid w:val="007551AA"/>
    <w:rsid w:val="00755905"/>
    <w:rsid w:val="007562EF"/>
    <w:rsid w:val="00761AB2"/>
    <w:rsid w:val="00766E92"/>
    <w:rsid w:val="00770EF3"/>
    <w:rsid w:val="00771244"/>
    <w:rsid w:val="007716FF"/>
    <w:rsid w:val="00775376"/>
    <w:rsid w:val="00776CB4"/>
    <w:rsid w:val="007811ED"/>
    <w:rsid w:val="00782088"/>
    <w:rsid w:val="007836D7"/>
    <w:rsid w:val="00786E6D"/>
    <w:rsid w:val="00787525"/>
    <w:rsid w:val="00790183"/>
    <w:rsid w:val="007935CE"/>
    <w:rsid w:val="00794ACB"/>
    <w:rsid w:val="00796F11"/>
    <w:rsid w:val="0079715C"/>
    <w:rsid w:val="007974AF"/>
    <w:rsid w:val="00797A97"/>
    <w:rsid w:val="007A1D60"/>
    <w:rsid w:val="007A2544"/>
    <w:rsid w:val="007A5271"/>
    <w:rsid w:val="007A7031"/>
    <w:rsid w:val="007A7574"/>
    <w:rsid w:val="007B20E6"/>
    <w:rsid w:val="007B2B87"/>
    <w:rsid w:val="007B7333"/>
    <w:rsid w:val="007B7E16"/>
    <w:rsid w:val="007C02BC"/>
    <w:rsid w:val="007C0B40"/>
    <w:rsid w:val="007C388D"/>
    <w:rsid w:val="007C46C1"/>
    <w:rsid w:val="007C4DD5"/>
    <w:rsid w:val="007C54B9"/>
    <w:rsid w:val="007C58DD"/>
    <w:rsid w:val="007C5949"/>
    <w:rsid w:val="007C62A0"/>
    <w:rsid w:val="007C6D1A"/>
    <w:rsid w:val="007C7B04"/>
    <w:rsid w:val="007D0E3B"/>
    <w:rsid w:val="007D0E81"/>
    <w:rsid w:val="007D44AA"/>
    <w:rsid w:val="007D517B"/>
    <w:rsid w:val="007E151D"/>
    <w:rsid w:val="007E222A"/>
    <w:rsid w:val="007E2252"/>
    <w:rsid w:val="007E322F"/>
    <w:rsid w:val="007E37E6"/>
    <w:rsid w:val="007E3BF3"/>
    <w:rsid w:val="007E45DE"/>
    <w:rsid w:val="007E4B5C"/>
    <w:rsid w:val="007E655B"/>
    <w:rsid w:val="007E7957"/>
    <w:rsid w:val="007F031A"/>
    <w:rsid w:val="007F134E"/>
    <w:rsid w:val="007F156D"/>
    <w:rsid w:val="007F1CFC"/>
    <w:rsid w:val="007F2033"/>
    <w:rsid w:val="007F25B6"/>
    <w:rsid w:val="007F3849"/>
    <w:rsid w:val="007F3E29"/>
    <w:rsid w:val="007F466C"/>
    <w:rsid w:val="007F4C18"/>
    <w:rsid w:val="007F5125"/>
    <w:rsid w:val="007F55A0"/>
    <w:rsid w:val="007F5776"/>
    <w:rsid w:val="007F5A64"/>
    <w:rsid w:val="007F6E61"/>
    <w:rsid w:val="007F737A"/>
    <w:rsid w:val="0080093D"/>
    <w:rsid w:val="008019E9"/>
    <w:rsid w:val="00801F63"/>
    <w:rsid w:val="00802EF5"/>
    <w:rsid w:val="00803070"/>
    <w:rsid w:val="008049B8"/>
    <w:rsid w:val="008049D7"/>
    <w:rsid w:val="008052A8"/>
    <w:rsid w:val="00805637"/>
    <w:rsid w:val="008059AB"/>
    <w:rsid w:val="008115E6"/>
    <w:rsid w:val="0081177E"/>
    <w:rsid w:val="00813020"/>
    <w:rsid w:val="008146A2"/>
    <w:rsid w:val="00815446"/>
    <w:rsid w:val="00817306"/>
    <w:rsid w:val="00820397"/>
    <w:rsid w:val="00823AC6"/>
    <w:rsid w:val="0082411E"/>
    <w:rsid w:val="00824EB4"/>
    <w:rsid w:val="00830313"/>
    <w:rsid w:val="00830CFA"/>
    <w:rsid w:val="00835B8D"/>
    <w:rsid w:val="0084706A"/>
    <w:rsid w:val="00851B01"/>
    <w:rsid w:val="00853516"/>
    <w:rsid w:val="00857FB7"/>
    <w:rsid w:val="008600E2"/>
    <w:rsid w:val="00860214"/>
    <w:rsid w:val="0086255B"/>
    <w:rsid w:val="008668BD"/>
    <w:rsid w:val="008705BE"/>
    <w:rsid w:val="0087098A"/>
    <w:rsid w:val="00872945"/>
    <w:rsid w:val="008729B7"/>
    <w:rsid w:val="0087789E"/>
    <w:rsid w:val="00881A2F"/>
    <w:rsid w:val="00884B27"/>
    <w:rsid w:val="0088618E"/>
    <w:rsid w:val="0088652B"/>
    <w:rsid w:val="00890548"/>
    <w:rsid w:val="008915CE"/>
    <w:rsid w:val="00891822"/>
    <w:rsid w:val="00892493"/>
    <w:rsid w:val="00892E49"/>
    <w:rsid w:val="00894D46"/>
    <w:rsid w:val="008952D3"/>
    <w:rsid w:val="00896189"/>
    <w:rsid w:val="00897B43"/>
    <w:rsid w:val="00897BE4"/>
    <w:rsid w:val="008A1BF7"/>
    <w:rsid w:val="008A28C2"/>
    <w:rsid w:val="008A45C8"/>
    <w:rsid w:val="008A59BD"/>
    <w:rsid w:val="008A5B96"/>
    <w:rsid w:val="008A5C7E"/>
    <w:rsid w:val="008A6BFF"/>
    <w:rsid w:val="008B305D"/>
    <w:rsid w:val="008B5A75"/>
    <w:rsid w:val="008B65E2"/>
    <w:rsid w:val="008B709F"/>
    <w:rsid w:val="008B72C3"/>
    <w:rsid w:val="008C0B50"/>
    <w:rsid w:val="008C3635"/>
    <w:rsid w:val="008C7862"/>
    <w:rsid w:val="008D091C"/>
    <w:rsid w:val="008D2B04"/>
    <w:rsid w:val="008D36F5"/>
    <w:rsid w:val="008D586C"/>
    <w:rsid w:val="008D5955"/>
    <w:rsid w:val="008D7E30"/>
    <w:rsid w:val="008E0451"/>
    <w:rsid w:val="008E1052"/>
    <w:rsid w:val="008E4EA5"/>
    <w:rsid w:val="008E5878"/>
    <w:rsid w:val="008E6B94"/>
    <w:rsid w:val="008F061B"/>
    <w:rsid w:val="008F2854"/>
    <w:rsid w:val="008F2BD9"/>
    <w:rsid w:val="008F316F"/>
    <w:rsid w:val="008F3BA3"/>
    <w:rsid w:val="008F4615"/>
    <w:rsid w:val="008F50C5"/>
    <w:rsid w:val="008F588F"/>
    <w:rsid w:val="008F59C4"/>
    <w:rsid w:val="008F5CB4"/>
    <w:rsid w:val="008F607D"/>
    <w:rsid w:val="008F774F"/>
    <w:rsid w:val="009025E9"/>
    <w:rsid w:val="00903465"/>
    <w:rsid w:val="00903F49"/>
    <w:rsid w:val="00905FE6"/>
    <w:rsid w:val="00906CBE"/>
    <w:rsid w:val="009070D5"/>
    <w:rsid w:val="00907240"/>
    <w:rsid w:val="00911DE5"/>
    <w:rsid w:val="0091267B"/>
    <w:rsid w:val="00914140"/>
    <w:rsid w:val="009158C3"/>
    <w:rsid w:val="00915C92"/>
    <w:rsid w:val="0091792C"/>
    <w:rsid w:val="00921C74"/>
    <w:rsid w:val="00923EC5"/>
    <w:rsid w:val="0092529E"/>
    <w:rsid w:val="009263EB"/>
    <w:rsid w:val="00926DED"/>
    <w:rsid w:val="00930280"/>
    <w:rsid w:val="009308EC"/>
    <w:rsid w:val="0093103C"/>
    <w:rsid w:val="0093419B"/>
    <w:rsid w:val="00935613"/>
    <w:rsid w:val="009357A6"/>
    <w:rsid w:val="00937276"/>
    <w:rsid w:val="00937673"/>
    <w:rsid w:val="0094252E"/>
    <w:rsid w:val="00942E9C"/>
    <w:rsid w:val="00942F3D"/>
    <w:rsid w:val="00943719"/>
    <w:rsid w:val="009437DC"/>
    <w:rsid w:val="00944655"/>
    <w:rsid w:val="00946A88"/>
    <w:rsid w:val="00947C8E"/>
    <w:rsid w:val="00951F28"/>
    <w:rsid w:val="00953816"/>
    <w:rsid w:val="00953E02"/>
    <w:rsid w:val="0095747F"/>
    <w:rsid w:val="009579A9"/>
    <w:rsid w:val="009608EF"/>
    <w:rsid w:val="0096142E"/>
    <w:rsid w:val="009614B3"/>
    <w:rsid w:val="009650EC"/>
    <w:rsid w:val="00965AAE"/>
    <w:rsid w:val="009673E9"/>
    <w:rsid w:val="00967AA4"/>
    <w:rsid w:val="009705BD"/>
    <w:rsid w:val="00973900"/>
    <w:rsid w:val="00975B31"/>
    <w:rsid w:val="00977A14"/>
    <w:rsid w:val="009800EC"/>
    <w:rsid w:val="00980ACE"/>
    <w:rsid w:val="00984E2A"/>
    <w:rsid w:val="00986F20"/>
    <w:rsid w:val="00992E34"/>
    <w:rsid w:val="009955CE"/>
    <w:rsid w:val="009961FE"/>
    <w:rsid w:val="009A0755"/>
    <w:rsid w:val="009A0BBC"/>
    <w:rsid w:val="009A0DF7"/>
    <w:rsid w:val="009A1210"/>
    <w:rsid w:val="009A62DF"/>
    <w:rsid w:val="009A6451"/>
    <w:rsid w:val="009B0413"/>
    <w:rsid w:val="009B0826"/>
    <w:rsid w:val="009B1F8E"/>
    <w:rsid w:val="009B229A"/>
    <w:rsid w:val="009B2D21"/>
    <w:rsid w:val="009B3150"/>
    <w:rsid w:val="009B4332"/>
    <w:rsid w:val="009B6D5A"/>
    <w:rsid w:val="009B7281"/>
    <w:rsid w:val="009B754A"/>
    <w:rsid w:val="009B7DBA"/>
    <w:rsid w:val="009C4719"/>
    <w:rsid w:val="009C6334"/>
    <w:rsid w:val="009D0D11"/>
    <w:rsid w:val="009D5745"/>
    <w:rsid w:val="009D7CCC"/>
    <w:rsid w:val="009E144F"/>
    <w:rsid w:val="009E32CA"/>
    <w:rsid w:val="009E5CE1"/>
    <w:rsid w:val="009E64DA"/>
    <w:rsid w:val="009E6906"/>
    <w:rsid w:val="009E6E71"/>
    <w:rsid w:val="009F050B"/>
    <w:rsid w:val="009F122D"/>
    <w:rsid w:val="009F20E0"/>
    <w:rsid w:val="009F35E6"/>
    <w:rsid w:val="009F3799"/>
    <w:rsid w:val="009F3DD9"/>
    <w:rsid w:val="009F50B3"/>
    <w:rsid w:val="009F6229"/>
    <w:rsid w:val="00A00C88"/>
    <w:rsid w:val="00A00EA4"/>
    <w:rsid w:val="00A0190C"/>
    <w:rsid w:val="00A01A2C"/>
    <w:rsid w:val="00A03583"/>
    <w:rsid w:val="00A04918"/>
    <w:rsid w:val="00A04AB5"/>
    <w:rsid w:val="00A06044"/>
    <w:rsid w:val="00A07CAC"/>
    <w:rsid w:val="00A107BB"/>
    <w:rsid w:val="00A11765"/>
    <w:rsid w:val="00A13311"/>
    <w:rsid w:val="00A13566"/>
    <w:rsid w:val="00A13A64"/>
    <w:rsid w:val="00A13AAB"/>
    <w:rsid w:val="00A13CE7"/>
    <w:rsid w:val="00A13E53"/>
    <w:rsid w:val="00A1453F"/>
    <w:rsid w:val="00A15285"/>
    <w:rsid w:val="00A158EA"/>
    <w:rsid w:val="00A15A80"/>
    <w:rsid w:val="00A20212"/>
    <w:rsid w:val="00A2373D"/>
    <w:rsid w:val="00A254B3"/>
    <w:rsid w:val="00A26EE3"/>
    <w:rsid w:val="00A302A6"/>
    <w:rsid w:val="00A30FA9"/>
    <w:rsid w:val="00A31236"/>
    <w:rsid w:val="00A3229D"/>
    <w:rsid w:val="00A33207"/>
    <w:rsid w:val="00A34403"/>
    <w:rsid w:val="00A34C53"/>
    <w:rsid w:val="00A3606B"/>
    <w:rsid w:val="00A37390"/>
    <w:rsid w:val="00A37606"/>
    <w:rsid w:val="00A3787E"/>
    <w:rsid w:val="00A37FD2"/>
    <w:rsid w:val="00A40FBD"/>
    <w:rsid w:val="00A437DA"/>
    <w:rsid w:val="00A4525A"/>
    <w:rsid w:val="00A500E7"/>
    <w:rsid w:val="00A51961"/>
    <w:rsid w:val="00A52C37"/>
    <w:rsid w:val="00A540BB"/>
    <w:rsid w:val="00A55A0A"/>
    <w:rsid w:val="00A55BB5"/>
    <w:rsid w:val="00A56960"/>
    <w:rsid w:val="00A57847"/>
    <w:rsid w:val="00A607FF"/>
    <w:rsid w:val="00A610CE"/>
    <w:rsid w:val="00A62AEE"/>
    <w:rsid w:val="00A64340"/>
    <w:rsid w:val="00A64D03"/>
    <w:rsid w:val="00A666F7"/>
    <w:rsid w:val="00A6735D"/>
    <w:rsid w:val="00A67BDA"/>
    <w:rsid w:val="00A67BDB"/>
    <w:rsid w:val="00A707AA"/>
    <w:rsid w:val="00A71776"/>
    <w:rsid w:val="00A76A01"/>
    <w:rsid w:val="00A76D26"/>
    <w:rsid w:val="00A76F15"/>
    <w:rsid w:val="00A77AC7"/>
    <w:rsid w:val="00A80449"/>
    <w:rsid w:val="00A80F03"/>
    <w:rsid w:val="00A81E71"/>
    <w:rsid w:val="00A82DDF"/>
    <w:rsid w:val="00A84172"/>
    <w:rsid w:val="00A851A5"/>
    <w:rsid w:val="00A87084"/>
    <w:rsid w:val="00A92AAD"/>
    <w:rsid w:val="00A934FB"/>
    <w:rsid w:val="00A93C59"/>
    <w:rsid w:val="00A94292"/>
    <w:rsid w:val="00A94D0C"/>
    <w:rsid w:val="00A95944"/>
    <w:rsid w:val="00A95A23"/>
    <w:rsid w:val="00A968D5"/>
    <w:rsid w:val="00A978A4"/>
    <w:rsid w:val="00AA02E4"/>
    <w:rsid w:val="00AA3131"/>
    <w:rsid w:val="00AA37A6"/>
    <w:rsid w:val="00AA433E"/>
    <w:rsid w:val="00AA5D6D"/>
    <w:rsid w:val="00AA5F2F"/>
    <w:rsid w:val="00AA5F63"/>
    <w:rsid w:val="00AA72CC"/>
    <w:rsid w:val="00AB11DA"/>
    <w:rsid w:val="00AB206E"/>
    <w:rsid w:val="00AB66C1"/>
    <w:rsid w:val="00AB66FB"/>
    <w:rsid w:val="00AB7AF6"/>
    <w:rsid w:val="00AC0B49"/>
    <w:rsid w:val="00AC10ED"/>
    <w:rsid w:val="00AC11F0"/>
    <w:rsid w:val="00AC29C2"/>
    <w:rsid w:val="00AC3AA1"/>
    <w:rsid w:val="00AC4802"/>
    <w:rsid w:val="00AC493F"/>
    <w:rsid w:val="00AC4B62"/>
    <w:rsid w:val="00AC4C6A"/>
    <w:rsid w:val="00AC717A"/>
    <w:rsid w:val="00AC7D5A"/>
    <w:rsid w:val="00AC7E1D"/>
    <w:rsid w:val="00AD3534"/>
    <w:rsid w:val="00AD40ED"/>
    <w:rsid w:val="00AD50A6"/>
    <w:rsid w:val="00AD7261"/>
    <w:rsid w:val="00AE0D9B"/>
    <w:rsid w:val="00AE3BB6"/>
    <w:rsid w:val="00AE52E0"/>
    <w:rsid w:val="00AE6946"/>
    <w:rsid w:val="00AE79B1"/>
    <w:rsid w:val="00AF0122"/>
    <w:rsid w:val="00AF2558"/>
    <w:rsid w:val="00AF332D"/>
    <w:rsid w:val="00AF606F"/>
    <w:rsid w:val="00AF7944"/>
    <w:rsid w:val="00AF7F84"/>
    <w:rsid w:val="00B00E12"/>
    <w:rsid w:val="00B01587"/>
    <w:rsid w:val="00B01841"/>
    <w:rsid w:val="00B021F9"/>
    <w:rsid w:val="00B03BD3"/>
    <w:rsid w:val="00B041AA"/>
    <w:rsid w:val="00B04284"/>
    <w:rsid w:val="00B042AA"/>
    <w:rsid w:val="00B05FCD"/>
    <w:rsid w:val="00B063C8"/>
    <w:rsid w:val="00B0692B"/>
    <w:rsid w:val="00B074F5"/>
    <w:rsid w:val="00B07ADC"/>
    <w:rsid w:val="00B07FA7"/>
    <w:rsid w:val="00B1171A"/>
    <w:rsid w:val="00B11754"/>
    <w:rsid w:val="00B12EDD"/>
    <w:rsid w:val="00B14C91"/>
    <w:rsid w:val="00B16781"/>
    <w:rsid w:val="00B16BCF"/>
    <w:rsid w:val="00B17EAE"/>
    <w:rsid w:val="00B224E7"/>
    <w:rsid w:val="00B2338A"/>
    <w:rsid w:val="00B23FCD"/>
    <w:rsid w:val="00B2410A"/>
    <w:rsid w:val="00B259EE"/>
    <w:rsid w:val="00B270F1"/>
    <w:rsid w:val="00B272A2"/>
    <w:rsid w:val="00B30591"/>
    <w:rsid w:val="00B30BC0"/>
    <w:rsid w:val="00B31E86"/>
    <w:rsid w:val="00B32E66"/>
    <w:rsid w:val="00B339A4"/>
    <w:rsid w:val="00B33A78"/>
    <w:rsid w:val="00B34B72"/>
    <w:rsid w:val="00B35955"/>
    <w:rsid w:val="00B36FE8"/>
    <w:rsid w:val="00B40CB0"/>
    <w:rsid w:val="00B41C4A"/>
    <w:rsid w:val="00B41D88"/>
    <w:rsid w:val="00B44487"/>
    <w:rsid w:val="00B45584"/>
    <w:rsid w:val="00B47C93"/>
    <w:rsid w:val="00B535D5"/>
    <w:rsid w:val="00B53A74"/>
    <w:rsid w:val="00B53D95"/>
    <w:rsid w:val="00B54C27"/>
    <w:rsid w:val="00B60CDE"/>
    <w:rsid w:val="00B624FB"/>
    <w:rsid w:val="00B6393A"/>
    <w:rsid w:val="00B64CBE"/>
    <w:rsid w:val="00B65116"/>
    <w:rsid w:val="00B656AB"/>
    <w:rsid w:val="00B66750"/>
    <w:rsid w:val="00B715D7"/>
    <w:rsid w:val="00B7237D"/>
    <w:rsid w:val="00B73911"/>
    <w:rsid w:val="00B747D1"/>
    <w:rsid w:val="00B748C2"/>
    <w:rsid w:val="00B81C1D"/>
    <w:rsid w:val="00B82610"/>
    <w:rsid w:val="00B82760"/>
    <w:rsid w:val="00B82D4D"/>
    <w:rsid w:val="00B8331E"/>
    <w:rsid w:val="00B84290"/>
    <w:rsid w:val="00B87749"/>
    <w:rsid w:val="00B92879"/>
    <w:rsid w:val="00B93117"/>
    <w:rsid w:val="00B93B15"/>
    <w:rsid w:val="00B93C6A"/>
    <w:rsid w:val="00B94DDC"/>
    <w:rsid w:val="00B95391"/>
    <w:rsid w:val="00B95E9F"/>
    <w:rsid w:val="00B96A9F"/>
    <w:rsid w:val="00B97040"/>
    <w:rsid w:val="00BA0ED7"/>
    <w:rsid w:val="00BA1473"/>
    <w:rsid w:val="00BA2C3C"/>
    <w:rsid w:val="00BA2E60"/>
    <w:rsid w:val="00BA4208"/>
    <w:rsid w:val="00BA4DE3"/>
    <w:rsid w:val="00BA604D"/>
    <w:rsid w:val="00BA6129"/>
    <w:rsid w:val="00BA6C53"/>
    <w:rsid w:val="00BB065B"/>
    <w:rsid w:val="00BB1088"/>
    <w:rsid w:val="00BB2759"/>
    <w:rsid w:val="00BB5D00"/>
    <w:rsid w:val="00BB5FAC"/>
    <w:rsid w:val="00BB6B22"/>
    <w:rsid w:val="00BB7E59"/>
    <w:rsid w:val="00BC0E67"/>
    <w:rsid w:val="00BC19D5"/>
    <w:rsid w:val="00BC24E7"/>
    <w:rsid w:val="00BC27D6"/>
    <w:rsid w:val="00BC33B7"/>
    <w:rsid w:val="00BC3E39"/>
    <w:rsid w:val="00BC4B23"/>
    <w:rsid w:val="00BC55EB"/>
    <w:rsid w:val="00BC566E"/>
    <w:rsid w:val="00BC6160"/>
    <w:rsid w:val="00BD018A"/>
    <w:rsid w:val="00BD0CF6"/>
    <w:rsid w:val="00BD1F5F"/>
    <w:rsid w:val="00BD2C91"/>
    <w:rsid w:val="00BD3128"/>
    <w:rsid w:val="00BD35B0"/>
    <w:rsid w:val="00BD43A6"/>
    <w:rsid w:val="00BD488A"/>
    <w:rsid w:val="00BE0229"/>
    <w:rsid w:val="00BE0CBA"/>
    <w:rsid w:val="00BE1ABE"/>
    <w:rsid w:val="00BE397C"/>
    <w:rsid w:val="00BE5F62"/>
    <w:rsid w:val="00BE699E"/>
    <w:rsid w:val="00BE798B"/>
    <w:rsid w:val="00BF1815"/>
    <w:rsid w:val="00BF2445"/>
    <w:rsid w:val="00BF3603"/>
    <w:rsid w:val="00BF6087"/>
    <w:rsid w:val="00BF78CB"/>
    <w:rsid w:val="00C000E7"/>
    <w:rsid w:val="00C02A20"/>
    <w:rsid w:val="00C02DF8"/>
    <w:rsid w:val="00C03844"/>
    <w:rsid w:val="00C03949"/>
    <w:rsid w:val="00C03D48"/>
    <w:rsid w:val="00C063E9"/>
    <w:rsid w:val="00C10CBD"/>
    <w:rsid w:val="00C10EBF"/>
    <w:rsid w:val="00C12B60"/>
    <w:rsid w:val="00C1387A"/>
    <w:rsid w:val="00C13BF6"/>
    <w:rsid w:val="00C13E1F"/>
    <w:rsid w:val="00C15876"/>
    <w:rsid w:val="00C16A4C"/>
    <w:rsid w:val="00C23AF5"/>
    <w:rsid w:val="00C26535"/>
    <w:rsid w:val="00C266E1"/>
    <w:rsid w:val="00C26736"/>
    <w:rsid w:val="00C26BF4"/>
    <w:rsid w:val="00C26CDC"/>
    <w:rsid w:val="00C31AE2"/>
    <w:rsid w:val="00C32874"/>
    <w:rsid w:val="00C32A97"/>
    <w:rsid w:val="00C32C93"/>
    <w:rsid w:val="00C3417A"/>
    <w:rsid w:val="00C364BC"/>
    <w:rsid w:val="00C37C51"/>
    <w:rsid w:val="00C40702"/>
    <w:rsid w:val="00C40734"/>
    <w:rsid w:val="00C40DA1"/>
    <w:rsid w:val="00C424FE"/>
    <w:rsid w:val="00C44938"/>
    <w:rsid w:val="00C452C7"/>
    <w:rsid w:val="00C45DC9"/>
    <w:rsid w:val="00C46B94"/>
    <w:rsid w:val="00C4705E"/>
    <w:rsid w:val="00C5314C"/>
    <w:rsid w:val="00C5488A"/>
    <w:rsid w:val="00C54E3B"/>
    <w:rsid w:val="00C55A44"/>
    <w:rsid w:val="00C5695D"/>
    <w:rsid w:val="00C5739B"/>
    <w:rsid w:val="00C574D3"/>
    <w:rsid w:val="00C5750C"/>
    <w:rsid w:val="00C57F14"/>
    <w:rsid w:val="00C6055C"/>
    <w:rsid w:val="00C6218C"/>
    <w:rsid w:val="00C63BC0"/>
    <w:rsid w:val="00C646BD"/>
    <w:rsid w:val="00C65B0E"/>
    <w:rsid w:val="00C66F0C"/>
    <w:rsid w:val="00C6701A"/>
    <w:rsid w:val="00C70A90"/>
    <w:rsid w:val="00C7317A"/>
    <w:rsid w:val="00C75659"/>
    <w:rsid w:val="00C756B7"/>
    <w:rsid w:val="00C75C69"/>
    <w:rsid w:val="00C75E86"/>
    <w:rsid w:val="00C76AFC"/>
    <w:rsid w:val="00C8252D"/>
    <w:rsid w:val="00C856F5"/>
    <w:rsid w:val="00C860F8"/>
    <w:rsid w:val="00C86276"/>
    <w:rsid w:val="00C86FF9"/>
    <w:rsid w:val="00C90E13"/>
    <w:rsid w:val="00C95370"/>
    <w:rsid w:val="00C973D8"/>
    <w:rsid w:val="00CA5355"/>
    <w:rsid w:val="00CA6CB2"/>
    <w:rsid w:val="00CA7989"/>
    <w:rsid w:val="00CB0C84"/>
    <w:rsid w:val="00CB1EAD"/>
    <w:rsid w:val="00CB3207"/>
    <w:rsid w:val="00CB5125"/>
    <w:rsid w:val="00CB6B45"/>
    <w:rsid w:val="00CB797D"/>
    <w:rsid w:val="00CC04B2"/>
    <w:rsid w:val="00CC25C3"/>
    <w:rsid w:val="00CC36E7"/>
    <w:rsid w:val="00CC5C5E"/>
    <w:rsid w:val="00CC68A0"/>
    <w:rsid w:val="00CD19D3"/>
    <w:rsid w:val="00CD27DD"/>
    <w:rsid w:val="00CD31B7"/>
    <w:rsid w:val="00CD43E8"/>
    <w:rsid w:val="00CD5B40"/>
    <w:rsid w:val="00CD6184"/>
    <w:rsid w:val="00CD656B"/>
    <w:rsid w:val="00CD716A"/>
    <w:rsid w:val="00CE0EE1"/>
    <w:rsid w:val="00CE13CB"/>
    <w:rsid w:val="00CE431D"/>
    <w:rsid w:val="00CE4B17"/>
    <w:rsid w:val="00CE60F2"/>
    <w:rsid w:val="00CE6AAA"/>
    <w:rsid w:val="00CE7E77"/>
    <w:rsid w:val="00CF1E2F"/>
    <w:rsid w:val="00CF23D8"/>
    <w:rsid w:val="00CF37AC"/>
    <w:rsid w:val="00CF3DFD"/>
    <w:rsid w:val="00CF45A0"/>
    <w:rsid w:val="00CF661F"/>
    <w:rsid w:val="00D003BF"/>
    <w:rsid w:val="00D021C5"/>
    <w:rsid w:val="00D028D1"/>
    <w:rsid w:val="00D03D96"/>
    <w:rsid w:val="00D054E1"/>
    <w:rsid w:val="00D062F5"/>
    <w:rsid w:val="00D06B06"/>
    <w:rsid w:val="00D06B82"/>
    <w:rsid w:val="00D07676"/>
    <w:rsid w:val="00D07E9F"/>
    <w:rsid w:val="00D1283A"/>
    <w:rsid w:val="00D14AB9"/>
    <w:rsid w:val="00D15BEA"/>
    <w:rsid w:val="00D16EA3"/>
    <w:rsid w:val="00D17ADA"/>
    <w:rsid w:val="00D17F5B"/>
    <w:rsid w:val="00D2005D"/>
    <w:rsid w:val="00D211F0"/>
    <w:rsid w:val="00D221A1"/>
    <w:rsid w:val="00D22F52"/>
    <w:rsid w:val="00D24359"/>
    <w:rsid w:val="00D254B0"/>
    <w:rsid w:val="00D2625E"/>
    <w:rsid w:val="00D264AA"/>
    <w:rsid w:val="00D26E21"/>
    <w:rsid w:val="00D30942"/>
    <w:rsid w:val="00D30C8C"/>
    <w:rsid w:val="00D30DB0"/>
    <w:rsid w:val="00D3177A"/>
    <w:rsid w:val="00D33A38"/>
    <w:rsid w:val="00D33B5A"/>
    <w:rsid w:val="00D351D7"/>
    <w:rsid w:val="00D364C0"/>
    <w:rsid w:val="00D378A9"/>
    <w:rsid w:val="00D42630"/>
    <w:rsid w:val="00D42F03"/>
    <w:rsid w:val="00D440D7"/>
    <w:rsid w:val="00D44981"/>
    <w:rsid w:val="00D45844"/>
    <w:rsid w:val="00D46943"/>
    <w:rsid w:val="00D516D9"/>
    <w:rsid w:val="00D51A63"/>
    <w:rsid w:val="00D53479"/>
    <w:rsid w:val="00D543C4"/>
    <w:rsid w:val="00D5696B"/>
    <w:rsid w:val="00D5795A"/>
    <w:rsid w:val="00D62459"/>
    <w:rsid w:val="00D65614"/>
    <w:rsid w:val="00D663E4"/>
    <w:rsid w:val="00D7044E"/>
    <w:rsid w:val="00D7055F"/>
    <w:rsid w:val="00D7087D"/>
    <w:rsid w:val="00D70A0A"/>
    <w:rsid w:val="00D7243E"/>
    <w:rsid w:val="00D725F6"/>
    <w:rsid w:val="00D777E5"/>
    <w:rsid w:val="00D84313"/>
    <w:rsid w:val="00D855D2"/>
    <w:rsid w:val="00D86F6F"/>
    <w:rsid w:val="00D8700F"/>
    <w:rsid w:val="00D87325"/>
    <w:rsid w:val="00D87706"/>
    <w:rsid w:val="00D91E4D"/>
    <w:rsid w:val="00D91EA0"/>
    <w:rsid w:val="00D9515E"/>
    <w:rsid w:val="00DA1065"/>
    <w:rsid w:val="00DA70FC"/>
    <w:rsid w:val="00DB0153"/>
    <w:rsid w:val="00DB07B8"/>
    <w:rsid w:val="00DB1AEC"/>
    <w:rsid w:val="00DB1BFF"/>
    <w:rsid w:val="00DB2C77"/>
    <w:rsid w:val="00DB3030"/>
    <w:rsid w:val="00DB39CF"/>
    <w:rsid w:val="00DB4158"/>
    <w:rsid w:val="00DB6C09"/>
    <w:rsid w:val="00DB76D9"/>
    <w:rsid w:val="00DC078F"/>
    <w:rsid w:val="00DC3B7E"/>
    <w:rsid w:val="00DC3E25"/>
    <w:rsid w:val="00DD11D6"/>
    <w:rsid w:val="00DD3B37"/>
    <w:rsid w:val="00DD3FF8"/>
    <w:rsid w:val="00DD4EE6"/>
    <w:rsid w:val="00DD5646"/>
    <w:rsid w:val="00DD6CE6"/>
    <w:rsid w:val="00DD6E34"/>
    <w:rsid w:val="00DE09AF"/>
    <w:rsid w:val="00DE16A6"/>
    <w:rsid w:val="00DE2C83"/>
    <w:rsid w:val="00DE2F52"/>
    <w:rsid w:val="00DE3427"/>
    <w:rsid w:val="00DE5407"/>
    <w:rsid w:val="00DE5577"/>
    <w:rsid w:val="00DE625D"/>
    <w:rsid w:val="00DE6686"/>
    <w:rsid w:val="00DE71F4"/>
    <w:rsid w:val="00DF06C2"/>
    <w:rsid w:val="00DF0AFB"/>
    <w:rsid w:val="00DF24CA"/>
    <w:rsid w:val="00DF4202"/>
    <w:rsid w:val="00DF5550"/>
    <w:rsid w:val="00DF5A7C"/>
    <w:rsid w:val="00DF5D75"/>
    <w:rsid w:val="00DF5E8D"/>
    <w:rsid w:val="00DF6D6B"/>
    <w:rsid w:val="00DF702F"/>
    <w:rsid w:val="00DF7466"/>
    <w:rsid w:val="00E00E74"/>
    <w:rsid w:val="00E0207E"/>
    <w:rsid w:val="00E025CC"/>
    <w:rsid w:val="00E02D5F"/>
    <w:rsid w:val="00E02F61"/>
    <w:rsid w:val="00E034F2"/>
    <w:rsid w:val="00E04E72"/>
    <w:rsid w:val="00E0505F"/>
    <w:rsid w:val="00E07FFE"/>
    <w:rsid w:val="00E10C46"/>
    <w:rsid w:val="00E10E36"/>
    <w:rsid w:val="00E1122D"/>
    <w:rsid w:val="00E13623"/>
    <w:rsid w:val="00E13998"/>
    <w:rsid w:val="00E13EA5"/>
    <w:rsid w:val="00E1413D"/>
    <w:rsid w:val="00E14541"/>
    <w:rsid w:val="00E1487D"/>
    <w:rsid w:val="00E153C9"/>
    <w:rsid w:val="00E15799"/>
    <w:rsid w:val="00E163D3"/>
    <w:rsid w:val="00E17E79"/>
    <w:rsid w:val="00E20938"/>
    <w:rsid w:val="00E20A23"/>
    <w:rsid w:val="00E25D01"/>
    <w:rsid w:val="00E30D56"/>
    <w:rsid w:val="00E31F50"/>
    <w:rsid w:val="00E338EF"/>
    <w:rsid w:val="00E33AF2"/>
    <w:rsid w:val="00E35055"/>
    <w:rsid w:val="00E4028F"/>
    <w:rsid w:val="00E40B9C"/>
    <w:rsid w:val="00E4134A"/>
    <w:rsid w:val="00E41A2A"/>
    <w:rsid w:val="00E42ADA"/>
    <w:rsid w:val="00E433C7"/>
    <w:rsid w:val="00E43F99"/>
    <w:rsid w:val="00E471AC"/>
    <w:rsid w:val="00E47BAC"/>
    <w:rsid w:val="00E47D88"/>
    <w:rsid w:val="00E47D9B"/>
    <w:rsid w:val="00E50C47"/>
    <w:rsid w:val="00E51B84"/>
    <w:rsid w:val="00E54026"/>
    <w:rsid w:val="00E5573B"/>
    <w:rsid w:val="00E55DD7"/>
    <w:rsid w:val="00E60AFF"/>
    <w:rsid w:val="00E62F47"/>
    <w:rsid w:val="00E6453C"/>
    <w:rsid w:val="00E64A80"/>
    <w:rsid w:val="00E6527B"/>
    <w:rsid w:val="00E660B6"/>
    <w:rsid w:val="00E66BC0"/>
    <w:rsid w:val="00E7189C"/>
    <w:rsid w:val="00E723B1"/>
    <w:rsid w:val="00E7251E"/>
    <w:rsid w:val="00E72977"/>
    <w:rsid w:val="00E72E8B"/>
    <w:rsid w:val="00E73B8E"/>
    <w:rsid w:val="00E74537"/>
    <w:rsid w:val="00E74BD5"/>
    <w:rsid w:val="00E76030"/>
    <w:rsid w:val="00E764D3"/>
    <w:rsid w:val="00E772F4"/>
    <w:rsid w:val="00E77492"/>
    <w:rsid w:val="00E7775B"/>
    <w:rsid w:val="00E80D10"/>
    <w:rsid w:val="00E82C38"/>
    <w:rsid w:val="00E846FD"/>
    <w:rsid w:val="00E85083"/>
    <w:rsid w:val="00E87CCD"/>
    <w:rsid w:val="00E904A3"/>
    <w:rsid w:val="00E9122C"/>
    <w:rsid w:val="00E92107"/>
    <w:rsid w:val="00E94CB0"/>
    <w:rsid w:val="00E96E41"/>
    <w:rsid w:val="00E9769A"/>
    <w:rsid w:val="00EA037A"/>
    <w:rsid w:val="00EA0FE4"/>
    <w:rsid w:val="00EA1508"/>
    <w:rsid w:val="00EA2B76"/>
    <w:rsid w:val="00EA60A3"/>
    <w:rsid w:val="00EA6623"/>
    <w:rsid w:val="00EB0DD0"/>
    <w:rsid w:val="00EB1667"/>
    <w:rsid w:val="00EB2837"/>
    <w:rsid w:val="00EB2C7A"/>
    <w:rsid w:val="00EB3488"/>
    <w:rsid w:val="00EB3C1A"/>
    <w:rsid w:val="00EB4D4F"/>
    <w:rsid w:val="00EB53B7"/>
    <w:rsid w:val="00EB5C0B"/>
    <w:rsid w:val="00EB60BC"/>
    <w:rsid w:val="00EB6306"/>
    <w:rsid w:val="00EB6F0E"/>
    <w:rsid w:val="00EB70CC"/>
    <w:rsid w:val="00EB7693"/>
    <w:rsid w:val="00EC0E50"/>
    <w:rsid w:val="00EC13F1"/>
    <w:rsid w:val="00EC3D89"/>
    <w:rsid w:val="00EC4F07"/>
    <w:rsid w:val="00EC6C2B"/>
    <w:rsid w:val="00ED0A69"/>
    <w:rsid w:val="00ED0EA2"/>
    <w:rsid w:val="00ED12DD"/>
    <w:rsid w:val="00ED1BAA"/>
    <w:rsid w:val="00ED5C24"/>
    <w:rsid w:val="00ED5D07"/>
    <w:rsid w:val="00EE0526"/>
    <w:rsid w:val="00EE27C1"/>
    <w:rsid w:val="00EE4615"/>
    <w:rsid w:val="00EF0B46"/>
    <w:rsid w:val="00EF0DCF"/>
    <w:rsid w:val="00EF11E7"/>
    <w:rsid w:val="00EF3C13"/>
    <w:rsid w:val="00EF4A33"/>
    <w:rsid w:val="00EF56FA"/>
    <w:rsid w:val="00EF61FA"/>
    <w:rsid w:val="00EF63FB"/>
    <w:rsid w:val="00EF646E"/>
    <w:rsid w:val="00EF669D"/>
    <w:rsid w:val="00EF6BBF"/>
    <w:rsid w:val="00F02180"/>
    <w:rsid w:val="00F03041"/>
    <w:rsid w:val="00F0470A"/>
    <w:rsid w:val="00F072DC"/>
    <w:rsid w:val="00F11F21"/>
    <w:rsid w:val="00F13257"/>
    <w:rsid w:val="00F14915"/>
    <w:rsid w:val="00F15BCC"/>
    <w:rsid w:val="00F1679D"/>
    <w:rsid w:val="00F167A1"/>
    <w:rsid w:val="00F17744"/>
    <w:rsid w:val="00F206D9"/>
    <w:rsid w:val="00F20A98"/>
    <w:rsid w:val="00F20B9C"/>
    <w:rsid w:val="00F22912"/>
    <w:rsid w:val="00F24C2E"/>
    <w:rsid w:val="00F250AC"/>
    <w:rsid w:val="00F26ACE"/>
    <w:rsid w:val="00F270B1"/>
    <w:rsid w:val="00F31579"/>
    <w:rsid w:val="00F325A0"/>
    <w:rsid w:val="00F32B51"/>
    <w:rsid w:val="00F3388D"/>
    <w:rsid w:val="00F363B6"/>
    <w:rsid w:val="00F40141"/>
    <w:rsid w:val="00F40407"/>
    <w:rsid w:val="00F41F2D"/>
    <w:rsid w:val="00F44DDD"/>
    <w:rsid w:val="00F45813"/>
    <w:rsid w:val="00F459C7"/>
    <w:rsid w:val="00F5061E"/>
    <w:rsid w:val="00F50EDE"/>
    <w:rsid w:val="00F51221"/>
    <w:rsid w:val="00F52625"/>
    <w:rsid w:val="00F5312D"/>
    <w:rsid w:val="00F5319E"/>
    <w:rsid w:val="00F53AF0"/>
    <w:rsid w:val="00F54A26"/>
    <w:rsid w:val="00F60FE2"/>
    <w:rsid w:val="00F62526"/>
    <w:rsid w:val="00F64514"/>
    <w:rsid w:val="00F6496F"/>
    <w:rsid w:val="00F655D7"/>
    <w:rsid w:val="00F679AE"/>
    <w:rsid w:val="00F719C6"/>
    <w:rsid w:val="00F72B5A"/>
    <w:rsid w:val="00F7424F"/>
    <w:rsid w:val="00F76D60"/>
    <w:rsid w:val="00F8017E"/>
    <w:rsid w:val="00F80AF6"/>
    <w:rsid w:val="00F80BE7"/>
    <w:rsid w:val="00F80FF3"/>
    <w:rsid w:val="00F81227"/>
    <w:rsid w:val="00F82C09"/>
    <w:rsid w:val="00F8566D"/>
    <w:rsid w:val="00F857E0"/>
    <w:rsid w:val="00F91245"/>
    <w:rsid w:val="00F912DB"/>
    <w:rsid w:val="00F92D5C"/>
    <w:rsid w:val="00F9309D"/>
    <w:rsid w:val="00FA048B"/>
    <w:rsid w:val="00FA3741"/>
    <w:rsid w:val="00FA5DDA"/>
    <w:rsid w:val="00FB0D70"/>
    <w:rsid w:val="00FB25B7"/>
    <w:rsid w:val="00FB2B9A"/>
    <w:rsid w:val="00FB5697"/>
    <w:rsid w:val="00FC028E"/>
    <w:rsid w:val="00FC198E"/>
    <w:rsid w:val="00FC1F84"/>
    <w:rsid w:val="00FC2B4B"/>
    <w:rsid w:val="00FC3219"/>
    <w:rsid w:val="00FC4379"/>
    <w:rsid w:val="00FC574F"/>
    <w:rsid w:val="00FC5A09"/>
    <w:rsid w:val="00FC7BDF"/>
    <w:rsid w:val="00FC7ECA"/>
    <w:rsid w:val="00FD13C8"/>
    <w:rsid w:val="00FD1AEE"/>
    <w:rsid w:val="00FD246E"/>
    <w:rsid w:val="00FD2734"/>
    <w:rsid w:val="00FD3153"/>
    <w:rsid w:val="00FD31D8"/>
    <w:rsid w:val="00FD41B7"/>
    <w:rsid w:val="00FD4E3D"/>
    <w:rsid w:val="00FE275C"/>
    <w:rsid w:val="00FE374C"/>
    <w:rsid w:val="00FE4280"/>
    <w:rsid w:val="00FE594D"/>
    <w:rsid w:val="00FE5D4F"/>
    <w:rsid w:val="00FE6394"/>
    <w:rsid w:val="00FE69F5"/>
    <w:rsid w:val="00FE6CAC"/>
    <w:rsid w:val="00FE7406"/>
    <w:rsid w:val="00FF057A"/>
    <w:rsid w:val="00FF513C"/>
    <w:rsid w:val="00FF6898"/>
    <w:rsid w:val="00FF6F51"/>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D3D907-4281-4243-9FCB-578DEC28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37"/>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singl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uiPriority w:val="99"/>
    <w:semiHidden/>
    <w:rsid w:val="00F206D9"/>
    <w:rPr>
      <w:vertAlign w:val="superscript"/>
    </w:rPr>
  </w:style>
  <w:style w:type="paragraph" w:styleId="Header">
    <w:name w:val="header"/>
    <w:basedOn w:val="Normal"/>
    <w:link w:val="HeaderChar"/>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800080"/>
      <w:u w:val="single"/>
    </w:rPr>
  </w:style>
  <w:style w:type="paragraph" w:styleId="FootnoteText">
    <w:name w:val="footnote text"/>
    <w:basedOn w:val="Normal"/>
    <w:semiHidden/>
    <w:rsid w:val="00CF45A0"/>
    <w:rPr>
      <w:sz w:val="20"/>
      <w:szCs w:val="20"/>
    </w:rPr>
  </w:style>
  <w:style w:type="paragraph" w:styleId="PlainText">
    <w:name w:val="Plain Text"/>
    <w:basedOn w:val="Normal"/>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rsid w:val="00C13BF6"/>
    <w:rPr>
      <w:rFonts w:ascii="Tahoma" w:hAnsi="Tahoma" w:cs="Tahoma"/>
      <w:sz w:val="16"/>
      <w:szCs w:val="16"/>
    </w:rPr>
  </w:style>
  <w:style w:type="character" w:customStyle="1" w:styleId="BalloonTextChar">
    <w:name w:val="Balloon Text Char"/>
    <w:link w:val="BalloonText"/>
    <w:rsid w:val="00C13BF6"/>
    <w:rPr>
      <w:rFonts w:ascii="Tahoma" w:hAnsi="Tahoma" w:cs="Tahoma"/>
      <w:sz w:val="16"/>
      <w:szCs w:val="16"/>
    </w:rPr>
  </w:style>
  <w:style w:type="character" w:styleId="CommentReference">
    <w:name w:val="annotation reference"/>
    <w:rsid w:val="00692739"/>
    <w:rPr>
      <w:sz w:val="16"/>
      <w:szCs w:val="16"/>
    </w:rPr>
  </w:style>
  <w:style w:type="paragraph" w:styleId="CommentText">
    <w:name w:val="annotation text"/>
    <w:basedOn w:val="Normal"/>
    <w:link w:val="CommentTextChar"/>
    <w:rsid w:val="00692739"/>
    <w:rPr>
      <w:sz w:val="20"/>
      <w:szCs w:val="20"/>
    </w:rPr>
  </w:style>
  <w:style w:type="character" w:customStyle="1" w:styleId="CommentTextChar">
    <w:name w:val="Comment Text Char"/>
    <w:basedOn w:val="DefaultParagraphFont"/>
    <w:link w:val="CommentText"/>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58"/>
      </w:numPr>
      <w:tabs>
        <w:tab w:val="left" w:pos="1620"/>
      </w:tabs>
      <w:autoSpaceDE w:val="0"/>
      <w:autoSpaceDN w:val="0"/>
      <w:adjustRightInd w:val="0"/>
      <w:spacing w:before="120"/>
      <w:ind w:left="1080" w:right="446" w:firstLine="0"/>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59"/>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basedOn w:val="Normal"/>
    <w:uiPriority w:val="34"/>
    <w:qFormat/>
    <w:rsid w:val="00A3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97F1-66BB-40B9-8AE6-D65E8D74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DP/2015/20</vt:lpstr>
    </vt:vector>
  </TitlesOfParts>
  <Company>UNDP</Company>
  <LinksUpToDate>false</LinksUpToDate>
  <CharactersWithSpaces>34221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DP/2015/20</dc:title>
  <dc:creator>Martine Therer</dc:creator>
  <cp:keywords>15-05713</cp:keywords>
  <cp:lastModifiedBy>Svetlana Iazykova</cp:lastModifiedBy>
  <cp:revision>6</cp:revision>
  <cp:lastPrinted>2015-12-18T13:48:00Z</cp:lastPrinted>
  <dcterms:created xsi:type="dcterms:W3CDTF">2016-01-05T15:47:00Z</dcterms:created>
  <dcterms:modified xsi:type="dcterms:W3CDTF">2016-01-05T17:21:00Z</dcterms:modified>
</cp:coreProperties>
</file>